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00" w:rsidRDefault="001108B5" w:rsidP="00172D29">
      <w:pPr>
        <w:pStyle w:val="Heading1"/>
        <w:jc w:val="center"/>
        <w:rPr>
          <w:lang w:val="cs-CZ"/>
        </w:rPr>
      </w:pPr>
      <w:r>
        <w:rPr>
          <w:lang w:val="cs-CZ"/>
        </w:rPr>
        <w:t>První doporučení</w:t>
      </w:r>
      <w:r w:rsidR="00820C00" w:rsidRPr="000C0EA0">
        <w:rPr>
          <w:lang w:val="cs-CZ"/>
        </w:rPr>
        <w:t xml:space="preserve"> Rady pro reformu vysokoškolského vzdělávání</w:t>
      </w:r>
    </w:p>
    <w:p w:rsidR="00231FDD" w:rsidRPr="00231FDD" w:rsidRDefault="00231FDD" w:rsidP="00852FB8">
      <w:pPr>
        <w:jc w:val="both"/>
        <w:rPr>
          <w:lang w:val="cs-CZ"/>
        </w:rPr>
      </w:pPr>
    </w:p>
    <w:p w:rsidR="009B0E2B" w:rsidRDefault="00D82D88" w:rsidP="00852FB8">
      <w:pPr>
        <w:pStyle w:val="Heading2"/>
        <w:jc w:val="both"/>
        <w:rPr>
          <w:lang w:val="cs-CZ"/>
        </w:rPr>
      </w:pPr>
      <w:r>
        <w:rPr>
          <w:lang w:val="cs-CZ"/>
        </w:rPr>
        <w:t>Zásadní d</w:t>
      </w:r>
      <w:r w:rsidR="00C074A8">
        <w:rPr>
          <w:lang w:val="cs-CZ"/>
        </w:rPr>
        <w:t>oporučení Rady</w:t>
      </w:r>
    </w:p>
    <w:p w:rsidR="00B26EB0" w:rsidRPr="00213B1B" w:rsidRDefault="00B26EB0" w:rsidP="00B26EB0">
      <w:pPr>
        <w:rPr>
          <w:sz w:val="24"/>
          <w:szCs w:val="24"/>
          <w:lang w:val="cs-CZ"/>
        </w:rPr>
      </w:pPr>
      <w:r w:rsidRPr="00213B1B">
        <w:rPr>
          <w:sz w:val="24"/>
          <w:szCs w:val="24"/>
          <w:lang w:val="cs-CZ"/>
        </w:rPr>
        <w:t>Rad</w:t>
      </w:r>
      <w:r w:rsidR="00B85752">
        <w:rPr>
          <w:sz w:val="24"/>
          <w:szCs w:val="24"/>
          <w:lang w:val="cs-CZ"/>
        </w:rPr>
        <w:t>a</w:t>
      </w:r>
      <w:r w:rsidRPr="00213B1B">
        <w:rPr>
          <w:sz w:val="24"/>
          <w:szCs w:val="24"/>
          <w:lang w:val="cs-CZ"/>
        </w:rPr>
        <w:t xml:space="preserve"> identifikoval</w:t>
      </w:r>
      <w:r w:rsidR="00B85752">
        <w:rPr>
          <w:sz w:val="24"/>
          <w:szCs w:val="24"/>
          <w:lang w:val="cs-CZ"/>
        </w:rPr>
        <w:t>a několik témat, která považov</w:t>
      </w:r>
      <w:r w:rsidR="00B85752">
        <w:rPr>
          <w:sz w:val="24"/>
          <w:szCs w:val="24"/>
          <w:lang w:val="cs-CZ"/>
        </w:rPr>
        <w:t>a</w:t>
      </w:r>
      <w:r w:rsidR="00B85752">
        <w:rPr>
          <w:sz w:val="24"/>
          <w:szCs w:val="24"/>
          <w:lang w:val="cs-CZ"/>
        </w:rPr>
        <w:t xml:space="preserve">la </w:t>
      </w:r>
      <w:r w:rsidRPr="00213B1B">
        <w:rPr>
          <w:sz w:val="24"/>
          <w:szCs w:val="24"/>
          <w:lang w:val="cs-CZ"/>
        </w:rPr>
        <w:t>za klíčová</w:t>
      </w:r>
      <w:r w:rsidR="00B85752">
        <w:rPr>
          <w:sz w:val="24"/>
          <w:szCs w:val="24"/>
          <w:lang w:val="cs-CZ"/>
        </w:rPr>
        <w:t xml:space="preserve"> a kterým se bude přednostně věnovat. Tento proces pochopitelně není možné ukončit za pouhých několik měsíců</w:t>
      </w:r>
      <w:r w:rsidR="002C6C06">
        <w:rPr>
          <w:sz w:val="24"/>
          <w:szCs w:val="24"/>
          <w:lang w:val="cs-CZ"/>
        </w:rPr>
        <w:t>.</w:t>
      </w:r>
      <w:r w:rsidR="00B85752">
        <w:rPr>
          <w:sz w:val="24"/>
          <w:szCs w:val="24"/>
          <w:lang w:val="cs-CZ"/>
        </w:rPr>
        <w:t xml:space="preserve"> </w:t>
      </w:r>
      <w:r w:rsidR="002C6C06">
        <w:rPr>
          <w:sz w:val="24"/>
          <w:szCs w:val="24"/>
          <w:lang w:val="cs-CZ"/>
        </w:rPr>
        <w:t>V</w:t>
      </w:r>
      <w:r w:rsidR="00B85752">
        <w:rPr>
          <w:sz w:val="24"/>
          <w:szCs w:val="24"/>
          <w:lang w:val="cs-CZ"/>
        </w:rPr>
        <w:t xml:space="preserve"> podstatě to </w:t>
      </w:r>
      <w:r w:rsidR="00B84275">
        <w:rPr>
          <w:sz w:val="24"/>
          <w:szCs w:val="24"/>
          <w:lang w:val="cs-CZ"/>
        </w:rPr>
        <w:t xml:space="preserve">jsou </w:t>
      </w:r>
      <w:r w:rsidR="00B85752">
        <w:rPr>
          <w:sz w:val="24"/>
          <w:szCs w:val="24"/>
          <w:lang w:val="cs-CZ"/>
        </w:rPr>
        <w:t>pouze otázky řízení a samosprávy vysokých škol kde Rada</w:t>
      </w:r>
      <w:r w:rsidR="00B84275">
        <w:rPr>
          <w:sz w:val="24"/>
          <w:szCs w:val="24"/>
          <w:lang w:val="cs-CZ"/>
        </w:rPr>
        <w:t xml:space="preserve"> měla čas p</w:t>
      </w:r>
      <w:r w:rsidR="00B84275">
        <w:rPr>
          <w:sz w:val="24"/>
          <w:szCs w:val="24"/>
          <w:lang w:val="cs-CZ"/>
        </w:rPr>
        <w:t>o</w:t>
      </w:r>
      <w:r w:rsidR="00B84275">
        <w:rPr>
          <w:sz w:val="24"/>
          <w:szCs w:val="24"/>
          <w:lang w:val="cs-CZ"/>
        </w:rPr>
        <w:t xml:space="preserve">soudit problém jako celek a </w:t>
      </w:r>
      <w:r w:rsidR="00213B1B">
        <w:rPr>
          <w:sz w:val="24"/>
          <w:szCs w:val="24"/>
          <w:lang w:val="cs-CZ"/>
        </w:rPr>
        <w:t>vypracova</w:t>
      </w:r>
      <w:r w:rsidR="00B84275">
        <w:rPr>
          <w:sz w:val="24"/>
          <w:szCs w:val="24"/>
          <w:lang w:val="cs-CZ"/>
        </w:rPr>
        <w:t>t</w:t>
      </w:r>
      <w:r w:rsidR="00213B1B">
        <w:rPr>
          <w:sz w:val="24"/>
          <w:szCs w:val="24"/>
          <w:lang w:val="cs-CZ"/>
        </w:rPr>
        <w:t xml:space="preserve"> následující dopor</w:t>
      </w:r>
      <w:r w:rsidR="00213B1B">
        <w:rPr>
          <w:sz w:val="24"/>
          <w:szCs w:val="24"/>
          <w:lang w:val="cs-CZ"/>
        </w:rPr>
        <w:t>u</w:t>
      </w:r>
      <w:r w:rsidR="00213B1B">
        <w:rPr>
          <w:sz w:val="24"/>
          <w:szCs w:val="24"/>
          <w:lang w:val="cs-CZ"/>
        </w:rPr>
        <w:t>čení.</w:t>
      </w:r>
    </w:p>
    <w:p w:rsidR="00F0696B" w:rsidRDefault="00D4269E" w:rsidP="00213B1B">
      <w:pPr>
        <w:pStyle w:val="Heading3"/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Řízení</w:t>
      </w:r>
      <w:r w:rsidR="00F0696B">
        <w:rPr>
          <w:lang w:val="cs-CZ"/>
        </w:rPr>
        <w:t xml:space="preserve"> a samospráva vysokých škol</w:t>
      </w:r>
    </w:p>
    <w:p w:rsidR="00D97B72" w:rsidRPr="00D97B72" w:rsidRDefault="00D97B72" w:rsidP="00D97B72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97B72">
        <w:rPr>
          <w:rFonts w:ascii="Times New Roman" w:hAnsi="Times New Roman" w:cs="Times New Roman"/>
          <w:sz w:val="24"/>
          <w:szCs w:val="24"/>
          <w:lang w:val="cs-CZ"/>
        </w:rPr>
        <w:t>Rada se shodla v názoru, že rakouské řešení je pro Českou republiku velmi inspirativní a v mnoha ohledech je v něm řada podnětů, které by bylo vhodné v České republice i</w:t>
      </w:r>
      <w:r w:rsidRPr="00D97B72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D97B72">
        <w:rPr>
          <w:rFonts w:ascii="Times New Roman" w:hAnsi="Times New Roman" w:cs="Times New Roman"/>
          <w:sz w:val="24"/>
          <w:szCs w:val="24"/>
          <w:lang w:val="cs-CZ"/>
        </w:rPr>
        <w:t xml:space="preserve">plementovat. </w:t>
      </w:r>
    </w:p>
    <w:p w:rsidR="00D97B72" w:rsidRDefault="00D97B72" w:rsidP="00D97B72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97B72">
        <w:rPr>
          <w:rFonts w:ascii="Times New Roman" w:hAnsi="Times New Roman" w:cs="Times New Roman"/>
          <w:sz w:val="24"/>
          <w:szCs w:val="24"/>
          <w:lang w:val="cs-CZ"/>
        </w:rPr>
        <w:t>Rada považuje za velmi dobrý model řízení vysokoškolské instituce založený na distr</w:t>
      </w:r>
      <w:r w:rsidRPr="00D97B72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D97B72">
        <w:rPr>
          <w:rFonts w:ascii="Times New Roman" w:hAnsi="Times New Roman" w:cs="Times New Roman"/>
          <w:sz w:val="24"/>
          <w:szCs w:val="24"/>
          <w:lang w:val="cs-CZ"/>
        </w:rPr>
        <w:t>buci odpovědnosti a pravomocí mezi správní radu, vedení univerzity a univerzitní senát. Pozitivem rakouského systému je, že jde ve všech případech o tělesa, která jsou poměrně malá a mají nepochybně vysokou míru akceschopnosti a i osobní odpovědnosti. Tento model je však zaměřen především na univerzity. Bude nutné posoudit, jaká struktura by byla vhodná pro další typy institucí terciárního vzdělávání.</w:t>
      </w:r>
    </w:p>
    <w:p w:rsidR="00536157" w:rsidRPr="00123166" w:rsidRDefault="00536157" w:rsidP="00536157">
      <w:pPr>
        <w:pStyle w:val="Heading4"/>
        <w:numPr>
          <w:ilvl w:val="1"/>
          <w:numId w:val="8"/>
        </w:numPr>
        <w:rPr>
          <w:lang w:val="cs-CZ"/>
        </w:rPr>
      </w:pPr>
      <w:r w:rsidRPr="00123166">
        <w:rPr>
          <w:lang w:val="cs-CZ"/>
        </w:rPr>
        <w:t>Rada pro terciární vzdělávání (RTV)</w:t>
      </w:r>
    </w:p>
    <w:p w:rsidR="00536157" w:rsidRDefault="00536157" w:rsidP="00123166">
      <w:pPr>
        <w:spacing w:after="120"/>
        <w:ind w:left="360"/>
        <w:jc w:val="both"/>
        <w:rPr>
          <w:sz w:val="24"/>
          <w:szCs w:val="24"/>
          <w:lang w:val="cs-CZ"/>
        </w:rPr>
      </w:pPr>
      <w:r w:rsidRPr="00123166">
        <w:rPr>
          <w:sz w:val="24"/>
          <w:szCs w:val="24"/>
          <w:lang w:val="cs-CZ"/>
        </w:rPr>
        <w:t>Bílá kniha terciárního vzdělávání doporučila vznik Rady pro terciární vzdělávání</w:t>
      </w:r>
      <w:r w:rsidRPr="00123166">
        <w:rPr>
          <w:b/>
          <w:i/>
          <w:sz w:val="24"/>
          <w:szCs w:val="24"/>
          <w:lang w:val="cs-CZ"/>
        </w:rPr>
        <w:t xml:space="preserve"> </w:t>
      </w:r>
      <w:r w:rsidRPr="00123166">
        <w:rPr>
          <w:sz w:val="24"/>
          <w:szCs w:val="24"/>
          <w:lang w:val="cs-CZ"/>
        </w:rPr>
        <w:t>jako i</w:t>
      </w:r>
      <w:r w:rsidRPr="00123166">
        <w:rPr>
          <w:sz w:val="24"/>
          <w:szCs w:val="24"/>
          <w:lang w:val="cs-CZ"/>
        </w:rPr>
        <w:t>n</w:t>
      </w:r>
      <w:r w:rsidRPr="00123166">
        <w:rPr>
          <w:sz w:val="24"/>
          <w:szCs w:val="24"/>
          <w:lang w:val="cs-CZ"/>
        </w:rPr>
        <w:t xml:space="preserve">stituce, která by </w:t>
      </w:r>
      <w:r w:rsidR="00123166" w:rsidRPr="00123166">
        <w:rPr>
          <w:sz w:val="24"/>
          <w:szCs w:val="24"/>
          <w:lang w:val="cs-CZ"/>
        </w:rPr>
        <w:t>částečně</w:t>
      </w:r>
      <w:r w:rsidRPr="00123166">
        <w:rPr>
          <w:sz w:val="24"/>
          <w:szCs w:val="24"/>
          <w:lang w:val="cs-CZ"/>
        </w:rPr>
        <w:t xml:space="preserve"> fungovala jako poradní sbor či strategický orgán ministerstva. S tímto doporučením se Rada neshoduje neboť RTV jako poradní orgán by v podstatě suplovala to, co je v pravomoci MŠMT a zbavovala by tak ministerstvo zodpovědnosti.</w:t>
      </w:r>
    </w:p>
    <w:p w:rsidR="00123166" w:rsidRPr="009F148B" w:rsidRDefault="00123166" w:rsidP="009F148B">
      <w:pPr>
        <w:pStyle w:val="Heading4"/>
        <w:numPr>
          <w:ilvl w:val="1"/>
          <w:numId w:val="8"/>
        </w:numPr>
        <w:rPr>
          <w:sz w:val="24"/>
          <w:szCs w:val="24"/>
          <w:lang w:val="cs-CZ"/>
        </w:rPr>
      </w:pPr>
      <w:r w:rsidRPr="009F148B">
        <w:rPr>
          <w:sz w:val="24"/>
          <w:szCs w:val="24"/>
          <w:lang w:val="cs-CZ"/>
        </w:rPr>
        <w:t xml:space="preserve">Otevřenost univerzit. </w:t>
      </w:r>
    </w:p>
    <w:p w:rsidR="00123166" w:rsidRPr="009F148B" w:rsidRDefault="00123166" w:rsidP="009F148B">
      <w:pPr>
        <w:spacing w:after="120"/>
        <w:ind w:left="360"/>
        <w:jc w:val="both"/>
        <w:rPr>
          <w:sz w:val="24"/>
          <w:szCs w:val="24"/>
          <w:lang w:val="cs-CZ"/>
        </w:rPr>
      </w:pPr>
      <w:r w:rsidRPr="009F148B">
        <w:rPr>
          <w:sz w:val="24"/>
          <w:szCs w:val="24"/>
          <w:lang w:val="cs-CZ"/>
        </w:rPr>
        <w:t xml:space="preserve">Rada se shoduje s názory OECD v oblasti otevřenosti univerzit k okolnímu světu. V ČR obecně panuje obava z politických a komerčních zájmů na univerzitách. Experti OECD doporučují se inspirovat rakouským vysokoškolským zákonem, který vhodně balancuje počet a roli externích členů řídících </w:t>
      </w:r>
      <w:r w:rsidR="009F148B" w:rsidRPr="009F148B">
        <w:rPr>
          <w:sz w:val="24"/>
          <w:szCs w:val="24"/>
          <w:lang w:val="cs-CZ"/>
        </w:rPr>
        <w:t>orgánů</w:t>
      </w:r>
      <w:r w:rsidRPr="009F148B">
        <w:rPr>
          <w:sz w:val="24"/>
          <w:szCs w:val="24"/>
          <w:lang w:val="cs-CZ"/>
        </w:rPr>
        <w:t xml:space="preserve"> s </w:t>
      </w:r>
      <w:r w:rsidR="009F148B" w:rsidRPr="009F148B">
        <w:rPr>
          <w:sz w:val="24"/>
          <w:szCs w:val="24"/>
          <w:lang w:val="cs-CZ"/>
        </w:rPr>
        <w:t>respektováním akademické samosprávy</w:t>
      </w:r>
      <w:r w:rsidRPr="009F148B">
        <w:rPr>
          <w:sz w:val="24"/>
          <w:szCs w:val="24"/>
          <w:lang w:val="cs-CZ"/>
        </w:rPr>
        <w:t>. S tímto doporučením Rada souhlasí a současně konstatuje, že je třeba posílit vazbu na zaměstnavatele.</w:t>
      </w:r>
    </w:p>
    <w:p w:rsidR="000E25AE" w:rsidRDefault="000E25AE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Akademický senát</w:t>
      </w:r>
    </w:p>
    <w:p w:rsidR="00145664" w:rsidRDefault="00F0696B" w:rsidP="00852FB8">
      <w:pPr>
        <w:ind w:left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Rada se shodla na nutnosti </w:t>
      </w:r>
      <w:r w:rsidR="00123166">
        <w:rPr>
          <w:rFonts w:ascii="Times New Roman" w:hAnsi="Times New Roman" w:cs="Times New Roman"/>
          <w:sz w:val="24"/>
          <w:szCs w:val="24"/>
          <w:lang w:val="cs-CZ"/>
        </w:rPr>
        <w:t>zvýšit</w:t>
      </w:r>
      <w:r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 reprezentativnost akademických senátů. </w:t>
      </w:r>
      <w:r w:rsidR="00FE2162" w:rsidRPr="000E25AE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>oučasný m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>del může v podmínkách škol zvýhodňovat váhu méně kvalifikovaných pedagogů a st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>dent</w:t>
      </w:r>
      <w:r w:rsidR="00FE2162" w:rsidRPr="000E25AE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 na úkor vysoce kvalifikovaných. Vysoký podíl studentů </w:t>
      </w:r>
      <w:r w:rsidR="000E25AE" w:rsidRPr="000E25AE">
        <w:rPr>
          <w:rFonts w:ascii="Times New Roman" w:hAnsi="Times New Roman" w:cs="Times New Roman"/>
          <w:sz w:val="24"/>
          <w:szCs w:val="24"/>
          <w:lang w:val="cs-CZ"/>
        </w:rPr>
        <w:t>také</w:t>
      </w:r>
      <w:r w:rsidR="00FE55C8"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>neodpovídá zájmu student</w:t>
      </w:r>
      <w:r w:rsidR="00E21F43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0976E4"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 o volbu do těchto orgánů, který je mnohdy tak dramaticky nízký, že umožňuje manipulaci či nedůstojné zastoupení.</w:t>
      </w:r>
      <w:r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2162"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Složení senátu, jeho velikost a způsob volby členů jsou </w:t>
      </w:r>
      <w:r w:rsidR="00FE55C8" w:rsidRPr="000E25AE">
        <w:rPr>
          <w:rFonts w:ascii="Times New Roman" w:hAnsi="Times New Roman" w:cs="Times New Roman"/>
          <w:sz w:val="24"/>
          <w:szCs w:val="24"/>
          <w:lang w:val="cs-CZ"/>
        </w:rPr>
        <w:t xml:space="preserve">dnes </w:t>
      </w:r>
      <w:r w:rsidR="00FE2162" w:rsidRPr="000E25AE">
        <w:rPr>
          <w:rFonts w:ascii="Times New Roman" w:hAnsi="Times New Roman" w:cs="Times New Roman"/>
          <w:sz w:val="24"/>
          <w:szCs w:val="24"/>
          <w:lang w:val="cs-CZ"/>
        </w:rPr>
        <w:t>stanoveny vnitřními předpisy školy a mnohdy se mezi školami či fakultami dramaticky liší.</w:t>
      </w:r>
    </w:p>
    <w:p w:rsidR="00EA1C04" w:rsidRPr="00EA1C04" w:rsidRDefault="00F0696B" w:rsidP="00852FB8">
      <w:pPr>
        <w:ind w:left="426"/>
        <w:jc w:val="both"/>
        <w:rPr>
          <w:highlight w:val="yellow"/>
          <w:lang w:val="cs-CZ"/>
        </w:rPr>
      </w:pPr>
      <w:r w:rsidRPr="00EA1C04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Rada 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se domnívá, že akademický senát, jako </w:t>
      </w:r>
      <w:r w:rsidR="000E25AE" w:rsidRPr="00EA1C04">
        <w:rPr>
          <w:rFonts w:ascii="Times New Roman" w:hAnsi="Times New Roman" w:cs="Times New Roman"/>
          <w:sz w:val="24"/>
          <w:szCs w:val="24"/>
          <w:lang w:val="cs-CZ"/>
        </w:rPr>
        <w:t>zastupitelský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 org</w:t>
      </w:r>
      <w:r w:rsidR="00D97B72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>n školy, by měl být p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>měrně malý</w:t>
      </w:r>
      <w:r w:rsidR="00B73983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 (16</w:t>
      </w:r>
      <w:r w:rsidR="003A0213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 až 2</w:t>
      </w:r>
      <w:r w:rsidR="00B73983" w:rsidRPr="00EA1C04">
        <w:rPr>
          <w:rFonts w:ascii="Times New Roman" w:hAnsi="Times New Roman" w:cs="Times New Roman"/>
          <w:sz w:val="24"/>
          <w:szCs w:val="24"/>
          <w:lang w:val="cs-CZ"/>
        </w:rPr>
        <w:t>8</w:t>
      </w:r>
      <w:r w:rsidR="003A0213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 členů)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 s vysokou míru akceschopnosti a osobní odpovědnosti. P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>lovina členů by měli být zástupci profesorů, čtvrtina ostatní členové pedagogického sb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E55C8" w:rsidRPr="00EA1C04">
        <w:rPr>
          <w:rFonts w:ascii="Times New Roman" w:hAnsi="Times New Roman" w:cs="Times New Roman"/>
          <w:sz w:val="24"/>
          <w:szCs w:val="24"/>
          <w:lang w:val="cs-CZ"/>
        </w:rPr>
        <w:t xml:space="preserve">ru a čtvrtina zástupci studentů. </w:t>
      </w:r>
      <w:r w:rsidR="00EA1C04" w:rsidRPr="00EA1C04">
        <w:rPr>
          <w:sz w:val="24"/>
          <w:szCs w:val="24"/>
          <w:lang w:val="cs-CZ"/>
        </w:rPr>
        <w:t xml:space="preserve">Velikost </w:t>
      </w:r>
      <w:r w:rsidR="00EA1C04">
        <w:rPr>
          <w:sz w:val="24"/>
          <w:szCs w:val="24"/>
          <w:lang w:val="cs-CZ"/>
        </w:rPr>
        <w:t>senátu</w:t>
      </w:r>
      <w:r w:rsidR="00EA1C04" w:rsidRPr="00EA1C04">
        <w:rPr>
          <w:sz w:val="24"/>
          <w:szCs w:val="24"/>
          <w:lang w:val="cs-CZ"/>
        </w:rPr>
        <w:t xml:space="preserve"> a je</w:t>
      </w:r>
      <w:r w:rsidR="00EA1C04">
        <w:rPr>
          <w:sz w:val="24"/>
          <w:szCs w:val="24"/>
          <w:lang w:val="cs-CZ"/>
        </w:rPr>
        <w:t>ho</w:t>
      </w:r>
      <w:r w:rsidR="00EA1C04" w:rsidRPr="00EA1C04">
        <w:rPr>
          <w:sz w:val="24"/>
          <w:szCs w:val="24"/>
          <w:lang w:val="cs-CZ"/>
        </w:rPr>
        <w:t xml:space="preserve"> slož</w:t>
      </w:r>
      <w:r w:rsidR="00EA1C04">
        <w:rPr>
          <w:sz w:val="24"/>
          <w:szCs w:val="24"/>
          <w:lang w:val="cs-CZ"/>
        </w:rPr>
        <w:t xml:space="preserve">ení </w:t>
      </w:r>
      <w:r w:rsidR="001E53D3">
        <w:rPr>
          <w:sz w:val="24"/>
          <w:szCs w:val="24"/>
          <w:lang w:val="cs-CZ"/>
        </w:rPr>
        <w:t xml:space="preserve">a způsob volby </w:t>
      </w:r>
      <w:r w:rsidR="00EA1C04">
        <w:rPr>
          <w:sz w:val="24"/>
          <w:szCs w:val="24"/>
          <w:lang w:val="cs-CZ"/>
        </w:rPr>
        <w:t>by měly být stanoveny zákonem.</w:t>
      </w:r>
    </w:p>
    <w:p w:rsidR="000E25AE" w:rsidRDefault="000E25AE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Správní rada</w:t>
      </w:r>
    </w:p>
    <w:p w:rsidR="001F0F7E" w:rsidRDefault="00A86D12" w:rsidP="00172D29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Rada doporučuje </w:t>
      </w:r>
      <w:r w:rsidR="006028B1">
        <w:rPr>
          <w:sz w:val="24"/>
          <w:szCs w:val="24"/>
          <w:lang w:val="cs-CZ"/>
        </w:rPr>
        <w:t>vytvoření správní rady jako strategického a zásadního orgánu VVŠ s menším počtem členů (5</w:t>
      </w:r>
      <w:r w:rsidR="001E53D3">
        <w:rPr>
          <w:sz w:val="24"/>
          <w:szCs w:val="24"/>
          <w:lang w:val="cs-CZ"/>
        </w:rPr>
        <w:t>, 7 či</w:t>
      </w:r>
      <w:r w:rsidR="006028B1">
        <w:rPr>
          <w:sz w:val="24"/>
          <w:szCs w:val="24"/>
          <w:lang w:val="cs-CZ"/>
        </w:rPr>
        <w:t>  9)</w:t>
      </w:r>
      <w:r w:rsidR="00145664">
        <w:rPr>
          <w:sz w:val="24"/>
          <w:szCs w:val="24"/>
          <w:lang w:val="cs-CZ"/>
        </w:rPr>
        <w:t>.</w:t>
      </w:r>
      <w:r w:rsidR="006028B1" w:rsidRPr="00145664">
        <w:rPr>
          <w:rFonts w:cstheme="minorHAnsi"/>
          <w:sz w:val="24"/>
          <w:szCs w:val="24"/>
          <w:lang w:val="cs-CZ"/>
        </w:rPr>
        <w:t xml:space="preserve"> </w:t>
      </w:r>
      <w:r w:rsidR="009F148B" w:rsidRPr="009F148B">
        <w:rPr>
          <w:sz w:val="24"/>
          <w:szCs w:val="24"/>
          <w:lang w:val="cs-CZ"/>
        </w:rPr>
        <w:t>Rada se shoduje s názory OECD v oblasti otevřenosti uni</w:t>
      </w:r>
      <w:r w:rsidR="009F148B">
        <w:rPr>
          <w:sz w:val="24"/>
          <w:szCs w:val="24"/>
          <w:lang w:val="cs-CZ"/>
        </w:rPr>
        <w:t>verzit k okolnímu světu a</w:t>
      </w:r>
      <w:r w:rsidR="006028B1" w:rsidRPr="00145664">
        <w:rPr>
          <w:rFonts w:cstheme="minorHAnsi"/>
          <w:sz w:val="24"/>
          <w:szCs w:val="24"/>
          <w:lang w:val="cs-CZ"/>
        </w:rPr>
        <w:t xml:space="preserve"> </w:t>
      </w:r>
      <w:r w:rsidR="003A0213" w:rsidRPr="00145664">
        <w:rPr>
          <w:rFonts w:cstheme="minorHAnsi"/>
          <w:sz w:val="24"/>
          <w:szCs w:val="24"/>
          <w:lang w:val="cs-CZ"/>
        </w:rPr>
        <w:t>doporučuje</w:t>
      </w:r>
      <w:r w:rsidR="003A0213">
        <w:rPr>
          <w:rFonts w:cstheme="minorHAnsi"/>
          <w:sz w:val="24"/>
          <w:szCs w:val="24"/>
          <w:lang w:val="cs-CZ"/>
        </w:rPr>
        <w:t>, aby</w:t>
      </w:r>
      <w:r w:rsidR="001F0F7E">
        <w:rPr>
          <w:rFonts w:cstheme="minorHAnsi"/>
          <w:sz w:val="24"/>
          <w:szCs w:val="24"/>
          <w:lang w:val="cs-CZ"/>
        </w:rPr>
        <w:t xml:space="preserve"> </w:t>
      </w:r>
      <w:r w:rsidR="006028B1" w:rsidRPr="00145664">
        <w:rPr>
          <w:rFonts w:cstheme="minorHAnsi"/>
          <w:sz w:val="24"/>
          <w:szCs w:val="24"/>
          <w:lang w:val="cs-CZ"/>
        </w:rPr>
        <w:t>polovin</w:t>
      </w:r>
      <w:r w:rsidR="001F0F7E">
        <w:rPr>
          <w:rFonts w:cstheme="minorHAnsi"/>
          <w:sz w:val="24"/>
          <w:szCs w:val="24"/>
          <w:lang w:val="cs-CZ"/>
        </w:rPr>
        <w:t>a</w:t>
      </w:r>
      <w:r w:rsidR="006028B1" w:rsidRPr="00145664">
        <w:rPr>
          <w:rFonts w:cstheme="minorHAnsi"/>
          <w:sz w:val="24"/>
          <w:szCs w:val="24"/>
          <w:lang w:val="cs-CZ"/>
        </w:rPr>
        <w:t xml:space="preserve"> členů </w:t>
      </w:r>
      <w:r w:rsidR="00145664" w:rsidRPr="00145664">
        <w:rPr>
          <w:rFonts w:cstheme="minorHAnsi"/>
          <w:sz w:val="24"/>
          <w:szCs w:val="24"/>
          <w:lang w:val="cs-CZ"/>
        </w:rPr>
        <w:t xml:space="preserve">(interní) </w:t>
      </w:r>
      <w:r w:rsidR="001F0F7E">
        <w:rPr>
          <w:rFonts w:cstheme="minorHAnsi"/>
          <w:sz w:val="24"/>
          <w:szCs w:val="24"/>
          <w:lang w:val="cs-CZ"/>
        </w:rPr>
        <w:t xml:space="preserve">byla zvolena </w:t>
      </w:r>
      <w:r w:rsidR="006028B1" w:rsidRPr="00145664">
        <w:rPr>
          <w:rFonts w:cstheme="minorHAnsi"/>
          <w:sz w:val="24"/>
          <w:szCs w:val="24"/>
          <w:lang w:val="cs-CZ"/>
        </w:rPr>
        <w:t>ak</w:t>
      </w:r>
      <w:r w:rsidR="006028B1" w:rsidRPr="00145664">
        <w:rPr>
          <w:rFonts w:cstheme="minorHAnsi"/>
          <w:sz w:val="24"/>
          <w:szCs w:val="24"/>
          <w:lang w:val="cs-CZ"/>
        </w:rPr>
        <w:t>a</w:t>
      </w:r>
      <w:r w:rsidR="006028B1" w:rsidRPr="00145664">
        <w:rPr>
          <w:rFonts w:cstheme="minorHAnsi"/>
          <w:sz w:val="24"/>
          <w:szCs w:val="24"/>
          <w:lang w:val="cs-CZ"/>
        </w:rPr>
        <w:t>demickým senátem a polovin</w:t>
      </w:r>
      <w:r w:rsidR="001F0F7E">
        <w:rPr>
          <w:rFonts w:cstheme="minorHAnsi"/>
          <w:sz w:val="24"/>
          <w:szCs w:val="24"/>
          <w:lang w:val="cs-CZ"/>
        </w:rPr>
        <w:t>a</w:t>
      </w:r>
      <w:r w:rsidR="006028B1" w:rsidRPr="00145664">
        <w:rPr>
          <w:rFonts w:cstheme="minorHAnsi"/>
          <w:sz w:val="24"/>
          <w:szCs w:val="24"/>
          <w:lang w:val="cs-CZ"/>
        </w:rPr>
        <w:t xml:space="preserve"> </w:t>
      </w:r>
      <w:r w:rsidR="00145664" w:rsidRPr="00145664">
        <w:rPr>
          <w:rFonts w:cstheme="minorHAnsi"/>
          <w:sz w:val="24"/>
          <w:szCs w:val="24"/>
          <w:lang w:val="cs-CZ"/>
        </w:rPr>
        <w:t xml:space="preserve">(externí členové) </w:t>
      </w:r>
      <w:r w:rsidR="006028B1" w:rsidRPr="00145664">
        <w:rPr>
          <w:rFonts w:cstheme="minorHAnsi"/>
          <w:sz w:val="24"/>
          <w:szCs w:val="24"/>
          <w:lang w:val="cs-CZ"/>
        </w:rPr>
        <w:t>jmenov</w:t>
      </w:r>
      <w:r w:rsidR="001F0F7E">
        <w:rPr>
          <w:rFonts w:cstheme="minorHAnsi"/>
          <w:sz w:val="24"/>
          <w:szCs w:val="24"/>
          <w:lang w:val="cs-CZ"/>
        </w:rPr>
        <w:t>ána</w:t>
      </w:r>
      <w:r w:rsidR="006028B1" w:rsidRPr="00145664">
        <w:rPr>
          <w:rFonts w:cstheme="minorHAnsi"/>
          <w:sz w:val="24"/>
          <w:szCs w:val="24"/>
          <w:lang w:val="cs-CZ"/>
        </w:rPr>
        <w:t xml:space="preserve"> ministerstvem </w:t>
      </w:r>
      <w:r w:rsidR="001E53D3">
        <w:rPr>
          <w:rFonts w:cstheme="minorHAnsi"/>
          <w:sz w:val="24"/>
          <w:szCs w:val="24"/>
          <w:lang w:val="cs-CZ"/>
        </w:rPr>
        <w:t xml:space="preserve">(obvykle na doporučení rektora), kteří společně zvolí dalšího člena. </w:t>
      </w:r>
      <w:r w:rsidR="006028B1" w:rsidRPr="00145664">
        <w:rPr>
          <w:rFonts w:cstheme="minorHAnsi"/>
          <w:sz w:val="24"/>
          <w:szCs w:val="24"/>
          <w:lang w:val="cs-CZ"/>
        </w:rPr>
        <w:t xml:space="preserve">Externí členové </w:t>
      </w:r>
      <w:r w:rsidR="00145664" w:rsidRPr="00145664">
        <w:rPr>
          <w:rFonts w:cstheme="minorHAnsi"/>
          <w:sz w:val="24"/>
          <w:szCs w:val="24"/>
          <w:lang w:val="cs-CZ"/>
        </w:rPr>
        <w:t xml:space="preserve">musí být </w:t>
      </w:r>
      <w:r w:rsidR="001F0F7E">
        <w:rPr>
          <w:rFonts w:cstheme="minorHAnsi"/>
          <w:sz w:val="24"/>
          <w:szCs w:val="24"/>
          <w:lang w:val="cs-CZ"/>
        </w:rPr>
        <w:t xml:space="preserve">lidé, které </w:t>
      </w:r>
      <w:r w:rsidR="003A0213">
        <w:rPr>
          <w:rFonts w:cstheme="minorHAnsi"/>
          <w:sz w:val="24"/>
          <w:szCs w:val="24"/>
          <w:lang w:val="cs-CZ"/>
        </w:rPr>
        <w:t>jsou anebo byli</w:t>
      </w:r>
      <w:r w:rsidR="00145664" w:rsidRPr="00145664">
        <w:rPr>
          <w:rFonts w:cstheme="minorHAnsi"/>
          <w:sz w:val="24"/>
          <w:szCs w:val="24"/>
          <w:lang w:val="cs-CZ"/>
        </w:rPr>
        <w:t xml:space="preserve"> osobami činnými v odpovědných pozicích ve společnosti, před</w:t>
      </w:r>
      <w:r w:rsidR="00145664" w:rsidRPr="00145664">
        <w:rPr>
          <w:rFonts w:cstheme="minorHAnsi"/>
          <w:sz w:val="24"/>
          <w:szCs w:val="24"/>
          <w:lang w:val="cs-CZ"/>
        </w:rPr>
        <w:t>e</w:t>
      </w:r>
      <w:r w:rsidR="00145664" w:rsidRPr="00145664">
        <w:rPr>
          <w:rFonts w:cstheme="minorHAnsi"/>
          <w:sz w:val="24"/>
          <w:szCs w:val="24"/>
          <w:lang w:val="cs-CZ"/>
        </w:rPr>
        <w:t xml:space="preserve">vším ve vědě, kultuře nebo hospodářské sféře, a mohou na základě svých vynikajících znalostí a zkušeností přispět k dosažení cílů a úkolů univerzity. </w:t>
      </w:r>
    </w:p>
    <w:p w:rsidR="001F0F7E" w:rsidRDefault="001F0F7E" w:rsidP="00852FB8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cs-CZ"/>
        </w:rPr>
      </w:pPr>
    </w:p>
    <w:p w:rsidR="00C074A8" w:rsidRPr="00145664" w:rsidRDefault="009F148B" w:rsidP="00172D29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Rada si je vědoma toho, že v</w:t>
      </w:r>
      <w:r w:rsidRPr="009F148B">
        <w:rPr>
          <w:sz w:val="24"/>
          <w:szCs w:val="24"/>
          <w:lang w:val="cs-CZ"/>
        </w:rPr>
        <w:t> ČR obecně panuje obava z politických a komerčních zájmů na univerzitách</w:t>
      </w:r>
      <w:r>
        <w:rPr>
          <w:rFonts w:cstheme="minorHAnsi"/>
          <w:sz w:val="24"/>
          <w:szCs w:val="24"/>
          <w:lang w:val="cs-CZ"/>
        </w:rPr>
        <w:t>. Proto k</w:t>
      </w:r>
      <w:r w:rsidR="00145664">
        <w:rPr>
          <w:rFonts w:cstheme="minorHAnsi"/>
          <w:sz w:val="24"/>
          <w:szCs w:val="24"/>
          <w:lang w:val="cs-CZ"/>
        </w:rPr>
        <w:t xml:space="preserve"> vyloučení nežádoucích politických vlivů </w:t>
      </w:r>
      <w:r>
        <w:rPr>
          <w:rFonts w:cstheme="minorHAnsi"/>
          <w:sz w:val="24"/>
          <w:szCs w:val="24"/>
          <w:lang w:val="cs-CZ"/>
        </w:rPr>
        <w:t>doporučuje, aby</w:t>
      </w:r>
      <w:r w:rsidR="00D82D88">
        <w:rPr>
          <w:rFonts w:cstheme="minorHAnsi"/>
          <w:sz w:val="24"/>
          <w:szCs w:val="24"/>
          <w:lang w:val="cs-CZ"/>
        </w:rPr>
        <w:t xml:space="preserve"> </w:t>
      </w:r>
      <w:r w:rsidR="001F0F7E">
        <w:rPr>
          <w:rFonts w:cstheme="minorHAnsi"/>
          <w:sz w:val="24"/>
          <w:szCs w:val="24"/>
          <w:lang w:val="cs-CZ"/>
        </w:rPr>
        <w:t>č</w:t>
      </w:r>
      <w:r w:rsidR="001F0F7E" w:rsidRPr="00145664">
        <w:rPr>
          <w:rFonts w:cstheme="minorHAnsi"/>
          <w:sz w:val="24"/>
          <w:szCs w:val="24"/>
          <w:lang w:val="cs-CZ"/>
        </w:rPr>
        <w:t xml:space="preserve">leny </w:t>
      </w:r>
      <w:r w:rsidR="00172D29">
        <w:rPr>
          <w:rFonts w:cstheme="minorHAnsi"/>
          <w:sz w:val="24"/>
          <w:szCs w:val="24"/>
          <w:lang w:val="cs-CZ"/>
        </w:rPr>
        <w:t xml:space="preserve">správní </w:t>
      </w:r>
      <w:r w:rsidR="001F0F7E" w:rsidRPr="00145664">
        <w:rPr>
          <w:rFonts w:cstheme="minorHAnsi"/>
          <w:sz w:val="24"/>
          <w:szCs w:val="24"/>
          <w:lang w:val="cs-CZ"/>
        </w:rPr>
        <w:t xml:space="preserve">rady </w:t>
      </w:r>
      <w:r>
        <w:rPr>
          <w:rFonts w:cstheme="minorHAnsi"/>
          <w:sz w:val="24"/>
          <w:szCs w:val="24"/>
          <w:lang w:val="cs-CZ"/>
        </w:rPr>
        <w:t xml:space="preserve">nemohli </w:t>
      </w:r>
      <w:r w:rsidR="00991111">
        <w:rPr>
          <w:rFonts w:cstheme="minorHAnsi"/>
          <w:sz w:val="24"/>
          <w:szCs w:val="24"/>
          <w:lang w:val="cs-CZ"/>
        </w:rPr>
        <w:t>být</w:t>
      </w:r>
      <w:r>
        <w:rPr>
          <w:rFonts w:cstheme="minorHAnsi"/>
          <w:sz w:val="24"/>
          <w:szCs w:val="24"/>
          <w:lang w:val="cs-CZ"/>
        </w:rPr>
        <w:t xml:space="preserve"> </w:t>
      </w:r>
      <w:r w:rsidR="00145664" w:rsidRPr="00145664">
        <w:rPr>
          <w:rFonts w:cstheme="minorHAnsi"/>
          <w:sz w:val="24"/>
          <w:szCs w:val="24"/>
          <w:lang w:val="cs-CZ"/>
        </w:rPr>
        <w:t xml:space="preserve">členové vlády, </w:t>
      </w:r>
      <w:r w:rsidR="00145664">
        <w:rPr>
          <w:rFonts w:cstheme="minorHAnsi"/>
          <w:sz w:val="24"/>
          <w:szCs w:val="24"/>
          <w:lang w:val="cs-CZ"/>
        </w:rPr>
        <w:t xml:space="preserve">poslanci a senátoři parlamentu, volení činitelé místní samosprávy </w:t>
      </w:r>
      <w:r w:rsidR="00145664" w:rsidRPr="00145664">
        <w:rPr>
          <w:rFonts w:cstheme="minorHAnsi"/>
          <w:sz w:val="24"/>
          <w:szCs w:val="24"/>
          <w:lang w:val="cs-CZ"/>
        </w:rPr>
        <w:t xml:space="preserve">nebo jiného obecného zastupitelského sboru, funkcionáři politické strany </w:t>
      </w:r>
      <w:r w:rsidR="001F0F7E">
        <w:rPr>
          <w:rFonts w:cstheme="minorHAnsi"/>
          <w:sz w:val="24"/>
          <w:szCs w:val="24"/>
          <w:lang w:val="cs-CZ"/>
        </w:rPr>
        <w:t xml:space="preserve">a </w:t>
      </w:r>
      <w:r w:rsidR="00145664" w:rsidRPr="00145664">
        <w:rPr>
          <w:rFonts w:cstheme="minorHAnsi"/>
          <w:sz w:val="24"/>
          <w:szCs w:val="24"/>
          <w:lang w:val="cs-CZ"/>
        </w:rPr>
        <w:t>ani osoby, jež nějakou z těchto funkcí vykonávaly v posledních čtyřech letech.</w:t>
      </w:r>
    </w:p>
    <w:p w:rsidR="003A0213" w:rsidRDefault="003A0213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Rektor</w:t>
      </w:r>
    </w:p>
    <w:p w:rsidR="00D82D88" w:rsidRDefault="003A0213" w:rsidP="00852FB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4"/>
          <w:szCs w:val="24"/>
          <w:lang w:val="cs-CZ"/>
        </w:rPr>
      </w:pPr>
      <w:r w:rsidRPr="00D4269E">
        <w:rPr>
          <w:sz w:val="24"/>
          <w:szCs w:val="24"/>
          <w:lang w:val="cs-CZ"/>
        </w:rPr>
        <w:t>R</w:t>
      </w:r>
      <w:r w:rsidR="006058EA">
        <w:rPr>
          <w:sz w:val="24"/>
          <w:szCs w:val="24"/>
          <w:lang w:val="cs-CZ"/>
        </w:rPr>
        <w:t>ada vidí pozici r</w:t>
      </w:r>
      <w:r w:rsidR="006058EA" w:rsidRPr="00D4269E">
        <w:rPr>
          <w:sz w:val="24"/>
          <w:szCs w:val="24"/>
          <w:lang w:val="cs-CZ"/>
        </w:rPr>
        <w:t>ektor</w:t>
      </w:r>
      <w:r w:rsidR="006058EA">
        <w:rPr>
          <w:sz w:val="24"/>
          <w:szCs w:val="24"/>
          <w:lang w:val="cs-CZ"/>
        </w:rPr>
        <w:t xml:space="preserve">a </w:t>
      </w:r>
      <w:r w:rsidR="006058EA" w:rsidRPr="00D4269E">
        <w:rPr>
          <w:sz w:val="24"/>
          <w:szCs w:val="24"/>
          <w:lang w:val="cs-CZ"/>
        </w:rPr>
        <w:t>jako</w:t>
      </w:r>
      <w:r w:rsidRPr="00D4269E">
        <w:rPr>
          <w:sz w:val="24"/>
          <w:szCs w:val="24"/>
          <w:lang w:val="cs-CZ"/>
        </w:rPr>
        <w:t xml:space="preserve"> CEO vysoké školy</w:t>
      </w:r>
      <w:r w:rsidR="006058EA">
        <w:rPr>
          <w:sz w:val="24"/>
          <w:szCs w:val="24"/>
          <w:lang w:val="cs-CZ"/>
        </w:rPr>
        <w:t>, který současně</w:t>
      </w:r>
      <w:r w:rsidRPr="00D4269E">
        <w:rPr>
          <w:sz w:val="24"/>
          <w:szCs w:val="24"/>
          <w:lang w:val="cs-CZ"/>
        </w:rPr>
        <w:t xml:space="preserve"> plní odbornou a man</w:t>
      </w:r>
      <w:r w:rsidRPr="00D4269E">
        <w:rPr>
          <w:sz w:val="24"/>
          <w:szCs w:val="24"/>
          <w:lang w:val="cs-CZ"/>
        </w:rPr>
        <w:t>a</w:t>
      </w:r>
      <w:r w:rsidRPr="00D4269E">
        <w:rPr>
          <w:sz w:val="24"/>
          <w:szCs w:val="24"/>
          <w:lang w:val="cs-CZ"/>
        </w:rPr>
        <w:t xml:space="preserve">žerskou funkci. </w:t>
      </w:r>
      <w:r w:rsidR="000858CD" w:rsidRPr="00D4269E">
        <w:rPr>
          <w:rFonts w:cstheme="minorHAnsi"/>
          <w:sz w:val="24"/>
          <w:szCs w:val="24"/>
          <w:lang w:val="cs-CZ"/>
        </w:rPr>
        <w:t xml:space="preserve">Rektor by měla být osoba s mezinárodními zkušenostmi a </w:t>
      </w:r>
      <w:r w:rsidR="000858CD">
        <w:rPr>
          <w:rFonts w:cstheme="minorHAnsi"/>
          <w:sz w:val="24"/>
          <w:szCs w:val="24"/>
          <w:lang w:val="cs-CZ"/>
        </w:rPr>
        <w:t xml:space="preserve">s </w:t>
      </w:r>
      <w:r w:rsidR="000858CD" w:rsidRPr="00D4269E">
        <w:rPr>
          <w:rFonts w:cstheme="minorHAnsi"/>
          <w:sz w:val="24"/>
          <w:szCs w:val="24"/>
          <w:lang w:val="cs-CZ"/>
        </w:rPr>
        <w:t>organiza</w:t>
      </w:r>
      <w:r w:rsidR="000858CD" w:rsidRPr="00D4269E">
        <w:rPr>
          <w:rFonts w:cstheme="minorHAnsi"/>
          <w:sz w:val="24"/>
          <w:szCs w:val="24"/>
          <w:lang w:val="cs-CZ"/>
        </w:rPr>
        <w:t>č</w:t>
      </w:r>
      <w:r w:rsidR="000858CD" w:rsidRPr="00D4269E">
        <w:rPr>
          <w:rFonts w:cstheme="minorHAnsi"/>
          <w:sz w:val="24"/>
          <w:szCs w:val="24"/>
          <w:lang w:val="cs-CZ"/>
        </w:rPr>
        <w:t>ními a ekonomickými schopnostmi vést univerzitu</w:t>
      </w:r>
      <w:r w:rsidR="000858CD">
        <w:rPr>
          <w:rFonts w:cstheme="minorHAnsi"/>
          <w:sz w:val="24"/>
          <w:szCs w:val="24"/>
          <w:lang w:val="cs-CZ"/>
        </w:rPr>
        <w:t xml:space="preserve">. </w:t>
      </w:r>
      <w:r w:rsidR="00D4269E" w:rsidRPr="00D4269E">
        <w:rPr>
          <w:sz w:val="24"/>
          <w:szCs w:val="24"/>
          <w:lang w:val="cs-CZ"/>
        </w:rPr>
        <w:t xml:space="preserve">Rada doporučuje, aby rektor byl </w:t>
      </w:r>
      <w:r w:rsidR="001E53D3">
        <w:rPr>
          <w:sz w:val="24"/>
          <w:szCs w:val="24"/>
          <w:lang w:val="cs-CZ"/>
        </w:rPr>
        <w:t>z</w:t>
      </w:r>
      <w:r w:rsidR="00D4269E" w:rsidRPr="00D4269E">
        <w:rPr>
          <w:sz w:val="24"/>
          <w:szCs w:val="24"/>
          <w:lang w:val="cs-CZ"/>
        </w:rPr>
        <w:t>v</w:t>
      </w:r>
      <w:r w:rsidR="00D4269E" w:rsidRPr="00D4269E">
        <w:rPr>
          <w:sz w:val="24"/>
          <w:szCs w:val="24"/>
          <w:lang w:val="cs-CZ"/>
        </w:rPr>
        <w:t>o</w:t>
      </w:r>
      <w:r w:rsidR="00D4269E" w:rsidRPr="00D4269E">
        <w:rPr>
          <w:sz w:val="24"/>
          <w:szCs w:val="24"/>
          <w:lang w:val="cs-CZ"/>
        </w:rPr>
        <w:t xml:space="preserve">len a </w:t>
      </w:r>
      <w:r w:rsidR="00D4269E" w:rsidRPr="00D4269E">
        <w:rPr>
          <w:rFonts w:cstheme="minorHAnsi"/>
          <w:sz w:val="24"/>
          <w:szCs w:val="24"/>
          <w:lang w:val="cs-CZ"/>
        </w:rPr>
        <w:t xml:space="preserve">jmenován správní radou ze tří jmen vybraných akademickým senátem na základě veřejného </w:t>
      </w:r>
      <w:r w:rsidR="000858CD">
        <w:rPr>
          <w:rFonts w:cstheme="minorHAnsi"/>
          <w:sz w:val="24"/>
          <w:szCs w:val="24"/>
          <w:lang w:val="cs-CZ"/>
        </w:rPr>
        <w:t xml:space="preserve">- nejlépe mezinárodního - </w:t>
      </w:r>
      <w:r w:rsidR="00D4269E" w:rsidRPr="00D4269E">
        <w:rPr>
          <w:rFonts w:cstheme="minorHAnsi"/>
          <w:sz w:val="24"/>
          <w:szCs w:val="24"/>
          <w:lang w:val="cs-CZ"/>
        </w:rPr>
        <w:t xml:space="preserve">konkurzu. </w:t>
      </w:r>
    </w:p>
    <w:p w:rsidR="006058EA" w:rsidRDefault="006058EA" w:rsidP="006058EA">
      <w:pPr>
        <w:pStyle w:val="Heading4"/>
        <w:numPr>
          <w:ilvl w:val="1"/>
          <w:numId w:val="8"/>
        </w:numPr>
        <w:rPr>
          <w:lang w:val="cs-CZ"/>
        </w:rPr>
      </w:pPr>
      <w:r>
        <w:rPr>
          <w:lang w:val="cs-CZ"/>
        </w:rPr>
        <w:t>Děkani a ředitelé ústavů</w:t>
      </w:r>
    </w:p>
    <w:p w:rsidR="00966523" w:rsidRPr="00966523" w:rsidRDefault="00966523" w:rsidP="00852FB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4"/>
          <w:szCs w:val="24"/>
          <w:lang w:val="cs-CZ"/>
        </w:rPr>
      </w:pPr>
      <w:r w:rsidRPr="00966523">
        <w:rPr>
          <w:sz w:val="24"/>
          <w:szCs w:val="24"/>
          <w:lang w:val="cs-CZ"/>
        </w:rPr>
        <w:t xml:space="preserve">Rada kladně ohodnotila model řízení, kdy rektor vybírá a jmenuje děkany a vedoucí </w:t>
      </w:r>
      <w:r w:rsidR="000858CD">
        <w:rPr>
          <w:sz w:val="24"/>
          <w:szCs w:val="24"/>
          <w:lang w:val="cs-CZ"/>
        </w:rPr>
        <w:t>ústavů</w:t>
      </w:r>
      <w:r w:rsidRPr="00966523">
        <w:rPr>
          <w:sz w:val="24"/>
          <w:szCs w:val="24"/>
          <w:lang w:val="cs-CZ"/>
        </w:rPr>
        <w:t xml:space="preserve">/fakult (na základě </w:t>
      </w:r>
      <w:r w:rsidR="001E53D3">
        <w:rPr>
          <w:sz w:val="24"/>
          <w:szCs w:val="24"/>
          <w:lang w:val="cs-CZ"/>
        </w:rPr>
        <w:t xml:space="preserve">trojího </w:t>
      </w:r>
      <w:r w:rsidRPr="00966523">
        <w:rPr>
          <w:sz w:val="24"/>
          <w:szCs w:val="24"/>
          <w:lang w:val="cs-CZ"/>
        </w:rPr>
        <w:t>doporučení z </w:t>
      </w:r>
      <w:r w:rsidR="000858CD">
        <w:rPr>
          <w:sz w:val="24"/>
          <w:szCs w:val="24"/>
          <w:lang w:val="cs-CZ"/>
        </w:rPr>
        <w:t>ústavů</w:t>
      </w:r>
      <w:r w:rsidRPr="00966523">
        <w:rPr>
          <w:sz w:val="24"/>
          <w:szCs w:val="24"/>
          <w:lang w:val="cs-CZ"/>
        </w:rPr>
        <w:t xml:space="preserve"> či fakult) a konstatovala, že pr</w:t>
      </w:r>
      <w:r w:rsidRPr="00966523">
        <w:rPr>
          <w:sz w:val="24"/>
          <w:szCs w:val="24"/>
          <w:lang w:val="cs-CZ"/>
        </w:rPr>
        <w:t>o</w:t>
      </w:r>
      <w:r w:rsidRPr="00966523">
        <w:rPr>
          <w:sz w:val="24"/>
          <w:szCs w:val="24"/>
          <w:lang w:val="cs-CZ"/>
        </w:rPr>
        <w:t>blémem českého systému je relativně velká samostatnost děkanů a fakult na příklad v pracovně právních vztazích, zatímco rozpočet a právní o</w:t>
      </w:r>
      <w:r w:rsidR="000858CD">
        <w:rPr>
          <w:sz w:val="24"/>
          <w:szCs w:val="24"/>
          <w:lang w:val="cs-CZ"/>
        </w:rPr>
        <w:t>dpovědnost za jeho dodržení padají</w:t>
      </w:r>
      <w:r w:rsidRPr="00966523">
        <w:rPr>
          <w:sz w:val="24"/>
          <w:szCs w:val="24"/>
          <w:lang w:val="cs-CZ"/>
        </w:rPr>
        <w:t xml:space="preserve"> na univerzitu.</w:t>
      </w:r>
    </w:p>
    <w:p w:rsidR="00D82D88" w:rsidRDefault="00D82D88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Profesorské řízení</w:t>
      </w:r>
    </w:p>
    <w:p w:rsidR="000858CD" w:rsidRDefault="00D82D88" w:rsidP="00852FB8">
      <w:pPr>
        <w:ind w:left="426"/>
        <w:jc w:val="both"/>
        <w:rPr>
          <w:sz w:val="24"/>
          <w:szCs w:val="24"/>
          <w:lang w:val="cs-CZ"/>
        </w:rPr>
      </w:pPr>
      <w:r w:rsidRPr="00EA1C04">
        <w:rPr>
          <w:sz w:val="24"/>
          <w:szCs w:val="24"/>
          <w:lang w:val="cs-CZ"/>
        </w:rPr>
        <w:t xml:space="preserve">Rada se domnívá, že profesor má být spojen s určitou </w:t>
      </w:r>
      <w:r w:rsidR="00E21F43">
        <w:rPr>
          <w:sz w:val="24"/>
          <w:szCs w:val="24"/>
          <w:lang w:val="cs-CZ"/>
        </w:rPr>
        <w:t>–</w:t>
      </w:r>
      <w:r w:rsidRPr="00EA1C04">
        <w:rPr>
          <w:sz w:val="24"/>
          <w:szCs w:val="24"/>
          <w:lang w:val="cs-CZ"/>
        </w:rPr>
        <w:t xml:space="preserve"> mateřskou </w:t>
      </w:r>
      <w:r w:rsidR="00EA1C04">
        <w:rPr>
          <w:sz w:val="24"/>
          <w:szCs w:val="24"/>
          <w:lang w:val="cs-CZ"/>
        </w:rPr>
        <w:t>–</w:t>
      </w:r>
      <w:r w:rsidRPr="00EA1C04">
        <w:rPr>
          <w:sz w:val="24"/>
          <w:szCs w:val="24"/>
          <w:lang w:val="cs-CZ"/>
        </w:rPr>
        <w:t xml:space="preserve"> </w:t>
      </w:r>
      <w:r w:rsidR="00EA1C04">
        <w:rPr>
          <w:sz w:val="24"/>
          <w:szCs w:val="24"/>
          <w:lang w:val="cs-CZ"/>
        </w:rPr>
        <w:t>vysokou školou</w:t>
      </w:r>
      <w:r w:rsidRPr="00EA1C04">
        <w:rPr>
          <w:sz w:val="24"/>
          <w:szCs w:val="24"/>
          <w:lang w:val="cs-CZ"/>
        </w:rPr>
        <w:t xml:space="preserve"> a může být chápán i jako funkční pozice. Proces jmenování profesorem by se měl zjedn</w:t>
      </w:r>
      <w:r w:rsidRPr="00EA1C04">
        <w:rPr>
          <w:sz w:val="24"/>
          <w:szCs w:val="24"/>
          <w:lang w:val="cs-CZ"/>
        </w:rPr>
        <w:t>o</w:t>
      </w:r>
      <w:r w:rsidRPr="00EA1C04">
        <w:rPr>
          <w:sz w:val="24"/>
          <w:szCs w:val="24"/>
          <w:lang w:val="cs-CZ"/>
        </w:rPr>
        <w:t>dušit a zaměřit na excelenci v mezinárodním měřítku místo formálního vyčíslování p</w:t>
      </w:r>
      <w:r w:rsidRPr="00EA1C04">
        <w:rPr>
          <w:sz w:val="24"/>
          <w:szCs w:val="24"/>
          <w:lang w:val="cs-CZ"/>
        </w:rPr>
        <w:t>a</w:t>
      </w:r>
      <w:r w:rsidRPr="00EA1C04">
        <w:rPr>
          <w:sz w:val="24"/>
          <w:szCs w:val="24"/>
          <w:lang w:val="cs-CZ"/>
        </w:rPr>
        <w:t xml:space="preserve">rametrů. </w:t>
      </w:r>
    </w:p>
    <w:p w:rsidR="00D82D88" w:rsidRDefault="00D82D88" w:rsidP="00852FB8">
      <w:pPr>
        <w:ind w:left="426"/>
        <w:jc w:val="both"/>
        <w:rPr>
          <w:sz w:val="24"/>
          <w:szCs w:val="24"/>
          <w:lang w:val="cs-CZ"/>
        </w:rPr>
      </w:pPr>
      <w:r w:rsidRPr="00EA1C04">
        <w:rPr>
          <w:sz w:val="24"/>
          <w:szCs w:val="24"/>
          <w:lang w:val="cs-CZ"/>
        </w:rPr>
        <w:t xml:space="preserve">Jmenování </w:t>
      </w:r>
      <w:r w:rsidR="00987FBA">
        <w:rPr>
          <w:sz w:val="24"/>
          <w:szCs w:val="24"/>
          <w:lang w:val="cs-CZ"/>
        </w:rPr>
        <w:t>prezident</w:t>
      </w:r>
      <w:r w:rsidRPr="00EA1C04">
        <w:rPr>
          <w:sz w:val="24"/>
          <w:szCs w:val="24"/>
          <w:lang w:val="cs-CZ"/>
        </w:rPr>
        <w:t xml:space="preserve">em dnes ztratilo funkci, kterou mělo před 100 </w:t>
      </w:r>
      <w:r w:rsidR="00EA1C04" w:rsidRPr="00EA1C04">
        <w:rPr>
          <w:sz w:val="24"/>
          <w:szCs w:val="24"/>
          <w:lang w:val="cs-CZ"/>
        </w:rPr>
        <w:t xml:space="preserve">lety, a </w:t>
      </w:r>
      <w:r w:rsidR="00B26EB0">
        <w:rPr>
          <w:sz w:val="24"/>
          <w:szCs w:val="24"/>
          <w:lang w:val="cs-CZ"/>
        </w:rPr>
        <w:t>není důvod, aby to nemohl</w:t>
      </w:r>
      <w:r w:rsidR="00EA1C04" w:rsidRPr="00EA1C04">
        <w:rPr>
          <w:sz w:val="24"/>
          <w:szCs w:val="24"/>
          <w:lang w:val="cs-CZ"/>
        </w:rPr>
        <w:t xml:space="preserve"> učinit rektor.</w:t>
      </w:r>
      <w:r w:rsidR="00231FDD">
        <w:rPr>
          <w:sz w:val="24"/>
          <w:szCs w:val="24"/>
          <w:lang w:val="cs-CZ"/>
        </w:rPr>
        <w:t xml:space="preserve"> Na základě zkušeností ze zahraničních univerzit, kde tento systém jmenování </w:t>
      </w:r>
      <w:r w:rsidR="00231FDD" w:rsidRPr="00B733D3">
        <w:rPr>
          <w:sz w:val="24"/>
          <w:szCs w:val="24"/>
          <w:lang w:val="cs-CZ"/>
        </w:rPr>
        <w:t xml:space="preserve">profesorů je běžný, Rada nepovažuje za </w:t>
      </w:r>
      <w:r w:rsidR="00B733D3" w:rsidRPr="00B733D3">
        <w:rPr>
          <w:sz w:val="24"/>
          <w:szCs w:val="24"/>
          <w:lang w:val="cs-CZ"/>
        </w:rPr>
        <w:t>opodstatněné</w:t>
      </w:r>
      <w:r w:rsidR="00231FDD" w:rsidRPr="00B733D3">
        <w:rPr>
          <w:sz w:val="24"/>
          <w:szCs w:val="24"/>
          <w:lang w:val="cs-CZ"/>
        </w:rPr>
        <w:t xml:space="preserve"> obavy</w:t>
      </w:r>
      <w:r w:rsidR="00B733D3" w:rsidRPr="00B733D3">
        <w:rPr>
          <w:sz w:val="24"/>
          <w:szCs w:val="24"/>
          <w:lang w:val="cs-CZ"/>
        </w:rPr>
        <w:t xml:space="preserve">, že by tento systém mohl vest k ‚inflaci‘ profesorských titulů. Kvalita škol a jejich profesorů se </w:t>
      </w:r>
      <w:r w:rsidR="00B733D3" w:rsidRPr="00B733D3">
        <w:rPr>
          <w:sz w:val="24"/>
          <w:szCs w:val="24"/>
          <w:lang w:val="cs-CZ"/>
        </w:rPr>
        <w:lastRenderedPageBreak/>
        <w:t>udržuj</w:t>
      </w:r>
      <w:r w:rsidR="009248E4">
        <w:rPr>
          <w:sz w:val="24"/>
          <w:szCs w:val="24"/>
          <w:lang w:val="cs-CZ"/>
        </w:rPr>
        <w:t>e</w:t>
      </w:r>
      <w:r w:rsidR="00B733D3" w:rsidRPr="00B733D3">
        <w:rPr>
          <w:sz w:val="24"/>
          <w:szCs w:val="24"/>
          <w:lang w:val="cs-CZ"/>
        </w:rPr>
        <w:t xml:space="preserve"> </w:t>
      </w:r>
      <w:r w:rsidR="00E21F43">
        <w:rPr>
          <w:sz w:val="24"/>
          <w:szCs w:val="24"/>
          <w:lang w:val="cs-CZ"/>
        </w:rPr>
        <w:t>přirozeným způsobem, kdy univerz</w:t>
      </w:r>
      <w:r w:rsidR="00B733D3" w:rsidRPr="00B733D3">
        <w:rPr>
          <w:sz w:val="24"/>
          <w:szCs w:val="24"/>
          <w:lang w:val="cs-CZ"/>
        </w:rPr>
        <w:t>ity jsou hodnoceny zvenku a svým způsobem si navzájem konkurují.</w:t>
      </w:r>
    </w:p>
    <w:p w:rsidR="009248E4" w:rsidRDefault="00D36AC7" w:rsidP="00213B1B">
      <w:pPr>
        <w:pStyle w:val="Heading3"/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Různá jiná doporučení</w:t>
      </w:r>
    </w:p>
    <w:p w:rsidR="009248E4" w:rsidRPr="00CD51B6" w:rsidRDefault="009248E4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 w:rsidRPr="00CD51B6">
        <w:rPr>
          <w:lang w:val="cs-CZ"/>
        </w:rPr>
        <w:t>Finanční pomoc studentům</w:t>
      </w:r>
    </w:p>
    <w:p w:rsidR="00CD51B6" w:rsidRDefault="00CD51B6" w:rsidP="00852FB8">
      <w:pPr>
        <w:ind w:left="426"/>
        <w:jc w:val="both"/>
        <w:rPr>
          <w:sz w:val="24"/>
          <w:szCs w:val="24"/>
          <w:lang w:val="cs-CZ"/>
        </w:rPr>
      </w:pPr>
      <w:r w:rsidRPr="00CD51B6">
        <w:rPr>
          <w:sz w:val="24"/>
          <w:szCs w:val="24"/>
          <w:lang w:val="cs-CZ"/>
        </w:rPr>
        <w:t xml:space="preserve">Rada pozitivně ohodnotila </w:t>
      </w:r>
      <w:r w:rsidR="00D97B72" w:rsidRPr="000858CD">
        <w:rPr>
          <w:sz w:val="24"/>
          <w:szCs w:val="24"/>
          <w:lang w:val="cs-CZ"/>
        </w:rPr>
        <w:t>plán</w:t>
      </w:r>
      <w:r w:rsidRPr="000858CD">
        <w:rPr>
          <w:sz w:val="24"/>
          <w:szCs w:val="24"/>
          <w:lang w:val="cs-CZ"/>
        </w:rPr>
        <w:t xml:space="preserve"> finanční pomoci studentům, zejména založení systému spoření pro vzdělávání a možnost podnikových stipendií, která odbourávají bariéry mezi školou a zaměstnavateli. </w:t>
      </w:r>
      <w:r w:rsidR="000858CD" w:rsidRPr="000858CD">
        <w:rPr>
          <w:sz w:val="24"/>
          <w:szCs w:val="24"/>
          <w:lang w:val="cs-CZ"/>
        </w:rPr>
        <w:t xml:space="preserve">Odstranění věkové bariéry 26 let, </w:t>
      </w:r>
      <w:r w:rsidR="00991111">
        <w:rPr>
          <w:sz w:val="24"/>
          <w:szCs w:val="24"/>
          <w:lang w:val="cs-CZ"/>
        </w:rPr>
        <w:t>je</w:t>
      </w:r>
      <w:r w:rsidR="000858CD" w:rsidRPr="000858CD">
        <w:rPr>
          <w:sz w:val="24"/>
          <w:szCs w:val="24"/>
          <w:lang w:val="cs-CZ"/>
        </w:rPr>
        <w:t xml:space="preserve"> další kladný prvek návrhu a Rada poukázala na to, že na zvýšení věkové hranice na 35 až 42 let se již shodla na m</w:t>
      </w:r>
      <w:r w:rsidR="000858CD" w:rsidRPr="000858CD">
        <w:rPr>
          <w:sz w:val="24"/>
          <w:szCs w:val="24"/>
          <w:lang w:val="cs-CZ"/>
        </w:rPr>
        <w:t>i</w:t>
      </w:r>
      <w:r w:rsidR="000858CD" w:rsidRPr="000858CD">
        <w:rPr>
          <w:sz w:val="24"/>
          <w:szCs w:val="24"/>
          <w:lang w:val="cs-CZ"/>
        </w:rPr>
        <w:t>nulém zasedání</w:t>
      </w:r>
      <w:r w:rsidR="000858CD">
        <w:rPr>
          <w:sz w:val="24"/>
          <w:szCs w:val="24"/>
          <w:lang w:val="cs-CZ"/>
        </w:rPr>
        <w:t>.</w:t>
      </w:r>
      <w:r w:rsidR="000858CD" w:rsidRPr="000858CD">
        <w:rPr>
          <w:sz w:val="24"/>
          <w:szCs w:val="24"/>
          <w:lang w:val="cs-CZ"/>
        </w:rPr>
        <w:t xml:space="preserve"> </w:t>
      </w:r>
      <w:r w:rsidRPr="000858CD">
        <w:rPr>
          <w:sz w:val="24"/>
          <w:szCs w:val="24"/>
          <w:lang w:val="cs-CZ"/>
        </w:rPr>
        <w:t xml:space="preserve">Rada doporučila paní ministryni, aby </w:t>
      </w:r>
      <w:r w:rsidR="00D97B72" w:rsidRPr="000858CD">
        <w:rPr>
          <w:sz w:val="24"/>
          <w:szCs w:val="24"/>
          <w:lang w:val="cs-CZ"/>
        </w:rPr>
        <w:t>tento návrh</w:t>
      </w:r>
      <w:r w:rsidRPr="000858CD">
        <w:rPr>
          <w:sz w:val="24"/>
          <w:szCs w:val="24"/>
          <w:lang w:val="cs-CZ"/>
        </w:rPr>
        <w:t xml:space="preserve"> předložila vládě.</w:t>
      </w:r>
      <w:r w:rsidRPr="00CD51B6">
        <w:rPr>
          <w:sz w:val="24"/>
          <w:szCs w:val="24"/>
          <w:lang w:val="cs-CZ"/>
        </w:rPr>
        <w:t xml:space="preserve"> </w:t>
      </w:r>
    </w:p>
    <w:p w:rsidR="00536157" w:rsidRPr="006058EA" w:rsidRDefault="00536157" w:rsidP="00536157">
      <w:pPr>
        <w:pStyle w:val="Heading4"/>
        <w:numPr>
          <w:ilvl w:val="1"/>
          <w:numId w:val="8"/>
        </w:numPr>
        <w:rPr>
          <w:lang w:val="cs-CZ"/>
        </w:rPr>
      </w:pPr>
      <w:r w:rsidRPr="006058EA">
        <w:rPr>
          <w:lang w:val="cs-CZ"/>
        </w:rPr>
        <w:t xml:space="preserve">Odstranění věkové hranice 26 let. </w:t>
      </w:r>
    </w:p>
    <w:p w:rsidR="00536157" w:rsidRPr="006058EA" w:rsidRDefault="00536157" w:rsidP="00536157">
      <w:pPr>
        <w:spacing w:after="120"/>
        <w:ind w:left="360"/>
        <w:jc w:val="both"/>
        <w:rPr>
          <w:b/>
          <w:sz w:val="24"/>
          <w:szCs w:val="24"/>
          <w:lang w:val="cs-CZ"/>
        </w:rPr>
      </w:pPr>
      <w:r w:rsidRPr="006058EA">
        <w:rPr>
          <w:sz w:val="24"/>
          <w:szCs w:val="24"/>
          <w:lang w:val="cs-CZ"/>
        </w:rPr>
        <w:t xml:space="preserve">Rada nepovažuje úplné odstranění věkové hranice 26 let pro státní podporu v systému terciárního vzdělávání za nejvhodnější alternativou. </w:t>
      </w:r>
    </w:p>
    <w:p w:rsidR="00536157" w:rsidRPr="006058EA" w:rsidRDefault="00536157" w:rsidP="00536157">
      <w:pPr>
        <w:spacing w:after="120"/>
        <w:ind w:left="360"/>
        <w:jc w:val="both"/>
        <w:rPr>
          <w:sz w:val="24"/>
          <w:szCs w:val="24"/>
          <w:lang w:val="cs-CZ"/>
        </w:rPr>
      </w:pPr>
      <w:r w:rsidRPr="006058EA">
        <w:rPr>
          <w:sz w:val="24"/>
          <w:szCs w:val="24"/>
          <w:lang w:val="cs-CZ"/>
        </w:rPr>
        <w:t>Student v řádném studiu, který získá sociální výhody plynoucí ze zákona a různé produ</w:t>
      </w:r>
      <w:r w:rsidRPr="006058EA">
        <w:rPr>
          <w:sz w:val="24"/>
          <w:szCs w:val="24"/>
          <w:lang w:val="cs-CZ"/>
        </w:rPr>
        <w:t>k</w:t>
      </w:r>
      <w:r w:rsidRPr="006058EA">
        <w:rPr>
          <w:sz w:val="24"/>
          <w:szCs w:val="24"/>
          <w:lang w:val="cs-CZ"/>
        </w:rPr>
        <w:t xml:space="preserve">ty podpory, by v principu měl tuto podporu po vystudování vrátit zpět společnosti. Není důvod podporovat na příklad lidi v důchodovém věku, kteří studují spíše z osobní záliby a u kterých je rozumné předpokládat, že společnosti podporu zpět vrátit nemohou a ani ji pravděpodobně neočekávají. </w:t>
      </w:r>
    </w:p>
    <w:p w:rsidR="00536157" w:rsidRPr="006058EA" w:rsidRDefault="00536157" w:rsidP="00536157">
      <w:pPr>
        <w:spacing w:after="120"/>
        <w:ind w:left="360"/>
        <w:jc w:val="both"/>
        <w:rPr>
          <w:sz w:val="24"/>
          <w:szCs w:val="24"/>
          <w:lang w:val="cs-CZ"/>
        </w:rPr>
      </w:pPr>
      <w:r w:rsidRPr="006058EA">
        <w:rPr>
          <w:sz w:val="24"/>
          <w:szCs w:val="24"/>
          <w:lang w:val="cs-CZ"/>
        </w:rPr>
        <w:t>Cílová skupina lidí, které je třeba podpořit, jsou především osoby, které nikdy nestudov</w:t>
      </w:r>
      <w:r w:rsidRPr="006058EA">
        <w:rPr>
          <w:sz w:val="24"/>
          <w:szCs w:val="24"/>
          <w:lang w:val="cs-CZ"/>
        </w:rPr>
        <w:t>a</w:t>
      </w:r>
      <w:r w:rsidRPr="006058EA">
        <w:rPr>
          <w:sz w:val="24"/>
          <w:szCs w:val="24"/>
          <w:lang w:val="cs-CZ"/>
        </w:rPr>
        <w:t xml:space="preserve">ly, </w:t>
      </w:r>
      <w:r w:rsidR="006058EA" w:rsidRPr="006058EA">
        <w:rPr>
          <w:sz w:val="24"/>
          <w:szCs w:val="24"/>
          <w:lang w:val="cs-CZ"/>
        </w:rPr>
        <w:t>jako například</w:t>
      </w:r>
      <w:r w:rsidRPr="006058EA">
        <w:rPr>
          <w:sz w:val="24"/>
          <w:szCs w:val="24"/>
          <w:lang w:val="cs-CZ"/>
        </w:rPr>
        <w:t xml:space="preserve"> ženy, kterým odrostly děti a mají nyní čas si studiem zlepšit svoje pr</w:t>
      </w:r>
      <w:r w:rsidRPr="006058EA">
        <w:rPr>
          <w:sz w:val="24"/>
          <w:szCs w:val="24"/>
          <w:lang w:val="cs-CZ"/>
        </w:rPr>
        <w:t>a</w:t>
      </w:r>
      <w:r w:rsidRPr="006058EA">
        <w:rPr>
          <w:sz w:val="24"/>
          <w:szCs w:val="24"/>
          <w:lang w:val="cs-CZ"/>
        </w:rPr>
        <w:t xml:space="preserve">covní příležitosti, dále osoby pracující v profesích, které vyžadují zvyšování kvalifikace, či studenti studující v doktorském prezenčním programu. </w:t>
      </w:r>
    </w:p>
    <w:p w:rsidR="00536157" w:rsidRDefault="00536157" w:rsidP="00536157">
      <w:pPr>
        <w:ind w:left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Rada doporučuje zvýšit věkovou hranici pro získání výhod studenta z 26 na 35 – 42 let</w:t>
      </w:r>
      <w:r w:rsidR="00991111">
        <w:rPr>
          <w:sz w:val="24"/>
          <w:szCs w:val="24"/>
          <w:lang w:val="cs-CZ"/>
        </w:rPr>
        <w:t>.</w:t>
      </w:r>
    </w:p>
    <w:p w:rsidR="00536157" w:rsidRPr="006058EA" w:rsidRDefault="00536157" w:rsidP="00536157">
      <w:pPr>
        <w:pStyle w:val="Heading4"/>
        <w:numPr>
          <w:ilvl w:val="1"/>
          <w:numId w:val="8"/>
        </w:numPr>
        <w:rPr>
          <w:lang w:val="cs-CZ"/>
        </w:rPr>
      </w:pPr>
      <w:r w:rsidRPr="006058EA">
        <w:rPr>
          <w:lang w:val="cs-CZ"/>
        </w:rPr>
        <w:t xml:space="preserve">Financování doktorských programů. </w:t>
      </w:r>
    </w:p>
    <w:p w:rsidR="00536157" w:rsidRPr="00CD51B6" w:rsidRDefault="00536157" w:rsidP="006058EA">
      <w:pPr>
        <w:spacing w:after="120"/>
        <w:ind w:left="360"/>
        <w:jc w:val="both"/>
        <w:rPr>
          <w:sz w:val="24"/>
          <w:szCs w:val="24"/>
          <w:lang w:val="cs-CZ"/>
        </w:rPr>
      </w:pPr>
      <w:r w:rsidRPr="006058EA">
        <w:rPr>
          <w:sz w:val="24"/>
          <w:szCs w:val="24"/>
          <w:lang w:val="cs-CZ"/>
        </w:rPr>
        <w:t>Rada souhlasí s doporučením OECD, že financování doktorských programů by mělo pr</w:t>
      </w:r>
      <w:r w:rsidRPr="006058EA">
        <w:rPr>
          <w:sz w:val="24"/>
          <w:szCs w:val="24"/>
          <w:lang w:val="cs-CZ"/>
        </w:rPr>
        <w:t>o</w:t>
      </w:r>
      <w:r w:rsidRPr="006058EA">
        <w:rPr>
          <w:sz w:val="24"/>
          <w:szCs w:val="24"/>
          <w:lang w:val="cs-CZ"/>
        </w:rPr>
        <w:t>bíhat na základě předchozích výsledků ve výzkumné činnosti univerzit a současně dop</w:t>
      </w:r>
      <w:r w:rsidRPr="006058EA">
        <w:rPr>
          <w:sz w:val="24"/>
          <w:szCs w:val="24"/>
          <w:lang w:val="cs-CZ"/>
        </w:rPr>
        <w:t>o</w:t>
      </w:r>
      <w:r w:rsidRPr="006058EA">
        <w:rPr>
          <w:sz w:val="24"/>
          <w:szCs w:val="24"/>
          <w:lang w:val="cs-CZ"/>
        </w:rPr>
        <w:t xml:space="preserve">ručuje </w:t>
      </w:r>
      <w:r w:rsidR="000858CD" w:rsidRPr="006058EA">
        <w:rPr>
          <w:sz w:val="24"/>
          <w:szCs w:val="24"/>
          <w:lang w:val="cs-CZ"/>
        </w:rPr>
        <w:t>posoudit, zdali</w:t>
      </w:r>
      <w:r w:rsidRPr="006058EA">
        <w:rPr>
          <w:sz w:val="24"/>
          <w:szCs w:val="24"/>
          <w:lang w:val="cs-CZ"/>
        </w:rPr>
        <w:t xml:space="preserve"> by financování doktorandů nemohlo být vice spojeno s financováním výzkumných </w:t>
      </w:r>
      <w:r w:rsidR="006058EA" w:rsidRPr="006058EA">
        <w:rPr>
          <w:sz w:val="24"/>
          <w:szCs w:val="24"/>
          <w:lang w:val="cs-CZ"/>
        </w:rPr>
        <w:t>grantů</w:t>
      </w:r>
      <w:r w:rsidRPr="006058EA">
        <w:rPr>
          <w:sz w:val="24"/>
          <w:szCs w:val="24"/>
          <w:lang w:val="cs-CZ"/>
        </w:rPr>
        <w:t>.</w:t>
      </w:r>
    </w:p>
    <w:p w:rsidR="00D36AC7" w:rsidRDefault="00D36AC7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Školné</w:t>
      </w:r>
    </w:p>
    <w:p w:rsidR="00763A92" w:rsidRPr="00763A92" w:rsidRDefault="007D703C" w:rsidP="00852FB8">
      <w:pPr>
        <w:spacing w:after="0"/>
        <w:ind w:left="360"/>
        <w:jc w:val="both"/>
        <w:rPr>
          <w:sz w:val="24"/>
          <w:szCs w:val="24"/>
          <w:lang w:val="cs-CZ"/>
        </w:rPr>
      </w:pPr>
      <w:r w:rsidRPr="00763A92">
        <w:rPr>
          <w:sz w:val="24"/>
          <w:szCs w:val="24"/>
          <w:lang w:val="cs-CZ"/>
        </w:rPr>
        <w:t xml:space="preserve">Rada konstatovala, že </w:t>
      </w:r>
      <w:r w:rsidR="004D0A99">
        <w:rPr>
          <w:sz w:val="24"/>
          <w:szCs w:val="24"/>
          <w:lang w:val="cs-CZ"/>
        </w:rPr>
        <w:t xml:space="preserve">politické názory na zavedení školného se různí. Nicméně existuje určitá shoda v tom, že </w:t>
      </w:r>
      <w:r w:rsidRPr="00763A92">
        <w:rPr>
          <w:sz w:val="24"/>
          <w:szCs w:val="24"/>
          <w:lang w:val="cs-CZ"/>
        </w:rPr>
        <w:t>přiměřené školné může fungovat jako stimulační pohon, motivující prostředek či ohodnocení poskytované služby</w:t>
      </w:r>
      <w:r w:rsidR="004D0A99">
        <w:rPr>
          <w:sz w:val="24"/>
          <w:szCs w:val="24"/>
          <w:lang w:val="cs-CZ"/>
        </w:rPr>
        <w:t xml:space="preserve"> pokud</w:t>
      </w:r>
      <w:r w:rsidRPr="00763A92">
        <w:rPr>
          <w:sz w:val="24"/>
          <w:szCs w:val="24"/>
          <w:lang w:val="cs-CZ"/>
        </w:rPr>
        <w:t xml:space="preserve"> </w:t>
      </w:r>
      <w:r w:rsidR="004D0A99">
        <w:rPr>
          <w:sz w:val="24"/>
          <w:szCs w:val="24"/>
          <w:lang w:val="cs-CZ"/>
        </w:rPr>
        <w:t>nebude</w:t>
      </w:r>
      <w:r w:rsidRPr="00763A92">
        <w:rPr>
          <w:sz w:val="24"/>
          <w:szCs w:val="24"/>
          <w:lang w:val="cs-CZ"/>
        </w:rPr>
        <w:t xml:space="preserve"> náhradou za státní </w:t>
      </w:r>
      <w:r w:rsidR="00763A92" w:rsidRPr="00763A92">
        <w:rPr>
          <w:sz w:val="24"/>
          <w:szCs w:val="24"/>
          <w:lang w:val="cs-CZ"/>
        </w:rPr>
        <w:t>prostře</w:t>
      </w:r>
      <w:r w:rsidR="00763A92" w:rsidRPr="00763A92">
        <w:rPr>
          <w:sz w:val="24"/>
          <w:szCs w:val="24"/>
          <w:lang w:val="cs-CZ"/>
        </w:rPr>
        <w:t>d</w:t>
      </w:r>
      <w:r w:rsidR="00763A92" w:rsidRPr="00763A92">
        <w:rPr>
          <w:sz w:val="24"/>
          <w:szCs w:val="24"/>
          <w:lang w:val="cs-CZ"/>
        </w:rPr>
        <w:t xml:space="preserve">ky. </w:t>
      </w:r>
      <w:r w:rsidRPr="00763A92">
        <w:rPr>
          <w:sz w:val="24"/>
          <w:szCs w:val="24"/>
          <w:lang w:val="cs-CZ"/>
        </w:rPr>
        <w:t xml:space="preserve">Před zavedením jakékoli formy školného je nutné </w:t>
      </w:r>
      <w:r w:rsidRPr="004B449B">
        <w:rPr>
          <w:sz w:val="24"/>
          <w:szCs w:val="24"/>
          <w:lang w:val="cs-CZ"/>
        </w:rPr>
        <w:t xml:space="preserve">mít zavedený </w:t>
      </w:r>
      <w:r w:rsidR="00763A92" w:rsidRPr="004B449B">
        <w:rPr>
          <w:sz w:val="24"/>
          <w:szCs w:val="24"/>
          <w:lang w:val="cs-CZ"/>
        </w:rPr>
        <w:t xml:space="preserve">a </w:t>
      </w:r>
      <w:r w:rsidR="00D97B72" w:rsidRPr="004B449B">
        <w:rPr>
          <w:sz w:val="24"/>
          <w:szCs w:val="24"/>
          <w:lang w:val="cs-CZ"/>
        </w:rPr>
        <w:t xml:space="preserve">v praxi </w:t>
      </w:r>
      <w:r w:rsidR="00763A92" w:rsidRPr="004B449B">
        <w:rPr>
          <w:sz w:val="24"/>
          <w:szCs w:val="24"/>
          <w:lang w:val="cs-CZ"/>
        </w:rPr>
        <w:t xml:space="preserve">osvědčený </w:t>
      </w:r>
      <w:r w:rsidRPr="004B449B">
        <w:rPr>
          <w:sz w:val="24"/>
          <w:szCs w:val="24"/>
          <w:lang w:val="cs-CZ"/>
        </w:rPr>
        <w:t>systém finanční podpory studentům</w:t>
      </w:r>
      <w:r w:rsidR="00B226B6" w:rsidRPr="004B449B">
        <w:rPr>
          <w:sz w:val="24"/>
          <w:szCs w:val="24"/>
        </w:rPr>
        <w:t>;</w:t>
      </w:r>
      <w:r w:rsidRPr="004B449B">
        <w:rPr>
          <w:sz w:val="24"/>
          <w:szCs w:val="24"/>
          <w:lang w:val="cs-CZ"/>
        </w:rPr>
        <w:t xml:space="preserve"> systém půjček</w:t>
      </w:r>
      <w:r w:rsidR="00B226B6" w:rsidRPr="004B449B">
        <w:rPr>
          <w:sz w:val="24"/>
          <w:szCs w:val="24"/>
          <w:lang w:val="cs-CZ"/>
        </w:rPr>
        <w:t xml:space="preserve"> splatných až absolvent bude pobírat nadprůměrnou mzdu</w:t>
      </w:r>
      <w:r w:rsidRPr="004B449B">
        <w:rPr>
          <w:sz w:val="24"/>
          <w:szCs w:val="24"/>
          <w:lang w:val="cs-CZ"/>
        </w:rPr>
        <w:t>. Toto musí být chápáno jako</w:t>
      </w:r>
      <w:r w:rsidR="00763A92" w:rsidRPr="004B449B">
        <w:rPr>
          <w:sz w:val="24"/>
          <w:szCs w:val="24"/>
          <w:lang w:val="cs-CZ"/>
        </w:rPr>
        <w:t xml:space="preserve"> základní</w:t>
      </w:r>
      <w:r w:rsidRPr="004B449B">
        <w:rPr>
          <w:sz w:val="24"/>
          <w:szCs w:val="24"/>
          <w:lang w:val="cs-CZ"/>
        </w:rPr>
        <w:t xml:space="preserve"> </w:t>
      </w:r>
      <w:r w:rsidR="00763A92" w:rsidRPr="004B449B">
        <w:rPr>
          <w:sz w:val="24"/>
          <w:szCs w:val="24"/>
          <w:lang w:val="cs-CZ"/>
        </w:rPr>
        <w:t>podmínka k zavedení školn</w:t>
      </w:r>
      <w:r w:rsidR="00763A92" w:rsidRPr="004B449B">
        <w:rPr>
          <w:sz w:val="24"/>
          <w:szCs w:val="24"/>
          <w:lang w:val="cs-CZ"/>
        </w:rPr>
        <w:t>é</w:t>
      </w:r>
      <w:r w:rsidR="00763A92" w:rsidRPr="004B449B">
        <w:rPr>
          <w:sz w:val="24"/>
          <w:szCs w:val="24"/>
          <w:lang w:val="cs-CZ"/>
        </w:rPr>
        <w:t>ho</w:t>
      </w:r>
      <w:r w:rsidR="00B226B6" w:rsidRPr="004B449B">
        <w:rPr>
          <w:sz w:val="24"/>
          <w:szCs w:val="24"/>
          <w:lang w:val="cs-CZ"/>
        </w:rPr>
        <w:t>, které by nemělo být náhradou za veřejné prostředky</w:t>
      </w:r>
      <w:r w:rsidRPr="004B449B">
        <w:rPr>
          <w:sz w:val="24"/>
          <w:szCs w:val="24"/>
          <w:lang w:val="cs-CZ"/>
        </w:rPr>
        <w:t xml:space="preserve">. </w:t>
      </w:r>
      <w:r w:rsidR="00763A92" w:rsidRPr="004B449B">
        <w:rPr>
          <w:sz w:val="24"/>
          <w:szCs w:val="24"/>
          <w:lang w:val="cs-CZ"/>
        </w:rPr>
        <w:t>Stát by rovněž</w:t>
      </w:r>
      <w:r w:rsidR="00763A92" w:rsidRPr="00763A92">
        <w:rPr>
          <w:sz w:val="24"/>
          <w:szCs w:val="24"/>
          <w:lang w:val="cs-CZ"/>
        </w:rPr>
        <w:t xml:space="preserve"> měl umožnit </w:t>
      </w:r>
      <w:r w:rsidR="00D97B72">
        <w:rPr>
          <w:sz w:val="24"/>
          <w:szCs w:val="24"/>
          <w:lang w:val="cs-CZ"/>
        </w:rPr>
        <w:t>še</w:t>
      </w:r>
      <w:r w:rsidR="00D97B72">
        <w:rPr>
          <w:sz w:val="24"/>
          <w:szCs w:val="24"/>
          <w:lang w:val="cs-CZ"/>
        </w:rPr>
        <w:t>t</w:t>
      </w:r>
      <w:r w:rsidR="00D97B72">
        <w:rPr>
          <w:sz w:val="24"/>
          <w:szCs w:val="24"/>
          <w:lang w:val="cs-CZ"/>
        </w:rPr>
        <w:t xml:space="preserve">ření </w:t>
      </w:r>
      <w:r w:rsidR="00763A92" w:rsidRPr="00763A92">
        <w:rPr>
          <w:sz w:val="24"/>
          <w:szCs w:val="24"/>
          <w:lang w:val="cs-CZ"/>
        </w:rPr>
        <w:t>na vzdělání a garantovat půjčky za studenty ze sociálně slabých rodin, handicapov</w:t>
      </w:r>
      <w:r w:rsidR="00763A92" w:rsidRPr="00763A92">
        <w:rPr>
          <w:sz w:val="24"/>
          <w:szCs w:val="24"/>
          <w:lang w:val="cs-CZ"/>
        </w:rPr>
        <w:t>a</w:t>
      </w:r>
      <w:r w:rsidR="00763A92" w:rsidRPr="00763A92">
        <w:rPr>
          <w:sz w:val="24"/>
          <w:szCs w:val="24"/>
          <w:lang w:val="cs-CZ"/>
        </w:rPr>
        <w:t>né studenty apod.</w:t>
      </w:r>
      <w:r w:rsidR="00272208">
        <w:rPr>
          <w:sz w:val="24"/>
          <w:szCs w:val="24"/>
          <w:lang w:val="cs-CZ"/>
        </w:rPr>
        <w:t xml:space="preserve"> V</w:t>
      </w:r>
      <w:r w:rsidR="00272208" w:rsidRPr="00763A92">
        <w:rPr>
          <w:sz w:val="24"/>
          <w:szCs w:val="24"/>
          <w:lang w:val="cs-CZ"/>
        </w:rPr>
        <w:t xml:space="preserve">zorem by mohl </w:t>
      </w:r>
      <w:r w:rsidR="00272208">
        <w:rPr>
          <w:sz w:val="24"/>
          <w:szCs w:val="24"/>
          <w:lang w:val="cs-CZ"/>
        </w:rPr>
        <w:t>na</w:t>
      </w:r>
      <w:r w:rsidR="00272208" w:rsidRPr="00763A92">
        <w:rPr>
          <w:sz w:val="24"/>
          <w:szCs w:val="24"/>
          <w:lang w:val="cs-CZ"/>
        </w:rPr>
        <w:t>příklad být existující systém stavebního spoření</w:t>
      </w:r>
      <w:r w:rsidR="00272208">
        <w:rPr>
          <w:sz w:val="24"/>
          <w:szCs w:val="24"/>
          <w:lang w:val="cs-CZ"/>
        </w:rPr>
        <w:t>, na jehož principech by b</w:t>
      </w:r>
      <w:r w:rsidR="00272208" w:rsidRPr="00763A92">
        <w:rPr>
          <w:sz w:val="24"/>
          <w:szCs w:val="24"/>
          <w:lang w:val="cs-CZ"/>
        </w:rPr>
        <w:t xml:space="preserve">ylo </w:t>
      </w:r>
      <w:r w:rsidR="00272208">
        <w:rPr>
          <w:sz w:val="24"/>
          <w:szCs w:val="24"/>
          <w:lang w:val="cs-CZ"/>
        </w:rPr>
        <w:t>vhodné</w:t>
      </w:r>
      <w:r w:rsidR="00272208" w:rsidRPr="00763A92">
        <w:rPr>
          <w:sz w:val="24"/>
          <w:szCs w:val="24"/>
          <w:lang w:val="cs-CZ"/>
        </w:rPr>
        <w:t xml:space="preserve"> vytvořit systém spoření na vzdělání.</w:t>
      </w:r>
    </w:p>
    <w:p w:rsidR="007D703C" w:rsidRPr="00763A92" w:rsidRDefault="007D703C" w:rsidP="00852FB8">
      <w:pPr>
        <w:spacing w:after="0"/>
        <w:jc w:val="both"/>
        <w:rPr>
          <w:sz w:val="24"/>
          <w:szCs w:val="24"/>
          <w:lang w:val="cs-CZ"/>
        </w:rPr>
      </w:pPr>
    </w:p>
    <w:p w:rsidR="00763A92" w:rsidRPr="00763A92" w:rsidRDefault="00272208" w:rsidP="00852FB8">
      <w:pPr>
        <w:spacing w:after="0"/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Rada se domnívá, že p</w:t>
      </w:r>
      <w:r w:rsidR="007D703C" w:rsidRPr="00763A92">
        <w:rPr>
          <w:sz w:val="24"/>
          <w:szCs w:val="24"/>
          <w:lang w:val="cs-CZ"/>
        </w:rPr>
        <w:t>říliš sofistikované systémy vybírání školného</w:t>
      </w:r>
      <w:r w:rsidR="00763A92" w:rsidRPr="00763A92">
        <w:rPr>
          <w:sz w:val="24"/>
          <w:szCs w:val="24"/>
          <w:lang w:val="cs-CZ"/>
        </w:rPr>
        <w:t xml:space="preserve"> (jako například odl</w:t>
      </w:r>
      <w:r w:rsidR="00763A92" w:rsidRPr="00763A92">
        <w:rPr>
          <w:sz w:val="24"/>
          <w:szCs w:val="24"/>
          <w:lang w:val="cs-CZ"/>
        </w:rPr>
        <w:t>o</w:t>
      </w:r>
      <w:r w:rsidR="00763A92" w:rsidRPr="00763A92">
        <w:rPr>
          <w:sz w:val="24"/>
          <w:szCs w:val="24"/>
          <w:lang w:val="cs-CZ"/>
        </w:rPr>
        <w:t>žené školné, které obdrží vysoká škola až několik let po té co student školu opustil) spíše</w:t>
      </w:r>
      <w:r w:rsidR="007D703C" w:rsidRPr="00763A92">
        <w:rPr>
          <w:sz w:val="24"/>
          <w:szCs w:val="24"/>
          <w:lang w:val="cs-CZ"/>
        </w:rPr>
        <w:t xml:space="preserve"> odrazují</w:t>
      </w:r>
      <w:r w:rsidR="00763A92" w:rsidRPr="00763A92">
        <w:rPr>
          <w:sz w:val="24"/>
          <w:szCs w:val="24"/>
          <w:lang w:val="cs-CZ"/>
        </w:rPr>
        <w:t xml:space="preserve"> a nebudou</w:t>
      </w:r>
      <w:r w:rsidR="007D703C" w:rsidRPr="00763A92">
        <w:rPr>
          <w:sz w:val="24"/>
          <w:szCs w:val="24"/>
          <w:lang w:val="cs-CZ"/>
        </w:rPr>
        <w:t xml:space="preserve"> </w:t>
      </w:r>
      <w:r w:rsidR="00763A92" w:rsidRPr="00763A92">
        <w:rPr>
          <w:sz w:val="24"/>
          <w:szCs w:val="24"/>
          <w:lang w:val="cs-CZ"/>
        </w:rPr>
        <w:t>motivační pro vysoké školy</w:t>
      </w:r>
      <w:r>
        <w:rPr>
          <w:sz w:val="24"/>
          <w:szCs w:val="24"/>
          <w:lang w:val="cs-CZ"/>
        </w:rPr>
        <w:t>.</w:t>
      </w:r>
      <w:r w:rsidR="00763A92" w:rsidRPr="00763A92">
        <w:rPr>
          <w:sz w:val="24"/>
          <w:szCs w:val="24"/>
          <w:lang w:val="cs-CZ"/>
        </w:rPr>
        <w:t xml:space="preserve"> </w:t>
      </w:r>
      <w:r w:rsidRPr="00763A92">
        <w:rPr>
          <w:sz w:val="24"/>
          <w:szCs w:val="24"/>
          <w:lang w:val="cs-CZ"/>
        </w:rPr>
        <w:t>V praxi nejlépe fungují jednoduché a srozumitelné systémy</w:t>
      </w:r>
      <w:r>
        <w:rPr>
          <w:sz w:val="24"/>
          <w:szCs w:val="24"/>
          <w:lang w:val="cs-CZ"/>
        </w:rPr>
        <w:t>.</w:t>
      </w:r>
    </w:p>
    <w:p w:rsidR="00D36AC7" w:rsidRDefault="00D36AC7" w:rsidP="00213B1B">
      <w:pPr>
        <w:pStyle w:val="Heading4"/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Pozice soukromých vysokých škol</w:t>
      </w:r>
    </w:p>
    <w:p w:rsidR="00D52DFF" w:rsidRPr="00D52DFF" w:rsidRDefault="00D52DFF" w:rsidP="00D52DFF">
      <w:pPr>
        <w:spacing w:after="120"/>
        <w:ind w:left="360"/>
        <w:jc w:val="both"/>
        <w:rPr>
          <w:sz w:val="24"/>
          <w:szCs w:val="24"/>
          <w:lang w:val="cs-CZ"/>
        </w:rPr>
      </w:pPr>
      <w:r w:rsidRPr="00D52DFF">
        <w:rPr>
          <w:sz w:val="24"/>
          <w:szCs w:val="24"/>
          <w:lang w:val="cs-CZ"/>
        </w:rPr>
        <w:t>Rada nesouhlasí s doporučením, aby soukromé vysoké školy dostávaly podporu z veřejných zdrojů jako veřejné vysoké školy. Rada konstatuje, že kombinace veřejných a soukromých prostředků není optimální stav a je těžké si představit, že by soukromé vys</w:t>
      </w:r>
      <w:r w:rsidRPr="00D52DFF">
        <w:rPr>
          <w:sz w:val="24"/>
          <w:szCs w:val="24"/>
          <w:lang w:val="cs-CZ"/>
        </w:rPr>
        <w:t>o</w:t>
      </w:r>
      <w:r w:rsidRPr="00D52DFF">
        <w:rPr>
          <w:sz w:val="24"/>
          <w:szCs w:val="24"/>
          <w:lang w:val="cs-CZ"/>
        </w:rPr>
        <w:t>ké školy jako podnikající subjekty byly schopné splnit stejné podmínky, jaké na veřejné školy klade stát.</w:t>
      </w:r>
    </w:p>
    <w:p w:rsidR="00763A92" w:rsidRPr="004B4E9B" w:rsidRDefault="004B4E9B" w:rsidP="00852FB8">
      <w:pPr>
        <w:spacing w:after="120"/>
        <w:ind w:left="426"/>
        <w:jc w:val="both"/>
        <w:rPr>
          <w:sz w:val="24"/>
          <w:szCs w:val="24"/>
          <w:lang w:val="cs-CZ"/>
        </w:rPr>
      </w:pPr>
      <w:r w:rsidRPr="004B4E9B">
        <w:rPr>
          <w:sz w:val="24"/>
          <w:szCs w:val="24"/>
          <w:lang w:val="cs-CZ"/>
        </w:rPr>
        <w:t xml:space="preserve">Rada </w:t>
      </w:r>
      <w:r w:rsidR="00763A92" w:rsidRPr="004B4E9B">
        <w:rPr>
          <w:sz w:val="24"/>
          <w:szCs w:val="24"/>
          <w:lang w:val="cs-CZ"/>
        </w:rPr>
        <w:t>považ</w:t>
      </w:r>
      <w:r w:rsidRPr="004B4E9B">
        <w:rPr>
          <w:sz w:val="24"/>
          <w:szCs w:val="24"/>
          <w:lang w:val="cs-CZ"/>
        </w:rPr>
        <w:t>uje</w:t>
      </w:r>
      <w:r w:rsidR="00763A92" w:rsidRPr="004B4E9B">
        <w:rPr>
          <w:sz w:val="24"/>
          <w:szCs w:val="24"/>
          <w:lang w:val="cs-CZ"/>
        </w:rPr>
        <w:t xml:space="preserve"> za </w:t>
      </w:r>
      <w:r w:rsidRPr="004B4E9B">
        <w:rPr>
          <w:sz w:val="24"/>
          <w:szCs w:val="24"/>
          <w:lang w:val="cs-CZ"/>
        </w:rPr>
        <w:t xml:space="preserve">určitou </w:t>
      </w:r>
      <w:r w:rsidR="00763A92" w:rsidRPr="004B4E9B">
        <w:rPr>
          <w:sz w:val="24"/>
          <w:szCs w:val="24"/>
          <w:lang w:val="cs-CZ"/>
        </w:rPr>
        <w:t>anomálii</w:t>
      </w:r>
      <w:r w:rsidRPr="004B4E9B">
        <w:rPr>
          <w:sz w:val="24"/>
          <w:szCs w:val="24"/>
          <w:lang w:val="cs-CZ"/>
        </w:rPr>
        <w:t xml:space="preserve"> to, že se </w:t>
      </w:r>
      <w:r>
        <w:rPr>
          <w:sz w:val="24"/>
          <w:szCs w:val="24"/>
          <w:lang w:val="cs-CZ"/>
        </w:rPr>
        <w:t>na soukromé vysoké školy</w:t>
      </w:r>
      <w:r w:rsidRPr="004B4E9B">
        <w:rPr>
          <w:sz w:val="24"/>
          <w:szCs w:val="24"/>
          <w:lang w:val="cs-CZ"/>
        </w:rPr>
        <w:t xml:space="preserve"> nevztahují části </w:t>
      </w:r>
      <w:r>
        <w:rPr>
          <w:sz w:val="24"/>
          <w:szCs w:val="24"/>
          <w:lang w:val="cs-CZ"/>
        </w:rPr>
        <w:t xml:space="preserve">vysokoškolského </w:t>
      </w:r>
      <w:r w:rsidRPr="004B4E9B">
        <w:rPr>
          <w:sz w:val="24"/>
          <w:szCs w:val="24"/>
          <w:lang w:val="cs-CZ"/>
        </w:rPr>
        <w:t xml:space="preserve">zákona o </w:t>
      </w:r>
      <w:r>
        <w:rPr>
          <w:sz w:val="24"/>
          <w:szCs w:val="24"/>
          <w:lang w:val="cs-CZ"/>
        </w:rPr>
        <w:t>akademické samosprávě</w:t>
      </w:r>
      <w:r w:rsidRPr="004B4E9B">
        <w:rPr>
          <w:sz w:val="24"/>
          <w:szCs w:val="24"/>
          <w:lang w:val="cs-CZ"/>
        </w:rPr>
        <w:t xml:space="preserve"> stanovující </w:t>
      </w:r>
      <w:r w:rsidR="00231FDD" w:rsidRPr="004B4E9B">
        <w:rPr>
          <w:sz w:val="24"/>
          <w:szCs w:val="24"/>
          <w:lang w:val="cs-CZ"/>
        </w:rPr>
        <w:t xml:space="preserve">například </w:t>
      </w:r>
      <w:r w:rsidRPr="004B4E9B">
        <w:rPr>
          <w:sz w:val="24"/>
          <w:szCs w:val="24"/>
          <w:lang w:val="cs-CZ"/>
        </w:rPr>
        <w:t>po</w:t>
      </w:r>
      <w:r w:rsidR="00D52DFF">
        <w:rPr>
          <w:sz w:val="24"/>
          <w:szCs w:val="24"/>
          <w:lang w:val="cs-CZ"/>
        </w:rPr>
        <w:t>vinnost mít akademický senát</w:t>
      </w:r>
      <w:r w:rsidRPr="004B4E9B">
        <w:rPr>
          <w:sz w:val="24"/>
          <w:szCs w:val="24"/>
          <w:lang w:val="cs-CZ"/>
        </w:rPr>
        <w:t>. N</w:t>
      </w:r>
      <w:r w:rsidR="00763A92" w:rsidRPr="004B4E9B">
        <w:rPr>
          <w:sz w:val="24"/>
          <w:szCs w:val="24"/>
          <w:lang w:val="cs-CZ"/>
        </w:rPr>
        <w:t xml:space="preserve">icméně Rada vidí problém v celém systému soukromých vysokých škol, </w:t>
      </w:r>
      <w:r w:rsidRPr="004B4E9B">
        <w:rPr>
          <w:sz w:val="24"/>
          <w:szCs w:val="24"/>
          <w:lang w:val="cs-CZ"/>
        </w:rPr>
        <w:t xml:space="preserve">kterých je neúměrně mnoho a </w:t>
      </w:r>
      <w:r w:rsidR="00763A92" w:rsidRPr="004B4E9B">
        <w:rPr>
          <w:sz w:val="24"/>
          <w:szCs w:val="24"/>
          <w:lang w:val="cs-CZ"/>
        </w:rPr>
        <w:t xml:space="preserve">na které se často hlásí studenti, kteří se nedostali na veřejné vysoké školy a </w:t>
      </w:r>
      <w:r w:rsidRPr="004B4E9B">
        <w:rPr>
          <w:sz w:val="24"/>
          <w:szCs w:val="24"/>
          <w:lang w:val="cs-CZ"/>
        </w:rPr>
        <w:t>ani</w:t>
      </w:r>
      <w:r w:rsidR="00763A92" w:rsidRPr="004B4E9B">
        <w:rPr>
          <w:sz w:val="24"/>
          <w:szCs w:val="24"/>
          <w:lang w:val="cs-CZ"/>
        </w:rPr>
        <w:t xml:space="preserve"> nestudují obor, který si původně přáli studovat</w:t>
      </w:r>
      <w:r w:rsidRPr="004B4E9B">
        <w:rPr>
          <w:sz w:val="24"/>
          <w:szCs w:val="24"/>
          <w:lang w:val="cs-CZ"/>
        </w:rPr>
        <w:t xml:space="preserve">. </w:t>
      </w:r>
      <w:r w:rsidR="00763A92" w:rsidRPr="004B4E9B">
        <w:rPr>
          <w:sz w:val="24"/>
          <w:szCs w:val="24"/>
          <w:lang w:val="cs-CZ"/>
        </w:rPr>
        <w:t xml:space="preserve">Na druhé straně Rada </w:t>
      </w:r>
      <w:r w:rsidRPr="004B4E9B">
        <w:rPr>
          <w:sz w:val="24"/>
          <w:szCs w:val="24"/>
          <w:lang w:val="cs-CZ"/>
        </w:rPr>
        <w:t>si je vědoma toho</w:t>
      </w:r>
      <w:r w:rsidR="00763A92" w:rsidRPr="004B4E9B">
        <w:rPr>
          <w:sz w:val="24"/>
          <w:szCs w:val="24"/>
          <w:lang w:val="cs-CZ"/>
        </w:rPr>
        <w:t xml:space="preserve">, že existuje řada </w:t>
      </w:r>
      <w:r w:rsidRPr="004B4E9B">
        <w:rPr>
          <w:sz w:val="24"/>
          <w:szCs w:val="24"/>
          <w:lang w:val="cs-CZ"/>
        </w:rPr>
        <w:t>soukromých vysokých škol</w:t>
      </w:r>
      <w:r w:rsidR="00763A92" w:rsidRPr="004B4E9B">
        <w:rPr>
          <w:sz w:val="24"/>
          <w:szCs w:val="24"/>
          <w:lang w:val="cs-CZ"/>
        </w:rPr>
        <w:t xml:space="preserve">, které se svojí úrovní vyrovnají </w:t>
      </w:r>
      <w:r w:rsidRPr="004B4E9B">
        <w:rPr>
          <w:sz w:val="24"/>
          <w:szCs w:val="24"/>
          <w:lang w:val="cs-CZ"/>
        </w:rPr>
        <w:t>veřejným vysokým školám</w:t>
      </w:r>
      <w:r w:rsidR="00763A92" w:rsidRPr="004B4E9B">
        <w:rPr>
          <w:sz w:val="24"/>
          <w:szCs w:val="24"/>
          <w:lang w:val="cs-CZ"/>
        </w:rPr>
        <w:t xml:space="preserve"> a jejichž studenti mají velmi dobré uplatn</w:t>
      </w:r>
      <w:r w:rsidR="00763A92" w:rsidRPr="004B4E9B">
        <w:rPr>
          <w:sz w:val="24"/>
          <w:szCs w:val="24"/>
          <w:lang w:val="cs-CZ"/>
        </w:rPr>
        <w:t>ě</w:t>
      </w:r>
      <w:r w:rsidR="00763A92" w:rsidRPr="004B4E9B">
        <w:rPr>
          <w:sz w:val="24"/>
          <w:szCs w:val="24"/>
          <w:lang w:val="cs-CZ"/>
        </w:rPr>
        <w:t xml:space="preserve">ní na trhu práce. </w:t>
      </w:r>
    </w:p>
    <w:p w:rsidR="009248E4" w:rsidRDefault="009248E4" w:rsidP="00852FB8">
      <w:pPr>
        <w:pStyle w:val="Heading1"/>
        <w:jc w:val="both"/>
        <w:rPr>
          <w:lang w:val="cs-CZ"/>
        </w:rPr>
      </w:pPr>
      <w:r>
        <w:rPr>
          <w:lang w:val="cs-CZ"/>
        </w:rPr>
        <w:t>Program další práce</w:t>
      </w:r>
    </w:p>
    <w:p w:rsidR="009248E4" w:rsidRDefault="009248E4" w:rsidP="00852FB8">
      <w:pPr>
        <w:spacing w:after="120"/>
        <w:jc w:val="both"/>
        <w:rPr>
          <w:sz w:val="24"/>
          <w:szCs w:val="24"/>
          <w:lang w:val="cs-CZ"/>
        </w:rPr>
      </w:pPr>
    </w:p>
    <w:p w:rsidR="00D52DFF" w:rsidRPr="00D52DFF" w:rsidRDefault="00D52DFF" w:rsidP="00D52DFF">
      <w:pP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sz w:val="24"/>
          <w:szCs w:val="24"/>
          <w:lang w:val="cs-CZ"/>
        </w:rPr>
        <w:t>Mandát Rady</w:t>
      </w:r>
      <w:r w:rsidR="00C90474">
        <w:rPr>
          <w:sz w:val="24"/>
          <w:szCs w:val="24"/>
          <w:lang w:val="cs-CZ"/>
        </w:rPr>
        <w:t xml:space="preserve"> pro reformu terciárního vzdělávání je</w:t>
      </w:r>
      <w:r>
        <w:rPr>
          <w:sz w:val="24"/>
          <w:szCs w:val="24"/>
          <w:lang w:val="cs-CZ"/>
        </w:rPr>
        <w:t xml:space="preserve"> široký a zahrnuje všechny </w:t>
      </w:r>
      <w:r w:rsidRPr="00D52D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Individuální projekty národní v oblasti terciárního vzdělávání, výzkumu a vývoje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 V současné době se R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da zaměřila na projekt Reformy terciárního vzdělávání, který je ze všech projektů nejvíce rozpracován a kde jsou doporučení Rady nejvíce zapotřebí. Rada bude postupně </w:t>
      </w:r>
      <w:r w:rsidR="00C90474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sledovat práci všech projektů.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</w:p>
    <w:p w:rsidR="009248E4" w:rsidRDefault="00D52DFF" w:rsidP="00852FB8">
      <w:pPr>
        <w:spacing w:after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C90474">
        <w:rPr>
          <w:sz w:val="24"/>
          <w:szCs w:val="24"/>
          <w:lang w:val="cs-CZ"/>
        </w:rPr>
        <w:t>N</w:t>
      </w:r>
      <w:r w:rsidR="009248E4">
        <w:rPr>
          <w:sz w:val="24"/>
          <w:szCs w:val="24"/>
          <w:lang w:val="cs-CZ"/>
        </w:rPr>
        <w:t xml:space="preserve">a programu svých </w:t>
      </w:r>
      <w:r w:rsidR="00835A6A">
        <w:rPr>
          <w:sz w:val="24"/>
          <w:szCs w:val="24"/>
          <w:lang w:val="cs-CZ"/>
        </w:rPr>
        <w:t>nejbližších</w:t>
      </w:r>
      <w:r w:rsidR="009248E4">
        <w:rPr>
          <w:sz w:val="24"/>
          <w:szCs w:val="24"/>
          <w:lang w:val="cs-CZ"/>
        </w:rPr>
        <w:t xml:space="preserve"> zasedání</w:t>
      </w:r>
      <w:r w:rsidR="00CD51B6">
        <w:rPr>
          <w:sz w:val="24"/>
          <w:szCs w:val="24"/>
          <w:lang w:val="cs-CZ"/>
        </w:rPr>
        <w:t xml:space="preserve"> </w:t>
      </w:r>
      <w:r w:rsidR="00C90474">
        <w:rPr>
          <w:sz w:val="24"/>
          <w:szCs w:val="24"/>
          <w:lang w:val="cs-CZ"/>
        </w:rPr>
        <w:t xml:space="preserve">má Rad </w:t>
      </w:r>
      <w:r w:rsidR="00CD51B6">
        <w:rPr>
          <w:sz w:val="24"/>
          <w:szCs w:val="24"/>
          <w:lang w:val="cs-CZ"/>
        </w:rPr>
        <w:t>kromě jiného následující témata:</w:t>
      </w:r>
    </w:p>
    <w:p w:rsidR="009248E4" w:rsidRPr="009248E4" w:rsidRDefault="005A58AE" w:rsidP="00852FB8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Boloňský proces a jeho impleme</w:t>
      </w:r>
      <w:r w:rsidR="009248E4" w:rsidRPr="009248E4">
        <w:rPr>
          <w:sz w:val="24"/>
          <w:szCs w:val="24"/>
          <w:lang w:val="cs-CZ"/>
        </w:rPr>
        <w:t xml:space="preserve">ntace v ČR </w:t>
      </w:r>
    </w:p>
    <w:p w:rsidR="009248E4" w:rsidRPr="002B3AC3" w:rsidRDefault="009248E4" w:rsidP="00852FB8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2B3AC3">
        <w:rPr>
          <w:rStyle w:val="Emphasis"/>
          <w:rFonts w:ascii="Times New Roman" w:eastAsia="Calibri" w:hAnsi="Times New Roman" w:cs="Times New Roman"/>
          <w:i w:val="0"/>
          <w:sz w:val="24"/>
          <w:szCs w:val="24"/>
          <w:lang w:val="cs-CZ"/>
        </w:rPr>
        <w:t>procesy akreditace a hodnocení kvality</w:t>
      </w:r>
      <w:r w:rsidRPr="002B3AC3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 </w:t>
      </w:r>
    </w:p>
    <w:p w:rsidR="009248E4" w:rsidRPr="00172D29" w:rsidRDefault="009248E4" w:rsidP="00852FB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2B3AC3">
        <w:rPr>
          <w:rStyle w:val="Emphasis"/>
          <w:rFonts w:ascii="Times New Roman" w:eastAsia="Calibri" w:hAnsi="Times New Roman" w:cs="Times New Roman"/>
          <w:i w:val="0"/>
          <w:sz w:val="24"/>
          <w:szCs w:val="24"/>
          <w:lang w:val="cs-CZ"/>
        </w:rPr>
        <w:t xml:space="preserve">strukturace a </w:t>
      </w:r>
      <w:r w:rsidRPr="00172D29">
        <w:rPr>
          <w:rStyle w:val="Emphasis"/>
          <w:rFonts w:ascii="Times New Roman" w:eastAsia="Calibri" w:hAnsi="Times New Roman" w:cs="Times New Roman"/>
          <w:i w:val="0"/>
          <w:sz w:val="24"/>
          <w:szCs w:val="24"/>
          <w:lang w:val="cs-CZ"/>
        </w:rPr>
        <w:t>diferenciace vysokých škol</w:t>
      </w:r>
      <w:r w:rsidRPr="00172D29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 </w:t>
      </w:r>
    </w:p>
    <w:p w:rsidR="00172D29" w:rsidRPr="00172D29" w:rsidRDefault="009248E4" w:rsidP="00D97B7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Emphasis"/>
          <w:rFonts w:ascii="Times New Roman" w:eastAsia="Calibri" w:hAnsi="Times New Roman" w:cs="Times New Roman"/>
          <w:iCs w:val="0"/>
          <w:sz w:val="24"/>
          <w:szCs w:val="24"/>
          <w:lang w:val="cs-CZ"/>
        </w:rPr>
      </w:pPr>
      <w:r w:rsidRPr="00172D29">
        <w:rPr>
          <w:rStyle w:val="Emphasis"/>
          <w:rFonts w:ascii="Times New Roman" w:eastAsia="Calibri" w:hAnsi="Times New Roman" w:cs="Times New Roman"/>
          <w:i w:val="0"/>
          <w:sz w:val="24"/>
          <w:szCs w:val="24"/>
          <w:lang w:val="cs-CZ"/>
        </w:rPr>
        <w:t>financování</w:t>
      </w:r>
      <w:r w:rsidRPr="00172D29">
        <w:rPr>
          <w:rStyle w:val="Emphasis"/>
          <w:rFonts w:ascii="Times New Roman" w:hAnsi="Times New Roman" w:cs="Times New Roman"/>
          <w:i w:val="0"/>
          <w:sz w:val="24"/>
          <w:szCs w:val="24"/>
          <w:lang w:val="cs-CZ"/>
        </w:rPr>
        <w:t xml:space="preserve"> veřejných vysokých škol</w:t>
      </w:r>
    </w:p>
    <w:p w:rsidR="00113094" w:rsidRPr="00113094" w:rsidRDefault="00172D29" w:rsidP="003304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113094">
        <w:rPr>
          <w:sz w:val="24"/>
          <w:szCs w:val="24"/>
          <w:lang w:val="cs-CZ"/>
        </w:rPr>
        <w:t>vztah mezi vysokými školami a státem</w:t>
      </w:r>
    </w:p>
    <w:p w:rsidR="00113094" w:rsidRPr="00113094" w:rsidRDefault="00113094" w:rsidP="001130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lang w:val="cs-CZ"/>
        </w:rPr>
        <w:t>role vyšších odborných škol</w:t>
      </w:r>
    </w:p>
    <w:p w:rsidR="00172D29" w:rsidRPr="00113094" w:rsidRDefault="00172D29" w:rsidP="003304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113094">
        <w:rPr>
          <w:sz w:val="24"/>
          <w:szCs w:val="24"/>
          <w:lang w:val="cs-CZ"/>
        </w:rPr>
        <w:t>výzkumná činnost VVŠ</w:t>
      </w:r>
      <w:r w:rsidR="00330405" w:rsidRPr="00113094">
        <w:rPr>
          <w:sz w:val="24"/>
          <w:szCs w:val="24"/>
          <w:lang w:val="cs-CZ"/>
        </w:rPr>
        <w:t xml:space="preserve"> a její hodnocení</w:t>
      </w:r>
    </w:p>
    <w:p w:rsidR="009248E4" w:rsidRPr="00172D29" w:rsidRDefault="00172D29" w:rsidP="00852FB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172D29">
        <w:rPr>
          <w:sz w:val="24"/>
          <w:szCs w:val="24"/>
          <w:lang w:val="cs-CZ"/>
        </w:rPr>
        <w:t>vztahy mezi ústavy AV ČR a VVŠ s mezinárodním výzkumným profilem.</w:t>
      </w:r>
      <w:r w:rsidR="009248E4" w:rsidRPr="00172D29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 </w:t>
      </w:r>
    </w:p>
    <w:p w:rsidR="009248E4" w:rsidRDefault="009248E4" w:rsidP="00852FB8">
      <w:pPr>
        <w:spacing w:after="120"/>
        <w:jc w:val="both"/>
        <w:rPr>
          <w:sz w:val="24"/>
          <w:szCs w:val="24"/>
          <w:lang w:val="cs-CZ"/>
        </w:rPr>
      </w:pPr>
    </w:p>
    <w:p w:rsidR="00AF1C34" w:rsidRPr="004B4E9B" w:rsidRDefault="00113094" w:rsidP="00852FB8">
      <w:pPr>
        <w:spacing w:after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rh/</w:t>
      </w:r>
      <w:r w:rsidR="00B226B6">
        <w:rPr>
          <w:sz w:val="24"/>
          <w:szCs w:val="24"/>
          <w:lang w:val="cs-CZ"/>
        </w:rPr>
        <w:t>3</w:t>
      </w:r>
      <w:r w:rsidR="00876CE5">
        <w:rPr>
          <w:sz w:val="24"/>
          <w:szCs w:val="24"/>
          <w:lang w:val="cs-CZ"/>
        </w:rPr>
        <w:t>.5</w:t>
      </w:r>
      <w:r w:rsidR="00AF1C34">
        <w:rPr>
          <w:sz w:val="24"/>
          <w:szCs w:val="24"/>
          <w:lang w:val="cs-CZ"/>
        </w:rPr>
        <w:t>.10</w:t>
      </w:r>
    </w:p>
    <w:p w:rsidR="00FC7691" w:rsidRPr="00FC7691" w:rsidRDefault="00FC7691" w:rsidP="00CD4806">
      <w:pPr>
        <w:pStyle w:val="Heading3"/>
        <w:jc w:val="both"/>
        <w:rPr>
          <w:lang w:val="cs-CZ"/>
        </w:rPr>
      </w:pPr>
    </w:p>
    <w:sectPr w:rsidR="00FC7691" w:rsidRPr="00FC7691" w:rsidSect="001930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9B" w:rsidRDefault="004C7F9B" w:rsidP="00D97B72">
      <w:pPr>
        <w:spacing w:after="0" w:line="240" w:lineRule="auto"/>
      </w:pPr>
      <w:r>
        <w:separator/>
      </w:r>
    </w:p>
  </w:endnote>
  <w:endnote w:type="continuationSeparator" w:id="0">
    <w:p w:rsidR="004C7F9B" w:rsidRDefault="004C7F9B" w:rsidP="00D9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100362"/>
      <w:docPartObj>
        <w:docPartGallery w:val="Page Numbers (Bottom of Page)"/>
        <w:docPartUnique/>
      </w:docPartObj>
    </w:sdtPr>
    <w:sdtContent>
      <w:p w:rsidR="000858CD" w:rsidRDefault="004E2097">
        <w:pPr>
          <w:pStyle w:val="Footer"/>
          <w:jc w:val="center"/>
        </w:pPr>
        <w:fldSimple w:instr=" PAGE   \* MERGEFORMAT ">
          <w:r w:rsidR="001108B5">
            <w:rPr>
              <w:noProof/>
            </w:rPr>
            <w:t>1</w:t>
          </w:r>
        </w:fldSimple>
      </w:p>
    </w:sdtContent>
  </w:sdt>
  <w:p w:rsidR="000858CD" w:rsidRDefault="00085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9B" w:rsidRDefault="004C7F9B" w:rsidP="00D97B72">
      <w:pPr>
        <w:spacing w:after="0" w:line="240" w:lineRule="auto"/>
      </w:pPr>
      <w:r>
        <w:separator/>
      </w:r>
    </w:p>
  </w:footnote>
  <w:footnote w:type="continuationSeparator" w:id="0">
    <w:p w:rsidR="004C7F9B" w:rsidRDefault="004C7F9B" w:rsidP="00D9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1EB"/>
    <w:multiLevelType w:val="multilevel"/>
    <w:tmpl w:val="4C0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54E"/>
    <w:multiLevelType w:val="hybridMultilevel"/>
    <w:tmpl w:val="E2C06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947AD"/>
    <w:multiLevelType w:val="hybridMultilevel"/>
    <w:tmpl w:val="08C8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A31A9"/>
    <w:multiLevelType w:val="hybridMultilevel"/>
    <w:tmpl w:val="BD167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040CB"/>
    <w:multiLevelType w:val="hybridMultilevel"/>
    <w:tmpl w:val="8E0E1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146A8"/>
    <w:multiLevelType w:val="multilevel"/>
    <w:tmpl w:val="4C0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97552"/>
    <w:multiLevelType w:val="hybridMultilevel"/>
    <w:tmpl w:val="314C9986"/>
    <w:lvl w:ilvl="0" w:tplc="08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7">
    <w:nsid w:val="6B991361"/>
    <w:multiLevelType w:val="hybridMultilevel"/>
    <w:tmpl w:val="182E1D16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298"/>
    <w:rsid w:val="000858CD"/>
    <w:rsid w:val="00085EE9"/>
    <w:rsid w:val="00092CAB"/>
    <w:rsid w:val="000976E4"/>
    <w:rsid w:val="000C0EA0"/>
    <w:rsid w:val="000E25AE"/>
    <w:rsid w:val="001108B5"/>
    <w:rsid w:val="00113094"/>
    <w:rsid w:val="00123166"/>
    <w:rsid w:val="00145664"/>
    <w:rsid w:val="00172D29"/>
    <w:rsid w:val="00186B98"/>
    <w:rsid w:val="00186F31"/>
    <w:rsid w:val="0019302D"/>
    <w:rsid w:val="001E53D3"/>
    <w:rsid w:val="001F0F7E"/>
    <w:rsid w:val="001F18AB"/>
    <w:rsid w:val="00202E22"/>
    <w:rsid w:val="00205FA5"/>
    <w:rsid w:val="00213B1B"/>
    <w:rsid w:val="00225700"/>
    <w:rsid w:val="00231FDD"/>
    <w:rsid w:val="00272208"/>
    <w:rsid w:val="002B3AC3"/>
    <w:rsid w:val="002C6C06"/>
    <w:rsid w:val="002E4421"/>
    <w:rsid w:val="0031140A"/>
    <w:rsid w:val="00330405"/>
    <w:rsid w:val="003A0213"/>
    <w:rsid w:val="003A3956"/>
    <w:rsid w:val="003F5538"/>
    <w:rsid w:val="004B449B"/>
    <w:rsid w:val="004B4E9B"/>
    <w:rsid w:val="004C7F9B"/>
    <w:rsid w:val="004D0A99"/>
    <w:rsid w:val="004E2097"/>
    <w:rsid w:val="004F2BF4"/>
    <w:rsid w:val="00525EAD"/>
    <w:rsid w:val="00536157"/>
    <w:rsid w:val="005A58AE"/>
    <w:rsid w:val="006028B1"/>
    <w:rsid w:val="006058EA"/>
    <w:rsid w:val="00642EDF"/>
    <w:rsid w:val="006C10C8"/>
    <w:rsid w:val="006D682C"/>
    <w:rsid w:val="006F69DC"/>
    <w:rsid w:val="00763A92"/>
    <w:rsid w:val="007B6298"/>
    <w:rsid w:val="007D703C"/>
    <w:rsid w:val="00820C00"/>
    <w:rsid w:val="00835A6A"/>
    <w:rsid w:val="00852FB8"/>
    <w:rsid w:val="00876CE5"/>
    <w:rsid w:val="008D7198"/>
    <w:rsid w:val="009248E4"/>
    <w:rsid w:val="00944C57"/>
    <w:rsid w:val="009614EC"/>
    <w:rsid w:val="00966523"/>
    <w:rsid w:val="00987FBA"/>
    <w:rsid w:val="00991111"/>
    <w:rsid w:val="009B0E2B"/>
    <w:rsid w:val="009E3E7C"/>
    <w:rsid w:val="009F148B"/>
    <w:rsid w:val="00A86D12"/>
    <w:rsid w:val="00A9394B"/>
    <w:rsid w:val="00AC0993"/>
    <w:rsid w:val="00AC0CB4"/>
    <w:rsid w:val="00AF1C34"/>
    <w:rsid w:val="00B170B9"/>
    <w:rsid w:val="00B226B6"/>
    <w:rsid w:val="00B26EB0"/>
    <w:rsid w:val="00B733D3"/>
    <w:rsid w:val="00B73983"/>
    <w:rsid w:val="00B84275"/>
    <w:rsid w:val="00B85752"/>
    <w:rsid w:val="00BA3DB7"/>
    <w:rsid w:val="00C074A8"/>
    <w:rsid w:val="00C111CA"/>
    <w:rsid w:val="00C23C3C"/>
    <w:rsid w:val="00C26B6B"/>
    <w:rsid w:val="00C33178"/>
    <w:rsid w:val="00C409F7"/>
    <w:rsid w:val="00C51547"/>
    <w:rsid w:val="00C76B9D"/>
    <w:rsid w:val="00C90474"/>
    <w:rsid w:val="00CB2CED"/>
    <w:rsid w:val="00CC7506"/>
    <w:rsid w:val="00CD4806"/>
    <w:rsid w:val="00CD51B6"/>
    <w:rsid w:val="00D13AC6"/>
    <w:rsid w:val="00D36AC7"/>
    <w:rsid w:val="00D4269E"/>
    <w:rsid w:val="00D52DFF"/>
    <w:rsid w:val="00D54DA1"/>
    <w:rsid w:val="00D82D88"/>
    <w:rsid w:val="00D97B72"/>
    <w:rsid w:val="00E21F43"/>
    <w:rsid w:val="00E40167"/>
    <w:rsid w:val="00EA1C04"/>
    <w:rsid w:val="00EB1A13"/>
    <w:rsid w:val="00F00216"/>
    <w:rsid w:val="00F0696B"/>
    <w:rsid w:val="00F27BA0"/>
    <w:rsid w:val="00FA74D0"/>
    <w:rsid w:val="00FC7691"/>
    <w:rsid w:val="00FE2162"/>
    <w:rsid w:val="00FE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2D"/>
  </w:style>
  <w:style w:type="paragraph" w:styleId="Heading1">
    <w:name w:val="heading 1"/>
    <w:basedOn w:val="Normal"/>
    <w:next w:val="Normal"/>
    <w:link w:val="Heading1Char"/>
    <w:uiPriority w:val="9"/>
    <w:qFormat/>
    <w:rsid w:val="00085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5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F4"/>
    <w:pPr>
      <w:ind w:left="720"/>
      <w:contextualSpacing/>
    </w:pPr>
  </w:style>
  <w:style w:type="paragraph" w:customStyle="1" w:styleId="Default">
    <w:name w:val="Default"/>
    <w:rsid w:val="00FC769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rsid w:val="0082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Emphasis">
    <w:name w:val="Emphasis"/>
    <w:basedOn w:val="DefaultParagraphFont"/>
    <w:qFormat/>
    <w:rsid w:val="00820C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5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5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9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E25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D97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B72"/>
  </w:style>
  <w:style w:type="paragraph" w:styleId="Footer">
    <w:name w:val="footer"/>
    <w:basedOn w:val="Normal"/>
    <w:link w:val="FooterChar"/>
    <w:uiPriority w:val="99"/>
    <w:unhideWhenUsed/>
    <w:rsid w:val="00D97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8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AADF-A2E2-4738-B840-D166BC5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1475</Words>
  <Characters>8688</Characters>
  <Application>Microsoft Office Word</Application>
  <DocSecurity>0</DocSecurity>
  <Lines>129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Hanka</dc:creator>
  <cp:lastModifiedBy>R Hanka</cp:lastModifiedBy>
  <cp:revision>2</cp:revision>
  <cp:lastPrinted>2010-04-30T20:58:00Z</cp:lastPrinted>
  <dcterms:created xsi:type="dcterms:W3CDTF">2010-06-03T10:42:00Z</dcterms:created>
  <dcterms:modified xsi:type="dcterms:W3CDTF">2010-06-03T10:42:00Z</dcterms:modified>
</cp:coreProperties>
</file>