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A" w:rsidRDefault="00E6162A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-575945</wp:posOffset>
            </wp:positionV>
            <wp:extent cx="5745480" cy="1400175"/>
            <wp:effectExtent l="19050" t="0" r="7620" b="0"/>
            <wp:wrapSquare wrapText="largest"/>
            <wp:docPr id="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59D" w:rsidRDefault="0051459D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70589A" w:rsidRPr="005D3E39" w:rsidRDefault="00043544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b/>
          <w:sz w:val="24"/>
          <w:szCs w:val="24"/>
        </w:rPr>
      </w:pPr>
      <w:r w:rsidRPr="005D3E39">
        <w:rPr>
          <w:sz w:val="24"/>
          <w:szCs w:val="24"/>
        </w:rPr>
        <w:t>Č. j</w:t>
      </w:r>
      <w:r w:rsidR="005D3E39">
        <w:rPr>
          <w:sz w:val="24"/>
          <w:szCs w:val="24"/>
        </w:rPr>
        <w:t xml:space="preserve">. </w:t>
      </w:r>
      <w:r w:rsidR="005D3E39" w:rsidRPr="005D3E39">
        <w:rPr>
          <w:sz w:val="24"/>
          <w:szCs w:val="24"/>
        </w:rPr>
        <w:t>32544/2010-41</w:t>
      </w:r>
    </w:p>
    <w:p w:rsidR="0070589A" w:rsidRPr="0051459D" w:rsidRDefault="0070589A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E6162A" w:rsidRDefault="00E6162A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5D3E39" w:rsidRPr="0051459D" w:rsidRDefault="005D3E39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70589A" w:rsidRDefault="00DF2060" w:rsidP="0097685D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D451FD">
        <w:rPr>
          <w:b/>
          <w:color w:val="000080"/>
          <w:sz w:val="32"/>
          <w:szCs w:val="32"/>
        </w:rPr>
        <w:t>8</w:t>
      </w:r>
    </w:p>
    <w:p w:rsidR="0070589A" w:rsidRPr="00553D0A" w:rsidRDefault="0070589A" w:rsidP="0097685D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b/>
          <w:color w:val="000000" w:themeColor="text1"/>
        </w:rPr>
      </w:pPr>
    </w:p>
    <w:p w:rsidR="0070589A" w:rsidRPr="00E13383" w:rsidRDefault="0070589A" w:rsidP="0097685D">
      <w:pPr>
        <w:tabs>
          <w:tab w:val="left" w:pos="2580"/>
        </w:tabs>
        <w:autoSpaceDE w:val="0"/>
        <w:autoSpaceDN w:val="0"/>
        <w:adjustRightInd w:val="0"/>
        <w:contextualSpacing/>
        <w:jc w:val="center"/>
      </w:pPr>
      <w:r w:rsidRPr="00E13383">
        <w:t>výzvy k předkládání žádostí o finanční podporu z </w:t>
      </w:r>
      <w:proofErr w:type="gramStart"/>
      <w:r w:rsidRPr="00E13383">
        <w:t>OP</w:t>
      </w:r>
      <w:proofErr w:type="gramEnd"/>
      <w:r w:rsidRPr="00E13383">
        <w:t xml:space="preserve"> VK</w:t>
      </w:r>
    </w:p>
    <w:p w:rsidR="0070589A" w:rsidRPr="00E13383" w:rsidRDefault="0070589A" w:rsidP="0097685D">
      <w:pPr>
        <w:tabs>
          <w:tab w:val="left" w:pos="2580"/>
        </w:tabs>
        <w:autoSpaceDE w:val="0"/>
        <w:autoSpaceDN w:val="0"/>
        <w:adjustRightInd w:val="0"/>
        <w:contextualSpacing/>
        <w:jc w:val="center"/>
      </w:pPr>
      <w:r>
        <w:t>Oblast podpory 2.2 Vysokoškolské vzdělávání</w:t>
      </w:r>
    </w:p>
    <w:p w:rsidR="0070589A" w:rsidRDefault="0070589A" w:rsidP="002C4160">
      <w:pPr>
        <w:contextualSpacing/>
        <w:jc w:val="both"/>
        <w:rPr>
          <w:b/>
        </w:rPr>
      </w:pPr>
    </w:p>
    <w:p w:rsidR="0097685D" w:rsidRPr="0097685D" w:rsidRDefault="0097685D" w:rsidP="002C4160">
      <w:pPr>
        <w:contextualSpacing/>
        <w:jc w:val="both"/>
        <w:rPr>
          <w:b/>
        </w:rPr>
      </w:pPr>
    </w:p>
    <w:p w:rsidR="0051459D" w:rsidRPr="0097685D" w:rsidRDefault="0051459D" w:rsidP="002C4160">
      <w:pPr>
        <w:contextualSpacing/>
        <w:jc w:val="both"/>
        <w:rPr>
          <w:b/>
        </w:rPr>
      </w:pPr>
    </w:p>
    <w:p w:rsidR="0070589A" w:rsidRDefault="00D451FD" w:rsidP="0097685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Kritéria a </w:t>
      </w:r>
      <w:proofErr w:type="spellStart"/>
      <w:r>
        <w:rPr>
          <w:b/>
          <w:sz w:val="28"/>
          <w:szCs w:val="28"/>
        </w:rPr>
        <w:t>subkritéria</w:t>
      </w:r>
      <w:proofErr w:type="spellEnd"/>
      <w:r>
        <w:rPr>
          <w:b/>
          <w:sz w:val="28"/>
          <w:szCs w:val="28"/>
        </w:rPr>
        <w:t xml:space="preserve"> věcného hodnocení OP VK, včetně bodového odhodnocení</w:t>
      </w:r>
    </w:p>
    <w:p w:rsidR="0070589A" w:rsidRDefault="0070589A" w:rsidP="002C4160">
      <w:pPr>
        <w:contextualSpacing/>
        <w:jc w:val="both"/>
        <w:rPr>
          <w:b/>
        </w:rPr>
      </w:pPr>
    </w:p>
    <w:p w:rsidR="0097685D" w:rsidRPr="0097685D" w:rsidRDefault="0097685D" w:rsidP="002C4160">
      <w:pPr>
        <w:contextualSpacing/>
        <w:jc w:val="both"/>
        <w:rPr>
          <w:b/>
        </w:rPr>
      </w:pPr>
    </w:p>
    <w:p w:rsidR="00D451FD" w:rsidRDefault="00D451FD" w:rsidP="00D451FD"/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33"/>
        <w:gridCol w:w="1408"/>
        <w:gridCol w:w="1073"/>
        <w:gridCol w:w="6"/>
        <w:gridCol w:w="488"/>
        <w:gridCol w:w="2611"/>
        <w:gridCol w:w="2354"/>
        <w:gridCol w:w="1144"/>
      </w:tblGrid>
      <w:tr w:rsidR="00D451FD" w:rsidRPr="00136CDF" w:rsidTr="00BF63A9">
        <w:trPr>
          <w:tblHeader/>
        </w:trPr>
        <w:tc>
          <w:tcPr>
            <w:tcW w:w="1741" w:type="dxa"/>
            <w:gridSpan w:val="2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rStyle w:val="tucne"/>
              </w:rPr>
            </w:pPr>
            <w:r w:rsidRPr="00136CDF">
              <w:rPr>
                <w:rStyle w:val="tucne"/>
              </w:rPr>
              <w:t>Kritérium</w:t>
            </w:r>
          </w:p>
        </w:tc>
        <w:tc>
          <w:tcPr>
            <w:tcW w:w="1079" w:type="dxa"/>
            <w:gridSpan w:val="2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b/>
              </w:rPr>
            </w:pPr>
            <w:r w:rsidRPr="00136CDF">
              <w:rPr>
                <w:b/>
              </w:rPr>
              <w:t>Váha kritéria</w:t>
            </w:r>
          </w:p>
        </w:tc>
        <w:tc>
          <w:tcPr>
            <w:tcW w:w="3099" w:type="dxa"/>
            <w:gridSpan w:val="2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rStyle w:val="tucne"/>
              </w:rPr>
            </w:pPr>
            <w:proofErr w:type="spellStart"/>
            <w:r w:rsidRPr="00136CDF">
              <w:rPr>
                <w:rStyle w:val="tucne"/>
              </w:rPr>
              <w:t>Subkritérium</w:t>
            </w:r>
            <w:proofErr w:type="spellEnd"/>
          </w:p>
        </w:tc>
        <w:tc>
          <w:tcPr>
            <w:tcW w:w="2354" w:type="dxa"/>
            <w:shd w:val="clear" w:color="auto" w:fill="FFC000"/>
            <w:vAlign w:val="bottom"/>
          </w:tcPr>
          <w:p w:rsidR="00D451FD" w:rsidRPr="00136CDF" w:rsidRDefault="00D451FD" w:rsidP="00FC0D23">
            <w:pPr>
              <w:jc w:val="center"/>
              <w:rPr>
                <w:b/>
              </w:rPr>
            </w:pPr>
          </w:p>
          <w:p w:rsidR="00D451FD" w:rsidRPr="00136CDF" w:rsidRDefault="00D451FD" w:rsidP="00FC0D23">
            <w:pPr>
              <w:jc w:val="center"/>
              <w:rPr>
                <w:b/>
              </w:rPr>
            </w:pPr>
            <w:r w:rsidRPr="00136CDF">
              <w:rPr>
                <w:b/>
              </w:rPr>
              <w:t xml:space="preserve">Váha </w:t>
            </w:r>
            <w:r w:rsidRPr="00136CDF">
              <w:rPr>
                <w:b/>
              </w:rPr>
              <w:br/>
            </w:r>
            <w:proofErr w:type="spellStart"/>
            <w:r w:rsidRPr="00136CDF">
              <w:rPr>
                <w:b/>
              </w:rPr>
              <w:t>subkritéria</w:t>
            </w:r>
            <w:proofErr w:type="spellEnd"/>
            <w:r w:rsidRPr="00136CDF">
              <w:rPr>
                <w:b/>
              </w:rPr>
              <w:t xml:space="preserve"> v rámci kritéria </w:t>
            </w:r>
          </w:p>
        </w:tc>
        <w:tc>
          <w:tcPr>
            <w:tcW w:w="1144" w:type="dxa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 w:val="restart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>Zdůvodnění potřebnosti realizace projektu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  <w:r w:rsidRPr="00AD3F71">
              <w:t>18 bodů (%)</w:t>
            </w:r>
          </w:p>
        </w:tc>
        <w:tc>
          <w:tcPr>
            <w:tcW w:w="488" w:type="dxa"/>
            <w:vAlign w:val="center"/>
          </w:tcPr>
          <w:p w:rsidR="00D451FD" w:rsidRPr="00AD3F71" w:rsidRDefault="00B84894" w:rsidP="00BF63A9">
            <w:pPr>
              <w:spacing w:beforeLines="20" w:afterLines="20"/>
              <w:jc w:val="center"/>
            </w:pPr>
            <w:r>
              <w:t>1.</w:t>
            </w:r>
            <w:r w:rsidR="00D451FD" w:rsidRPr="00AD3F71">
              <w:t>1</w:t>
            </w:r>
          </w:p>
        </w:tc>
        <w:tc>
          <w:tcPr>
            <w:tcW w:w="2611" w:type="dxa"/>
            <w:vAlign w:val="center"/>
          </w:tcPr>
          <w:p w:rsidR="00D451FD" w:rsidRPr="00AD3F71" w:rsidRDefault="00D451FD" w:rsidP="00BF63A9">
            <w:pPr>
              <w:spacing w:beforeLines="20" w:afterLines="20"/>
            </w:pPr>
            <w:r w:rsidRPr="00AD3F71">
              <w:t>Zdůvodnění záměru a jeho vazba na danou Oblast podpory</w:t>
            </w:r>
          </w:p>
        </w:tc>
        <w:tc>
          <w:tcPr>
            <w:tcW w:w="2354" w:type="dxa"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  <w:r w:rsidRPr="00AD3F71">
              <w:t>6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408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079" w:type="dxa"/>
            <w:gridSpan w:val="2"/>
            <w:vMerge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488" w:type="dxa"/>
            <w:vAlign w:val="center"/>
          </w:tcPr>
          <w:p w:rsidR="00D451FD" w:rsidRPr="00AD3F71" w:rsidRDefault="00B84894" w:rsidP="00BF63A9">
            <w:pPr>
              <w:spacing w:beforeLines="20" w:afterLines="20"/>
              <w:jc w:val="center"/>
            </w:pPr>
            <w:r>
              <w:t>1.</w:t>
            </w:r>
            <w:r w:rsidR="00D451FD" w:rsidRPr="00AD3F71">
              <w:t>2</w:t>
            </w:r>
          </w:p>
        </w:tc>
        <w:tc>
          <w:tcPr>
            <w:tcW w:w="2611" w:type="dxa"/>
            <w:vAlign w:val="center"/>
          </w:tcPr>
          <w:p w:rsidR="00D451FD" w:rsidRPr="00AD3F71" w:rsidRDefault="00D451FD" w:rsidP="00BF63A9">
            <w:pPr>
              <w:spacing w:beforeLines="20" w:afterLines="20"/>
            </w:pPr>
            <w:r w:rsidRPr="00AD3F71">
              <w:t>Potřebnost a očekávaný přínos/dopad (inovativnost) projektu pro oblast vzdělávání/výzkumu a vývoje (v regionu)</w:t>
            </w:r>
          </w:p>
        </w:tc>
        <w:tc>
          <w:tcPr>
            <w:tcW w:w="2354" w:type="dxa"/>
            <w:vAlign w:val="center"/>
          </w:tcPr>
          <w:p w:rsidR="00D451FD" w:rsidRPr="00AD3F71" w:rsidRDefault="00D451FD" w:rsidP="002467FF">
            <w:pPr>
              <w:spacing w:beforeLines="20" w:afterLines="20"/>
            </w:pPr>
          </w:p>
        </w:tc>
        <w:tc>
          <w:tcPr>
            <w:tcW w:w="1144" w:type="dxa"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  <w:r w:rsidRPr="00AD3F71">
              <w:t>12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 w:val="restart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2</w:t>
            </w:r>
          </w:p>
        </w:tc>
        <w:tc>
          <w:tcPr>
            <w:tcW w:w="1408" w:type="dxa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>Cílová skupina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>1</w:t>
            </w:r>
            <w:r>
              <w:t>2</w:t>
            </w:r>
            <w:r w:rsidRPr="00136CDF">
              <w:t xml:space="preserve"> bodů (%)</w:t>
            </w: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2.</w:t>
            </w:r>
            <w:r w:rsidR="00D451FD" w:rsidRPr="00136CDF">
              <w:t>1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Vymezení a přiměřenost cílových skupin</w:t>
            </w:r>
            <w:r>
              <w:t>, přínos pro CS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>7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408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079" w:type="dxa"/>
            <w:gridSpan w:val="2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2.</w:t>
            </w:r>
            <w:r w:rsidR="00D451FD" w:rsidRPr="00136CDF">
              <w:t>2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Způsob zapojení cílových skupin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 xml:space="preserve">5 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 w:val="restart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3</w:t>
            </w:r>
          </w:p>
        </w:tc>
        <w:tc>
          <w:tcPr>
            <w:tcW w:w="1408" w:type="dxa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>Popis realizace projektu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AD3F71">
              <w:t xml:space="preserve">17 </w:t>
            </w:r>
            <w:r w:rsidRPr="00136CDF">
              <w:t>bodů (%)</w:t>
            </w: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3.</w:t>
            </w:r>
            <w:r w:rsidR="00D451FD" w:rsidRPr="00136CDF">
              <w:t>1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Klíčové aktivity a stadia realizace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 xml:space="preserve">14 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408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079" w:type="dxa"/>
            <w:gridSpan w:val="2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3.</w:t>
            </w:r>
            <w:r w:rsidR="00D451FD" w:rsidRPr="00136CDF">
              <w:t>2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Připravenost na možná rizika a jejich řešení</w:t>
            </w:r>
            <w:r>
              <w:t xml:space="preserve">, předchozí zkušenosti, vnitřní kontrolní systém 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  <w:r w:rsidRPr="00AD3F71">
              <w:t xml:space="preserve">3 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 w:val="restart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lastRenderedPageBreak/>
              <w:t>4</w:t>
            </w:r>
          </w:p>
        </w:tc>
        <w:tc>
          <w:tcPr>
            <w:tcW w:w="1408" w:type="dxa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>Finanční řízení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AD3F71">
              <w:t>23</w:t>
            </w:r>
            <w:r w:rsidRPr="00136CDF">
              <w:t xml:space="preserve"> bodů (%)</w:t>
            </w: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4.</w:t>
            </w:r>
            <w:r w:rsidR="00D451FD" w:rsidRPr="00136CDF">
              <w:t>1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Přiměřenost rozpočtu vzhledem k cílům a obsahu projektu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  <w:r w:rsidRPr="00AD3F71">
              <w:t>13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408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  <w:rPr>
                <w:highlight w:val="yellow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4.</w:t>
            </w:r>
            <w:r w:rsidR="00D451FD" w:rsidRPr="00136CDF">
              <w:t>2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Provázanost rozpočtu s klíčovými aktivitami projektu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 xml:space="preserve">10 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 w:val="restart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5</w:t>
            </w:r>
          </w:p>
        </w:tc>
        <w:tc>
          <w:tcPr>
            <w:tcW w:w="1408" w:type="dxa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  <w:rPr>
                <w:highlight w:val="yellow"/>
              </w:rPr>
            </w:pPr>
            <w:r w:rsidRPr="00136CDF">
              <w:t>Výsledky a výstupy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AD3F71">
              <w:t>15</w:t>
            </w:r>
            <w:r w:rsidRPr="005003E0">
              <w:rPr>
                <w:b/>
              </w:rPr>
              <w:t xml:space="preserve"> </w:t>
            </w:r>
            <w:r w:rsidRPr="00136CDF">
              <w:t>bodů (%)</w:t>
            </w: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5.</w:t>
            </w:r>
            <w:r w:rsidR="00D451FD" w:rsidRPr="00136CDF">
              <w:t>1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Kvantifikace výsledků a výstupů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AD3F71" w:rsidRDefault="00D451FD" w:rsidP="00BF63A9">
            <w:pPr>
              <w:spacing w:beforeLines="20" w:afterLines="20"/>
              <w:jc w:val="center"/>
            </w:pPr>
            <w:r w:rsidRPr="00AD3F71">
              <w:t xml:space="preserve">10 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408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079" w:type="dxa"/>
            <w:gridSpan w:val="2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5.</w:t>
            </w:r>
            <w:r w:rsidR="00D451FD" w:rsidRPr="00136CDF">
              <w:t>2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Způsob zajištění plánovaných výsledků a výstupů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14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 xml:space="preserve">5 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 w:val="restart"/>
            <w:vAlign w:val="center"/>
          </w:tcPr>
          <w:p w:rsidR="00D451FD" w:rsidRPr="00136CDF" w:rsidRDefault="00B84894" w:rsidP="00BF63A9">
            <w:pPr>
              <w:spacing w:beforeLines="20" w:afterLines="20"/>
            </w:pPr>
            <w:r>
              <w:t>6</w:t>
            </w:r>
          </w:p>
        </w:tc>
        <w:tc>
          <w:tcPr>
            <w:tcW w:w="1408" w:type="dxa"/>
            <w:vMerge w:val="restart"/>
            <w:vAlign w:val="center"/>
          </w:tcPr>
          <w:p w:rsidR="00D451FD" w:rsidRPr="00136CDF" w:rsidRDefault="00D451FD" w:rsidP="00FC0D23">
            <w:pPr>
              <w:jc w:val="center"/>
            </w:pPr>
            <w:r w:rsidRPr="00136CDF">
              <w:t>Horizontální témata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:rsidR="00D451FD" w:rsidRPr="00136CDF" w:rsidRDefault="00D451FD" w:rsidP="00FC0D23">
            <w:pPr>
              <w:jc w:val="center"/>
            </w:pPr>
            <w:r>
              <w:t>0</w:t>
            </w:r>
            <w:r w:rsidRPr="00136CDF">
              <w:t xml:space="preserve"> body</w:t>
            </w:r>
          </w:p>
          <w:p w:rsidR="00D451FD" w:rsidRPr="00136CDF" w:rsidRDefault="00D451FD" w:rsidP="00FC0D23">
            <w:pPr>
              <w:jc w:val="center"/>
            </w:pPr>
            <w:r w:rsidRPr="00136CDF">
              <w:t>(%)</w:t>
            </w: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6.</w:t>
            </w:r>
            <w:r w:rsidR="00D451FD" w:rsidRPr="00136CDF">
              <w:t>1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 xml:space="preserve">Aktivity podporující rovné příležitosti 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>neboduje se, jedná se o vylučovací kritérium (vyhovuje/nevyhovuje)</w:t>
            </w:r>
          </w:p>
        </w:tc>
        <w:tc>
          <w:tcPr>
            <w:tcW w:w="114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 xml:space="preserve">0 </w:t>
            </w:r>
          </w:p>
        </w:tc>
      </w:tr>
      <w:tr w:rsidR="00D451FD" w:rsidRPr="00136CDF" w:rsidTr="00BF63A9">
        <w:trPr>
          <w:cantSplit/>
        </w:trPr>
        <w:tc>
          <w:tcPr>
            <w:tcW w:w="333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408" w:type="dxa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1079" w:type="dxa"/>
            <w:gridSpan w:val="2"/>
            <w:vMerge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</w:p>
        </w:tc>
        <w:tc>
          <w:tcPr>
            <w:tcW w:w="488" w:type="dxa"/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6.</w:t>
            </w:r>
            <w:r w:rsidR="00D451FD" w:rsidRPr="00136CDF">
              <w:t>2</w:t>
            </w:r>
          </w:p>
        </w:tc>
        <w:tc>
          <w:tcPr>
            <w:tcW w:w="2611" w:type="dxa"/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Aktivity podporující udržitelný rozvoj</w:t>
            </w:r>
          </w:p>
        </w:tc>
        <w:tc>
          <w:tcPr>
            <w:tcW w:w="235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>neboduje se, jedná se o vylučovací kritérium (vyhovuje/nevyhovuje)</w:t>
            </w:r>
          </w:p>
        </w:tc>
        <w:tc>
          <w:tcPr>
            <w:tcW w:w="1144" w:type="dxa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>
              <w:t xml:space="preserve">0 </w:t>
            </w:r>
          </w:p>
        </w:tc>
      </w:tr>
      <w:tr w:rsidR="00BF63A9" w:rsidRPr="00136CDF" w:rsidTr="00BF63A9">
        <w:trPr>
          <w:trHeight w:val="1900"/>
        </w:trPr>
        <w:tc>
          <w:tcPr>
            <w:tcW w:w="333" w:type="dxa"/>
            <w:vAlign w:val="center"/>
          </w:tcPr>
          <w:p w:rsidR="00BF63A9" w:rsidRPr="00136CDF" w:rsidRDefault="00BF63A9" w:rsidP="00BF63A9">
            <w:pPr>
              <w:spacing w:beforeLines="20" w:afterLines="20"/>
              <w:jc w:val="center"/>
            </w:pPr>
            <w:r>
              <w:t>7</w:t>
            </w:r>
          </w:p>
        </w:tc>
        <w:tc>
          <w:tcPr>
            <w:tcW w:w="1408" w:type="dxa"/>
            <w:vAlign w:val="center"/>
          </w:tcPr>
          <w:p w:rsidR="00BF63A9" w:rsidRPr="00136CDF" w:rsidRDefault="00BF63A9" w:rsidP="00BF63A9">
            <w:pPr>
              <w:spacing w:beforeLines="20" w:afterLines="20"/>
              <w:jc w:val="center"/>
            </w:pPr>
            <w:r w:rsidRPr="00136CDF">
              <w:t>Specifická kritéria</w:t>
            </w:r>
          </w:p>
        </w:tc>
        <w:tc>
          <w:tcPr>
            <w:tcW w:w="1073" w:type="dxa"/>
            <w:vAlign w:val="center"/>
          </w:tcPr>
          <w:p w:rsidR="00BF63A9" w:rsidRPr="00136CDF" w:rsidRDefault="00BF63A9" w:rsidP="00BF63A9">
            <w:pPr>
              <w:spacing w:beforeLines="20" w:afterLines="20"/>
              <w:jc w:val="center"/>
            </w:pPr>
            <w:r w:rsidRPr="00136CDF">
              <w:t>15 bodů</w:t>
            </w:r>
          </w:p>
          <w:p w:rsidR="00BF63A9" w:rsidRPr="00136CDF" w:rsidRDefault="00BF63A9" w:rsidP="00BF63A9">
            <w:pPr>
              <w:spacing w:beforeLines="20" w:afterLines="20"/>
              <w:jc w:val="center"/>
            </w:pPr>
            <w:r w:rsidRPr="00136CDF">
              <w:t>(%)</w:t>
            </w:r>
          </w:p>
        </w:tc>
        <w:tc>
          <w:tcPr>
            <w:tcW w:w="5459" w:type="dxa"/>
            <w:gridSpan w:val="4"/>
            <w:vAlign w:val="center"/>
          </w:tcPr>
          <w:p w:rsidR="00BF63A9" w:rsidRPr="00136CDF" w:rsidRDefault="00BF63A9" w:rsidP="00BF63A9">
            <w:pPr>
              <w:spacing w:beforeLines="20" w:afterLines="20"/>
            </w:pPr>
            <w:r>
              <w:t>Viz příloha č. 1 výzvy</w:t>
            </w:r>
          </w:p>
        </w:tc>
        <w:tc>
          <w:tcPr>
            <w:tcW w:w="1144" w:type="dxa"/>
            <w:vAlign w:val="center"/>
          </w:tcPr>
          <w:p w:rsidR="00BF63A9" w:rsidRPr="00136CDF" w:rsidRDefault="00BF63A9" w:rsidP="00BF63A9">
            <w:pPr>
              <w:spacing w:beforeLines="20" w:afterLines="20"/>
              <w:jc w:val="center"/>
            </w:pPr>
            <w:r>
              <w:t xml:space="preserve">15 </w:t>
            </w:r>
          </w:p>
        </w:tc>
      </w:tr>
      <w:tr w:rsidR="00D451FD" w:rsidRPr="00136CDF" w:rsidTr="00BF63A9"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D451FD" w:rsidRPr="00136CDF" w:rsidRDefault="00B84894" w:rsidP="00BF63A9">
            <w:pPr>
              <w:spacing w:beforeLines="20" w:afterLines="20"/>
              <w:jc w:val="center"/>
            </w:pPr>
            <w:r>
              <w:t>8</w:t>
            </w:r>
          </w:p>
        </w:tc>
        <w:tc>
          <w:tcPr>
            <w:tcW w:w="5586" w:type="dxa"/>
            <w:gridSpan w:val="5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 w:rsidRPr="00136CDF">
              <w:t>Závěrečné zhodnocení</w:t>
            </w:r>
            <w:r>
              <w:t xml:space="preserve"> (celkový komentář)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>x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>x</w:t>
            </w:r>
          </w:p>
        </w:tc>
      </w:tr>
      <w:tr w:rsidR="00D451FD" w:rsidRPr="00136CDF" w:rsidTr="00BF63A9">
        <w:trPr>
          <w:cantSplit/>
          <w:trHeight w:val="567"/>
        </w:trPr>
        <w:tc>
          <w:tcPr>
            <w:tcW w:w="5919" w:type="dxa"/>
            <w:gridSpan w:val="6"/>
            <w:shd w:val="clear" w:color="auto" w:fill="FFC000"/>
            <w:vAlign w:val="center"/>
          </w:tcPr>
          <w:p w:rsidR="00D451FD" w:rsidRPr="00AF67D2" w:rsidRDefault="00D451FD" w:rsidP="00FC0D23">
            <w:pPr>
              <w:pStyle w:val="Nadpis2"/>
              <w:rPr>
                <w:rFonts w:ascii="Times New Roman" w:hAnsi="Times New Roman" w:cs="Times New Roman"/>
                <w:color w:val="auto"/>
              </w:rPr>
            </w:pPr>
            <w:r w:rsidRPr="00AF67D2">
              <w:rPr>
                <w:rFonts w:ascii="Times New Roman" w:hAnsi="Times New Roman" w:cs="Times New Roman"/>
                <w:color w:val="auto"/>
              </w:rPr>
              <w:t>Celkem kritéria</w:t>
            </w:r>
          </w:p>
        </w:tc>
        <w:tc>
          <w:tcPr>
            <w:tcW w:w="3498" w:type="dxa"/>
            <w:gridSpan w:val="2"/>
            <w:shd w:val="clear" w:color="auto" w:fill="FFC000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  <w:rPr>
                <w:b/>
                <w:bCs/>
              </w:rPr>
            </w:pPr>
            <w:r w:rsidRPr="00136CDF">
              <w:rPr>
                <w:b/>
                <w:bCs/>
              </w:rPr>
              <w:t>0 až 100 bodů (%)</w:t>
            </w:r>
          </w:p>
        </w:tc>
      </w:tr>
      <w:tr w:rsidR="00D451FD" w:rsidRPr="00136CDF" w:rsidTr="00BF63A9">
        <w:trPr>
          <w:cantSplit/>
        </w:trPr>
        <w:tc>
          <w:tcPr>
            <w:tcW w:w="5919" w:type="dxa"/>
            <w:gridSpan w:val="6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BF63A9">
            <w:pPr>
              <w:spacing w:beforeLines="20" w:afterLines="20"/>
            </w:pPr>
            <w:r>
              <w:t xml:space="preserve">Kritérium </w:t>
            </w:r>
            <w:r w:rsidRPr="00136CDF">
              <w:t>IPRM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</w:pPr>
            <w:r w:rsidRPr="00136CDF">
              <w:t xml:space="preserve"> 10 % z celkového bodového hodnocení, tj. </w:t>
            </w:r>
            <w:r>
              <w:br/>
            </w:r>
            <w:r w:rsidRPr="00136CDF">
              <w:t xml:space="preserve">max. </w:t>
            </w:r>
            <w:r>
              <w:t xml:space="preserve">6,5 </w:t>
            </w:r>
            <w:r w:rsidRPr="00136CDF">
              <w:t>až 1</w:t>
            </w:r>
            <w:r>
              <w:t>0</w:t>
            </w:r>
            <w:r w:rsidRPr="00136CDF">
              <w:t xml:space="preserve"> bodů</w:t>
            </w:r>
          </w:p>
        </w:tc>
      </w:tr>
      <w:tr w:rsidR="00D451FD" w:rsidRPr="00136CDF" w:rsidTr="00BF63A9">
        <w:trPr>
          <w:cantSplit/>
          <w:trHeight w:val="567"/>
        </w:trPr>
        <w:tc>
          <w:tcPr>
            <w:tcW w:w="5919" w:type="dxa"/>
            <w:gridSpan w:val="6"/>
            <w:shd w:val="clear" w:color="auto" w:fill="FFC000"/>
            <w:vAlign w:val="center"/>
          </w:tcPr>
          <w:p w:rsidR="00D451FD" w:rsidRPr="00136CDF" w:rsidRDefault="00D451FD" w:rsidP="00BF63A9">
            <w:pPr>
              <w:spacing w:beforeLines="20" w:afterLines="20"/>
              <w:rPr>
                <w:b/>
                <w:bCs/>
              </w:rPr>
            </w:pPr>
            <w:r w:rsidRPr="00136CDF">
              <w:rPr>
                <w:b/>
                <w:bCs/>
              </w:rPr>
              <w:t>Celkem včetně kritéria „</w:t>
            </w:r>
            <w:r>
              <w:rPr>
                <w:b/>
                <w:bCs/>
              </w:rPr>
              <w:t>IPRM</w:t>
            </w:r>
            <w:r w:rsidRPr="00136CDF">
              <w:rPr>
                <w:b/>
                <w:bCs/>
              </w:rPr>
              <w:t>“</w:t>
            </w:r>
          </w:p>
        </w:tc>
        <w:tc>
          <w:tcPr>
            <w:tcW w:w="3498" w:type="dxa"/>
            <w:gridSpan w:val="2"/>
            <w:shd w:val="clear" w:color="auto" w:fill="FFC000"/>
            <w:vAlign w:val="center"/>
          </w:tcPr>
          <w:p w:rsidR="00D451FD" w:rsidRPr="00136CDF" w:rsidRDefault="00D451FD" w:rsidP="00BF63A9">
            <w:pPr>
              <w:spacing w:beforeLines="20" w:afterLines="20"/>
              <w:jc w:val="center"/>
              <w:rPr>
                <w:b/>
                <w:bCs/>
              </w:rPr>
            </w:pPr>
            <w:r w:rsidRPr="00136CDF">
              <w:rPr>
                <w:b/>
                <w:bCs/>
              </w:rPr>
              <w:t xml:space="preserve">0 až </w:t>
            </w:r>
            <w:r>
              <w:rPr>
                <w:b/>
                <w:bCs/>
              </w:rPr>
              <w:t>110</w:t>
            </w:r>
            <w:r w:rsidRPr="00136CDF">
              <w:rPr>
                <w:b/>
                <w:bCs/>
              </w:rPr>
              <w:t xml:space="preserve"> bodů</w:t>
            </w:r>
          </w:p>
        </w:tc>
      </w:tr>
    </w:tbl>
    <w:p w:rsidR="00D451FD" w:rsidRDefault="00D451FD" w:rsidP="00D451FD">
      <w:r>
        <w:t>x – jedná se o komentované kritérium</w:t>
      </w:r>
    </w:p>
    <w:p w:rsidR="00D451FD" w:rsidRDefault="00D451FD" w:rsidP="00D451FD"/>
    <w:p w:rsidR="0070589A" w:rsidRPr="0097685D" w:rsidRDefault="0070589A" w:rsidP="002C4160">
      <w:pPr>
        <w:jc w:val="both"/>
        <w:rPr>
          <w:b/>
        </w:rPr>
      </w:pPr>
    </w:p>
    <w:sectPr w:rsidR="0070589A" w:rsidRPr="0097685D" w:rsidSect="002742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09" w:rsidRDefault="001E6F09" w:rsidP="00C37360">
      <w:r>
        <w:separator/>
      </w:r>
    </w:p>
  </w:endnote>
  <w:endnote w:type="continuationSeparator" w:id="0">
    <w:p w:rsidR="001E6F09" w:rsidRDefault="001E6F09" w:rsidP="00C3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5860"/>
      <w:docPartObj>
        <w:docPartGallery w:val="Page Numbers (Bottom of Page)"/>
        <w:docPartUnique/>
      </w:docPartObj>
    </w:sdtPr>
    <w:sdtContent>
      <w:p w:rsidR="001E6F09" w:rsidRDefault="00484C85">
        <w:pPr>
          <w:pStyle w:val="Zpat"/>
          <w:jc w:val="right"/>
        </w:pPr>
        <w:fldSimple w:instr=" PAGE   \* MERGEFORMAT ">
          <w:r w:rsidR="0001723D">
            <w:rPr>
              <w:noProof/>
            </w:rPr>
            <w:t>1</w:t>
          </w:r>
        </w:fldSimple>
      </w:p>
    </w:sdtContent>
  </w:sdt>
  <w:p w:rsidR="001E6F09" w:rsidRDefault="001E6F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09" w:rsidRDefault="001E6F09" w:rsidP="00C37360">
      <w:r>
        <w:separator/>
      </w:r>
    </w:p>
  </w:footnote>
  <w:footnote w:type="continuationSeparator" w:id="0">
    <w:p w:rsidR="001E6F09" w:rsidRDefault="001E6F09" w:rsidP="00C37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351"/>
    <w:multiLevelType w:val="hybridMultilevel"/>
    <w:tmpl w:val="D8D4CE98"/>
    <w:lvl w:ilvl="0" w:tplc="040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>
    <w:nsid w:val="11BB6A76"/>
    <w:multiLevelType w:val="hybridMultilevel"/>
    <w:tmpl w:val="EFCCEF3C"/>
    <w:lvl w:ilvl="0" w:tplc="50EE3C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D3F"/>
    <w:multiLevelType w:val="hybridMultilevel"/>
    <w:tmpl w:val="F3581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34AF"/>
    <w:multiLevelType w:val="hybridMultilevel"/>
    <w:tmpl w:val="85209E40"/>
    <w:lvl w:ilvl="0" w:tplc="B508A0B4">
      <w:start w:val="4"/>
      <w:numFmt w:val="bullet"/>
      <w:lvlText w:val="-"/>
      <w:lvlJc w:val="left"/>
      <w:pPr>
        <w:ind w:left="24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4">
    <w:nsid w:val="21405CAC"/>
    <w:multiLevelType w:val="hybridMultilevel"/>
    <w:tmpl w:val="739EF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135B7"/>
    <w:multiLevelType w:val="hybridMultilevel"/>
    <w:tmpl w:val="AD18E20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F878BD"/>
    <w:multiLevelType w:val="hybridMultilevel"/>
    <w:tmpl w:val="17D47410"/>
    <w:lvl w:ilvl="0" w:tplc="FCA4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872C6"/>
    <w:multiLevelType w:val="hybridMultilevel"/>
    <w:tmpl w:val="90406C4E"/>
    <w:lvl w:ilvl="0" w:tplc="6A42F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80166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E63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83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B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E43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82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E8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189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131AD"/>
    <w:multiLevelType w:val="hybridMultilevel"/>
    <w:tmpl w:val="F9CA456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47119E9"/>
    <w:multiLevelType w:val="hybridMultilevel"/>
    <w:tmpl w:val="FD9ABC94"/>
    <w:lvl w:ilvl="0" w:tplc="FCFAC5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AF0DD1"/>
    <w:multiLevelType w:val="hybridMultilevel"/>
    <w:tmpl w:val="0F6638F6"/>
    <w:lvl w:ilvl="0" w:tplc="7E1A26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32DB7"/>
    <w:multiLevelType w:val="hybridMultilevel"/>
    <w:tmpl w:val="DE4ED2D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E97F50"/>
    <w:multiLevelType w:val="multilevel"/>
    <w:tmpl w:val="FC68E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05D7492"/>
    <w:multiLevelType w:val="hybridMultilevel"/>
    <w:tmpl w:val="B24E1190"/>
    <w:lvl w:ilvl="0" w:tplc="11A431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1B5423"/>
    <w:multiLevelType w:val="hybridMultilevel"/>
    <w:tmpl w:val="C270BAFA"/>
    <w:lvl w:ilvl="0" w:tplc="BB4CFEE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67954B6"/>
    <w:multiLevelType w:val="hybridMultilevel"/>
    <w:tmpl w:val="59F8F0E8"/>
    <w:lvl w:ilvl="0" w:tplc="E1FE5C68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4C9B092A"/>
    <w:multiLevelType w:val="hybridMultilevel"/>
    <w:tmpl w:val="3AD43D9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D4E7BB3"/>
    <w:multiLevelType w:val="multilevel"/>
    <w:tmpl w:val="433CC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8">
    <w:nsid w:val="4EF3738D"/>
    <w:multiLevelType w:val="hybridMultilevel"/>
    <w:tmpl w:val="D7EE7772"/>
    <w:lvl w:ilvl="0" w:tplc="B684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F1699"/>
    <w:multiLevelType w:val="hybridMultilevel"/>
    <w:tmpl w:val="9A2289C8"/>
    <w:lvl w:ilvl="0" w:tplc="31AA9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F1ECE"/>
    <w:multiLevelType w:val="hybridMultilevel"/>
    <w:tmpl w:val="B27E23E0"/>
    <w:lvl w:ilvl="0" w:tplc="BCBC30F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C031F"/>
    <w:multiLevelType w:val="hybridMultilevel"/>
    <w:tmpl w:val="B142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12BC"/>
    <w:multiLevelType w:val="hybridMultilevel"/>
    <w:tmpl w:val="9FCE2FBC"/>
    <w:lvl w:ilvl="0" w:tplc="CFD25208">
      <w:start w:val="1"/>
      <w:numFmt w:val="bullet"/>
      <w:pStyle w:val="od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F1843"/>
    <w:multiLevelType w:val="hybridMultilevel"/>
    <w:tmpl w:val="57DAC05C"/>
    <w:lvl w:ilvl="0" w:tplc="71B2478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F851577"/>
    <w:multiLevelType w:val="hybridMultilevel"/>
    <w:tmpl w:val="0FE2B524"/>
    <w:lvl w:ilvl="0" w:tplc="AD9EF0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23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4"/>
  </w:num>
  <w:num w:numId="14">
    <w:abstractNumId w:val="19"/>
  </w:num>
  <w:num w:numId="15">
    <w:abstractNumId w:val="21"/>
  </w:num>
  <w:num w:numId="16">
    <w:abstractNumId w:val="8"/>
  </w:num>
  <w:num w:numId="17">
    <w:abstractNumId w:val="2"/>
  </w:num>
  <w:num w:numId="18">
    <w:abstractNumId w:val="16"/>
  </w:num>
  <w:num w:numId="19">
    <w:abstractNumId w:val="20"/>
  </w:num>
  <w:num w:numId="20">
    <w:abstractNumId w:val="13"/>
  </w:num>
  <w:num w:numId="21">
    <w:abstractNumId w:val="5"/>
  </w:num>
  <w:num w:numId="22">
    <w:abstractNumId w:val="9"/>
  </w:num>
  <w:num w:numId="23">
    <w:abstractNumId w:val="3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+rD7M/FtH7benvhGSue6e6B92rM=" w:salt="9Obpgc8DfmIsT708QQi+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1CB"/>
    <w:rsid w:val="0000132B"/>
    <w:rsid w:val="00005E70"/>
    <w:rsid w:val="0001723D"/>
    <w:rsid w:val="000226E8"/>
    <w:rsid w:val="0003557A"/>
    <w:rsid w:val="00043338"/>
    <w:rsid w:val="00043544"/>
    <w:rsid w:val="00053525"/>
    <w:rsid w:val="00071415"/>
    <w:rsid w:val="000A2B95"/>
    <w:rsid w:val="000A3213"/>
    <w:rsid w:val="000C1FF6"/>
    <w:rsid w:val="000D029A"/>
    <w:rsid w:val="000D1DA4"/>
    <w:rsid w:val="000E1E7B"/>
    <w:rsid w:val="00103DD8"/>
    <w:rsid w:val="001271CB"/>
    <w:rsid w:val="001464D6"/>
    <w:rsid w:val="00154036"/>
    <w:rsid w:val="00160278"/>
    <w:rsid w:val="00170BBF"/>
    <w:rsid w:val="0017136A"/>
    <w:rsid w:val="0017603D"/>
    <w:rsid w:val="0019604D"/>
    <w:rsid w:val="001B07BE"/>
    <w:rsid w:val="001C6407"/>
    <w:rsid w:val="001E6F09"/>
    <w:rsid w:val="001F3D96"/>
    <w:rsid w:val="002453E5"/>
    <w:rsid w:val="002467FF"/>
    <w:rsid w:val="00246C0A"/>
    <w:rsid w:val="00272709"/>
    <w:rsid w:val="00274231"/>
    <w:rsid w:val="00297018"/>
    <w:rsid w:val="002A1409"/>
    <w:rsid w:val="002A3DB4"/>
    <w:rsid w:val="002B2F6F"/>
    <w:rsid w:val="002B6846"/>
    <w:rsid w:val="002C4160"/>
    <w:rsid w:val="002D70DE"/>
    <w:rsid w:val="002E5188"/>
    <w:rsid w:val="002E5E43"/>
    <w:rsid w:val="002F0270"/>
    <w:rsid w:val="002F1F6D"/>
    <w:rsid w:val="0032453C"/>
    <w:rsid w:val="003501B0"/>
    <w:rsid w:val="00354868"/>
    <w:rsid w:val="0036630B"/>
    <w:rsid w:val="00372BF8"/>
    <w:rsid w:val="003944CE"/>
    <w:rsid w:val="003A750A"/>
    <w:rsid w:val="003D6AFE"/>
    <w:rsid w:val="00413AA4"/>
    <w:rsid w:val="00415B5C"/>
    <w:rsid w:val="004317C8"/>
    <w:rsid w:val="00455069"/>
    <w:rsid w:val="00462CFF"/>
    <w:rsid w:val="00464672"/>
    <w:rsid w:val="00471961"/>
    <w:rsid w:val="00475F82"/>
    <w:rsid w:val="00480073"/>
    <w:rsid w:val="00484C85"/>
    <w:rsid w:val="004D5D78"/>
    <w:rsid w:val="004E2560"/>
    <w:rsid w:val="004F4393"/>
    <w:rsid w:val="00505809"/>
    <w:rsid w:val="0051459D"/>
    <w:rsid w:val="00553D0A"/>
    <w:rsid w:val="00563DCD"/>
    <w:rsid w:val="00567A53"/>
    <w:rsid w:val="00573D7D"/>
    <w:rsid w:val="00575286"/>
    <w:rsid w:val="005938E3"/>
    <w:rsid w:val="005B3F4F"/>
    <w:rsid w:val="005B4D4B"/>
    <w:rsid w:val="005D3E39"/>
    <w:rsid w:val="005E7927"/>
    <w:rsid w:val="005F20D8"/>
    <w:rsid w:val="00640AE3"/>
    <w:rsid w:val="006A5472"/>
    <w:rsid w:val="006B5ADC"/>
    <w:rsid w:val="006B640C"/>
    <w:rsid w:val="006C5932"/>
    <w:rsid w:val="006D2DEE"/>
    <w:rsid w:val="006D78C5"/>
    <w:rsid w:val="0070589A"/>
    <w:rsid w:val="0071699D"/>
    <w:rsid w:val="007378E5"/>
    <w:rsid w:val="007673D9"/>
    <w:rsid w:val="00775959"/>
    <w:rsid w:val="007F0600"/>
    <w:rsid w:val="007F11A1"/>
    <w:rsid w:val="007F342B"/>
    <w:rsid w:val="008066BE"/>
    <w:rsid w:val="008A7AB1"/>
    <w:rsid w:val="008F1BD0"/>
    <w:rsid w:val="008F43A7"/>
    <w:rsid w:val="00903B93"/>
    <w:rsid w:val="0097685D"/>
    <w:rsid w:val="00990DF2"/>
    <w:rsid w:val="009B0CC9"/>
    <w:rsid w:val="009B23C4"/>
    <w:rsid w:val="009B3463"/>
    <w:rsid w:val="009E581C"/>
    <w:rsid w:val="009F4276"/>
    <w:rsid w:val="00A0432D"/>
    <w:rsid w:val="00A25E6B"/>
    <w:rsid w:val="00A307DE"/>
    <w:rsid w:val="00A4525B"/>
    <w:rsid w:val="00A56001"/>
    <w:rsid w:val="00A652E1"/>
    <w:rsid w:val="00A82DCF"/>
    <w:rsid w:val="00A95BD0"/>
    <w:rsid w:val="00A96FE8"/>
    <w:rsid w:val="00AB5444"/>
    <w:rsid w:val="00AC1730"/>
    <w:rsid w:val="00AC3A50"/>
    <w:rsid w:val="00AC71D5"/>
    <w:rsid w:val="00AF67D2"/>
    <w:rsid w:val="00B05EBA"/>
    <w:rsid w:val="00B0680C"/>
    <w:rsid w:val="00B133BE"/>
    <w:rsid w:val="00B144FF"/>
    <w:rsid w:val="00B36AC5"/>
    <w:rsid w:val="00B84894"/>
    <w:rsid w:val="00BA4369"/>
    <w:rsid w:val="00BC1DB9"/>
    <w:rsid w:val="00BD6D0C"/>
    <w:rsid w:val="00BF63A9"/>
    <w:rsid w:val="00C03FFB"/>
    <w:rsid w:val="00C2355B"/>
    <w:rsid w:val="00C37360"/>
    <w:rsid w:val="00C42C66"/>
    <w:rsid w:val="00C50D8C"/>
    <w:rsid w:val="00C76130"/>
    <w:rsid w:val="00C95707"/>
    <w:rsid w:val="00CB7F1C"/>
    <w:rsid w:val="00CC0E8F"/>
    <w:rsid w:val="00CD4345"/>
    <w:rsid w:val="00CD5C1E"/>
    <w:rsid w:val="00D231D5"/>
    <w:rsid w:val="00D25787"/>
    <w:rsid w:val="00D31A94"/>
    <w:rsid w:val="00D451FD"/>
    <w:rsid w:val="00D479E1"/>
    <w:rsid w:val="00D76358"/>
    <w:rsid w:val="00D92870"/>
    <w:rsid w:val="00DC3092"/>
    <w:rsid w:val="00DC4C11"/>
    <w:rsid w:val="00DD2B03"/>
    <w:rsid w:val="00DE3AC3"/>
    <w:rsid w:val="00DF2060"/>
    <w:rsid w:val="00E06748"/>
    <w:rsid w:val="00E21167"/>
    <w:rsid w:val="00E3151A"/>
    <w:rsid w:val="00E52889"/>
    <w:rsid w:val="00E5798E"/>
    <w:rsid w:val="00E6162A"/>
    <w:rsid w:val="00E744C7"/>
    <w:rsid w:val="00E85499"/>
    <w:rsid w:val="00EA55D9"/>
    <w:rsid w:val="00EC62FB"/>
    <w:rsid w:val="00ED2014"/>
    <w:rsid w:val="00F714A5"/>
    <w:rsid w:val="00F835E5"/>
    <w:rsid w:val="00F931D6"/>
    <w:rsid w:val="00F93A29"/>
    <w:rsid w:val="00FB1B6C"/>
    <w:rsid w:val="00FC7A1E"/>
    <w:rsid w:val="00FD58EB"/>
    <w:rsid w:val="00FE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70589A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51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70589A"/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nhideWhenUsed/>
    <w:rsid w:val="0070589A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70589A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paragraph" w:styleId="Odstavecseseznamem">
    <w:name w:val="List Paragraph"/>
    <w:basedOn w:val="Normln"/>
    <w:uiPriority w:val="34"/>
    <w:qFormat/>
    <w:rsid w:val="0070589A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70589A"/>
    <w:pPr>
      <w:spacing w:before="120"/>
      <w:ind w:firstLine="709"/>
      <w:jc w:val="both"/>
    </w:pPr>
    <w:rPr>
      <w:bCs/>
    </w:rPr>
  </w:style>
  <w:style w:type="paragraph" w:customStyle="1" w:styleId="odr1">
    <w:name w:val="odr1"/>
    <w:basedOn w:val="Normln"/>
    <w:rsid w:val="00573D7D"/>
    <w:pPr>
      <w:numPr>
        <w:numId w:val="11"/>
      </w:numPr>
      <w:spacing w:after="12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0E1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E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E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E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E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E7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7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73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3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5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tucne">
    <w:name w:val="tucne"/>
    <w:basedOn w:val="Standardnpsmoodstavce"/>
    <w:rsid w:val="00D451FD"/>
    <w:rPr>
      <w:b/>
      <w:bCs/>
    </w:rPr>
  </w:style>
  <w:style w:type="paragraph" w:styleId="Textpoznpodarou">
    <w:name w:val="footnote text"/>
    <w:basedOn w:val="Normln"/>
    <w:link w:val="TextpoznpodarouChar"/>
    <w:rsid w:val="00D451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51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D451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D78D-AD98-4A48-9F8E-81FBCECD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Kateřina Bučková</cp:lastModifiedBy>
  <cp:revision>11</cp:revision>
  <cp:lastPrinted>2011-01-03T08:35:00Z</cp:lastPrinted>
  <dcterms:created xsi:type="dcterms:W3CDTF">2010-12-15T10:04:00Z</dcterms:created>
  <dcterms:modified xsi:type="dcterms:W3CDTF">2011-01-11T12:51:00Z</dcterms:modified>
</cp:coreProperties>
</file>