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A0" w:rsidRDefault="004746A0" w:rsidP="004746A0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bCs/>
          <w:kern w:val="36"/>
        </w:rPr>
      </w:pPr>
      <w:r w:rsidRPr="004746A0">
        <w:rPr>
          <w:bCs/>
          <w:noProof/>
          <w:kern w:val="36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-614045</wp:posOffset>
            </wp:positionV>
            <wp:extent cx="5745480" cy="1400175"/>
            <wp:effectExtent l="19050" t="0" r="7620" b="0"/>
            <wp:wrapSquare wrapText="largest"/>
            <wp:docPr id="3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46A0" w:rsidRDefault="004746A0" w:rsidP="004746A0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bCs/>
          <w:kern w:val="36"/>
        </w:rPr>
      </w:pPr>
    </w:p>
    <w:p w:rsidR="004746A0" w:rsidRDefault="004746A0" w:rsidP="004746A0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bCs/>
          <w:kern w:val="36"/>
        </w:rPr>
      </w:pPr>
      <w:r>
        <w:rPr>
          <w:bCs/>
          <w:kern w:val="36"/>
        </w:rPr>
        <w:tab/>
      </w:r>
      <w:r>
        <w:rPr>
          <w:bCs/>
          <w:kern w:val="36"/>
        </w:rPr>
        <w:tab/>
      </w:r>
      <w:r>
        <w:rPr>
          <w:bCs/>
          <w:kern w:val="36"/>
        </w:rPr>
        <w:tab/>
      </w:r>
      <w:r>
        <w:rPr>
          <w:bCs/>
          <w:kern w:val="36"/>
        </w:rPr>
        <w:tab/>
      </w:r>
      <w:r>
        <w:rPr>
          <w:bCs/>
          <w:kern w:val="36"/>
        </w:rPr>
        <w:tab/>
      </w:r>
      <w:r>
        <w:rPr>
          <w:bCs/>
          <w:kern w:val="36"/>
        </w:rPr>
        <w:tab/>
      </w:r>
      <w:r>
        <w:rPr>
          <w:bCs/>
          <w:kern w:val="36"/>
        </w:rPr>
        <w:tab/>
        <w:t xml:space="preserve">Č. j.: </w:t>
      </w:r>
      <w:r w:rsidRPr="00DB794B">
        <w:rPr>
          <w:bCs/>
          <w:kern w:val="36"/>
        </w:rPr>
        <w:t>2069/2010-41</w:t>
      </w:r>
    </w:p>
    <w:p w:rsidR="00F52C5F" w:rsidRDefault="00F52C5F" w:rsidP="004746A0">
      <w:pPr>
        <w:ind w:left="5664" w:right="48" w:firstLine="708"/>
        <w:jc w:val="center"/>
      </w:pPr>
    </w:p>
    <w:p w:rsidR="00F52C5F" w:rsidRDefault="00F52C5F" w:rsidP="00F52C5F">
      <w:pPr>
        <w:ind w:left="5664" w:right="48" w:firstLine="708"/>
        <w:jc w:val="right"/>
      </w:pPr>
    </w:p>
    <w:p w:rsidR="00F52C5F" w:rsidRDefault="00F52C5F" w:rsidP="00F52C5F">
      <w:pPr>
        <w:ind w:left="5664" w:right="48" w:firstLine="708"/>
        <w:jc w:val="right"/>
      </w:pPr>
    </w:p>
    <w:p w:rsidR="004746A0" w:rsidRDefault="00200D1D" w:rsidP="00F52C5F">
      <w:pPr>
        <w:ind w:left="5664" w:right="48" w:firstLine="708"/>
        <w:jc w:val="right"/>
      </w:pPr>
      <w:r>
        <w:t xml:space="preserve">Č. j.: </w:t>
      </w:r>
      <w:r w:rsidR="00F52C5F">
        <w:t>32544/2010-41</w:t>
      </w:r>
    </w:p>
    <w:p w:rsidR="00F52C5F" w:rsidRDefault="00F52C5F" w:rsidP="00F52C5F">
      <w:pPr>
        <w:ind w:left="5664" w:right="48" w:firstLine="708"/>
        <w:jc w:val="right"/>
      </w:pPr>
    </w:p>
    <w:p w:rsidR="00F52C5F" w:rsidRDefault="00F52C5F" w:rsidP="00F52C5F">
      <w:pPr>
        <w:ind w:left="5664" w:right="48" w:firstLine="708"/>
        <w:jc w:val="right"/>
      </w:pPr>
    </w:p>
    <w:p w:rsidR="00F52C5F" w:rsidRDefault="00F52C5F" w:rsidP="00F52C5F">
      <w:pPr>
        <w:ind w:left="5664" w:right="48" w:firstLine="708"/>
        <w:jc w:val="right"/>
        <w:rPr>
          <w:b/>
          <w:bCs/>
        </w:rPr>
      </w:pPr>
    </w:p>
    <w:p w:rsidR="004746A0" w:rsidRDefault="00F52C5F" w:rsidP="004746A0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Příloha č. </w:t>
      </w:r>
      <w:r w:rsidR="004746A0">
        <w:rPr>
          <w:b/>
          <w:color w:val="000080"/>
          <w:sz w:val="32"/>
          <w:szCs w:val="32"/>
        </w:rPr>
        <w:t>4</w:t>
      </w:r>
    </w:p>
    <w:p w:rsidR="004746A0" w:rsidRDefault="004746A0" w:rsidP="004746A0">
      <w:pPr>
        <w:tabs>
          <w:tab w:val="left" w:pos="2580"/>
        </w:tabs>
        <w:autoSpaceDE w:val="0"/>
        <w:autoSpaceDN w:val="0"/>
        <w:adjustRightInd w:val="0"/>
        <w:jc w:val="center"/>
      </w:pPr>
      <w:r>
        <w:t>výzvy k předkládání žádostí o finanční podporu z </w:t>
      </w:r>
      <w:proofErr w:type="gramStart"/>
      <w:r>
        <w:t>OP</w:t>
      </w:r>
      <w:proofErr w:type="gramEnd"/>
      <w:r>
        <w:t xml:space="preserve"> VK</w:t>
      </w:r>
    </w:p>
    <w:p w:rsidR="004746A0" w:rsidRDefault="004746A0" w:rsidP="004746A0">
      <w:pPr>
        <w:tabs>
          <w:tab w:val="left" w:pos="2580"/>
        </w:tabs>
        <w:autoSpaceDE w:val="0"/>
        <w:autoSpaceDN w:val="0"/>
        <w:adjustRightInd w:val="0"/>
        <w:jc w:val="center"/>
        <w:rPr>
          <w:szCs w:val="22"/>
        </w:rPr>
      </w:pPr>
      <w:r>
        <w:t>Oblast podpory 2.2 Vysokoškolské vzdělávání</w:t>
      </w:r>
    </w:p>
    <w:p w:rsidR="004746A0" w:rsidRDefault="004746A0" w:rsidP="004746A0">
      <w:pPr>
        <w:jc w:val="center"/>
        <w:rPr>
          <w:b/>
          <w:sz w:val="28"/>
          <w:szCs w:val="28"/>
        </w:rPr>
      </w:pPr>
    </w:p>
    <w:p w:rsidR="004746A0" w:rsidRPr="001060F8" w:rsidRDefault="004746A0" w:rsidP="00474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Principy partnerství a p</w:t>
      </w:r>
      <w:r w:rsidRPr="001060F8">
        <w:rPr>
          <w:b/>
          <w:sz w:val="28"/>
          <w:szCs w:val="28"/>
        </w:rPr>
        <w:t>rohlášení o partnerství</w:t>
      </w:r>
    </w:p>
    <w:p w:rsidR="004746A0" w:rsidRDefault="004746A0" w:rsidP="004746A0">
      <w:pPr>
        <w:tabs>
          <w:tab w:val="left" w:pos="2580"/>
        </w:tabs>
        <w:autoSpaceDE w:val="0"/>
        <w:autoSpaceDN w:val="0"/>
        <w:adjustRightInd w:val="0"/>
        <w:jc w:val="center"/>
        <w:rPr>
          <w:szCs w:val="22"/>
        </w:rPr>
      </w:pPr>
    </w:p>
    <w:p w:rsidR="004746A0" w:rsidRPr="00D5313E" w:rsidRDefault="004746A0" w:rsidP="004746A0">
      <w:pPr>
        <w:tabs>
          <w:tab w:val="left" w:pos="2580"/>
        </w:tabs>
        <w:autoSpaceDE w:val="0"/>
        <w:autoSpaceDN w:val="0"/>
        <w:adjustRightInd w:val="0"/>
        <w:jc w:val="both"/>
        <w:rPr>
          <w:szCs w:val="22"/>
        </w:rPr>
      </w:pPr>
    </w:p>
    <w:p w:rsidR="004746A0" w:rsidRPr="00BE5BBF" w:rsidRDefault="004746A0" w:rsidP="00C3490E">
      <w:pPr>
        <w:spacing w:after="60"/>
        <w:jc w:val="both"/>
      </w:pPr>
      <w:r w:rsidRPr="00BE5BBF">
        <w:t xml:space="preserve">Partnerství je smluvní vztah mezi žadatelem o finanční podporu a jiným subjektem, resp. subjekty, který se zakládá na společném zájmu a společné odpovědnosti při přípravě a realizaci projektů financovaných z ESF a státního </w:t>
      </w:r>
      <w:r>
        <w:t>roz</w:t>
      </w:r>
      <w:r w:rsidRPr="00BE5BBF">
        <w:t xml:space="preserve">počtu ČR. </w:t>
      </w:r>
    </w:p>
    <w:p w:rsidR="004746A0" w:rsidRPr="00BE5BBF" w:rsidRDefault="004746A0" w:rsidP="00C3490E">
      <w:pPr>
        <w:spacing w:after="60"/>
        <w:jc w:val="both"/>
        <w:rPr>
          <w:i/>
        </w:rPr>
      </w:pPr>
      <w:r w:rsidRPr="00BE5BBF">
        <w:t xml:space="preserve">Výdaje partnerských subjektů, které vzniknou při realizaci podpořeného projektu, jsou součástí rozpočtu projektu a jsou </w:t>
      </w:r>
      <w:r>
        <w:t>způsobilé</w:t>
      </w:r>
      <w:r w:rsidRPr="00BE5BBF">
        <w:t xml:space="preserve"> za stejných podmínek, jaké jsou stanoveny pro </w:t>
      </w:r>
      <w:r>
        <w:t>způsobilost</w:t>
      </w:r>
      <w:r w:rsidRPr="00BE5BBF">
        <w:t xml:space="preserve"> výdajů žadatele v </w:t>
      </w:r>
      <w:r w:rsidRPr="00BE5BBF">
        <w:rPr>
          <w:i/>
        </w:rPr>
        <w:t xml:space="preserve">Příručce pro žadatele o </w:t>
      </w:r>
      <w:r>
        <w:rPr>
          <w:i/>
        </w:rPr>
        <w:t>finanční podporu v rámci OP VK.</w:t>
      </w:r>
    </w:p>
    <w:p w:rsidR="004746A0" w:rsidRPr="00BE5BBF" w:rsidRDefault="004746A0" w:rsidP="00C3490E">
      <w:pPr>
        <w:spacing w:after="60"/>
        <w:jc w:val="both"/>
      </w:pPr>
      <w:r w:rsidRPr="00BE5BBF">
        <w:t>Žadatel je povinen zajistit, aby</w:t>
      </w:r>
      <w:r>
        <w:t xml:space="preserve"> vztahy mezi</w:t>
      </w:r>
      <w:r w:rsidRPr="00BE5BBF">
        <w:t xml:space="preserve"> ním a partnery odpovídaly všem podmínkám a principům partnerství uvedeným v </w:t>
      </w:r>
      <w:r w:rsidRPr="00BE5BBF">
        <w:rPr>
          <w:i/>
        </w:rPr>
        <w:t>Příručce pro příjemce finanční podpory v rámci OP VK.</w:t>
      </w:r>
    </w:p>
    <w:p w:rsidR="004746A0" w:rsidRPr="00BE5BBF" w:rsidRDefault="004746A0" w:rsidP="00C3490E">
      <w:pPr>
        <w:spacing w:after="60"/>
        <w:jc w:val="both"/>
      </w:pPr>
      <w:r w:rsidRPr="00BE5BBF">
        <w:t xml:space="preserve">Vztah partnerství při realizaci projektu nesmí nahrazovat dodavatelské vztahy. Partnerstvím nesmí být obcházen </w:t>
      </w:r>
      <w:r>
        <w:t>zákon č. 137/2006 Sb. o veřejných zakázkách, ve znění pozdějších předpisů</w:t>
      </w:r>
      <w:r w:rsidR="00200D1D">
        <w:t>, ani pokyny Řídi</w:t>
      </w:r>
      <w:r w:rsidRPr="00BE5BBF">
        <w:t>cího orgánu pro vý</w:t>
      </w:r>
      <w:r w:rsidR="00F52C5F">
        <w:t>běrová řízení v rámci OP VK.</w:t>
      </w:r>
    </w:p>
    <w:p w:rsidR="004746A0" w:rsidRPr="00BE5BBF" w:rsidRDefault="004746A0" w:rsidP="004746A0">
      <w:pPr>
        <w:jc w:val="both"/>
      </w:pPr>
    </w:p>
    <w:p w:rsidR="004746A0" w:rsidRPr="00BE5BBF" w:rsidRDefault="004746A0" w:rsidP="004746A0">
      <w:pPr>
        <w:jc w:val="both"/>
      </w:pPr>
      <w:r w:rsidRPr="00BE5BBF">
        <w:t>Principy řádného partnerství</w:t>
      </w:r>
    </w:p>
    <w:p w:rsidR="004746A0" w:rsidRPr="00BE5BBF" w:rsidRDefault="004746A0" w:rsidP="004746A0">
      <w:pPr>
        <w:jc w:val="both"/>
      </w:pPr>
    </w:p>
    <w:p w:rsidR="004746A0" w:rsidRDefault="004746A0" w:rsidP="004746A0">
      <w:pPr>
        <w:numPr>
          <w:ilvl w:val="0"/>
          <w:numId w:val="1"/>
        </w:numPr>
        <w:jc w:val="both"/>
      </w:pPr>
      <w:r w:rsidRPr="00BE5BBF">
        <w:t>Všichni partneři si žádost o podporu přečetli a jsou seznámeni se svou rolí v projektu.</w:t>
      </w:r>
    </w:p>
    <w:p w:rsidR="004746A0" w:rsidRPr="00044FA2" w:rsidRDefault="004746A0" w:rsidP="004746A0">
      <w:pPr>
        <w:numPr>
          <w:ilvl w:val="0"/>
          <w:numId w:val="1"/>
        </w:numPr>
        <w:jc w:val="both"/>
        <w:rPr>
          <w:i/>
          <w:u w:val="single"/>
        </w:rPr>
      </w:pPr>
      <w:r>
        <w:t>Žadatel před podpisem Rozhodnutí o poskytnutí dotace předkládá</w:t>
      </w:r>
      <w:r w:rsidRPr="00044FA2">
        <w:t xml:space="preserve"> </w:t>
      </w:r>
      <w:r w:rsidRPr="00BE5BBF">
        <w:t>poskytovateli podpory ověřené kopie smluv s každým partnerem</w:t>
      </w:r>
      <w:r>
        <w:t>.</w:t>
      </w:r>
    </w:p>
    <w:p w:rsidR="004746A0" w:rsidRPr="00BE5BBF" w:rsidRDefault="004746A0" w:rsidP="004746A0">
      <w:pPr>
        <w:numPr>
          <w:ilvl w:val="0"/>
          <w:numId w:val="1"/>
        </w:numPr>
        <w:jc w:val="both"/>
      </w:pPr>
      <w:r w:rsidRPr="00BE5BBF">
        <w:t>Žadatel povede se svými partnery pravidelné konzultace a bude je plně informovat o postupu přípravy projektu.</w:t>
      </w:r>
      <w:r>
        <w:t xml:space="preserve"> Partner se s žadatelem podílí na přípravě projektu. </w:t>
      </w:r>
    </w:p>
    <w:p w:rsidR="004746A0" w:rsidRPr="00BE5BBF" w:rsidRDefault="004746A0" w:rsidP="004746A0">
      <w:pPr>
        <w:numPr>
          <w:ilvl w:val="0"/>
          <w:numId w:val="1"/>
        </w:numPr>
        <w:jc w:val="both"/>
      </w:pPr>
      <w:r w:rsidRPr="00BE5BBF">
        <w:t xml:space="preserve">Příjemce podpory povede se svými partnery pravidelné konzultace a bude je plně informovat o realizaci projektu. </w:t>
      </w:r>
      <w:r>
        <w:t>Partner se s příjemcem podílí na realizaci projektu.</w:t>
      </w:r>
    </w:p>
    <w:p w:rsidR="004746A0" w:rsidRPr="00BE5BBF" w:rsidRDefault="004746A0" w:rsidP="004746A0">
      <w:pPr>
        <w:numPr>
          <w:ilvl w:val="0"/>
          <w:numId w:val="1"/>
        </w:numPr>
        <w:jc w:val="both"/>
      </w:pPr>
      <w:r w:rsidRPr="00BE5BBF">
        <w:t xml:space="preserve">Každý partner obdrží kopie všech monitorovacích zpráv, které příjemce zpracuje pro poskytovatele podpory. </w:t>
      </w:r>
    </w:p>
    <w:p w:rsidR="004746A0" w:rsidRPr="00BE5BBF" w:rsidRDefault="004746A0" w:rsidP="004746A0">
      <w:pPr>
        <w:numPr>
          <w:ilvl w:val="0"/>
          <w:numId w:val="1"/>
        </w:numPr>
        <w:jc w:val="both"/>
      </w:pPr>
      <w:r w:rsidRPr="00BE5BBF">
        <w:t>Navrhované podstatné změny projektu musí být partnerem odsouhlaseny dřív, než je příjemce podpor</w:t>
      </w:r>
      <w:r>
        <w:t>y předloží poskytovateli podpory</w:t>
      </w:r>
      <w:r w:rsidRPr="00BE5BBF">
        <w:t>.</w:t>
      </w:r>
      <w:r>
        <w:t xml:space="preserve"> </w:t>
      </w:r>
      <w:r w:rsidRPr="00BE5BBF">
        <w:t xml:space="preserve">Pokud partner nebo některý z partnerů navrhované podstatné změny projektu neodsouhlasí, je příjemce podpory povinen tuto skutečnost uvést ve své žádosti o podstatnou změnu projektu, předkládané poskytovateli podpory. </w:t>
      </w:r>
    </w:p>
    <w:p w:rsidR="004746A0" w:rsidRPr="00BE5BBF" w:rsidRDefault="004746A0" w:rsidP="004746A0">
      <w:pPr>
        <w:numPr>
          <w:ilvl w:val="0"/>
          <w:numId w:val="1"/>
        </w:numPr>
        <w:jc w:val="both"/>
      </w:pPr>
      <w:r w:rsidRPr="00BE5BBF">
        <w:t xml:space="preserve">Zařízení hrazené z poskytnuté podpory a užívané partnerem příjemce podpory musí být inventarizováno a označeno stejně jako zařízení užívané příjemcem podpory. </w:t>
      </w:r>
    </w:p>
    <w:p w:rsidR="004746A0" w:rsidRPr="00BE5BBF" w:rsidRDefault="004746A0" w:rsidP="004746A0">
      <w:pPr>
        <w:numPr>
          <w:ilvl w:val="0"/>
          <w:numId w:val="1"/>
        </w:numPr>
        <w:jc w:val="both"/>
      </w:pPr>
      <w:r w:rsidRPr="00BE5BBF">
        <w:lastRenderedPageBreak/>
        <w:t xml:space="preserve">Před ukončením projektu musí partneři schválit rozdělení zařízení a spotřebního materiálu, hrazeného z poskytnuté podpory, mezi partnery. Zařízení a spotřební materiál nakoupený z poskytnuté podpory </w:t>
      </w:r>
      <w:r>
        <w:t xml:space="preserve">nesmí být </w:t>
      </w:r>
      <w:r w:rsidRPr="00AB06EC">
        <w:t>po dobu pěti let</w:t>
      </w:r>
      <w:r>
        <w:t xml:space="preserve"> po realizaci projektu převeden mimo ČR.</w:t>
      </w:r>
      <w:r w:rsidRPr="00BE5BBF">
        <w:t xml:space="preserve"> Kopie převodních listin (darovacích smluv) spolu se seznamem převáděného či darovaného zařízení či spotřebního materiálu je příjemce podpory povinen předložit poskytovateli se závěrečnou monitorovací zprávou.</w:t>
      </w:r>
    </w:p>
    <w:p w:rsidR="004746A0" w:rsidRDefault="004746A0" w:rsidP="004746A0"/>
    <w:p w:rsidR="004746A0" w:rsidRDefault="004746A0" w:rsidP="004746A0"/>
    <w:p w:rsidR="00C3490E" w:rsidRPr="00BE5BBF" w:rsidRDefault="00C3490E" w:rsidP="004746A0"/>
    <w:p w:rsidR="004746A0" w:rsidRPr="00F402D5" w:rsidRDefault="004746A0" w:rsidP="004746A0">
      <w:pPr>
        <w:jc w:val="center"/>
        <w:rPr>
          <w:b/>
        </w:rPr>
      </w:pPr>
      <w:r w:rsidRPr="00F402D5">
        <w:rPr>
          <w:b/>
        </w:rPr>
        <w:t>Prohlášení o partnerství</w:t>
      </w:r>
    </w:p>
    <w:p w:rsidR="004746A0" w:rsidRPr="00BE5BBF" w:rsidRDefault="004746A0" w:rsidP="004746A0"/>
    <w:p w:rsidR="004746A0" w:rsidRPr="00BE5BBF" w:rsidRDefault="004746A0" w:rsidP="004746A0">
      <w:pPr>
        <w:jc w:val="both"/>
      </w:pPr>
      <w:r w:rsidRPr="00BE5BBF">
        <w:t xml:space="preserve">Organizace / subjekt </w:t>
      </w:r>
      <w:r w:rsidR="00C3490E">
        <w:tab/>
      </w:r>
      <w:sdt>
        <w:sdtPr>
          <w:id w:val="10129766"/>
          <w:placeholder>
            <w:docPart w:val="DefaultPlaceholder_22675703"/>
          </w:placeholder>
          <w:text/>
        </w:sdtPr>
        <w:sdtContent>
          <w:r w:rsidR="00C3490E">
            <w:t>……………</w:t>
          </w:r>
        </w:sdtContent>
      </w:sdt>
    </w:p>
    <w:p w:rsidR="004746A0" w:rsidRPr="00BE5BBF" w:rsidRDefault="004746A0" w:rsidP="004746A0">
      <w:pPr>
        <w:jc w:val="both"/>
      </w:pPr>
    </w:p>
    <w:p w:rsidR="004746A0" w:rsidRPr="00BE5BBF" w:rsidRDefault="004746A0" w:rsidP="00C3490E">
      <w:pPr>
        <w:tabs>
          <w:tab w:val="left" w:pos="2127"/>
        </w:tabs>
        <w:jc w:val="both"/>
      </w:pPr>
      <w:r w:rsidRPr="00BE5BBF">
        <w:t xml:space="preserve">se sídlem </w:t>
      </w:r>
      <w:r w:rsidR="00C3490E">
        <w:tab/>
      </w:r>
      <w:sdt>
        <w:sdtPr>
          <w:id w:val="10129768"/>
          <w:placeholder>
            <w:docPart w:val="DefaultPlaceholder_22675703"/>
          </w:placeholder>
          <w:text/>
        </w:sdtPr>
        <w:sdtContent>
          <w:r w:rsidR="00C3490E">
            <w:t>……………</w:t>
          </w:r>
        </w:sdtContent>
      </w:sdt>
    </w:p>
    <w:p w:rsidR="004746A0" w:rsidRPr="00BE5BBF" w:rsidRDefault="004746A0" w:rsidP="004746A0">
      <w:pPr>
        <w:jc w:val="both"/>
      </w:pPr>
    </w:p>
    <w:p w:rsidR="004746A0" w:rsidRDefault="004746A0" w:rsidP="00C3490E">
      <w:pPr>
        <w:tabs>
          <w:tab w:val="left" w:pos="5387"/>
        </w:tabs>
        <w:jc w:val="both"/>
      </w:pPr>
      <w:r w:rsidRPr="00BE5BBF">
        <w:t>zastoupený statutárním zástupcem / oprávněnou osobou</w:t>
      </w:r>
      <w:r w:rsidR="00C3490E">
        <w:tab/>
        <w:t xml:space="preserve"> </w:t>
      </w:r>
      <w:sdt>
        <w:sdtPr>
          <w:id w:val="10129770"/>
          <w:placeholder>
            <w:docPart w:val="DefaultPlaceholder_22675703"/>
          </w:placeholder>
          <w:text/>
        </w:sdtPr>
        <w:sdtContent>
          <w:r w:rsidR="00C3490E">
            <w:t>……………</w:t>
          </w:r>
        </w:sdtContent>
      </w:sdt>
    </w:p>
    <w:p w:rsidR="004746A0" w:rsidRPr="00BE5BBF" w:rsidRDefault="004746A0" w:rsidP="004746A0">
      <w:pPr>
        <w:jc w:val="both"/>
      </w:pPr>
    </w:p>
    <w:p w:rsidR="004746A0" w:rsidRDefault="004746A0" w:rsidP="004746A0">
      <w:pPr>
        <w:jc w:val="both"/>
      </w:pPr>
      <w:r w:rsidRPr="00BE5BBF">
        <w:t xml:space="preserve">potvrzuje, že </w:t>
      </w:r>
    </w:p>
    <w:p w:rsidR="00C3490E" w:rsidRDefault="004746A0" w:rsidP="004746A0">
      <w:pPr>
        <w:pStyle w:val="Odstavecseseznamem"/>
        <w:numPr>
          <w:ilvl w:val="0"/>
          <w:numId w:val="3"/>
        </w:numPr>
        <w:tabs>
          <w:tab w:val="left" w:pos="0"/>
        </w:tabs>
        <w:jc w:val="both"/>
      </w:pPr>
      <w:r w:rsidRPr="00BE5BBF">
        <w:t>s projektem žádajíc</w:t>
      </w:r>
      <w:r>
        <w:t xml:space="preserve">ím o podporu v rámci OP VK </w:t>
      </w:r>
      <w:sdt>
        <w:sdtPr>
          <w:id w:val="10129774"/>
          <w:placeholder>
            <w:docPart w:val="DefaultPlaceholder_22675703"/>
          </w:placeholder>
          <w:text/>
        </w:sdtPr>
        <w:sdtContent>
          <w:r w:rsidR="00C3490E">
            <w:t xml:space="preserve"> (úplný název projektu)………</w:t>
          </w:r>
        </w:sdtContent>
      </w:sdt>
      <w:r>
        <w:t xml:space="preserve">, jehož žadatelem </w:t>
      </w:r>
      <w:sdt>
        <w:sdtPr>
          <w:id w:val="10129778"/>
          <w:placeholder>
            <w:docPart w:val="DefaultPlaceholder_22675703"/>
          </w:placeholder>
          <w:text/>
        </w:sdtPr>
        <w:sdtContent>
          <w:r w:rsidR="00C3490E">
            <w:t xml:space="preserve">(úplný název </w:t>
          </w:r>
          <w:r w:rsidR="00150E3E">
            <w:t>žadatele včetně IČ</w:t>
          </w:r>
          <w:r w:rsidR="00C3490E">
            <w:t>)………</w:t>
          </w:r>
        </w:sdtContent>
      </w:sdt>
      <w:r w:rsidR="00C3490E">
        <w:t xml:space="preserve"> </w:t>
      </w:r>
      <w:r w:rsidRPr="00BE5BBF">
        <w:t>je plně obeznámen a souhlasí s jeho obsahem;</w:t>
      </w:r>
    </w:p>
    <w:p w:rsidR="00C3490E" w:rsidRDefault="004746A0" w:rsidP="004746A0">
      <w:pPr>
        <w:pStyle w:val="Odstavecseseznamem"/>
        <w:numPr>
          <w:ilvl w:val="0"/>
          <w:numId w:val="3"/>
        </w:numPr>
        <w:tabs>
          <w:tab w:val="left" w:pos="0"/>
        </w:tabs>
        <w:jc w:val="both"/>
      </w:pPr>
      <w:proofErr w:type="gramStart"/>
      <w:r w:rsidRPr="00BE5BBF">
        <w:t>se zavazuje</w:t>
      </w:r>
      <w:proofErr w:type="gramEnd"/>
      <w:r w:rsidRPr="00BE5BBF">
        <w:t xml:space="preserve"> dodržovat principy řádného partnerství;</w:t>
      </w:r>
    </w:p>
    <w:p w:rsidR="004746A0" w:rsidRPr="00BE5BBF" w:rsidRDefault="00C3490E" w:rsidP="004746A0">
      <w:pPr>
        <w:pStyle w:val="Odstavecseseznamem"/>
        <w:numPr>
          <w:ilvl w:val="0"/>
          <w:numId w:val="3"/>
        </w:numPr>
        <w:tabs>
          <w:tab w:val="left" w:pos="0"/>
        </w:tabs>
        <w:jc w:val="both"/>
      </w:pPr>
      <w:proofErr w:type="gramStart"/>
      <w:r>
        <w:t>s</w:t>
      </w:r>
      <w:r w:rsidR="004746A0" w:rsidRPr="00BE5BBF">
        <w:t>e zavazuje</w:t>
      </w:r>
      <w:proofErr w:type="gramEnd"/>
      <w:r w:rsidR="004746A0" w:rsidRPr="00BE5BBF">
        <w:t xml:space="preserve"> dodržovat všechny podmínky partnerství uvedené </w:t>
      </w:r>
      <w:r w:rsidR="004746A0">
        <w:t>v Příručce pro příjemce podpory</w:t>
      </w:r>
      <w:r w:rsidR="004746A0" w:rsidRPr="00BE5BBF">
        <w:t xml:space="preserve"> </w:t>
      </w:r>
      <w:r w:rsidR="004746A0">
        <w:t xml:space="preserve">OP VK </w:t>
      </w:r>
      <w:r w:rsidR="004746A0" w:rsidRPr="00BE5BBF">
        <w:t>a v metodických pokynech Řídícího orgánu OP VK.</w:t>
      </w:r>
    </w:p>
    <w:p w:rsidR="004746A0" w:rsidRPr="00BE5BBF" w:rsidRDefault="004746A0" w:rsidP="004746A0">
      <w:pPr>
        <w:jc w:val="both"/>
      </w:pPr>
    </w:p>
    <w:p w:rsidR="004746A0" w:rsidRDefault="004746A0" w:rsidP="004746A0">
      <w:pPr>
        <w:jc w:val="both"/>
      </w:pPr>
    </w:p>
    <w:p w:rsidR="004746A0" w:rsidRDefault="004746A0" w:rsidP="004746A0">
      <w:pPr>
        <w:jc w:val="both"/>
      </w:pPr>
    </w:p>
    <w:p w:rsidR="004746A0" w:rsidRDefault="004746A0" w:rsidP="004746A0">
      <w:pPr>
        <w:jc w:val="both"/>
        <w:rPr>
          <w:bCs/>
        </w:rPr>
      </w:pPr>
    </w:p>
    <w:p w:rsidR="004746A0" w:rsidRPr="00FD1486" w:rsidRDefault="004746A0" w:rsidP="004746A0">
      <w:pPr>
        <w:jc w:val="both"/>
        <w:rPr>
          <w:bCs/>
        </w:rPr>
      </w:pPr>
      <w:r w:rsidRPr="00FD1486">
        <w:rPr>
          <w:bCs/>
        </w:rPr>
        <w:t>V</w:t>
      </w:r>
      <w:sdt>
        <w:sdtPr>
          <w:rPr>
            <w:bCs/>
          </w:rPr>
          <w:id w:val="10129780"/>
          <w:placeholder>
            <w:docPart w:val="DefaultPlaceholder_22675703"/>
          </w:placeholder>
          <w:text/>
        </w:sdtPr>
        <w:sdtContent>
          <w:r w:rsidR="00C3490E">
            <w:rPr>
              <w:bCs/>
            </w:rPr>
            <w:t>………</w:t>
          </w:r>
        </w:sdtContent>
      </w:sdt>
      <w:r w:rsidR="00C3490E">
        <w:rPr>
          <w:bCs/>
        </w:rPr>
        <w:t xml:space="preserve"> </w:t>
      </w:r>
      <w:r w:rsidRPr="00FD1486">
        <w:rPr>
          <w:bCs/>
        </w:rPr>
        <w:t xml:space="preserve">dne </w:t>
      </w:r>
      <w:sdt>
        <w:sdtPr>
          <w:rPr>
            <w:bCs/>
          </w:rPr>
          <w:id w:val="10129782"/>
          <w:placeholder>
            <w:docPart w:val="DefaultPlaceholder_22675703"/>
          </w:placeholder>
          <w:text/>
        </w:sdtPr>
        <w:sdtContent>
          <w:r w:rsidR="00C3490E">
            <w:rPr>
              <w:bCs/>
            </w:rPr>
            <w:t>………</w:t>
          </w:r>
        </w:sdtContent>
      </w:sdt>
    </w:p>
    <w:p w:rsidR="004746A0" w:rsidRDefault="004746A0" w:rsidP="004746A0">
      <w:pPr>
        <w:jc w:val="both"/>
        <w:rPr>
          <w:bCs/>
        </w:rPr>
      </w:pPr>
    </w:p>
    <w:p w:rsidR="00C3490E" w:rsidRDefault="00C3490E" w:rsidP="00C3490E">
      <w:pPr>
        <w:jc w:val="both"/>
        <w:rPr>
          <w:bCs/>
        </w:rPr>
      </w:pPr>
    </w:p>
    <w:p w:rsidR="00C3490E" w:rsidRDefault="00C3490E" w:rsidP="00C3490E">
      <w:pPr>
        <w:jc w:val="both"/>
        <w:rPr>
          <w:bCs/>
        </w:rPr>
      </w:pPr>
    </w:p>
    <w:p w:rsidR="004746A0" w:rsidRDefault="004746A0" w:rsidP="00C3490E">
      <w:pPr>
        <w:jc w:val="right"/>
      </w:pPr>
      <w:r>
        <w:rPr>
          <w:bCs/>
        </w:rPr>
        <w:t>…….</w:t>
      </w:r>
      <w:r w:rsidR="00C3490E">
        <w:rPr>
          <w:bCs/>
        </w:rPr>
        <w:t>……………………….…………………………</w:t>
      </w:r>
    </w:p>
    <w:p w:rsidR="004746A0" w:rsidRDefault="004746A0" w:rsidP="00C3490E">
      <w:pPr>
        <w:ind w:left="2820"/>
        <w:jc w:val="right"/>
      </w:pPr>
      <w:r>
        <w:t xml:space="preserve">Titul, jméno, příjmení </w:t>
      </w:r>
      <w:r w:rsidR="00C3490E">
        <w:t xml:space="preserve">statutárního zástupce partnera, </w:t>
      </w:r>
      <w:r>
        <w:t>popř.</w:t>
      </w:r>
      <w:r w:rsidR="00C3490E">
        <w:t> </w:t>
      </w:r>
      <w:r>
        <w:t>razítko instituce</w:t>
      </w:r>
    </w:p>
    <w:p w:rsidR="004746A0" w:rsidRPr="00B31CC8" w:rsidRDefault="004746A0" w:rsidP="004746A0">
      <w:pPr>
        <w:jc w:val="both"/>
      </w:pPr>
    </w:p>
    <w:p w:rsidR="004746A0" w:rsidRPr="008C1F3C" w:rsidRDefault="004746A0" w:rsidP="004746A0"/>
    <w:p w:rsidR="008609CF" w:rsidRDefault="008609CF"/>
    <w:sectPr w:rsidR="008609CF" w:rsidSect="006B5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E077D"/>
    <w:multiLevelType w:val="hybridMultilevel"/>
    <w:tmpl w:val="FC8082E2"/>
    <w:lvl w:ilvl="0" w:tplc="8CAAF5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E7418"/>
    <w:multiLevelType w:val="hybridMultilevel"/>
    <w:tmpl w:val="BFFC9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5378C9"/>
    <w:multiLevelType w:val="hybridMultilevel"/>
    <w:tmpl w:val="4ACE2110"/>
    <w:lvl w:ilvl="0" w:tplc="8CAAF5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jVcH0uBKbXa9zq5z5lKOprHB8no=" w:salt="SguX9wVXrNvWV5JOA2UWaw=="/>
  <w:defaultTabStop w:val="708"/>
  <w:hyphenationZone w:val="425"/>
  <w:characterSpacingControl w:val="doNotCompress"/>
  <w:compat/>
  <w:rsids>
    <w:rsidRoot w:val="008609CF"/>
    <w:rsid w:val="00150E3E"/>
    <w:rsid w:val="00200D1D"/>
    <w:rsid w:val="004746A0"/>
    <w:rsid w:val="004C52B2"/>
    <w:rsid w:val="0054047E"/>
    <w:rsid w:val="006755CC"/>
    <w:rsid w:val="006B5F75"/>
    <w:rsid w:val="008609CF"/>
    <w:rsid w:val="009C10AD"/>
    <w:rsid w:val="00C3490E"/>
    <w:rsid w:val="00F5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3490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9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90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349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FAAA68-F86B-4834-80B8-92751AED2010}"/>
      </w:docPartPr>
      <w:docPartBody>
        <w:p w:rsidR="00DD6250" w:rsidRDefault="005F0AC7">
          <w:r w:rsidRPr="0047479B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F0AC7"/>
    <w:rsid w:val="005F0AC7"/>
    <w:rsid w:val="00DD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2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F0AC7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2962</Characters>
  <Application>Microsoft Office Word</Application>
  <DocSecurity>0</DocSecurity>
  <Lines>24</Lines>
  <Paragraphs>6</Paragraphs>
  <ScaleCrop>false</ScaleCrop>
  <Company>Ministerstvo školství, mládeže a tělovýchovy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Bučková</dc:creator>
  <cp:keywords/>
  <dc:description/>
  <cp:lastModifiedBy>machackova petra</cp:lastModifiedBy>
  <cp:revision>2</cp:revision>
  <dcterms:created xsi:type="dcterms:W3CDTF">2011-03-10T09:09:00Z</dcterms:created>
  <dcterms:modified xsi:type="dcterms:W3CDTF">2011-03-10T09:09:00Z</dcterms:modified>
</cp:coreProperties>
</file>