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30" w:rsidRDefault="00FD7AFC">
      <w:r w:rsidRPr="00FD7AFC">
        <w:drawing>
          <wp:inline distT="0" distB="0" distL="0" distR="0">
            <wp:extent cx="9046292" cy="5338916"/>
            <wp:effectExtent l="19050" t="0" r="21508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30F30" w:rsidSect="00FD7A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5E6B"/>
    <w:rsid w:val="00325E6B"/>
    <w:rsid w:val="00330F30"/>
    <w:rsid w:val="00FD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&#225;ce%20pro%209.-10.6\Pod&#237;l%20dosp&#283;l&#233;%20populace%20na%20DV%202002-200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34"/>
  <c:chart>
    <c:title>
      <c:tx>
        <c:rich>
          <a:bodyPr/>
          <a:lstStyle/>
          <a:p>
            <a:pPr>
              <a:defRPr/>
            </a:pPr>
            <a:r>
              <a:rPr lang="cs-CZ"/>
              <a:t>Participace na dalším vzdělávání v roce 2009 a 2010 v zemích EU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List2!$B$1</c:f>
              <c:strCache>
                <c:ptCount val="1"/>
                <c:pt idx="0">
                  <c:v>2009</c:v>
                </c:pt>
              </c:strCache>
            </c:strRef>
          </c:tx>
          <c:dPt>
            <c:idx val="1"/>
            <c:spPr>
              <a:solidFill>
                <a:schemeClr val="accent1"/>
              </a:solidFill>
            </c:spPr>
          </c:dPt>
          <c:dPt>
            <c:idx val="5"/>
            <c:spPr>
              <a:solidFill>
                <a:schemeClr val="accent1"/>
              </a:solidFill>
            </c:spPr>
          </c:dPt>
          <c:dLbls>
            <c:delete val="1"/>
          </c:dLbls>
          <c:cat>
            <c:strRef>
              <c:f>List2!$A$2:$A$30</c:f>
              <c:strCache>
                <c:ptCount val="29"/>
                <c:pt idx="0">
                  <c:v>EU (27 států)  </c:v>
                </c:pt>
                <c:pt idx="1">
                  <c:v>EU (15 států)</c:v>
                </c:pt>
                <c:pt idx="2">
                  <c:v>Belgie</c:v>
                </c:pt>
                <c:pt idx="3">
                  <c:v>Bulharsko</c:v>
                </c:pt>
                <c:pt idx="4">
                  <c:v>Česká republika</c:v>
                </c:pt>
                <c:pt idx="5">
                  <c:v>Dánsko</c:v>
                </c:pt>
                <c:pt idx="6">
                  <c:v>Německo</c:v>
                </c:pt>
                <c:pt idx="7">
                  <c:v>Estonsko</c:v>
                </c:pt>
                <c:pt idx="8">
                  <c:v>Irsko </c:v>
                </c:pt>
                <c:pt idx="9">
                  <c:v>Řecko</c:v>
                </c:pt>
                <c:pt idx="10">
                  <c:v>Španělsko</c:v>
                </c:pt>
                <c:pt idx="11">
                  <c:v>Francie</c:v>
                </c:pt>
                <c:pt idx="12">
                  <c:v>Itálie</c:v>
                </c:pt>
                <c:pt idx="13">
                  <c:v>Kypr</c:v>
                </c:pt>
                <c:pt idx="14">
                  <c:v>Lotyšsko</c:v>
                </c:pt>
                <c:pt idx="15">
                  <c:v>Litva</c:v>
                </c:pt>
                <c:pt idx="16">
                  <c:v>Lucembursko</c:v>
                </c:pt>
                <c:pt idx="17">
                  <c:v>Maďarsko</c:v>
                </c:pt>
                <c:pt idx="18">
                  <c:v>Malta</c:v>
                </c:pt>
                <c:pt idx="19">
                  <c:v>Nizozemí</c:v>
                </c:pt>
                <c:pt idx="20">
                  <c:v>Rakousko</c:v>
                </c:pt>
                <c:pt idx="21">
                  <c:v>Polsko</c:v>
                </c:pt>
                <c:pt idx="22">
                  <c:v>Portugalsko</c:v>
                </c:pt>
                <c:pt idx="23">
                  <c:v>Rumunsko</c:v>
                </c:pt>
                <c:pt idx="24">
                  <c:v>Slovinsko</c:v>
                </c:pt>
                <c:pt idx="25">
                  <c:v>Slovensko</c:v>
                </c:pt>
                <c:pt idx="26">
                  <c:v>Finsko</c:v>
                </c:pt>
                <c:pt idx="27">
                  <c:v>Švédsko</c:v>
                </c:pt>
                <c:pt idx="28">
                  <c:v>Spojené království </c:v>
                </c:pt>
              </c:strCache>
            </c:strRef>
          </c:cat>
          <c:val>
            <c:numRef>
              <c:f>List2!$B$2:$B$30</c:f>
              <c:numCache>
                <c:formatCode>General</c:formatCode>
                <c:ptCount val="29"/>
                <c:pt idx="0">
                  <c:v>9.3000000000000007</c:v>
                </c:pt>
                <c:pt idx="1">
                  <c:v>10.8</c:v>
                </c:pt>
                <c:pt idx="2">
                  <c:v>6.8</c:v>
                </c:pt>
                <c:pt idx="3">
                  <c:v>1.4</c:v>
                </c:pt>
                <c:pt idx="4">
                  <c:v>6.8</c:v>
                </c:pt>
                <c:pt idx="5">
                  <c:v>31.6</c:v>
                </c:pt>
                <c:pt idx="6">
                  <c:v>7.8</c:v>
                </c:pt>
                <c:pt idx="7">
                  <c:v>10.5</c:v>
                </c:pt>
                <c:pt idx="8">
                  <c:v>6.3</c:v>
                </c:pt>
                <c:pt idx="9">
                  <c:v>3.3</c:v>
                </c:pt>
                <c:pt idx="10">
                  <c:v>10.4</c:v>
                </c:pt>
                <c:pt idx="11">
                  <c:v>6</c:v>
                </c:pt>
                <c:pt idx="12">
                  <c:v>6</c:v>
                </c:pt>
                <c:pt idx="13">
                  <c:v>7.8</c:v>
                </c:pt>
                <c:pt idx="14">
                  <c:v>5.3</c:v>
                </c:pt>
                <c:pt idx="15">
                  <c:v>4.5</c:v>
                </c:pt>
                <c:pt idx="16">
                  <c:v>13.4</c:v>
                </c:pt>
                <c:pt idx="17">
                  <c:v>2.7</c:v>
                </c:pt>
                <c:pt idx="18">
                  <c:v>5.8</c:v>
                </c:pt>
                <c:pt idx="19">
                  <c:v>17</c:v>
                </c:pt>
                <c:pt idx="20">
                  <c:v>13.8</c:v>
                </c:pt>
                <c:pt idx="21">
                  <c:v>4.7</c:v>
                </c:pt>
                <c:pt idx="22">
                  <c:v>6.5</c:v>
                </c:pt>
                <c:pt idx="23">
                  <c:v>1.5</c:v>
                </c:pt>
                <c:pt idx="24">
                  <c:v>14.6</c:v>
                </c:pt>
                <c:pt idx="25">
                  <c:v>2.8</c:v>
                </c:pt>
                <c:pt idx="26">
                  <c:v>22.1</c:v>
                </c:pt>
                <c:pt idx="27">
                  <c:v>22.2</c:v>
                </c:pt>
                <c:pt idx="28">
                  <c:v>20.100000000000001</c:v>
                </c:pt>
              </c:numCache>
            </c:numRef>
          </c:val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Pt>
            <c:idx val="0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Lbls>
            <c:showVal val="1"/>
          </c:dLbls>
          <c:cat>
            <c:strRef>
              <c:f>List2!$A$2:$A$30</c:f>
              <c:strCache>
                <c:ptCount val="29"/>
                <c:pt idx="0">
                  <c:v>EU (27 států)  </c:v>
                </c:pt>
                <c:pt idx="1">
                  <c:v>EU (15 států)</c:v>
                </c:pt>
                <c:pt idx="2">
                  <c:v>Belgie</c:v>
                </c:pt>
                <c:pt idx="3">
                  <c:v>Bulharsko</c:v>
                </c:pt>
                <c:pt idx="4">
                  <c:v>Česká republika</c:v>
                </c:pt>
                <c:pt idx="5">
                  <c:v>Dánsko</c:v>
                </c:pt>
                <c:pt idx="6">
                  <c:v>Německo</c:v>
                </c:pt>
                <c:pt idx="7">
                  <c:v>Estonsko</c:v>
                </c:pt>
                <c:pt idx="8">
                  <c:v>Irsko </c:v>
                </c:pt>
                <c:pt idx="9">
                  <c:v>Řecko</c:v>
                </c:pt>
                <c:pt idx="10">
                  <c:v>Španělsko</c:v>
                </c:pt>
                <c:pt idx="11">
                  <c:v>Francie</c:v>
                </c:pt>
                <c:pt idx="12">
                  <c:v>Itálie</c:v>
                </c:pt>
                <c:pt idx="13">
                  <c:v>Kypr</c:v>
                </c:pt>
                <c:pt idx="14">
                  <c:v>Lotyšsko</c:v>
                </c:pt>
                <c:pt idx="15">
                  <c:v>Litva</c:v>
                </c:pt>
                <c:pt idx="16">
                  <c:v>Lucembursko</c:v>
                </c:pt>
                <c:pt idx="17">
                  <c:v>Maďarsko</c:v>
                </c:pt>
                <c:pt idx="18">
                  <c:v>Malta</c:v>
                </c:pt>
                <c:pt idx="19">
                  <c:v>Nizozemí</c:v>
                </c:pt>
                <c:pt idx="20">
                  <c:v>Rakousko</c:v>
                </c:pt>
                <c:pt idx="21">
                  <c:v>Polsko</c:v>
                </c:pt>
                <c:pt idx="22">
                  <c:v>Portugalsko</c:v>
                </c:pt>
                <c:pt idx="23">
                  <c:v>Rumunsko</c:v>
                </c:pt>
                <c:pt idx="24">
                  <c:v>Slovinsko</c:v>
                </c:pt>
                <c:pt idx="25">
                  <c:v>Slovensko</c:v>
                </c:pt>
                <c:pt idx="26">
                  <c:v>Finsko</c:v>
                </c:pt>
                <c:pt idx="27">
                  <c:v>Švédsko</c:v>
                </c:pt>
                <c:pt idx="28">
                  <c:v>Spojené království </c:v>
                </c:pt>
              </c:strCache>
            </c:strRef>
          </c:cat>
          <c:val>
            <c:numRef>
              <c:f>List2!$C$2:$C$30</c:f>
              <c:numCache>
                <c:formatCode>General</c:formatCode>
                <c:ptCount val="29"/>
                <c:pt idx="0">
                  <c:v>9.1</c:v>
                </c:pt>
                <c:pt idx="1">
                  <c:v>10.4</c:v>
                </c:pt>
                <c:pt idx="2">
                  <c:v>7.2</c:v>
                </c:pt>
                <c:pt idx="3">
                  <c:v>1.2</c:v>
                </c:pt>
                <c:pt idx="4">
                  <c:v>7.5</c:v>
                </c:pt>
                <c:pt idx="5">
                  <c:v>32.800000000000011</c:v>
                </c:pt>
                <c:pt idx="6">
                  <c:v>7.7</c:v>
                </c:pt>
                <c:pt idx="7">
                  <c:v>10.9</c:v>
                </c:pt>
                <c:pt idx="8">
                  <c:v>6.7</c:v>
                </c:pt>
                <c:pt idx="9">
                  <c:v>3</c:v>
                </c:pt>
                <c:pt idx="10">
                  <c:v>10.8</c:v>
                </c:pt>
                <c:pt idx="11">
                  <c:v>5</c:v>
                </c:pt>
                <c:pt idx="12">
                  <c:v>6.2</c:v>
                </c:pt>
                <c:pt idx="13">
                  <c:v>7.7</c:v>
                </c:pt>
                <c:pt idx="14">
                  <c:v>5</c:v>
                </c:pt>
                <c:pt idx="15">
                  <c:v>4</c:v>
                </c:pt>
                <c:pt idx="16">
                  <c:v>13.4</c:v>
                </c:pt>
                <c:pt idx="17">
                  <c:v>2.8</c:v>
                </c:pt>
                <c:pt idx="18">
                  <c:v>5.7</c:v>
                </c:pt>
                <c:pt idx="19">
                  <c:v>16.5</c:v>
                </c:pt>
                <c:pt idx="20">
                  <c:v>13.7</c:v>
                </c:pt>
                <c:pt idx="21">
                  <c:v>5.3</c:v>
                </c:pt>
                <c:pt idx="22">
                  <c:v>5.8</c:v>
                </c:pt>
                <c:pt idx="23">
                  <c:v>1.3</c:v>
                </c:pt>
                <c:pt idx="24">
                  <c:v>16.2</c:v>
                </c:pt>
                <c:pt idx="25">
                  <c:v>2.8</c:v>
                </c:pt>
                <c:pt idx="26">
                  <c:v>23</c:v>
                </c:pt>
                <c:pt idx="27">
                  <c:v>24.5</c:v>
                </c:pt>
                <c:pt idx="28">
                  <c:v>19.399999999999999</c:v>
                </c:pt>
              </c:numCache>
            </c:numRef>
          </c:val>
        </c:ser>
        <c:dLbls>
          <c:showVal val="1"/>
        </c:dLbls>
        <c:shape val="box"/>
        <c:axId val="159546752"/>
        <c:axId val="159552640"/>
        <c:axId val="0"/>
      </c:bar3DChart>
      <c:catAx>
        <c:axId val="159546752"/>
        <c:scaling>
          <c:orientation val="minMax"/>
        </c:scaling>
        <c:axPos val="b"/>
        <c:numFmt formatCode="General" sourceLinked="1"/>
        <c:tickLblPos val="nextTo"/>
        <c:crossAx val="159552640"/>
        <c:crosses val="autoZero"/>
        <c:auto val="1"/>
        <c:lblAlgn val="ctr"/>
        <c:lblOffset val="100"/>
      </c:catAx>
      <c:valAx>
        <c:axId val="159552640"/>
        <c:scaling>
          <c:orientation val="minMax"/>
        </c:scaling>
        <c:axPos val="l"/>
        <c:majorGridlines/>
        <c:numFmt formatCode="General" sourceLinked="1"/>
        <c:tickLblPos val="nextTo"/>
        <c:crossAx val="1595467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FLE_CZU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2011-06-30T12:31:00Z</dcterms:created>
  <dcterms:modified xsi:type="dcterms:W3CDTF">2011-06-30T12:32:00Z</dcterms:modified>
</cp:coreProperties>
</file>