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2B" w:rsidRDefault="00EC7F3C" w:rsidP="00EC7F3C">
      <w:pPr>
        <w:pStyle w:val="Text"/>
        <w:ind w:firstLine="0"/>
        <w:rPr>
          <w:b/>
          <w:bCs/>
        </w:rPr>
      </w:pPr>
      <w:r>
        <w:rPr>
          <w:sz w:val="20"/>
        </w:rPr>
        <w:t xml:space="preserve"> 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Modul A 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Dotační program MŠMT na podporu integrace romské komunity v roce 2012 </w:t>
      </w:r>
    </w:p>
    <w:p w:rsidR="00981C2B" w:rsidRPr="004B3320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auto"/>
          <w:sz w:val="32"/>
          <w:szCs w:val="32"/>
        </w:rPr>
      </w:pPr>
      <w:r w:rsidRPr="004B3320">
        <w:rPr>
          <w:b/>
          <w:bCs/>
          <w:color w:val="auto"/>
          <w:sz w:val="32"/>
          <w:szCs w:val="32"/>
        </w:rPr>
        <w:t>- 2. kolo</w:t>
      </w:r>
      <w:r>
        <w:rPr>
          <w:b/>
          <w:bCs/>
          <w:color w:val="auto"/>
          <w:sz w:val="32"/>
          <w:szCs w:val="32"/>
        </w:rPr>
        <w:t xml:space="preserve"> vyhlášení</w:t>
      </w:r>
      <w:r w:rsidRPr="004B3320">
        <w:rPr>
          <w:b/>
          <w:bCs/>
          <w:color w:val="auto"/>
          <w:sz w:val="32"/>
          <w:szCs w:val="32"/>
        </w:rPr>
        <w:t xml:space="preserve"> - </w:t>
      </w:r>
    </w:p>
    <w:p w:rsidR="00981C2B" w:rsidRDefault="00981C2B" w:rsidP="00981C2B">
      <w:pPr>
        <w:pStyle w:val="Default"/>
        <w:ind w:firstLine="360"/>
        <w:jc w:val="both"/>
        <w:rPr>
          <w:color w:val="auto"/>
        </w:rPr>
      </w:pPr>
    </w:p>
    <w:p w:rsidR="00981C2B" w:rsidRDefault="00981C2B" w:rsidP="00981C2B">
      <w:pPr>
        <w:pStyle w:val="Default"/>
        <w:ind w:firstLine="360"/>
        <w:jc w:val="both"/>
        <w:rPr>
          <w:color w:val="auto"/>
        </w:rPr>
      </w:pPr>
    </w:p>
    <w:p w:rsidR="00981C2B" w:rsidRDefault="00981C2B" w:rsidP="00981C2B">
      <w:pPr>
        <w:pStyle w:val="Default"/>
        <w:ind w:firstLine="360"/>
        <w:jc w:val="both"/>
        <w:rPr>
          <w:b/>
          <w:bCs/>
          <w:color w:val="auto"/>
        </w:rPr>
      </w:pPr>
      <w:r>
        <w:rPr>
          <w:color w:val="auto"/>
        </w:rPr>
        <w:t xml:space="preserve">Ministerstvo školství, mládeže a tělovýchovy (dále jen MŠMT) vyhlašuje v souladu s nařízením vlády č. 98/2002 Sb., kterým se stanoví podmínky a způsob poskytování dotací ze státního rozpočtu na aktivity příslušníků národnostních menšin a na podporu integrace příslušníků romské komunity, ve znění pozdějších předpisů, </w:t>
      </w:r>
      <w:r w:rsidR="00F55CD1" w:rsidRPr="00F55CD1">
        <w:rPr>
          <w:b/>
          <w:color w:val="auto"/>
        </w:rPr>
        <w:t xml:space="preserve">druhé kolo dotačního </w:t>
      </w:r>
      <w:r w:rsidR="002F1D31">
        <w:rPr>
          <w:b/>
          <w:color w:val="auto"/>
        </w:rPr>
        <w:t xml:space="preserve">výběrového </w:t>
      </w:r>
      <w:r w:rsidRPr="00F55CD1">
        <w:rPr>
          <w:b/>
          <w:color w:val="auto"/>
        </w:rPr>
        <w:t>řízení</w:t>
      </w:r>
      <w:r>
        <w:rPr>
          <w:color w:val="auto"/>
        </w:rPr>
        <w:t xml:space="preserve"> na projekty </w:t>
      </w:r>
      <w:r>
        <w:rPr>
          <w:b/>
          <w:bCs/>
          <w:color w:val="auto"/>
        </w:rPr>
        <w:t>zaměřené na podporu integrace romské komunity.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A. I. Oprávnění žadatelé</w:t>
      </w:r>
    </w:p>
    <w:p w:rsidR="00981C2B" w:rsidRDefault="00981C2B" w:rsidP="00981C2B">
      <w:pPr>
        <w:pStyle w:val="Default"/>
        <w:ind w:left="1080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</w:t>
      </w:r>
    </w:p>
    <w:p w:rsidR="00981C2B" w:rsidRDefault="00981C2B" w:rsidP="00981C2B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 xml:space="preserve">Právnické osoby (s výjimkou nadací a nadačních fondů), které prokazatelně vykonávají činnost ve prospěch </w:t>
      </w:r>
      <w:r w:rsidR="00806F17">
        <w:rPr>
          <w:color w:val="auto"/>
        </w:rPr>
        <w:t>romské komunity.</w:t>
      </w:r>
      <w:r>
        <w:rPr>
          <w:vertAlign w:val="superscript"/>
        </w:rPr>
        <w:footnoteReference w:id="1"/>
      </w:r>
      <w:r>
        <w:rPr>
          <w:color w:val="auto"/>
        </w:rPr>
        <w:t xml:space="preserve"> V případě, že o dotaci žádá občanské sdružení, musí být registrováno nejpozději k 31. 12. 2010. 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A.II. T</w:t>
      </w:r>
      <w:r w:rsidR="00223E83">
        <w:rPr>
          <w:b/>
          <w:bCs/>
          <w:iCs/>
          <w:color w:val="auto"/>
        </w:rPr>
        <w:t>e</w:t>
      </w:r>
      <w:r>
        <w:rPr>
          <w:b/>
          <w:bCs/>
          <w:iCs/>
          <w:color w:val="auto"/>
        </w:rPr>
        <w:t xml:space="preserve">matické okruhy 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806F17" w:rsidRDefault="00806F17" w:rsidP="00981C2B">
      <w:pPr>
        <w:pStyle w:val="Default"/>
        <w:jc w:val="both"/>
        <w:rPr>
          <w:color w:val="auto"/>
        </w:rPr>
      </w:pPr>
      <w:r>
        <w:rPr>
          <w:color w:val="auto"/>
        </w:rPr>
        <w:t xml:space="preserve">Obecně: Oprávnění žadatelé předkládají zpracovaný projekt vždy </w:t>
      </w:r>
      <w:r w:rsidR="002F1D31">
        <w:rPr>
          <w:color w:val="auto"/>
        </w:rPr>
        <w:t xml:space="preserve">samostatně </w:t>
      </w:r>
      <w:r>
        <w:rPr>
          <w:color w:val="auto"/>
        </w:rPr>
        <w:t>na jeden z níže uvedených tematických</w:t>
      </w:r>
      <w:r w:rsidR="002F1D31">
        <w:rPr>
          <w:color w:val="auto"/>
        </w:rPr>
        <w:t xml:space="preserve"> okruhů činností (viz body 1-6), přičemž celkově mohou podat dva projekty, za splnění podmínky viz A.III.3.</w:t>
      </w:r>
    </w:p>
    <w:p w:rsidR="00806F17" w:rsidRDefault="00806F17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>
        <w:rPr>
          <w:b/>
          <w:bCs/>
          <w:iCs/>
          <w:color w:val="auto"/>
        </w:rPr>
        <w:t>Předškolní příprava a včasná péče</w:t>
      </w:r>
      <w:r>
        <w:rPr>
          <w:b/>
          <w:bCs/>
          <w:i/>
          <w:iCs/>
          <w:color w:val="auto"/>
        </w:rPr>
        <w:t xml:space="preserve"> </w:t>
      </w:r>
    </w:p>
    <w:p w:rsidR="00981C2B" w:rsidRDefault="00981C2B" w:rsidP="00981C2B">
      <w:pPr>
        <w:pStyle w:val="Default"/>
        <w:ind w:left="426"/>
        <w:jc w:val="both"/>
        <w:rPr>
          <w:color w:val="auto"/>
        </w:rPr>
      </w:pPr>
      <w:r>
        <w:rPr>
          <w:color w:val="auto"/>
        </w:rPr>
        <w:t>Cílem vyhlášení tohoto tematického okruhu je vytvářet předpoklady pro naplňování včasné péče o děti ze sociokulturně znevýhod</w:t>
      </w:r>
      <w:r w:rsidR="006D7E87">
        <w:rPr>
          <w:color w:val="auto"/>
        </w:rPr>
        <w:t>něného</w:t>
      </w:r>
      <w:r>
        <w:rPr>
          <w:color w:val="auto"/>
        </w:rPr>
        <w:t xml:space="preserve"> prostředí a zvýšení předpokladu zapojení dětí žijících v prostředí sociálního vyloučení či sociálním vyloučením ohrožených do hlavního vzdělávacího proudu. </w:t>
      </w:r>
      <w:r>
        <w:rPr>
          <w:b/>
          <w:color w:val="auto"/>
        </w:rPr>
        <w:t>Podpora včasné péče o děti ze sociokulturně znevýhod</w:t>
      </w:r>
      <w:r w:rsidR="00316318">
        <w:rPr>
          <w:b/>
          <w:color w:val="auto"/>
        </w:rPr>
        <w:t xml:space="preserve">něného </w:t>
      </w:r>
      <w:r>
        <w:rPr>
          <w:b/>
          <w:color w:val="auto"/>
        </w:rPr>
        <w:t>prostředí a jejich příprava v mateřských školách je nejvyšší z priorit v oblasti integrace romské komunity.</w:t>
      </w:r>
    </w:p>
    <w:p w:rsidR="00981C2B" w:rsidRDefault="00981C2B" w:rsidP="00981C2B">
      <w:pPr>
        <w:pStyle w:val="Default"/>
        <w:ind w:left="426"/>
        <w:jc w:val="both"/>
        <w:rPr>
          <w:b/>
          <w:color w:val="auto"/>
        </w:rPr>
      </w:pPr>
    </w:p>
    <w:p w:rsidR="00981C2B" w:rsidRDefault="00223E83" w:rsidP="00981C2B">
      <w:pPr>
        <w:pStyle w:val="Default"/>
        <w:ind w:left="426"/>
        <w:jc w:val="both"/>
        <w:rPr>
          <w:b/>
          <w:color w:val="auto"/>
        </w:rPr>
      </w:pPr>
      <w:r>
        <w:rPr>
          <w:b/>
          <w:color w:val="auto"/>
        </w:rPr>
        <w:t>Specifické cíle v rámci te</w:t>
      </w:r>
      <w:r w:rsidR="00981C2B">
        <w:rPr>
          <w:b/>
          <w:color w:val="auto"/>
        </w:rPr>
        <w:t xml:space="preserve">matického okruhu: </w:t>
      </w:r>
    </w:p>
    <w:p w:rsidR="00981C2B" w:rsidRDefault="00981C2B" w:rsidP="00981C2B">
      <w:pPr>
        <w:pStyle w:val="Default"/>
        <w:numPr>
          <w:ilvl w:val="0"/>
          <w:numId w:val="2"/>
        </w:numPr>
        <w:ind w:left="709" w:hanging="283"/>
        <w:jc w:val="both"/>
        <w:rPr>
          <w:color w:val="auto"/>
        </w:rPr>
      </w:pPr>
      <w:r>
        <w:rPr>
          <w:color w:val="auto"/>
        </w:rPr>
        <w:t xml:space="preserve">Podpora zvyšování účasti dětí ohrožených sociálním vyloučením v předškolním vzdělávání, především v mateřských školách. </w:t>
      </w:r>
    </w:p>
    <w:p w:rsidR="00981C2B" w:rsidRDefault="00981C2B" w:rsidP="00981C2B">
      <w:pPr>
        <w:pStyle w:val="Default"/>
        <w:numPr>
          <w:ilvl w:val="0"/>
          <w:numId w:val="2"/>
        </w:numPr>
        <w:ind w:left="709" w:hanging="283"/>
        <w:jc w:val="both"/>
        <w:rPr>
          <w:color w:val="auto"/>
        </w:rPr>
      </w:pPr>
      <w:r>
        <w:rPr>
          <w:color w:val="auto"/>
        </w:rPr>
        <w:t>Podpora aktivit zvyšujících připravenost dětí pocházejících ze sociokulturně znevýhod</w:t>
      </w:r>
      <w:r w:rsidR="00316318">
        <w:rPr>
          <w:color w:val="auto"/>
        </w:rPr>
        <w:t>něného</w:t>
      </w:r>
      <w:r>
        <w:rPr>
          <w:color w:val="auto"/>
        </w:rPr>
        <w:t xml:space="preserve"> prostředí na úspěšné zahájení školní docházky.</w:t>
      </w:r>
    </w:p>
    <w:p w:rsidR="00981C2B" w:rsidRDefault="00981C2B" w:rsidP="00981C2B">
      <w:pPr>
        <w:pStyle w:val="Default"/>
        <w:numPr>
          <w:ilvl w:val="0"/>
          <w:numId w:val="2"/>
        </w:numPr>
        <w:ind w:left="709" w:hanging="283"/>
        <w:jc w:val="both"/>
        <w:rPr>
          <w:color w:val="auto"/>
        </w:rPr>
      </w:pPr>
      <w:r>
        <w:rPr>
          <w:color w:val="auto"/>
        </w:rPr>
        <w:t xml:space="preserve">Podpora aktivit směřujících k zapojení rodiny do předškolního vzdělávání dětí, aktivit vytvářejících podmínky pro zvyšování informovanosti rodičů v oblasti předškolního vzdělávání. </w:t>
      </w:r>
    </w:p>
    <w:p w:rsidR="00981C2B" w:rsidRDefault="00981C2B" w:rsidP="00981C2B">
      <w:pPr>
        <w:pStyle w:val="Default"/>
        <w:numPr>
          <w:ilvl w:val="0"/>
          <w:numId w:val="2"/>
        </w:numPr>
        <w:ind w:left="709" w:hanging="283"/>
        <w:jc w:val="both"/>
        <w:rPr>
          <w:color w:val="auto"/>
        </w:rPr>
      </w:pPr>
      <w:r>
        <w:rPr>
          <w:color w:val="auto"/>
        </w:rPr>
        <w:t>Vytváření ucelených vzdělávacích a integračních projektů (v oblasti předškolní přípravy), směřujících k vyrovnávání deficitů v oblasti přípravy na úspěšné zahájení školní docházky, vzniklých v důsledku socializace v sociálně znevýhod</w:t>
      </w:r>
      <w:r w:rsidR="00316318">
        <w:rPr>
          <w:color w:val="auto"/>
        </w:rPr>
        <w:t>něném</w:t>
      </w:r>
      <w:r>
        <w:rPr>
          <w:color w:val="auto"/>
        </w:rPr>
        <w:t xml:space="preserve"> prostředí. </w:t>
      </w:r>
    </w:p>
    <w:p w:rsidR="00981C2B" w:rsidRDefault="00981C2B" w:rsidP="00981C2B">
      <w:pPr>
        <w:pStyle w:val="Default"/>
        <w:numPr>
          <w:ilvl w:val="0"/>
          <w:numId w:val="2"/>
        </w:numPr>
        <w:ind w:left="709" w:hanging="283"/>
        <w:jc w:val="both"/>
        <w:rPr>
          <w:color w:val="auto"/>
        </w:rPr>
      </w:pPr>
      <w:r>
        <w:rPr>
          <w:color w:val="auto"/>
        </w:rPr>
        <w:t>Zvyšování motivace rodin pro předškolní vzdělávání jejich dětí.</w:t>
      </w:r>
    </w:p>
    <w:p w:rsidR="00981C2B" w:rsidRDefault="00981C2B" w:rsidP="00981C2B">
      <w:pPr>
        <w:ind w:left="360"/>
        <w:rPr>
          <w:szCs w:val="24"/>
        </w:rPr>
      </w:pPr>
    </w:p>
    <w:p w:rsidR="00981C2B" w:rsidRDefault="00981C2B" w:rsidP="00981C2B">
      <w:pPr>
        <w:ind w:left="360"/>
        <w:rPr>
          <w:b/>
          <w:szCs w:val="24"/>
        </w:rPr>
      </w:pPr>
      <w:r>
        <w:rPr>
          <w:b/>
          <w:szCs w:val="24"/>
        </w:rPr>
        <w:t xml:space="preserve">Očekávané výstupy: </w:t>
      </w:r>
    </w:p>
    <w:p w:rsidR="00981C2B" w:rsidRDefault="00981C2B" w:rsidP="00981C2B">
      <w:pPr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Pokrok v předškolních dovednostech a znalostech dítěte</w:t>
      </w:r>
    </w:p>
    <w:p w:rsidR="00981C2B" w:rsidRDefault="00981C2B" w:rsidP="00981C2B">
      <w:pPr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>Pokrok v osvojených sociálních dovednostech dítěte,</w:t>
      </w:r>
    </w:p>
    <w:p w:rsidR="00981C2B" w:rsidRDefault="00981C2B" w:rsidP="00981C2B">
      <w:pPr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 xml:space="preserve">Plynulý přechod dítěte do MŠ, </w:t>
      </w:r>
    </w:p>
    <w:p w:rsidR="00981C2B" w:rsidRDefault="00981C2B" w:rsidP="00981C2B">
      <w:pPr>
        <w:numPr>
          <w:ilvl w:val="0"/>
          <w:numId w:val="3"/>
        </w:numPr>
        <w:jc w:val="left"/>
        <w:rPr>
          <w:szCs w:val="24"/>
        </w:rPr>
      </w:pPr>
      <w:r>
        <w:rPr>
          <w:szCs w:val="24"/>
        </w:rPr>
        <w:t xml:space="preserve">Dosažení pravidelné spolupráce rodiny.  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b/>
          <w:bCs/>
          <w:iCs/>
          <w:color w:val="auto"/>
        </w:rPr>
        <w:t>Podpora školní úspěšnosti žákyň a žáků na základní a střední škole.</w:t>
      </w:r>
    </w:p>
    <w:p w:rsidR="00981C2B" w:rsidRDefault="00223E83" w:rsidP="00981C2B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>Cílem vyhlášení te</w:t>
      </w:r>
      <w:r w:rsidR="00981C2B">
        <w:rPr>
          <w:color w:val="auto"/>
        </w:rPr>
        <w:t xml:space="preserve">matického okruhu je přispět k vyrovnávání vzdělávacích šancí žáků ze   </w:t>
      </w:r>
    </w:p>
    <w:p w:rsidR="00981C2B" w:rsidRDefault="00981C2B" w:rsidP="00981C2B">
      <w:pPr>
        <w:pStyle w:val="Default"/>
        <w:ind w:firstLine="360"/>
        <w:jc w:val="both"/>
        <w:rPr>
          <w:color w:val="auto"/>
        </w:rPr>
      </w:pPr>
      <w:r>
        <w:rPr>
          <w:color w:val="auto"/>
        </w:rPr>
        <w:t>sociokulturně znevýhod</w:t>
      </w:r>
      <w:r w:rsidR="00316318">
        <w:rPr>
          <w:color w:val="auto"/>
        </w:rPr>
        <w:t>něného</w:t>
      </w:r>
      <w:r>
        <w:rPr>
          <w:color w:val="auto"/>
        </w:rPr>
        <w:t xml:space="preserve"> prostředí v rámci hlavního vzdělávacího proudu. </w:t>
      </w:r>
    </w:p>
    <w:p w:rsidR="00981C2B" w:rsidRDefault="00981C2B" w:rsidP="00981C2B">
      <w:pPr>
        <w:pStyle w:val="Default"/>
        <w:ind w:firstLine="360"/>
        <w:jc w:val="both"/>
        <w:rPr>
          <w:b/>
          <w:color w:val="auto"/>
        </w:rPr>
      </w:pPr>
      <w:r>
        <w:rPr>
          <w:b/>
          <w:color w:val="auto"/>
        </w:rPr>
        <w:t>Specifické cíle v rámci t</w:t>
      </w:r>
      <w:r w:rsidR="00223E83">
        <w:rPr>
          <w:b/>
          <w:color w:val="auto"/>
        </w:rPr>
        <w:t>e</w:t>
      </w:r>
      <w:r>
        <w:rPr>
          <w:b/>
          <w:color w:val="auto"/>
        </w:rPr>
        <w:t xml:space="preserve">matického okruhu: 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 xml:space="preserve">Podpora aktivit, které pomáhají žákům při překonávání obtíží v průběhu povinné školní docházky a vzdělávání na střední škole. 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Podpora adaptace vzdělávacího procesu ve škole s ohledem ke specifickým potřebám žáků z odlišného sociokulturního prostředí.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Podpora aktivit směřujících k zvýšení efektivity spolupráce rodin a školy při vzdělávání žáků ze sociokulturně odlišného prostředí.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 xml:space="preserve">Podpora aktivit poskytujících informační a poradenskou podporu rodinám při volbě povolání pro sociálně znevýhodněné žáky základních škol. 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Podpora aktivit napomáhajících přípravě a úspěšnému přechodu žáků základních škol do středního vzdělávání.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 xml:space="preserve">Podpora úspěšných žáků středních škol dané cílové skupiny při přípravě na další vzdělávací dráhu, včetně poradenského servisu. </w:t>
      </w:r>
    </w:p>
    <w:p w:rsidR="00981C2B" w:rsidRDefault="00981C2B" w:rsidP="00981C2B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Podpora aktivit zaměřených na vyrovnávání vzdělávacích asymetrií, podporu školní úspěšnosti, prevenci předčasného ukončování vzdělávání u žáků ze sociokulturně odlišného prostředí.</w:t>
      </w:r>
    </w:p>
    <w:p w:rsidR="00981C2B" w:rsidRDefault="00981C2B" w:rsidP="00981C2B">
      <w:pPr>
        <w:pStyle w:val="Default"/>
        <w:tabs>
          <w:tab w:val="left" w:pos="720"/>
        </w:tabs>
        <w:ind w:left="360"/>
        <w:jc w:val="both"/>
        <w:rPr>
          <w:color w:val="auto"/>
        </w:rPr>
      </w:pPr>
    </w:p>
    <w:p w:rsidR="00981C2B" w:rsidRDefault="00981C2B" w:rsidP="00981C2B">
      <w:pPr>
        <w:pStyle w:val="Default"/>
        <w:tabs>
          <w:tab w:val="left" w:pos="720"/>
        </w:tabs>
        <w:ind w:left="360"/>
        <w:jc w:val="both"/>
        <w:rPr>
          <w:b/>
          <w:color w:val="auto"/>
        </w:rPr>
      </w:pPr>
      <w:r>
        <w:rPr>
          <w:b/>
          <w:color w:val="auto"/>
        </w:rPr>
        <w:t xml:space="preserve">Očekávané výstupy: 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Pokrok ve výsledcích vzdělávání žáka vyhodnocený podle individuálního plánu rozvoje žáka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Pokrok žáka v osvojených sociálních dovednostech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Zlepšení/nezhoršení prospěchu žáka na konci roku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Pravidelná docházka žáka na doučování (20% omluvené neúčasti, ne více, než dvě hodiny neomluvené absence)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Prokazatelná podpora volby navazující  vzdělávací dráhy  na  SŠ (seznamovat děti s budoucími možnostmi…)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Prokazatelná podpora setrvání žáka na střední škole (tutoringová podpora, peer programy,…)</w:t>
      </w:r>
    </w:p>
    <w:p w:rsidR="00981C2B" w:rsidRDefault="00981C2B" w:rsidP="00981C2B">
      <w:pPr>
        <w:numPr>
          <w:ilvl w:val="0"/>
          <w:numId w:val="5"/>
        </w:numPr>
        <w:rPr>
          <w:szCs w:val="24"/>
        </w:rPr>
      </w:pPr>
      <w:r>
        <w:rPr>
          <w:szCs w:val="24"/>
        </w:rPr>
        <w:t>Poskytování informací rodičům o možnostech dalšího vzdělávání dítěte (např. záznamem v portfoliu o kontaktu s rodiči)</w:t>
      </w:r>
    </w:p>
    <w:p w:rsidR="00981C2B" w:rsidRDefault="00981C2B" w:rsidP="00981C2B">
      <w:pPr>
        <w:rPr>
          <w:b/>
          <w:bCs/>
          <w:iCs/>
        </w:rPr>
      </w:pPr>
    </w:p>
    <w:p w:rsidR="00981C2B" w:rsidRDefault="00981C2B" w:rsidP="00981C2B">
      <w:pPr>
        <w:rPr>
          <w:b/>
          <w:bCs/>
          <w:iCs/>
        </w:rPr>
      </w:pPr>
    </w:p>
    <w:p w:rsidR="00981C2B" w:rsidRPr="004B3320" w:rsidRDefault="00981C2B" w:rsidP="00981C2B">
      <w:pPr>
        <w:pStyle w:val="Odstavecseseznamem"/>
        <w:numPr>
          <w:ilvl w:val="0"/>
          <w:numId w:val="1"/>
        </w:numPr>
        <w:rPr>
          <w:b/>
          <w:bCs/>
          <w:iCs/>
        </w:rPr>
      </w:pPr>
      <w:r w:rsidRPr="004B3320">
        <w:rPr>
          <w:b/>
          <w:bCs/>
          <w:iCs/>
        </w:rPr>
        <w:t xml:space="preserve">Metodická podpora pedagogických pracovníků a pracovníků školských    </w:t>
      </w:r>
    </w:p>
    <w:p w:rsidR="00981C2B" w:rsidRPr="004B3320" w:rsidRDefault="00981C2B" w:rsidP="00981C2B">
      <w:pPr>
        <w:pStyle w:val="Odstavecseseznamem"/>
        <w:ind w:left="360"/>
      </w:pPr>
      <w:r w:rsidRPr="004B3320">
        <w:rPr>
          <w:b/>
          <w:bCs/>
          <w:iCs/>
        </w:rPr>
        <w:t>poradenských zařízení.</w:t>
      </w:r>
      <w:r w:rsidRPr="004B3320">
        <w:rPr>
          <w:b/>
          <w:bCs/>
          <w:i/>
          <w:iCs/>
        </w:rPr>
        <w:t xml:space="preserve"> </w:t>
      </w:r>
    </w:p>
    <w:p w:rsidR="00981C2B" w:rsidRDefault="00981C2B" w:rsidP="00981C2B">
      <w:pPr>
        <w:pStyle w:val="Default"/>
        <w:ind w:left="426" w:hanging="426"/>
        <w:jc w:val="both"/>
        <w:rPr>
          <w:color w:val="auto"/>
        </w:rPr>
      </w:pPr>
      <w:r>
        <w:rPr>
          <w:color w:val="auto"/>
        </w:rPr>
        <w:t xml:space="preserve">       Cílem vyhlášení</w:t>
      </w:r>
      <w:r>
        <w:rPr>
          <w:b/>
          <w:bCs/>
          <w:i/>
          <w:iCs/>
          <w:color w:val="auto"/>
        </w:rPr>
        <w:t xml:space="preserve"> </w:t>
      </w:r>
      <w:r>
        <w:rPr>
          <w:color w:val="auto"/>
        </w:rPr>
        <w:t>t</w:t>
      </w:r>
      <w:r w:rsidR="00223E83">
        <w:rPr>
          <w:color w:val="auto"/>
        </w:rPr>
        <w:t>e</w:t>
      </w:r>
      <w:r>
        <w:rPr>
          <w:color w:val="auto"/>
        </w:rPr>
        <w:t xml:space="preserve">matického okruhu je podpora pedagogických pracovníků včetně asistentů pedagoga, kteří pracují s dětmi, žákyněmi a žáky z odlišného sociokulturního prostředí v předškolním a základním vzdělávání, </w:t>
      </w:r>
      <w:r>
        <w:rPr>
          <w:b/>
          <w:color w:val="auto"/>
        </w:rPr>
        <w:t>ve využívání efektivních metod jejich vzdělávání a vyrovnávání případných deficitů vzniklých v důsledku</w:t>
      </w:r>
      <w:r>
        <w:rPr>
          <w:color w:val="auto"/>
        </w:rPr>
        <w:t xml:space="preserve"> socializace v prostředí sociálního vyloučení, postupů předcházení předsudečného či diskriminačního jednání a to formou dalšího vzdělávání, odborné supervize atp. Dále pak podpora dalšího </w:t>
      </w:r>
      <w:r>
        <w:rPr>
          <w:color w:val="auto"/>
        </w:rPr>
        <w:lastRenderedPageBreak/>
        <w:t>vzdělávání pracovníků školských poradenských zařízení zaměřeného na děti, žáky a studenty z odlišného sociálního a kulturního prostředí. V rámci t</w:t>
      </w:r>
      <w:r w:rsidR="00316318">
        <w:rPr>
          <w:color w:val="auto"/>
        </w:rPr>
        <w:t>e</w:t>
      </w:r>
      <w:r>
        <w:rPr>
          <w:color w:val="auto"/>
        </w:rPr>
        <w:t xml:space="preserve">matického okruhu lze realizovat také aktivity zaměřené na </w:t>
      </w:r>
      <w:r>
        <w:rPr>
          <w:b/>
          <w:color w:val="auto"/>
        </w:rPr>
        <w:t>pregraduální přípravu studentů pedagogických oborů vysokých</w:t>
      </w:r>
      <w:r>
        <w:rPr>
          <w:color w:val="auto"/>
        </w:rPr>
        <w:t xml:space="preserve"> škol v oblasti inkluzivního vzdělávání dětí a žáků z odlišného sociálního a kulturního prostředí, postupů předcházení předsudečného či diskriminačního jednání apod. </w:t>
      </w:r>
    </w:p>
    <w:p w:rsidR="00981C2B" w:rsidRDefault="00981C2B" w:rsidP="00981C2B">
      <w:pPr>
        <w:pStyle w:val="Default"/>
        <w:ind w:left="360"/>
        <w:jc w:val="both"/>
        <w:rPr>
          <w:b/>
          <w:bCs/>
          <w:i/>
          <w:iCs/>
          <w:color w:val="auto"/>
        </w:rPr>
      </w:pPr>
    </w:p>
    <w:p w:rsidR="00981C2B" w:rsidRDefault="00981C2B" w:rsidP="00981C2B">
      <w:pPr>
        <w:pStyle w:val="Default"/>
        <w:ind w:left="360"/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Očekávané výstupy:</w:t>
      </w:r>
    </w:p>
    <w:p w:rsidR="00981C2B" w:rsidRDefault="00981C2B" w:rsidP="00981C2B">
      <w:pPr>
        <w:pStyle w:val="Default"/>
        <w:numPr>
          <w:ilvl w:val="0"/>
          <w:numId w:val="6"/>
        </w:numPr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Počet proškolených pedagogických pracovníků</w:t>
      </w:r>
    </w:p>
    <w:p w:rsidR="00981C2B" w:rsidRDefault="00981C2B" w:rsidP="00981C2B">
      <w:pPr>
        <w:pStyle w:val="Default"/>
        <w:numPr>
          <w:ilvl w:val="0"/>
          <w:numId w:val="6"/>
        </w:numPr>
        <w:jc w:val="both"/>
        <w:rPr>
          <w:bCs/>
          <w:iCs/>
          <w:color w:val="auto"/>
        </w:rPr>
      </w:pPr>
      <w:r>
        <w:rPr>
          <w:bCs/>
          <w:iCs/>
          <w:color w:val="auto"/>
        </w:rPr>
        <w:t>Evaluace užití proškolených metod pedagogickými pracovníky (zkvalitnění jejich práce, nové metody práce a jejich dopad v praxi,…)</w:t>
      </w:r>
    </w:p>
    <w:p w:rsidR="00981C2B" w:rsidRDefault="00981C2B" w:rsidP="00981C2B">
      <w:pPr>
        <w:pStyle w:val="Default"/>
        <w:ind w:left="360"/>
        <w:jc w:val="both"/>
        <w:rPr>
          <w:b/>
          <w:bCs/>
          <w:iCs/>
          <w:color w:val="auto"/>
        </w:rPr>
      </w:pPr>
    </w:p>
    <w:p w:rsidR="00981C2B" w:rsidRDefault="00981C2B" w:rsidP="00981C2B">
      <w:pPr>
        <w:pStyle w:val="Default"/>
        <w:ind w:left="426" w:hanging="426"/>
        <w:jc w:val="both"/>
        <w:rPr>
          <w:color w:val="auto"/>
        </w:rPr>
      </w:pPr>
      <w:r>
        <w:rPr>
          <w:b/>
          <w:bCs/>
          <w:iCs/>
          <w:color w:val="auto"/>
        </w:rPr>
        <w:t>4. Tvorba didaktických materiálů a odborných studií pro potřeby</w:t>
      </w:r>
      <w:r w:rsidR="00F55CD1">
        <w:rPr>
          <w:b/>
          <w:bCs/>
          <w:iCs/>
          <w:color w:val="auto"/>
        </w:rPr>
        <w:t xml:space="preserve"> </w:t>
      </w:r>
      <w:r>
        <w:rPr>
          <w:b/>
          <w:bCs/>
          <w:iCs/>
          <w:color w:val="auto"/>
        </w:rPr>
        <w:t>vytváření  vzdělávacích programů, metod a strategií.</w:t>
      </w:r>
      <w:r>
        <w:rPr>
          <w:b/>
          <w:bCs/>
          <w:i/>
          <w:iCs/>
          <w:color w:val="auto"/>
        </w:rPr>
        <w:t xml:space="preserve"> </w:t>
      </w:r>
    </w:p>
    <w:p w:rsidR="00981C2B" w:rsidRDefault="00981C2B" w:rsidP="00981C2B">
      <w:pPr>
        <w:pStyle w:val="Default"/>
        <w:tabs>
          <w:tab w:val="left" w:pos="426"/>
        </w:tabs>
        <w:ind w:left="426" w:hanging="284"/>
        <w:jc w:val="both"/>
        <w:rPr>
          <w:color w:val="auto"/>
        </w:rPr>
      </w:pPr>
      <w:r>
        <w:rPr>
          <w:color w:val="auto"/>
        </w:rPr>
        <w:t xml:space="preserve">      Cílem vyhlášení t</w:t>
      </w:r>
      <w:r w:rsidR="00223E83">
        <w:rPr>
          <w:color w:val="auto"/>
        </w:rPr>
        <w:t>e</w:t>
      </w:r>
      <w:r>
        <w:rPr>
          <w:color w:val="auto"/>
        </w:rPr>
        <w:t>matického okruhu je podpora vytváření materiálů pro práci s dětmi v integrovaných skupinách a podpora zpracování odborných studií zaměřených na vzdělávání dětí, žáků a studentů z cílové skupiny programu. V rámci t</w:t>
      </w:r>
      <w:r w:rsidR="00223E83">
        <w:rPr>
          <w:color w:val="auto"/>
        </w:rPr>
        <w:t>e</w:t>
      </w:r>
      <w:r>
        <w:rPr>
          <w:color w:val="auto"/>
        </w:rPr>
        <w:t>matického okruhu mohou být vytvářeny také metodické a didaktické materiály pro výuku romštiny či realizovány výzkumné aktivity vztahující se k romskému jazyku a romské historii.</w:t>
      </w:r>
    </w:p>
    <w:p w:rsidR="00981C2B" w:rsidRDefault="00981C2B" w:rsidP="00981C2B">
      <w:pPr>
        <w:pStyle w:val="Default"/>
        <w:tabs>
          <w:tab w:val="left" w:pos="426"/>
        </w:tabs>
        <w:ind w:left="426"/>
        <w:jc w:val="both"/>
        <w:rPr>
          <w:color w:val="auto"/>
        </w:rPr>
      </w:pPr>
    </w:p>
    <w:p w:rsidR="00981C2B" w:rsidRDefault="00981C2B" w:rsidP="00981C2B">
      <w:pPr>
        <w:pStyle w:val="Default"/>
        <w:tabs>
          <w:tab w:val="left" w:pos="426"/>
        </w:tabs>
        <w:ind w:left="426"/>
        <w:jc w:val="both"/>
        <w:rPr>
          <w:b/>
          <w:color w:val="auto"/>
        </w:rPr>
      </w:pPr>
      <w:r>
        <w:rPr>
          <w:b/>
          <w:color w:val="auto"/>
        </w:rPr>
        <w:t xml:space="preserve">Očekávané výstupy: 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Počet didaktických materiálů 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Ověření platnosti didaktického materiálu nebo studie (popis doložitelného přínosu pro děti, žáky a studenty z romské komunity)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Prezentace materiálů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Proškolení pedagogů nebo pracovníků s</w:t>
      </w:r>
      <w:r w:rsidR="00223E83">
        <w:rPr>
          <w:szCs w:val="24"/>
        </w:rPr>
        <w:t> </w:t>
      </w:r>
      <w:r>
        <w:rPr>
          <w:szCs w:val="24"/>
        </w:rPr>
        <w:t>dětmi</w:t>
      </w:r>
      <w:r w:rsidR="00223E83">
        <w:rPr>
          <w:szCs w:val="24"/>
        </w:rPr>
        <w:t xml:space="preserve"> </w:t>
      </w:r>
      <w:r>
        <w:rPr>
          <w:szCs w:val="24"/>
        </w:rPr>
        <w:t>ve </w:t>
      </w:r>
      <w:r w:rsidR="00223E83">
        <w:rPr>
          <w:szCs w:val="24"/>
        </w:rPr>
        <w:t>vy</w:t>
      </w:r>
      <w:r>
        <w:rPr>
          <w:szCs w:val="24"/>
        </w:rPr>
        <w:t>užití vytvořeného materiálu (nebo alespoň doložení ověření pilotního ověření užití metodiky v praxi)</w:t>
      </w:r>
    </w:p>
    <w:p w:rsidR="00981C2B" w:rsidRDefault="00981C2B" w:rsidP="00981C2B">
      <w:pPr>
        <w:pStyle w:val="Default"/>
        <w:numPr>
          <w:ilvl w:val="0"/>
          <w:numId w:val="7"/>
        </w:numPr>
        <w:jc w:val="both"/>
        <w:rPr>
          <w:bCs/>
          <w:iCs/>
          <w:color w:val="auto"/>
        </w:rPr>
      </w:pPr>
      <w:r>
        <w:rPr>
          <w:color w:val="auto"/>
        </w:rPr>
        <w:t xml:space="preserve">Evaluace užití proškolených didaktik (do jaké míry jsou užitelné a užívané v praxi, jak </w:t>
      </w:r>
      <w:r>
        <w:rPr>
          <w:bCs/>
          <w:iCs/>
          <w:color w:val="auto"/>
        </w:rPr>
        <w:t>zkvalitní práci s romskými dětmi, žáky a studenty,…)</w:t>
      </w:r>
    </w:p>
    <w:p w:rsidR="00981C2B" w:rsidRDefault="00981C2B" w:rsidP="00981C2B">
      <w:pPr>
        <w:ind w:left="360"/>
        <w:rPr>
          <w:szCs w:val="24"/>
        </w:rPr>
      </w:pPr>
    </w:p>
    <w:p w:rsidR="00981C2B" w:rsidRDefault="00981C2B" w:rsidP="00981C2B">
      <w:pPr>
        <w:pStyle w:val="Default"/>
        <w:ind w:left="284" w:hanging="284"/>
        <w:jc w:val="both"/>
        <w:rPr>
          <w:b/>
          <w:bCs/>
          <w:iCs/>
          <w:color w:val="auto"/>
        </w:rPr>
      </w:pPr>
      <w:r>
        <w:rPr>
          <w:b/>
          <w:color w:val="auto"/>
        </w:rPr>
        <w:t xml:space="preserve">5. </w:t>
      </w:r>
      <w:r>
        <w:rPr>
          <w:b/>
          <w:bCs/>
          <w:iCs/>
          <w:color w:val="auto"/>
        </w:rPr>
        <w:t xml:space="preserve">Volnočasové a zájmové aktivity pro romské děti a mládež v návaznosti na jejich vzdělávací potřeby. </w:t>
      </w:r>
    </w:p>
    <w:p w:rsidR="00981C2B" w:rsidRDefault="00981C2B" w:rsidP="00981C2B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Cílem vyhlášení t</w:t>
      </w:r>
      <w:r w:rsidR="00223E83">
        <w:rPr>
          <w:color w:val="auto"/>
        </w:rPr>
        <w:t>e</w:t>
      </w:r>
      <w:r>
        <w:rPr>
          <w:color w:val="auto"/>
        </w:rPr>
        <w:t xml:space="preserve">matického okruhu je podpora vytváření nabídky volnočasových aktivit pro danou cílovou skupinu a integrace dětí a mládeže z romských komunit v této oblasti. </w:t>
      </w: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  <w:r>
        <w:rPr>
          <w:b/>
          <w:color w:val="auto"/>
        </w:rPr>
        <w:t>Příjemcem dotace v prioritě 5. je NNO, jejíž činnost se zaměřuje výhradně na děti a mládež z romské komunity. Aktivity ostatních NNO jsou podpořeny z Programů státní podpory práce s dětmi a mládeží pro nestátní neziskové organizace na léta 2011 až 2015.</w:t>
      </w: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  <w:r>
        <w:rPr>
          <w:b/>
          <w:color w:val="auto"/>
        </w:rPr>
        <w:t>V sociálně vyloučených lokalitách je přípustné, aby účastníky aktivit v tematickém okruhu 5 byl segment dětí a mládeže,</w:t>
      </w:r>
      <w:r w:rsidR="00F55CD1">
        <w:rPr>
          <w:b/>
          <w:color w:val="auto"/>
        </w:rPr>
        <w:t xml:space="preserve"> </w:t>
      </w:r>
      <w:r>
        <w:rPr>
          <w:b/>
          <w:color w:val="auto"/>
        </w:rPr>
        <w:t xml:space="preserve">kteří nejsou příslušníky romské komunity. Jejich počet v oprávněných případech může dosáhnout až 40% z cílové skupiny dětí a mládeže. </w:t>
      </w: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  <w:r>
        <w:rPr>
          <w:b/>
          <w:color w:val="auto"/>
        </w:rPr>
        <w:t xml:space="preserve">Očekávané výstupy: 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Pravidelná volnočasová aktivita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Rozvoj sociálních dovedností cílové skupiny (u pravidelných aktivit dle vyhodnocení dat z portfolia klienta)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Nejméně 60% docházka cílové skupiny na pravidelné aktivity v roce realizace projektu </w:t>
      </w:r>
    </w:p>
    <w:p w:rsidR="00981C2B" w:rsidRDefault="00981C2B" w:rsidP="00981C2B">
      <w:pPr>
        <w:numPr>
          <w:ilvl w:val="0"/>
          <w:numId w:val="7"/>
        </w:numPr>
        <w:rPr>
          <w:szCs w:val="24"/>
        </w:rPr>
      </w:pPr>
      <w:r>
        <w:rPr>
          <w:szCs w:val="24"/>
        </w:rPr>
        <w:t>Pravidelnost docházky</w:t>
      </w:r>
    </w:p>
    <w:p w:rsidR="00981C2B" w:rsidRDefault="00981C2B" w:rsidP="00981C2B">
      <w:pPr>
        <w:pStyle w:val="Default"/>
        <w:ind w:left="284" w:hanging="284"/>
        <w:jc w:val="both"/>
        <w:rPr>
          <w:iCs/>
          <w:color w:val="auto"/>
        </w:rPr>
      </w:pPr>
      <w:r>
        <w:rPr>
          <w:b/>
          <w:bCs/>
          <w:iCs/>
          <w:color w:val="auto"/>
        </w:rPr>
        <w:lastRenderedPageBreak/>
        <w:t xml:space="preserve">6. Podpora informačních a osvětových aktivit zaměřených na předcházení jakémukoliv diskriminačnímu jednání z důvodu etnicity, národnostní příslušnosti, sociálního či ekonomického statutu. </w:t>
      </w:r>
    </w:p>
    <w:p w:rsidR="00981C2B" w:rsidRDefault="00981C2B" w:rsidP="00981C2B">
      <w:pPr>
        <w:pStyle w:val="Default"/>
        <w:ind w:left="360"/>
        <w:jc w:val="both"/>
        <w:rPr>
          <w:color w:val="auto"/>
        </w:rPr>
      </w:pPr>
      <w:r>
        <w:rPr>
          <w:color w:val="auto"/>
        </w:rPr>
        <w:t>Cílem vyhlášení t</w:t>
      </w:r>
      <w:r w:rsidR="00223E83">
        <w:rPr>
          <w:color w:val="auto"/>
        </w:rPr>
        <w:t>e</w:t>
      </w:r>
      <w:r>
        <w:rPr>
          <w:color w:val="auto"/>
        </w:rPr>
        <w:t xml:space="preserve">matického okruhu je podpora specifických aktivit zaměřených na danou oblast, vytváření prostředí příznivějšího pro začleňování cílových skupin do společnosti. </w:t>
      </w:r>
    </w:p>
    <w:p w:rsidR="00981C2B" w:rsidRDefault="00981C2B" w:rsidP="00981C2B">
      <w:pPr>
        <w:pStyle w:val="Default"/>
        <w:ind w:left="360"/>
        <w:jc w:val="both"/>
        <w:rPr>
          <w:color w:val="auto"/>
        </w:rPr>
      </w:pP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  <w:r>
        <w:rPr>
          <w:b/>
          <w:color w:val="auto"/>
        </w:rPr>
        <w:t xml:space="preserve">Očekávané výstupy: </w:t>
      </w:r>
    </w:p>
    <w:p w:rsidR="00981C2B" w:rsidRDefault="00981C2B" w:rsidP="00981C2B">
      <w:pPr>
        <w:pStyle w:val="Default"/>
        <w:numPr>
          <w:ilvl w:val="0"/>
          <w:numId w:val="8"/>
        </w:numPr>
        <w:ind w:left="709" w:hanging="283"/>
        <w:jc w:val="both"/>
        <w:rPr>
          <w:color w:val="auto"/>
        </w:rPr>
      </w:pPr>
      <w:r>
        <w:rPr>
          <w:color w:val="auto"/>
        </w:rPr>
        <w:t>Akce a pravidelné aktivity v souladu s prioritou 6 (vyčíslení počtu účastníků)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ind w:left="360"/>
        <w:jc w:val="both"/>
        <w:rPr>
          <w:b/>
          <w:color w:val="auto"/>
        </w:rPr>
      </w:pPr>
    </w:p>
    <w:p w:rsidR="00981C2B" w:rsidRDefault="00981C2B" w:rsidP="00981C2B">
      <w:pPr>
        <w:pStyle w:val="Default"/>
        <w:jc w:val="both"/>
        <w:rPr>
          <w:b/>
          <w:iCs/>
          <w:color w:val="auto"/>
        </w:rPr>
      </w:pPr>
      <w:r>
        <w:rPr>
          <w:b/>
          <w:iCs/>
          <w:color w:val="auto"/>
        </w:rPr>
        <w:t xml:space="preserve">Upozornění - dotace nemohou být poskytnuty na projekty </w:t>
      </w:r>
      <w:r w:rsidR="00806F17">
        <w:rPr>
          <w:b/>
          <w:iCs/>
          <w:color w:val="auto"/>
        </w:rPr>
        <w:t>následujícího zaměření</w:t>
      </w:r>
      <w:r>
        <w:rPr>
          <w:b/>
          <w:iCs/>
          <w:color w:val="auto"/>
        </w:rPr>
        <w:t xml:space="preserve">: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divadla,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muzea, galerie, knihovny,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dokumentační činnost,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vydávání periodických i neperiodických publikací, pokud nejsou integrální součástí širšího vzdělávacího projektu,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televizní a rozhlasové pořady a cykly veřejně prospěšného charakteru věnované Rómům,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distribuci filmů, pokud nejsou integrální součástí širšího vzdělávacího projektu, </w:t>
      </w:r>
    </w:p>
    <w:p w:rsidR="00981C2B" w:rsidRDefault="00981C2B" w:rsidP="00981C2B">
      <w:pPr>
        <w:pStyle w:val="Default"/>
        <w:numPr>
          <w:ilvl w:val="0"/>
          <w:numId w:val="9"/>
        </w:numPr>
        <w:jc w:val="both"/>
        <w:rPr>
          <w:color w:val="auto"/>
        </w:rPr>
      </w:pPr>
      <w:r>
        <w:rPr>
          <w:color w:val="auto"/>
        </w:rPr>
        <w:t xml:space="preserve">umělecké aktivity, studium, rozbor a dokumentace národnostní kultury a lidových tradic romské menšiny, publikační činnost atp. </w:t>
      </w:r>
    </w:p>
    <w:p w:rsidR="00981C2B" w:rsidRDefault="00981C2B" w:rsidP="00981C2B">
      <w:pPr>
        <w:pStyle w:val="Default"/>
        <w:jc w:val="both"/>
        <w:outlineLvl w:val="0"/>
        <w:rPr>
          <w:color w:val="auto"/>
        </w:rPr>
      </w:pPr>
      <w:r>
        <w:rPr>
          <w:color w:val="auto"/>
        </w:rPr>
        <w:t xml:space="preserve">Poskytovatelem dotací na tyto aktivity je Ministerstvo kultury ČR. </w:t>
      </w:r>
    </w:p>
    <w:p w:rsidR="00981C2B" w:rsidRDefault="00981C2B" w:rsidP="00981C2B">
      <w:pPr>
        <w:pStyle w:val="Default"/>
        <w:jc w:val="both"/>
        <w:outlineLvl w:val="0"/>
        <w:rPr>
          <w:color w:val="auto"/>
        </w:rPr>
      </w:pPr>
    </w:p>
    <w:p w:rsidR="00981C2B" w:rsidRDefault="00981C2B" w:rsidP="00981C2B">
      <w:pPr>
        <w:pStyle w:val="Default"/>
        <w:jc w:val="both"/>
        <w:rPr>
          <w:b/>
          <w:bCs/>
          <w:color w:val="auto"/>
        </w:rPr>
      </w:pPr>
    </w:p>
    <w:p w:rsidR="00981C2B" w:rsidRDefault="00981C2B" w:rsidP="00981C2B">
      <w:pPr>
        <w:pStyle w:val="Default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>III. Všeobecné podmínky pro poskytování dotací v rámci dotačního programu na podporu integrace romské komunity</w:t>
      </w:r>
    </w:p>
    <w:p w:rsidR="00981C2B" w:rsidRDefault="00981C2B" w:rsidP="00981C2B">
      <w:pPr>
        <w:pStyle w:val="Default"/>
        <w:jc w:val="both"/>
        <w:rPr>
          <w:b/>
          <w:bCs/>
          <w:i/>
          <w:iCs/>
          <w:color w:val="auto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Předkládaný projekt musí být zaměřen na některý z vyhlášených tematických okruhů. Duplicita stejných nákladů projektu ze státního rozpočtu není dovolena. Projekt nesmí být v rozporu s podporou rovných příležitostí mužů a žen.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Projekt musí být uskutečněn v roce 2012. V případě víceletého projektu je nutno předložit celý projekt včetně rozpočtu dle jednotlivých let a samostatně popsat a přesně vyčíslit část, která bude realizována v roce 2012. O případnou dotaci na víceletý projekt musí žadatel v následujícím kalendářním roce znovu požádat, což nezakládá povinnost ministerstva, aby umožnilo čerpat dotaci v následujících letech.</w:t>
      </w:r>
    </w:p>
    <w:p w:rsidR="00F55CD1" w:rsidRDefault="00F55CD1" w:rsidP="00F55CD1">
      <w:pPr>
        <w:rPr>
          <w:szCs w:val="24"/>
        </w:rPr>
      </w:pPr>
    </w:p>
    <w:p w:rsidR="00F55CD1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V termínu podání žádosti uvedeném v tomto „Vyhlášení“ může předkladatel předložit ministerstvu</w:t>
      </w:r>
      <w:r w:rsidR="00806F17">
        <w:rPr>
          <w:szCs w:val="24"/>
        </w:rPr>
        <w:t xml:space="preserve"> (odboru 27)</w:t>
      </w:r>
      <w:r>
        <w:rPr>
          <w:szCs w:val="24"/>
        </w:rPr>
        <w:t xml:space="preserve"> nejvýše </w:t>
      </w:r>
      <w:r>
        <w:rPr>
          <w:b/>
          <w:szCs w:val="24"/>
        </w:rPr>
        <w:t>2 různé projekty, které budou realizovány v roce 2012</w:t>
      </w:r>
      <w:r w:rsidR="00F55CD1">
        <w:rPr>
          <w:b/>
          <w:szCs w:val="24"/>
        </w:rPr>
        <w:t xml:space="preserve">, </w:t>
      </w:r>
      <w:r w:rsidR="00F55CD1" w:rsidRPr="00806F17">
        <w:rPr>
          <w:b/>
          <w:szCs w:val="24"/>
        </w:rPr>
        <w:t>avšak za následující podmínky</w:t>
      </w:r>
      <w:r w:rsidR="00F55CD1">
        <w:rPr>
          <w:szCs w:val="24"/>
        </w:rPr>
        <w:t xml:space="preserve"> - </w:t>
      </w:r>
      <w:r>
        <w:rPr>
          <w:b/>
          <w:color w:val="0070C0"/>
          <w:szCs w:val="24"/>
        </w:rPr>
        <w:t xml:space="preserve"> </w:t>
      </w:r>
      <w:r w:rsidR="00F55CD1" w:rsidRPr="00F55CD1">
        <w:rPr>
          <w:szCs w:val="24"/>
        </w:rPr>
        <w:t>p</w:t>
      </w:r>
      <w:r>
        <w:rPr>
          <w:szCs w:val="24"/>
        </w:rPr>
        <w:t xml:space="preserve">rojekty, které byly </w:t>
      </w:r>
      <w:r w:rsidRPr="00A66C6E">
        <w:rPr>
          <w:szCs w:val="24"/>
        </w:rPr>
        <w:t>podpořeny v prvním kole tohoto dotačního programu</w:t>
      </w:r>
      <w:r>
        <w:rPr>
          <w:szCs w:val="24"/>
        </w:rPr>
        <w:t xml:space="preserve"> na rok 2012,</w:t>
      </w:r>
      <w:r w:rsidR="00F55CD1">
        <w:rPr>
          <w:szCs w:val="24"/>
        </w:rPr>
        <w:t xml:space="preserve"> již nelze předkládat, a o tyto se snižuje počet předložitelných projektů pro toto druhé kolo dotačního řízení pro jednotlivé žadatele. </w:t>
      </w:r>
    </w:p>
    <w:p w:rsidR="00F55CD1" w:rsidRDefault="00F55CD1" w:rsidP="00F55CD1">
      <w:pPr>
        <w:ind w:left="357"/>
        <w:rPr>
          <w:szCs w:val="24"/>
        </w:rPr>
      </w:pPr>
      <w:r>
        <w:rPr>
          <w:szCs w:val="24"/>
        </w:rPr>
        <w:t xml:space="preserve">(př.: pokud byl žadateli podpořen jeden projekt </w:t>
      </w:r>
      <w:r w:rsidR="00806F17">
        <w:rPr>
          <w:szCs w:val="24"/>
        </w:rPr>
        <w:t xml:space="preserve">v prvním kole </w:t>
      </w:r>
      <w:r>
        <w:rPr>
          <w:szCs w:val="24"/>
        </w:rPr>
        <w:t xml:space="preserve">tohoto dotačního řízení, může v rámci druhého kola předložit již jen jeden projekt).  </w:t>
      </w:r>
    </w:p>
    <w:p w:rsidR="00981C2B" w:rsidRDefault="00F55CD1" w:rsidP="00F55CD1">
      <w:pPr>
        <w:rPr>
          <w:szCs w:val="24"/>
        </w:rPr>
      </w:pPr>
      <w:r>
        <w:rPr>
          <w:szCs w:val="24"/>
        </w:rPr>
        <w:t xml:space="preserve">      </w:t>
      </w:r>
      <w:r w:rsidR="00981C2B">
        <w:rPr>
          <w:szCs w:val="24"/>
        </w:rPr>
        <w:t xml:space="preserve">Zaslané projekty ministerstvo žadatelům nevrací. </w:t>
      </w: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V dotačním výběrovém řízení ministerstvo podpoří projekty s požadovaným rozpočtem dotace ve výši minimálně </w:t>
      </w:r>
      <w:r>
        <w:rPr>
          <w:b/>
          <w:szCs w:val="24"/>
        </w:rPr>
        <w:t>30.000,- Kč,</w:t>
      </w:r>
      <w:r>
        <w:rPr>
          <w:szCs w:val="24"/>
        </w:rPr>
        <w:t xml:space="preserve"> </w:t>
      </w:r>
      <w:r>
        <w:rPr>
          <w:b/>
          <w:szCs w:val="24"/>
        </w:rPr>
        <w:t>maximálně 2 000 000,- Kč.</w:t>
      </w:r>
    </w:p>
    <w:p w:rsidR="00981C2B" w:rsidRDefault="00981C2B" w:rsidP="00981C2B">
      <w:pPr>
        <w:rPr>
          <w:szCs w:val="24"/>
        </w:rPr>
      </w:pPr>
    </w:p>
    <w:p w:rsidR="00EB44CE" w:rsidRDefault="00981C2B" w:rsidP="00EB44CE">
      <w:pPr>
        <w:numPr>
          <w:ilvl w:val="0"/>
          <w:numId w:val="10"/>
        </w:numPr>
        <w:rPr>
          <w:szCs w:val="24"/>
        </w:rPr>
      </w:pPr>
      <w:r w:rsidRPr="00EB44CE">
        <w:rPr>
          <w:szCs w:val="24"/>
        </w:rPr>
        <w:lastRenderedPageBreak/>
        <w:t xml:space="preserve">Dotace má neinvestiční charakter. </w:t>
      </w:r>
    </w:p>
    <w:p w:rsidR="00981C2B" w:rsidRDefault="00EB44CE" w:rsidP="00EB44CE">
      <w:pPr>
        <w:ind w:left="357"/>
        <w:rPr>
          <w:szCs w:val="24"/>
        </w:rPr>
      </w:pPr>
      <w:r w:rsidRPr="00EB44CE">
        <w:rPr>
          <w:szCs w:val="24"/>
        </w:rPr>
        <w:t xml:space="preserve"> </w:t>
      </w: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Výše přidělené dotace je závislá na výši státního rozpočtu České republiky. Dále si ministerstvo vyhrazuje právo změny nebo doplnění podmínek tohoto výběrového dotačního řízení v případě, že dojde k  legislativním změnám s  následným dopadem do rozpočtu ministerstva. V případě snížení rozpočtu ministerstva v roce 2012 bude adekvátně snížena dotace na projekt. </w:t>
      </w:r>
    </w:p>
    <w:p w:rsidR="00981C2B" w:rsidRDefault="00981C2B" w:rsidP="00981C2B">
      <w:pPr>
        <w:ind w:left="357"/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Přidělená dotace může být použita jen na účely specifikované v rozhodnutí. Změny rozhodnutí mohou být provedeny pouze na základě písemné žádosti příjemce dotace doručené ministerstvu do 31. 10. 2012. Příjemce dotace je dále povinen oznámit do osmi </w:t>
      </w:r>
      <w:r w:rsidR="00636C5E">
        <w:rPr>
          <w:szCs w:val="24"/>
        </w:rPr>
        <w:t xml:space="preserve">pracovních </w:t>
      </w:r>
      <w:r>
        <w:rPr>
          <w:szCs w:val="24"/>
        </w:rPr>
        <w:t>dnů (od rozhodnutí orgánů příjemce dotace o jeho rozpuštění, transformaci nebo sloučení, nebo od jiné události) ministerstvu svůj zánik, transformaci, sloučení, změnu identifikačních údajů, komunikačního, bankovního spojení nebo jiných údajů uvedených v žádosti. Současně je příjemce dotace povinen přednostně vypořádat případné vztahy se státním rozpočtem.</w:t>
      </w:r>
    </w:p>
    <w:p w:rsidR="00981C2B" w:rsidRDefault="00981C2B" w:rsidP="00981C2B">
      <w:pPr>
        <w:ind w:left="357"/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Dotaci ze státního rozpočtu lze poskytnout maximálně do výše 70 % rozpočtových kalkulovaných neinvestičních nákladů, podle možností rozpočtu a významu projektu. Pokud je projekt financován dotacemi z různých státních zdrojů, nesmí souběh těchto zdrojů činit více než 70 % nákladů projektu. V případech hodných zvláštního zřetele může ministerstvo procentní podíl dotace na realizaci projektu zvýšit </w:t>
      </w:r>
      <w:r>
        <w:rPr>
          <w:b/>
          <w:szCs w:val="24"/>
        </w:rPr>
        <w:t>na základě vložené a řádně zdůvodněné žádosti</w:t>
      </w:r>
      <w:r>
        <w:rPr>
          <w:szCs w:val="24"/>
        </w:rPr>
        <w:t xml:space="preserve">. Duplicita hrazení identických nákladů projektu ze státního rozpočtu není dovolena. </w:t>
      </w: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tabs>
          <w:tab w:val="left" w:pos="720"/>
        </w:tabs>
        <w:suppressAutoHyphens/>
        <w:autoSpaceDE w:val="0"/>
        <w:spacing w:after="120"/>
        <w:rPr>
          <w:rFonts w:eastAsia="SimSun"/>
          <w:szCs w:val="24"/>
        </w:rPr>
      </w:pPr>
      <w:r>
        <w:rPr>
          <w:szCs w:val="24"/>
        </w:rPr>
        <w:t xml:space="preserve">Projekt může být spolufinancován z obecních a krajských rozpočtů, prostředků evropských strukturálních fondů a dalších zdrojů (při dodržení podmínky zákazu duplicity hrazení identických nákladů projektu ze státních zdrojů). V případě, že projektové aktivity jsou již financovány z prostředků Operačního programu Vzdělávání pro konkurenceschopnost, </w:t>
      </w:r>
      <w:r w:rsidR="00636C5E">
        <w:rPr>
          <w:szCs w:val="24"/>
        </w:rPr>
        <w:t xml:space="preserve">je třeba tuto skutečnost v žádosti uvést a </w:t>
      </w:r>
      <w:r>
        <w:rPr>
          <w:szCs w:val="24"/>
        </w:rPr>
        <w:t>není možné žádat o identické výdaje v rámci dotačního programu. V případě, že projekt bude podpořen nižší dotací, než bylo požadováno v žádosti, je realizátor povinen zachovat</w:t>
      </w:r>
      <w:r>
        <w:rPr>
          <w:rFonts w:eastAsia="SimSun"/>
          <w:szCs w:val="24"/>
        </w:rPr>
        <w:t xml:space="preserve"> původní maximální</w:t>
      </w:r>
      <w:r>
        <w:rPr>
          <w:szCs w:val="24"/>
        </w:rPr>
        <w:t xml:space="preserve"> </w:t>
      </w:r>
      <w:r>
        <w:rPr>
          <w:rFonts w:eastAsia="SimSun"/>
          <w:szCs w:val="24"/>
        </w:rPr>
        <w:t>procentuální podíl dotace poskytnuté ústředním orgánem i v případě, že sníží celkový rozpočet projektu.</w:t>
      </w: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Pokud žadatel zpracovává výroční zprávu, přikládá výroční zprávu za rok 2011 (případně za rok 2010)</w:t>
      </w:r>
      <w:r w:rsidR="00EB44CE">
        <w:rPr>
          <w:szCs w:val="24"/>
        </w:rPr>
        <w:t>, a to žádosti o dotaci.</w:t>
      </w:r>
      <w:r>
        <w:rPr>
          <w:szCs w:val="24"/>
        </w:rPr>
        <w:t xml:space="preserve"> U projektů, které jsou lokalizovány v některém kraji či krajích a tuto lokalizaci lze jasně identifikovat, předloží předkladatel doporučení krajského úřadu</w:t>
      </w:r>
      <w:r>
        <w:rPr>
          <w:b/>
          <w:szCs w:val="24"/>
        </w:rPr>
        <w:t xml:space="preserve"> – </w:t>
      </w:r>
      <w:r>
        <w:rPr>
          <w:szCs w:val="24"/>
        </w:rPr>
        <w:t>odboru školství nebo krajského koordinátora pro národnostní menšiny příslušného kraje/ krajů.</w:t>
      </w:r>
      <w:r w:rsidR="00EB44CE">
        <w:rPr>
          <w:szCs w:val="24"/>
        </w:rPr>
        <w:t xml:space="preserve">  Toto doporučení je povinnou přílohou k žádosti.</w:t>
      </w:r>
      <w:r>
        <w:rPr>
          <w:szCs w:val="24"/>
        </w:rPr>
        <w:t xml:space="preserve"> </w:t>
      </w: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Z poskytnutých finančních prostředků </w:t>
      </w:r>
      <w:r>
        <w:rPr>
          <w:b/>
          <w:szCs w:val="24"/>
        </w:rPr>
        <w:t>lze hradit</w:t>
      </w:r>
      <w:r>
        <w:rPr>
          <w:szCs w:val="24"/>
        </w:rPr>
        <w:t>:</w:t>
      </w:r>
    </w:p>
    <w:p w:rsidR="00981C2B" w:rsidRDefault="00981C2B" w:rsidP="00981C2B">
      <w:pPr>
        <w:pStyle w:val="Zkladntext"/>
        <w:widowControl/>
        <w:numPr>
          <w:ilvl w:val="1"/>
          <w:numId w:val="11"/>
        </w:numPr>
        <w:jc w:val="both"/>
        <w:rPr>
          <w:b/>
          <w:szCs w:val="24"/>
        </w:rPr>
      </w:pPr>
      <w:r>
        <w:rPr>
          <w:b/>
          <w:szCs w:val="24"/>
        </w:rPr>
        <w:t>prokazatelné materiální a nemateriální náklady nezbytné pro realizaci projektu.</w:t>
      </w:r>
    </w:p>
    <w:p w:rsidR="00981C2B" w:rsidRDefault="00981C2B" w:rsidP="00981C2B">
      <w:pPr>
        <w:pStyle w:val="Zkladntext"/>
        <w:rPr>
          <w:b/>
          <w:szCs w:val="24"/>
        </w:rPr>
      </w:pPr>
    </w:p>
    <w:p w:rsidR="00981C2B" w:rsidRDefault="00981C2B" w:rsidP="00981C2B">
      <w:pPr>
        <w:pStyle w:val="Zkladntext"/>
        <w:widowControl/>
        <w:numPr>
          <w:ilvl w:val="0"/>
          <w:numId w:val="10"/>
        </w:numPr>
        <w:tabs>
          <w:tab w:val="left" w:pos="0"/>
        </w:tabs>
        <w:jc w:val="both"/>
        <w:rPr>
          <w:b/>
          <w:szCs w:val="24"/>
        </w:rPr>
      </w:pPr>
      <w:r>
        <w:rPr>
          <w:b/>
          <w:szCs w:val="24"/>
        </w:rPr>
        <w:t>Z poskytnutých finančních prostředků nelze hradit náklady (výdaje) na: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pořízení nebo technické zhodnocení hmotného a nehmotného dlouhodobého majetku (investiční náklady),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odměny statutárním orgánům právnických osob (např. dozorčí rady, valné hromady),</w:t>
      </w:r>
      <w:r>
        <w:rPr>
          <w:szCs w:val="24"/>
        </w:rPr>
        <w:t xml:space="preserve"> </w:t>
      </w:r>
      <w:r>
        <w:rPr>
          <w:b/>
          <w:szCs w:val="24"/>
        </w:rPr>
        <w:t>zabezpečení chodu sekretariátu,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 xml:space="preserve">mzdy a platy včetně zákonných odvodů, 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lastRenderedPageBreak/>
        <w:t>tvorbu zisku a základního jmění,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členské příspěvky v mezinárodních institucích,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splátky půjček, leasingové splátky, na odpisy majetku,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 xml:space="preserve">výdaje spojené se zahraničními cestami, pokud jejich uskutečnění není nezbytnou součástí uskutečnění projektu, 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provedení účetního či daňového auditu,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 xml:space="preserve">pohoštění a dary, </w:t>
      </w:r>
      <w:r>
        <w:rPr>
          <w:szCs w:val="24"/>
        </w:rPr>
        <w:t>věcné ceny</w:t>
      </w:r>
      <w:r>
        <w:rPr>
          <w:b/>
          <w:szCs w:val="24"/>
        </w:rPr>
        <w:t xml:space="preserve"> a odměny v soutěžích,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pokuty, penále a sankce,</w:t>
      </w:r>
    </w:p>
    <w:p w:rsidR="00981C2B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>
        <w:rPr>
          <w:b/>
          <w:szCs w:val="24"/>
        </w:rPr>
        <w:t>tvorbu finančních fondů,</w:t>
      </w:r>
    </w:p>
    <w:p w:rsidR="00981C2B" w:rsidRPr="007E3ECD" w:rsidRDefault="00981C2B" w:rsidP="00981C2B">
      <w:pPr>
        <w:pStyle w:val="Zkladntext"/>
        <w:widowControl/>
        <w:numPr>
          <w:ilvl w:val="1"/>
          <w:numId w:val="12"/>
        </w:numPr>
        <w:jc w:val="both"/>
        <w:rPr>
          <w:b/>
          <w:szCs w:val="24"/>
        </w:rPr>
      </w:pPr>
      <w:r w:rsidRPr="007E3ECD">
        <w:rPr>
          <w:b/>
          <w:szCs w:val="24"/>
        </w:rPr>
        <w:t>veškeré provozní náklady, které přímo nesouvisejí s realizací projektu.</w:t>
      </w:r>
    </w:p>
    <w:p w:rsidR="00981C2B" w:rsidRDefault="00981C2B" w:rsidP="00981C2B">
      <w:pPr>
        <w:pStyle w:val="Text"/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Poskytnutí </w:t>
      </w:r>
      <w:r w:rsidR="00AD42B3">
        <w:rPr>
          <w:szCs w:val="24"/>
        </w:rPr>
        <w:t xml:space="preserve">a použití </w:t>
      </w:r>
      <w:r>
        <w:rPr>
          <w:szCs w:val="24"/>
        </w:rPr>
        <w:t>dotací ze státního rozpočtu ČR se řídí obecně závaznými právními předpisy. Dotace mohou být využity jen na určené účely, a to ve smyslu zákona č. 218/2000 Sb., o rozpočtových pravidlech a o změně některých souvisejících zákonů (rozpočtová pravidla), ve znění pozdějších předpisů, nařízení vlády č. 98/2002 Sb. Dotace podléhají finančnímu vypořádání podle vyhlášky č. 52/2008 Sb., kterou se stanoví zásady a termíny finančního vypořádání vztahů se státním rozpočtem, státními finančními aktivy nebo Národním fondem.</w:t>
      </w:r>
    </w:p>
    <w:p w:rsidR="00EB44CE" w:rsidRDefault="00EB44CE" w:rsidP="00EB44CE">
      <w:pPr>
        <w:ind w:left="357"/>
        <w:rPr>
          <w:szCs w:val="24"/>
        </w:rPr>
      </w:pPr>
    </w:p>
    <w:p w:rsidR="00981C2B" w:rsidRDefault="00981C2B" w:rsidP="00981C2B">
      <w:pPr>
        <w:ind w:left="357"/>
        <w:rPr>
          <w:szCs w:val="24"/>
        </w:rPr>
      </w:pPr>
      <w:r>
        <w:rPr>
          <w:szCs w:val="24"/>
        </w:rPr>
        <w:t xml:space="preserve">Poskytované finanční prostředky (dotace) je nutné vyúčtovat k 31. 12. 2012 ve smyslu časového použití rozpočtových prostředků a vyúčtování předáno ministerstvu (odboru, který vydal rozhodnutí o poskytnutí dotace) nejpozději do 15. února 2013. Neoddělitelnou součástí vyúčtování dotace je její věcné vyhodnocení. Při nedodržení těchto podmínek bude vyúčtování vráceno sdružení k doplnění (a dále se postupuje dle § 44 zákona č. 218/2000 Sb.). Věcné vyhodnocení zahrnuje vypracování věcného vyhodnocení projektu (závěrečné zprávy) a tiskové zprávy shrnující celkové výsledky projektu (oba dokumenty také v elektronické podobě). </w:t>
      </w:r>
      <w:r>
        <w:t xml:space="preserve">Nevyčerpané finanční prostředky musí být poukázány na účet ministerstva nejpozději do 20. 12. 2012, včetně avíza k platbě. Platba musí být realizována ve prospěch účtu, z kterého byla dotace v daném roce poskytnuta. Při peněžním styku s ministerstvem je nutné jako variabilní symbol uvést číslo rozhodnutí o poskytnutí dotace. V případě, že se jedná o organizace, které přerozdělují finanční prostředky na další organizační jednotky, zodpovídají tyto organizace za dodržení účelů, na které byly dotace poskytnuty. </w:t>
      </w:r>
      <w:r>
        <w:rPr>
          <w:szCs w:val="24"/>
        </w:rPr>
        <w:t>Vyúčtování pak předají celkově (včetně sumarizace) za přidělené dotace s tím, že se připojí vyúčtování jednotlivých organizačních jednotek.</w:t>
      </w:r>
    </w:p>
    <w:p w:rsidR="00981C2B" w:rsidRDefault="00981C2B" w:rsidP="00981C2B">
      <w:pPr>
        <w:ind w:left="357"/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Pokud se projekt neuskuteční nebo je ukončen předčasně v průběhu roku 2012, vrátí příjemce dotace nevyčerpané prostředky spolu s vyúčtováním dotace do 30 dnů od oznámení o odstoupení od projektu nebo jeho ukončení.</w:t>
      </w:r>
    </w:p>
    <w:p w:rsidR="00981C2B" w:rsidRDefault="00981C2B" w:rsidP="00981C2B">
      <w:pPr>
        <w:rPr>
          <w:szCs w:val="24"/>
        </w:rPr>
      </w:pPr>
    </w:p>
    <w:p w:rsidR="00981C2B" w:rsidRPr="00B66479" w:rsidRDefault="00981C2B" w:rsidP="00EB44CE">
      <w:pPr>
        <w:ind w:left="357"/>
        <w:rPr>
          <w:color w:val="C00000"/>
        </w:rPr>
      </w:pPr>
      <w:r>
        <w:rPr>
          <w:szCs w:val="24"/>
        </w:rPr>
        <w:t>Ministerstvo si vyhrazuje právo dále požadovat předložení informační a hodnotící zprávy o jednotlivé akci nebo skupině akcí, na kterou byly dotace použity, průběžně sledovat publikační činnost, navštěvovat vybrané akce pořádané sdružením a financované z poskytnuté dotace pověřeným pracovníkem ministerstva a požadovat další vhodný způsob kontroly. Příjemce dotace zajistí, aby v souvislosti s materiálními či elektronickými výstupy realizovaného projektu byla uvedena informace o finanční podpoře poskytnuté ministerstvem v tomto programu, popřípadě umožňuje-li to povaha materiálních výstupů, aby byly takovou informací označeny, a to ve znění „Bylo podpořeno Ministerstvem školství, mládeže a tělovýchovy v rámci Programu na podporu integrace rom</w:t>
      </w:r>
      <w:r w:rsidR="00EC7F3C">
        <w:rPr>
          <w:szCs w:val="24"/>
        </w:rPr>
        <w:t>ské komunity</w:t>
      </w:r>
      <w:r w:rsidR="00CA272F">
        <w:rPr>
          <w:szCs w:val="24"/>
        </w:rPr>
        <w:t xml:space="preserve"> </w:t>
      </w:r>
      <w:r>
        <w:rPr>
          <w:szCs w:val="24"/>
        </w:rPr>
        <w:t xml:space="preserve">v roce 2012, </w:t>
      </w:r>
      <w:r>
        <w:t xml:space="preserve">Č.j.: </w:t>
      </w:r>
      <w:r w:rsidR="00FD132F">
        <w:t>6729/2012-27</w:t>
      </w:r>
      <w:r w:rsidR="00EC7F3C">
        <w:t>.</w:t>
      </w:r>
    </w:p>
    <w:p w:rsidR="00981C2B" w:rsidRDefault="00981C2B" w:rsidP="00981C2B">
      <w:pPr>
        <w:ind w:left="357"/>
        <w:rPr>
          <w:szCs w:val="24"/>
        </w:rPr>
      </w:pP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>Pokud je příjemce dotace nestátní neziskovou organizací, do 30. června 2012 ministerstvu zašle roční zprávu o činnosti s účetní závěrkou za rozpočtové období roku 2011. Doporučujeme, aby se uchazeči o neinvestiční dotaci registrovali do Portálu veřejné správy (</w:t>
      </w:r>
      <w:hyperlink r:id="rId7" w:history="1">
        <w:r>
          <w:rPr>
            <w:rStyle w:val="Hypertextovodkaz"/>
            <w:szCs w:val="24"/>
          </w:rPr>
          <w:t>http://portal.gov.cz</w:t>
        </w:r>
      </w:hyperlink>
      <w:r>
        <w:rPr>
          <w:szCs w:val="24"/>
        </w:rPr>
        <w:t xml:space="preserve">)  -  „Evidence nestátních neziskových organizací“. </w:t>
      </w:r>
    </w:p>
    <w:p w:rsidR="00806F17" w:rsidRDefault="00806F17" w:rsidP="00806F17">
      <w:pPr>
        <w:ind w:left="357"/>
        <w:rPr>
          <w:szCs w:val="24"/>
        </w:rPr>
      </w:pPr>
    </w:p>
    <w:p w:rsidR="00806F17" w:rsidRDefault="00806F17" w:rsidP="00981C2B">
      <w:pPr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Na poskytnutí dotace není právní nárok. </w:t>
      </w:r>
    </w:p>
    <w:p w:rsidR="00806F17" w:rsidRDefault="00806F17" w:rsidP="00806F17">
      <w:pPr>
        <w:rPr>
          <w:szCs w:val="24"/>
        </w:rPr>
      </w:pPr>
    </w:p>
    <w:p w:rsidR="00981C2B" w:rsidRDefault="00981C2B" w:rsidP="00981C2B">
      <w:pPr>
        <w:rPr>
          <w:szCs w:val="24"/>
        </w:rPr>
      </w:pPr>
    </w:p>
    <w:p w:rsidR="00981C2B" w:rsidRDefault="00981C2B" w:rsidP="00981C2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981C2B" w:rsidTr="0059262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981C2B" w:rsidRDefault="00981C2B" w:rsidP="00592624">
            <w:pPr>
              <w:pStyle w:val="Default"/>
              <w:jc w:val="both"/>
              <w:rPr>
                <w:b/>
                <w:smallCaps/>
                <w:color w:val="auto"/>
              </w:rPr>
            </w:pPr>
            <w:r>
              <w:br w:type="page"/>
            </w:r>
            <w:r>
              <w:rPr>
                <w:color w:val="auto"/>
              </w:rPr>
              <w:t xml:space="preserve">A. </w:t>
            </w:r>
            <w:r>
              <w:rPr>
                <w:b/>
                <w:color w:val="auto"/>
              </w:rPr>
              <w:t>IV.</w:t>
            </w: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iCs/>
                <w:color w:val="auto"/>
                <w:shd w:val="clear" w:color="auto" w:fill="FFFFFF"/>
              </w:rPr>
              <w:t>Podání žádosti, formální náležitosti</w:t>
            </w:r>
          </w:p>
        </w:tc>
      </w:tr>
    </w:tbl>
    <w:p w:rsidR="00981C2B" w:rsidRDefault="00981C2B" w:rsidP="00981C2B">
      <w:pPr>
        <w:pStyle w:val="Text"/>
      </w:pPr>
    </w:p>
    <w:p w:rsidR="00981C2B" w:rsidRDefault="00981C2B" w:rsidP="00981C2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Finanční prostředky v rámci dotačního výběrového řízení jsou poskytovány na základě žádosti</w:t>
      </w:r>
      <w:r>
        <w:rPr>
          <w:b/>
          <w:bCs/>
          <w:color w:val="auto"/>
        </w:rPr>
        <w:t xml:space="preserve">. </w:t>
      </w:r>
      <w:r>
        <w:rPr>
          <w:color w:val="auto"/>
        </w:rPr>
        <w:t xml:space="preserve">Žádost včetně povinných příloh k žádosti </w:t>
      </w:r>
      <w:r>
        <w:rPr>
          <w:bCs/>
          <w:color w:val="auto"/>
        </w:rPr>
        <w:t>musí být předložena ministerstvu</w:t>
      </w:r>
      <w:r>
        <w:rPr>
          <w:b/>
          <w:color w:val="auto"/>
        </w:rPr>
        <w:t xml:space="preserve"> </w:t>
      </w:r>
      <w:r>
        <w:rPr>
          <w:b/>
          <w:bCs/>
          <w:color w:val="auto"/>
        </w:rPr>
        <w:t>elektronickou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formou</w:t>
      </w:r>
      <w:r>
        <w:rPr>
          <w:color w:val="auto"/>
        </w:rPr>
        <w:t xml:space="preserve"> a to výhradně </w:t>
      </w:r>
      <w:r>
        <w:rPr>
          <w:b/>
          <w:bCs/>
          <w:color w:val="auto"/>
        </w:rPr>
        <w:t>vyplněním žádosti v elektronickém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systému</w:t>
      </w:r>
      <w:r>
        <w:rPr>
          <w:color w:val="auto"/>
        </w:rPr>
        <w:t xml:space="preserve"> na adrese: </w:t>
      </w:r>
      <w:hyperlink r:id="rId8" w:history="1">
        <w:r>
          <w:rPr>
            <w:rStyle w:val="Hypertextovodkaz"/>
            <w:color w:val="auto"/>
          </w:rPr>
          <w:t>http://is-mladez.msmt.cz/index.html</w:t>
        </w:r>
      </w:hyperlink>
      <w:r>
        <w:rPr>
          <w:color w:val="auto"/>
        </w:rPr>
        <w:t>. Přílohy se do elektronického systému vkládají jako dokumenty ve formátech DOC, XLS nebo PDF (včetně naskenovaných materiálů).</w:t>
      </w: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>Zároveň musí být žádost včetně povinných příloh předložena</w:t>
      </w:r>
      <w:r>
        <w:rPr>
          <w:b/>
          <w:bCs/>
          <w:color w:val="auto"/>
        </w:rPr>
        <w:t xml:space="preserve"> v tištěné podobě </w:t>
      </w:r>
      <w:r>
        <w:rPr>
          <w:color w:val="auto"/>
        </w:rPr>
        <w:t xml:space="preserve">v jednom </w:t>
      </w:r>
      <w:r w:rsidR="00C83728">
        <w:rPr>
          <w:color w:val="auto"/>
        </w:rPr>
        <w:t xml:space="preserve">podepsaném </w:t>
      </w:r>
      <w:r>
        <w:rPr>
          <w:color w:val="auto"/>
        </w:rPr>
        <w:t>originálním výtisku.</w:t>
      </w:r>
      <w:r>
        <w:rPr>
          <w:b/>
          <w:bCs/>
          <w:color w:val="auto"/>
        </w:rPr>
        <w:t xml:space="preserve"> Originál žádosti je třeba vytisknout až po uzavření žádosti v elektronickém systému</w:t>
      </w:r>
      <w:r w:rsidR="00EB44CE">
        <w:rPr>
          <w:b/>
          <w:bCs/>
          <w:color w:val="auto"/>
        </w:rPr>
        <w:t>.</w:t>
      </w:r>
    </w:p>
    <w:p w:rsidR="00981C2B" w:rsidRDefault="00981C2B" w:rsidP="00981C2B">
      <w:pPr>
        <w:pStyle w:val="Text"/>
      </w:pPr>
    </w:p>
    <w:p w:rsidR="00981C2B" w:rsidRDefault="00981C2B" w:rsidP="00981C2B">
      <w:pPr>
        <w:pStyle w:val="Text"/>
      </w:pPr>
      <w:r>
        <w:t>Žádosti se doručují na adresu:</w:t>
      </w:r>
    </w:p>
    <w:p w:rsidR="00981C2B" w:rsidRDefault="00981C2B" w:rsidP="00981C2B">
      <w:pPr>
        <w:pStyle w:val="Text"/>
      </w:pP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>MŠMT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>Odbor 27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>Karmelitská 7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auto"/>
        </w:rPr>
      </w:pPr>
      <w:r>
        <w:rPr>
          <w:color w:val="auto"/>
        </w:rPr>
        <w:t>118 12 PRAHA 1</w:t>
      </w:r>
      <w:r>
        <w:rPr>
          <w:color w:val="auto"/>
        </w:rPr>
        <w:tab/>
      </w: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ab/>
      </w:r>
    </w:p>
    <w:p w:rsidR="00EB44CE" w:rsidRDefault="00EB44CE" w:rsidP="00981C2B">
      <w:pPr>
        <w:pStyle w:val="Default"/>
        <w:jc w:val="both"/>
        <w:rPr>
          <w:color w:val="auto"/>
        </w:rPr>
      </w:pPr>
    </w:p>
    <w:p w:rsidR="00EB44CE" w:rsidRDefault="00EB44CE" w:rsidP="00981C2B">
      <w:pPr>
        <w:pStyle w:val="Default"/>
        <w:jc w:val="both"/>
        <w:rPr>
          <w:color w:val="auto"/>
        </w:rPr>
      </w:pPr>
    </w:p>
    <w:p w:rsidR="00981C2B" w:rsidRPr="002B1F6F" w:rsidRDefault="00981C2B" w:rsidP="00981C2B">
      <w:pPr>
        <w:pStyle w:val="Default"/>
        <w:jc w:val="both"/>
        <w:rPr>
          <w:b/>
          <w:color w:val="auto"/>
        </w:rPr>
      </w:pPr>
      <w:r w:rsidRPr="002B1F6F">
        <w:rPr>
          <w:b/>
          <w:color w:val="auto"/>
        </w:rPr>
        <w:t>Obálku je nutné jasně označit následujícím způsobem:</w:t>
      </w:r>
    </w:p>
    <w:p w:rsidR="00981C2B" w:rsidRPr="002B1F6F" w:rsidRDefault="00981C2B" w:rsidP="00981C2B">
      <w:pPr>
        <w:pStyle w:val="Default"/>
        <w:jc w:val="both"/>
        <w:rPr>
          <w:b/>
          <w:bCs/>
          <w:color w:val="auto"/>
        </w:rPr>
      </w:pPr>
      <w:r w:rsidRPr="002B1F6F">
        <w:rPr>
          <w:b/>
          <w:color w:val="auto"/>
        </w:rPr>
        <w:t xml:space="preserve">V levé části obálky nadpis: </w:t>
      </w:r>
      <w:r w:rsidRPr="002B1F6F">
        <w:rPr>
          <w:b/>
          <w:bCs/>
          <w:color w:val="auto"/>
        </w:rPr>
        <w:t xml:space="preserve"> </w:t>
      </w:r>
    </w:p>
    <w:p w:rsidR="00981C2B" w:rsidRPr="00D07623" w:rsidRDefault="00981C2B" w:rsidP="00981C2B">
      <w:pPr>
        <w:pStyle w:val="Default"/>
        <w:numPr>
          <w:ilvl w:val="1"/>
          <w:numId w:val="12"/>
        </w:numPr>
        <w:jc w:val="both"/>
        <w:rPr>
          <w:color w:val="auto"/>
        </w:rPr>
      </w:pPr>
      <w:r>
        <w:rPr>
          <w:b/>
          <w:bCs/>
          <w:color w:val="auto"/>
        </w:rPr>
        <w:t xml:space="preserve">„Program na podporu integrace romské </w:t>
      </w:r>
      <w:r w:rsidR="00EC7F3C">
        <w:rPr>
          <w:b/>
          <w:bCs/>
          <w:color w:val="auto"/>
        </w:rPr>
        <w:t>komunity</w:t>
      </w:r>
      <w:r>
        <w:rPr>
          <w:b/>
          <w:bCs/>
          <w:color w:val="auto"/>
        </w:rPr>
        <w:t xml:space="preserve"> v roce 2012, modul A, druhé kolo vyhlášení " </w:t>
      </w:r>
    </w:p>
    <w:p w:rsidR="00981C2B" w:rsidRDefault="00981C2B" w:rsidP="00981C2B">
      <w:pPr>
        <w:pStyle w:val="Default"/>
        <w:numPr>
          <w:ilvl w:val="1"/>
          <w:numId w:val="12"/>
        </w:numPr>
        <w:jc w:val="both"/>
        <w:rPr>
          <w:color w:val="auto"/>
        </w:rPr>
      </w:pPr>
      <w:r>
        <w:rPr>
          <w:b/>
          <w:bCs/>
          <w:color w:val="auto"/>
        </w:rPr>
        <w:t xml:space="preserve">a </w:t>
      </w:r>
      <w:r w:rsidR="00CA272F">
        <w:rPr>
          <w:b/>
          <w:bCs/>
          <w:color w:val="auto"/>
        </w:rPr>
        <w:t>E</w:t>
      </w:r>
      <w:r>
        <w:rPr>
          <w:b/>
          <w:bCs/>
          <w:color w:val="auto"/>
        </w:rPr>
        <w:t xml:space="preserve">videnční číslo podané žádosti. </w:t>
      </w:r>
      <w:r>
        <w:rPr>
          <w:color w:val="auto"/>
        </w:rPr>
        <w:t xml:space="preserve">(evidenční číslo bude automaticky přiděleno každému projektu v elektronickém systému). 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 xml:space="preserve">Přijaté projekty budou vyhodnoceny a výsledky výběrového dotačního řízení MŠMT zveřejní na svých internetových stránkách. Na podpořené projekty budou vydána „Rozhodnutí o poskytnutí neinvestiční dotace ze státního rozpočtu ČR". </w:t>
      </w:r>
    </w:p>
    <w:p w:rsidR="00981C2B" w:rsidRDefault="00981C2B" w:rsidP="00981C2B">
      <w:pPr>
        <w:pStyle w:val="Default"/>
        <w:jc w:val="both"/>
      </w:pPr>
    </w:p>
    <w:p w:rsidR="00981C2B" w:rsidRPr="00243EBB" w:rsidRDefault="00981C2B" w:rsidP="00981C2B">
      <w:pPr>
        <w:pStyle w:val="Default"/>
        <w:jc w:val="both"/>
        <w:rPr>
          <w:b/>
          <w:iCs/>
          <w:color w:val="auto"/>
        </w:rPr>
      </w:pPr>
      <w:r>
        <w:t>Projekty budou posuzovány podle kritérií uvedených v příloze č.1S</w:t>
      </w:r>
      <w:r>
        <w:rPr>
          <w:b/>
        </w:rPr>
        <w:t xml:space="preserve">. Doporučuje se v popisu projektu uvést všechny údaje, aby bylo možné posoudit úroveň splnění kritéria. V opačném případě bude dané kritérium hodnoceno 0 body.  </w:t>
      </w:r>
    </w:p>
    <w:p w:rsidR="00981C2B" w:rsidRDefault="00981C2B" w:rsidP="00981C2B">
      <w:pPr>
        <w:pStyle w:val="Default"/>
        <w:jc w:val="both"/>
        <w:rPr>
          <w:b/>
          <w:iCs/>
          <w:color w:val="auto"/>
        </w:rPr>
      </w:pPr>
    </w:p>
    <w:p w:rsidR="00981C2B" w:rsidRDefault="00981C2B" w:rsidP="00981C2B">
      <w:pPr>
        <w:pStyle w:val="Default"/>
        <w:jc w:val="both"/>
        <w:rPr>
          <w:b/>
          <w:iCs/>
          <w:color w:val="auto"/>
        </w:rPr>
      </w:pPr>
      <w:r>
        <w:rPr>
          <w:b/>
          <w:iCs/>
          <w:color w:val="auto"/>
        </w:rPr>
        <w:t xml:space="preserve">Vydání Rozhodnutí o poskytnutí dotace je vázáno na vyúčtování dotací za předcházející kalendářní rok a dodržení řádných termínů pro vyúčtování určených v Rozhodnutí.     </w:t>
      </w:r>
    </w:p>
    <w:p w:rsidR="00981C2B" w:rsidRDefault="00981C2B" w:rsidP="00981C2B">
      <w:pPr>
        <w:pStyle w:val="Default"/>
        <w:jc w:val="both"/>
        <w:rPr>
          <w:b/>
          <w:iCs/>
          <w:color w:val="auto"/>
        </w:rPr>
      </w:pPr>
      <w:r>
        <w:rPr>
          <w:b/>
          <w:iCs/>
          <w:color w:val="auto"/>
        </w:rPr>
        <w:t xml:space="preserve">     </w:t>
      </w:r>
    </w:p>
    <w:p w:rsidR="00981C2B" w:rsidRDefault="00981C2B" w:rsidP="00981C2B">
      <w:pPr>
        <w:pStyle w:val="Default"/>
        <w:jc w:val="both"/>
        <w:rPr>
          <w:i/>
          <w:iCs/>
          <w:color w:val="auto"/>
        </w:rPr>
      </w:pPr>
      <w:r>
        <w:rPr>
          <w:b/>
          <w:iCs/>
          <w:color w:val="auto"/>
        </w:rPr>
        <w:lastRenderedPageBreak/>
        <w:t xml:space="preserve">     </w:t>
      </w:r>
    </w:p>
    <w:p w:rsidR="00981C2B" w:rsidRDefault="00981C2B" w:rsidP="00981C2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color w:val="auto"/>
        </w:rPr>
      </w:pPr>
      <w:r>
        <w:rPr>
          <w:b/>
          <w:bCs/>
          <w:iCs/>
          <w:color w:val="auto"/>
        </w:rPr>
        <w:t xml:space="preserve"> Náležitosti předložené žádosti</w:t>
      </w:r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 xml:space="preserve">Žádost o poskytnutí dotace, kterou předkladatel zasílá v písemné i elektronické podobě, sestává z níže uvedených položek: </w:t>
      </w:r>
    </w:p>
    <w:p w:rsidR="00981C2B" w:rsidRDefault="00981C2B" w:rsidP="00981C2B">
      <w:pPr>
        <w:pStyle w:val="Default"/>
        <w:numPr>
          <w:ilvl w:val="1"/>
          <w:numId w:val="13"/>
        </w:numPr>
        <w:ind w:left="540" w:hanging="540"/>
        <w:jc w:val="both"/>
        <w:rPr>
          <w:color w:val="auto"/>
        </w:rPr>
      </w:pPr>
      <w:r>
        <w:rPr>
          <w:color w:val="auto"/>
        </w:rPr>
        <w:t xml:space="preserve">vyplněná a uzavřená žádost na adrese </w:t>
      </w:r>
      <w:hyperlink r:id="rId9" w:history="1">
        <w:r>
          <w:rPr>
            <w:rStyle w:val="Hypertextovodkaz"/>
            <w:color w:val="auto"/>
          </w:rPr>
          <w:t>http://is-mladez.msmt.cz/index.html</w:t>
        </w:r>
      </w:hyperlink>
    </w:p>
    <w:p w:rsidR="00981C2B" w:rsidRDefault="00981C2B" w:rsidP="00981C2B">
      <w:pPr>
        <w:pStyle w:val="Default"/>
        <w:jc w:val="both"/>
        <w:rPr>
          <w:color w:val="auto"/>
        </w:rPr>
      </w:pPr>
    </w:p>
    <w:p w:rsidR="00981C2B" w:rsidRDefault="00981C2B" w:rsidP="00981C2B">
      <w:pPr>
        <w:pStyle w:val="Default"/>
        <w:numPr>
          <w:ilvl w:val="1"/>
          <w:numId w:val="13"/>
        </w:numPr>
        <w:ind w:left="540" w:hanging="540"/>
        <w:jc w:val="both"/>
        <w:rPr>
          <w:color w:val="auto"/>
        </w:rPr>
      </w:pPr>
      <w:r>
        <w:rPr>
          <w:color w:val="auto"/>
        </w:rPr>
        <w:t>souhrnný projekt, který musí obsahovat položky uvedené v odrážkách. Doporučuje se, uvádět výstižná vyjádření max. 2000 znaků (1 normo strana A4 je 1800 znaků).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hlavní a dílčí cíle projektu;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stručný popis problému, který projekt řeší;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cílová skupina projektu, včetně počtu přímých a nepřímých příjemců pomoci v projektu;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zdůvodnění a předpokládaný přínos projektu a jeho částí pro cílovou skupinu (tj. komu jsou akce určeny); pokud se jedná o pokračující projekt, je nutné uvést stručné vyhodnocení jeho dosavadní realizace;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souvislost projektu s ostatní činností organizace (např. zkušenosti realizátora v této oblasti, odkaz na další realizované projekty…);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podrobný popis jednotlivých aktivit projektu. Pokud organizace žádá o stát</w:t>
      </w:r>
      <w:r w:rsidR="00223E83">
        <w:t>ní dotaci na aktivity ve více te</w:t>
      </w:r>
      <w:r>
        <w:t xml:space="preserve">matických oblastech, předloží samostatný popis pro každou oblast. </w:t>
      </w:r>
      <w:r>
        <w:rPr>
          <w:b/>
          <w:bCs/>
        </w:rPr>
        <w:t>U každé aktivity budou stanovena kritéria (tj. indikátory - kvalitativní i kvantitativní, jichž bude realizací aktivity dosaženo; kritéria si každý žadatel stanovuje sám tak, aby maximálně vypovídala o úspěšnosti realizace aktivity</w:t>
      </w:r>
      <w:r>
        <w:t>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délku trvání projektu (od kdy do kdy) a harmonogram realizace jednotlivých aktivit (po měsících);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personální zabezpečení projektu - popis pracovních pozic (včetně typu zaměstnaneckého poměru, výše úvazku, mzdových nákladů a kvalifikačních předpokladů);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 xml:space="preserve">materiální zabezpečení projektu, prostorové podmínky; zdůvodnění položek rozpočtu (k rozpočtu vyplněnému ve formuláři); 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která další témata projekt realizuje - zejména vliv realizace projektu na podporu lidských práv (např. rovných příležitostí</w:t>
      </w:r>
      <w:r w:rsidR="00054AA8">
        <w:t xml:space="preserve"> ve vzdělávání a podporu inkluzi</w:t>
      </w:r>
      <w:r>
        <w:t xml:space="preserve">vního vzdělávání); 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rPr>
          <w:b/>
        </w:rPr>
        <w:t>je-li výstupem projektu výukový materiál pro děti, žáky/žákyně, studenty/studentky je nezbytné předložit posudek od odborníka renomovaného na problematiku vzdělávání k  záměru výstupu v délce nejméně jedné normostrany a základní údaje o připravovaném materiálu (stručný obsah, počet výtisků, formát a počet stran, předkalkulace nákladů na tisk, honoráře);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>veškeré další podstatné údaje o projektu, zejména informace o tom, jakým způsobem bude prezentována dotace ministerstva ve výstupech projektu (na výstupech projektu je nutno uvést, že byl projekt podpořen z dotačního programu MŠMT na podporu integrace rom</w:t>
      </w:r>
      <w:r w:rsidR="00223E83">
        <w:t xml:space="preserve">ské </w:t>
      </w:r>
      <w:r w:rsidR="00EC7F3C">
        <w:t>komunity</w:t>
      </w:r>
      <w:r>
        <w:t xml:space="preserve"> v roce 2012);</w:t>
      </w:r>
    </w:p>
    <w:p w:rsidR="00981C2B" w:rsidRDefault="00981C2B" w:rsidP="00981C2B">
      <w:pPr>
        <w:pStyle w:val="Text"/>
        <w:numPr>
          <w:ilvl w:val="0"/>
          <w:numId w:val="14"/>
        </w:numPr>
      </w:pPr>
      <w:r>
        <w:t xml:space="preserve">souhrnné uvedení kritérií stanovených realizátorem k vyhodnocení úspěšnosti jednotlivých aktivit a dosažení cílů projektu;  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lastRenderedPageBreak/>
        <w:t xml:space="preserve">Aktuální výroční zprávu (v elektronické kopii postačuje textová část, bez dokumentárních obrázků). Pokud předkladatel nezpracovává výroční zprávu, předloží doklad o předchozí činnosti (uvede podrobnou informaci o svých projektech nejméně za poslední dva roky). 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t xml:space="preserve">U projektů, které jsou lokalizovány v některém kraji či krajích a tuto lokalizaci lze jasně identifikovat, přiloží žadatel originál </w:t>
      </w:r>
      <w:r>
        <w:rPr>
          <w:b/>
          <w:bCs/>
        </w:rPr>
        <w:t xml:space="preserve">doporučení krajského úřadu - </w:t>
      </w:r>
      <w:r>
        <w:t xml:space="preserve">odboru školství, nebo odboru sociálních věcí, nebo krajského koordinátora pro národnostní menšiny příslušného kraje/ krajů. 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t>Ověřenou kopii dokladu o právní subjektivitě (výpis ze zákonem stanovené evidence o právní subjektivitě, občanské sdružení předloží platné stanovy registrované Ministerstvem vnitra ČR podle zákona č. 83/1990 Sb., o sdružování občanů, ve znění pozdějších předpisů) ověřenou v roce podání žádosti.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t>Ověřenou kopii dokladu o přidělení IČ, není-li součástí dokladu o právní subjektivitě, ověřenou v roce podání žádosti.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t xml:space="preserve">Ověřenou kopii dokladu o vedení účtu, ověřenou v roce podání žádosti. 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57" w:hanging="357"/>
      </w:pPr>
      <w:r>
        <w:t xml:space="preserve">Ověřenou kopii dokladu o oprávněnosti osoby, která žádost podepisuje, jednat za žadatele, ověřenou v roce podání žádosti. 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60"/>
      </w:pPr>
      <w:r>
        <w:t>Čestné prohlášení, že žadatel nemá ke dni podání žádosti splatný závazek ve vztahu ke státnímu rozpočtu, státnímu fondu, rozpočtu územního samosprávného celku nebo ke zdravotní pojišťovně a není v likvidaci.</w:t>
      </w:r>
    </w:p>
    <w:p w:rsidR="00981C2B" w:rsidRDefault="00981C2B" w:rsidP="00981C2B">
      <w:pPr>
        <w:pStyle w:val="Text"/>
        <w:numPr>
          <w:ilvl w:val="1"/>
          <w:numId w:val="13"/>
        </w:numPr>
        <w:tabs>
          <w:tab w:val="num" w:pos="360"/>
        </w:tabs>
        <w:ind w:left="360"/>
      </w:pPr>
      <w:r>
        <w:t>Souhlas se zveřejněním identifikačních údajů a výše poskytnuté dotace a tiskové zprávy.</w:t>
      </w:r>
    </w:p>
    <w:p w:rsidR="00981C2B" w:rsidRDefault="00981C2B" w:rsidP="00981C2B">
      <w:pPr>
        <w:pStyle w:val="Default"/>
        <w:jc w:val="both"/>
        <w:outlineLvl w:val="0"/>
        <w:rPr>
          <w:color w:val="auto"/>
        </w:rPr>
      </w:pPr>
    </w:p>
    <w:p w:rsidR="00981C2B" w:rsidRDefault="00981C2B" w:rsidP="00981C2B">
      <w:pPr>
        <w:pStyle w:val="Default"/>
        <w:jc w:val="both"/>
        <w:outlineLvl w:val="0"/>
        <w:rPr>
          <w:b/>
          <w:color w:val="auto"/>
        </w:rPr>
      </w:pPr>
      <w:r>
        <w:rPr>
          <w:b/>
          <w:bCs/>
          <w:iCs/>
          <w:color w:val="auto"/>
        </w:rPr>
        <w:t xml:space="preserve">Upozornění: </w:t>
      </w:r>
    </w:p>
    <w:p w:rsidR="00981C2B" w:rsidRDefault="00981C2B" w:rsidP="00981C2B">
      <w:pPr>
        <w:pStyle w:val="Default"/>
        <w:numPr>
          <w:ilvl w:val="0"/>
          <w:numId w:val="15"/>
        </w:numPr>
        <w:jc w:val="both"/>
        <w:rPr>
          <w:b/>
          <w:color w:val="auto"/>
        </w:rPr>
      </w:pPr>
      <w:r>
        <w:rPr>
          <w:b/>
          <w:iCs/>
          <w:color w:val="auto"/>
        </w:rPr>
        <w:t xml:space="preserve">u projektů, které zahrnují volnočasové, zájmové a další aktivity uveďte předpokládaný počet účastníků a délku trvání akce či akcí, </w:t>
      </w:r>
    </w:p>
    <w:p w:rsidR="00981C2B" w:rsidRDefault="00981C2B" w:rsidP="00981C2B">
      <w:pPr>
        <w:pStyle w:val="Default"/>
        <w:numPr>
          <w:ilvl w:val="0"/>
          <w:numId w:val="15"/>
        </w:numPr>
        <w:jc w:val="both"/>
        <w:rPr>
          <w:b/>
          <w:color w:val="auto"/>
        </w:rPr>
      </w:pPr>
      <w:r>
        <w:rPr>
          <w:b/>
          <w:iCs/>
          <w:color w:val="auto"/>
        </w:rPr>
        <w:t xml:space="preserve">u projektů na pořádání táborů a dalších pobytových akcí uvést délku trvání akcí a předpokládaný počet dětí, mládeže, vedoucích a ostatních dospělých účastníků, </w:t>
      </w:r>
    </w:p>
    <w:p w:rsidR="00981C2B" w:rsidRDefault="00981C2B" w:rsidP="00981C2B">
      <w:pPr>
        <w:pStyle w:val="Default"/>
        <w:numPr>
          <w:ilvl w:val="0"/>
          <w:numId w:val="15"/>
        </w:numPr>
        <w:jc w:val="both"/>
        <w:rPr>
          <w:b/>
          <w:color w:val="auto"/>
        </w:rPr>
      </w:pPr>
      <w:r>
        <w:rPr>
          <w:b/>
          <w:iCs/>
          <w:color w:val="auto"/>
        </w:rPr>
        <w:t xml:space="preserve">anotace projektu ve formuláři žádosti není souhrnným projektem, </w:t>
      </w:r>
    </w:p>
    <w:p w:rsidR="00981C2B" w:rsidRDefault="00981C2B" w:rsidP="00981C2B">
      <w:pPr>
        <w:pStyle w:val="Default"/>
        <w:numPr>
          <w:ilvl w:val="0"/>
          <w:numId w:val="15"/>
        </w:numPr>
        <w:jc w:val="both"/>
        <w:rPr>
          <w:b/>
          <w:color w:val="auto"/>
        </w:rPr>
      </w:pPr>
      <w:r>
        <w:rPr>
          <w:b/>
          <w:iCs/>
          <w:color w:val="auto"/>
        </w:rPr>
        <w:t xml:space="preserve">zhodnocení projektu přikládané k vyúčtování dotace za předchozí kalendářní rok není výroční zprávou. </w:t>
      </w:r>
    </w:p>
    <w:p w:rsidR="00981C2B" w:rsidRDefault="00981C2B" w:rsidP="00981C2B">
      <w:pPr>
        <w:rPr>
          <w:i/>
          <w:szCs w:val="24"/>
        </w:rPr>
      </w:pPr>
    </w:p>
    <w:p w:rsidR="00981C2B" w:rsidRDefault="00981C2B" w:rsidP="00981C2B">
      <w:pPr>
        <w:pStyle w:val="Text"/>
        <w:ind w:firstLine="0"/>
        <w:rPr>
          <w:b/>
          <w:bCs/>
          <w:iCs/>
        </w:rPr>
      </w:pPr>
      <w:r>
        <w:rPr>
          <w:b/>
          <w:bCs/>
          <w:iCs/>
        </w:rPr>
        <w:t xml:space="preserve">Upozornění: </w:t>
      </w:r>
    </w:p>
    <w:p w:rsidR="00981C2B" w:rsidRDefault="00981C2B" w:rsidP="00981C2B">
      <w:pPr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bude-li při formální kontrole zjištěno nedopatření v předložené žádosti či projektu, bude předkladatel vyzván elektronickou formou, aby formální náležitosti doplnil do </w:t>
      </w:r>
      <w:r w:rsidR="00EB44CE">
        <w:rPr>
          <w:szCs w:val="24"/>
        </w:rPr>
        <w:t>5</w:t>
      </w:r>
      <w:r>
        <w:rPr>
          <w:szCs w:val="24"/>
        </w:rPr>
        <w:t xml:space="preserve"> pracovních dnů. Nebude-li nedostatek ve stanoveném termínu odstraněn, je to důvodem k vyřazení projektu z výběrového řízení;</w:t>
      </w:r>
    </w:p>
    <w:p w:rsidR="00981C2B" w:rsidRDefault="00981C2B" w:rsidP="00981C2B">
      <w:pPr>
        <w:numPr>
          <w:ilvl w:val="0"/>
          <w:numId w:val="16"/>
        </w:numPr>
        <w:rPr>
          <w:szCs w:val="24"/>
        </w:rPr>
      </w:pPr>
      <w:r>
        <w:rPr>
          <w:szCs w:val="24"/>
        </w:rPr>
        <w:t>v případě, že předkladatel podává 2 projekty, je třeba zaslat každý projekt zvlášť. Žádosti zaslané faxem se nepřijímají.</w:t>
      </w:r>
    </w:p>
    <w:p w:rsidR="00EB44CE" w:rsidRDefault="00EB44CE" w:rsidP="00BD0578">
      <w:pPr>
        <w:ind w:left="720"/>
        <w:rPr>
          <w:szCs w:val="24"/>
        </w:rPr>
      </w:pPr>
    </w:p>
    <w:p w:rsidR="009144B3" w:rsidRDefault="009144B3" w:rsidP="00BD0578">
      <w:pPr>
        <w:ind w:left="720"/>
        <w:rPr>
          <w:szCs w:val="24"/>
        </w:rPr>
      </w:pPr>
    </w:p>
    <w:p w:rsidR="00981C2B" w:rsidRDefault="00981C2B" w:rsidP="00981C2B">
      <w:pPr>
        <w:ind w:left="720"/>
        <w:rPr>
          <w:szCs w:val="24"/>
        </w:rPr>
      </w:pPr>
    </w:p>
    <w:p w:rsidR="00981C2B" w:rsidRDefault="00981C2B" w:rsidP="0098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360" w:hanging="360"/>
        <w:rPr>
          <w:b/>
          <w:szCs w:val="24"/>
        </w:rPr>
      </w:pPr>
      <w:r>
        <w:rPr>
          <w:b/>
          <w:szCs w:val="24"/>
        </w:rPr>
        <w:t xml:space="preserve">A. V. Poskytnutí prostředků vyčleněných na </w:t>
      </w:r>
      <w:r w:rsidR="00EB44CE">
        <w:rPr>
          <w:b/>
          <w:szCs w:val="24"/>
        </w:rPr>
        <w:t>dotační</w:t>
      </w:r>
      <w:r>
        <w:rPr>
          <w:b/>
          <w:szCs w:val="24"/>
        </w:rPr>
        <w:t xml:space="preserve"> program</w:t>
      </w:r>
    </w:p>
    <w:p w:rsidR="00981C2B" w:rsidRDefault="00981C2B" w:rsidP="00981C2B">
      <w:pPr>
        <w:pStyle w:val="Odstavecseseznamem"/>
        <w:tabs>
          <w:tab w:val="left" w:pos="284"/>
        </w:tabs>
        <w:rPr>
          <w:b/>
        </w:rPr>
      </w:pPr>
    </w:p>
    <w:p w:rsidR="00981C2B" w:rsidRDefault="00981C2B" w:rsidP="00981C2B">
      <w:pPr>
        <w:pStyle w:val="Odstavecseseznamem"/>
        <w:numPr>
          <w:ilvl w:val="0"/>
          <w:numId w:val="16"/>
        </w:numPr>
        <w:jc w:val="both"/>
      </w:pPr>
      <w:r>
        <w:t xml:space="preserve">Finanční prostředky potřebné na zajištění tohoto </w:t>
      </w:r>
      <w:r w:rsidR="00EB44CE">
        <w:t>dotačního</w:t>
      </w:r>
      <w:r>
        <w:t xml:space="preserve"> programu poskytuje </w:t>
      </w:r>
      <w:r>
        <w:rPr>
          <w:b/>
        </w:rPr>
        <w:t>MŠMT</w:t>
      </w:r>
      <w:r>
        <w:t xml:space="preserve"> v souladu s ustanovením § 163 odst. 1 zákona č. 561/2004 Sb. </w:t>
      </w:r>
    </w:p>
    <w:p w:rsidR="00981C2B" w:rsidRDefault="00981C2B" w:rsidP="00981C2B">
      <w:pPr>
        <w:pStyle w:val="Odstavecseseznamem"/>
      </w:pPr>
    </w:p>
    <w:p w:rsidR="00981C2B" w:rsidRDefault="00981C2B" w:rsidP="00981C2B">
      <w:pPr>
        <w:pStyle w:val="Odstavecseseznamem"/>
        <w:numPr>
          <w:ilvl w:val="0"/>
          <w:numId w:val="16"/>
        </w:numPr>
        <w:jc w:val="both"/>
      </w:pPr>
      <w:r>
        <w:t xml:space="preserve">Na poskytnutí dotace není právní nárok. </w:t>
      </w:r>
    </w:p>
    <w:p w:rsidR="00981C2B" w:rsidRDefault="00981C2B" w:rsidP="0098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szCs w:val="24"/>
        </w:rPr>
      </w:pPr>
      <w:r>
        <w:rPr>
          <w:b/>
          <w:szCs w:val="24"/>
        </w:rPr>
        <w:lastRenderedPageBreak/>
        <w:t xml:space="preserve">A. VI.   Ekonomické zabezpečení </w:t>
      </w:r>
      <w:r w:rsidR="00EB44CE">
        <w:rPr>
          <w:b/>
          <w:szCs w:val="24"/>
        </w:rPr>
        <w:t>dotačního</w:t>
      </w:r>
      <w:r>
        <w:rPr>
          <w:b/>
          <w:szCs w:val="24"/>
        </w:rPr>
        <w:t xml:space="preserve"> programu</w:t>
      </w:r>
    </w:p>
    <w:p w:rsidR="00981C2B" w:rsidRDefault="00981C2B" w:rsidP="00981C2B">
      <w:pPr>
        <w:pStyle w:val="Odstavecseseznamem"/>
        <w:rPr>
          <w:b/>
        </w:rPr>
      </w:pPr>
    </w:p>
    <w:p w:rsidR="00981C2B" w:rsidRDefault="00981C2B" w:rsidP="00981C2B">
      <w:pPr>
        <w:pStyle w:val="Odstavecseseznamem"/>
        <w:numPr>
          <w:ilvl w:val="0"/>
          <w:numId w:val="16"/>
        </w:numPr>
        <w:spacing w:before="120"/>
        <w:jc w:val="both"/>
      </w:pPr>
      <w:r>
        <w:t xml:space="preserve">Na tento dotační program jsou vyčleněny finanční prostředky z kapitoly regionální školství v rozpočtu MŠMT na rok 2012. </w:t>
      </w:r>
    </w:p>
    <w:p w:rsidR="00981C2B" w:rsidRDefault="00981C2B" w:rsidP="00981C2B">
      <w:pPr>
        <w:pStyle w:val="Odstavecseseznamem"/>
        <w:spacing w:before="120"/>
        <w:rPr>
          <w:b/>
        </w:rPr>
      </w:pPr>
    </w:p>
    <w:p w:rsidR="00981C2B" w:rsidRDefault="00981C2B" w:rsidP="0098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hanging="142"/>
        <w:rPr>
          <w:b/>
          <w:szCs w:val="24"/>
        </w:rPr>
      </w:pPr>
      <w:r>
        <w:rPr>
          <w:b/>
          <w:szCs w:val="24"/>
        </w:rPr>
        <w:t>A. VII.   Vypořádání prostředků na zajištění dotačního programu</w:t>
      </w:r>
    </w:p>
    <w:p w:rsidR="00981C2B" w:rsidRDefault="00981C2B" w:rsidP="00981C2B">
      <w:pPr>
        <w:pStyle w:val="Odstavecseseznamem"/>
        <w:jc w:val="both"/>
        <w:rPr>
          <w:b/>
        </w:rPr>
      </w:pPr>
    </w:p>
    <w:p w:rsidR="00981C2B" w:rsidRDefault="00981C2B" w:rsidP="00981C2B">
      <w:pPr>
        <w:pStyle w:val="Odstavecseseznamem"/>
        <w:numPr>
          <w:ilvl w:val="0"/>
          <w:numId w:val="16"/>
        </w:numPr>
        <w:spacing w:before="120"/>
        <w:jc w:val="both"/>
        <w:rPr>
          <w:b/>
          <w:i/>
        </w:rPr>
      </w:pPr>
      <w:r>
        <w:t xml:space="preserve">Vypořádání přidělených prostředků programu bude provedeno </w:t>
      </w:r>
      <w:r>
        <w:rPr>
          <w:b/>
        </w:rPr>
        <w:t>samostatně pod přiděleným účelovým znakem</w:t>
      </w:r>
      <w:r>
        <w:t xml:space="preserve"> </w:t>
      </w:r>
      <w:r>
        <w:rPr>
          <w:b/>
        </w:rPr>
        <w:t>33018</w:t>
      </w:r>
      <w:r>
        <w:t xml:space="preserve"> </w:t>
      </w:r>
      <w:r>
        <w:rPr>
          <w:b/>
        </w:rPr>
        <w:t xml:space="preserve">současně s vypořádáním celkově přidělených prostředků roku 2012, podle vyhlášky č. 52/2008 Sb., </w:t>
      </w:r>
      <w:r>
        <w:rPr>
          <w:b/>
          <w:i/>
        </w:rPr>
        <w:t>kterou se stanoví zásady a termíny finančního vypořádání vztahů se státním rozpočtem, státními finančními aktivy nebo Národním fondem.</w:t>
      </w:r>
    </w:p>
    <w:p w:rsidR="00981C2B" w:rsidRDefault="00981C2B" w:rsidP="00981C2B">
      <w:pPr>
        <w:pStyle w:val="Text"/>
        <w:ind w:firstLine="0"/>
        <w:rPr>
          <w:b/>
          <w:bCs/>
          <w:iCs/>
        </w:rPr>
      </w:pPr>
    </w:p>
    <w:p w:rsidR="00981C2B" w:rsidRDefault="00981C2B" w:rsidP="00981C2B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  <w:bCs/>
          <w:iCs/>
        </w:rPr>
      </w:pPr>
      <w:r>
        <w:rPr>
          <w:b/>
          <w:bCs/>
          <w:iCs/>
        </w:rPr>
        <w:t xml:space="preserve">A. VIII. Termín pro předložení žádostí </w:t>
      </w:r>
    </w:p>
    <w:p w:rsidR="00981C2B" w:rsidRDefault="00981C2B" w:rsidP="00981C2B">
      <w:pPr>
        <w:pStyle w:val="Text"/>
        <w:ind w:firstLine="0"/>
        <w:rPr>
          <w:b/>
          <w:bCs/>
          <w:i/>
          <w:iCs/>
        </w:rPr>
      </w:pPr>
    </w:p>
    <w:p w:rsidR="00981C2B" w:rsidRDefault="00981C2B" w:rsidP="00981C2B">
      <w:pPr>
        <w:pStyle w:val="Default"/>
        <w:ind w:firstLine="708"/>
        <w:jc w:val="both"/>
        <w:rPr>
          <w:color w:val="auto"/>
        </w:rPr>
      </w:pPr>
      <w:r>
        <w:rPr>
          <w:b/>
          <w:bCs/>
          <w:color w:val="auto"/>
        </w:rPr>
        <w:t xml:space="preserve">Žádosti na kalendářní rok 2012 budou přijímány nejpozději do </w:t>
      </w:r>
      <w:r w:rsidR="009A0AD6">
        <w:rPr>
          <w:b/>
          <w:bCs/>
          <w:color w:val="auto"/>
        </w:rPr>
        <w:t>pátku 23. března</w:t>
      </w:r>
      <w:r w:rsidRPr="00A66C6E">
        <w:rPr>
          <w:b/>
          <w:bCs/>
          <w:color w:val="auto"/>
        </w:rPr>
        <w:t xml:space="preserve"> </w:t>
      </w:r>
      <w:r w:rsidRPr="00A66C6E">
        <w:rPr>
          <w:b/>
          <w:color w:val="auto"/>
        </w:rPr>
        <w:t>2012</w:t>
      </w:r>
      <w:r>
        <w:rPr>
          <w:b/>
          <w:color w:val="auto"/>
        </w:rPr>
        <w:t>,</w:t>
      </w:r>
      <w:r>
        <w:rPr>
          <w:color w:val="auto"/>
        </w:rPr>
        <w:t xml:space="preserve"> při osobním podání v podatelně MŠMT do 14:00 hod. Rozhodující pro dodržení termínu je den doručení do podatelny (nerozhoduje datum poštovního razítka).  Žádosti se přijímají dle podmínek uvedených v tomto vyhlášení. </w:t>
      </w:r>
    </w:p>
    <w:p w:rsidR="00981C2B" w:rsidRDefault="00981C2B" w:rsidP="00981C2B">
      <w:pPr>
        <w:pStyle w:val="Default"/>
        <w:jc w:val="both"/>
        <w:rPr>
          <w:b/>
          <w:bCs/>
          <w:color w:val="auto"/>
        </w:rPr>
      </w:pPr>
    </w:p>
    <w:p w:rsidR="00981C2B" w:rsidRDefault="00981C2B" w:rsidP="00981C2B">
      <w:pPr>
        <w:pStyle w:val="Default"/>
        <w:jc w:val="both"/>
        <w:rPr>
          <w:b/>
          <w:bCs/>
          <w:color w:val="auto"/>
        </w:rPr>
      </w:pPr>
    </w:p>
    <w:p w:rsidR="00981C2B" w:rsidRDefault="00981C2B" w:rsidP="00981C2B">
      <w:pPr>
        <w:pStyle w:val="Default"/>
        <w:jc w:val="both"/>
        <w:rPr>
          <w:b/>
          <w:bCs/>
          <w:i/>
          <w:iCs/>
          <w:color w:val="auto"/>
        </w:rPr>
      </w:pPr>
      <w:r>
        <w:rPr>
          <w:b/>
          <w:bCs/>
          <w:iCs/>
          <w:color w:val="auto"/>
        </w:rPr>
        <w:t>Kontaktní osob</w:t>
      </w:r>
      <w:r w:rsidR="00EB44CE">
        <w:rPr>
          <w:b/>
          <w:bCs/>
          <w:iCs/>
          <w:color w:val="auto"/>
        </w:rPr>
        <w:t>y:</w:t>
      </w: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 xml:space="preserve">Informace o </w:t>
      </w:r>
      <w:r w:rsidR="00223E83">
        <w:rPr>
          <w:color w:val="auto"/>
        </w:rPr>
        <w:t>programu a podávání žádostí</w:t>
      </w:r>
      <w:r>
        <w:rPr>
          <w:color w:val="auto"/>
        </w:rPr>
        <w:t xml:space="preserve"> poskytuj</w:t>
      </w:r>
      <w:r w:rsidR="00223E83">
        <w:rPr>
          <w:color w:val="auto"/>
        </w:rPr>
        <w:t>í</w:t>
      </w:r>
      <w:r>
        <w:rPr>
          <w:color w:val="auto"/>
        </w:rPr>
        <w:t xml:space="preserve">: </w:t>
      </w:r>
    </w:p>
    <w:p w:rsidR="00981C2B" w:rsidRDefault="00981C2B" w:rsidP="00981C2B">
      <w:pPr>
        <w:pStyle w:val="Default"/>
        <w:jc w:val="both"/>
        <w:rPr>
          <w:color w:val="auto"/>
        </w:rPr>
      </w:pPr>
      <w:r>
        <w:rPr>
          <w:color w:val="auto"/>
        </w:rPr>
        <w:t>Mgr. Petr Chytil, tel.</w:t>
      </w:r>
      <w:r w:rsidR="009A0AD6">
        <w:rPr>
          <w:color w:val="auto"/>
        </w:rPr>
        <w:t>:</w:t>
      </w:r>
      <w:r>
        <w:rPr>
          <w:color w:val="auto"/>
        </w:rPr>
        <w:t xml:space="preserve"> 234 811 748, email: </w:t>
      </w:r>
      <w:hyperlink r:id="rId10" w:history="1">
        <w:r w:rsidRPr="00667493">
          <w:rPr>
            <w:rStyle w:val="Hypertextovodkaz"/>
          </w:rPr>
          <w:t>petr.chytil@msmt.cz</w:t>
        </w:r>
      </w:hyperlink>
    </w:p>
    <w:p w:rsidR="009A0AD6" w:rsidRPr="009A0AD6" w:rsidRDefault="00981C2B" w:rsidP="00981C2B">
      <w:pPr>
        <w:pStyle w:val="Default"/>
        <w:jc w:val="both"/>
      </w:pPr>
      <w:r>
        <w:rPr>
          <w:color w:val="auto"/>
        </w:rPr>
        <w:t>Mgr. Marcela Gerdová, tel.</w:t>
      </w:r>
      <w:r w:rsidR="009A0AD6">
        <w:rPr>
          <w:color w:val="auto"/>
        </w:rPr>
        <w:t>:</w:t>
      </w:r>
      <w:r>
        <w:rPr>
          <w:color w:val="auto"/>
        </w:rPr>
        <w:t xml:space="preserve"> 234 811 372, email: </w:t>
      </w:r>
      <w:hyperlink r:id="rId11" w:history="1">
        <w:r w:rsidR="00EB44CE" w:rsidRPr="004D2F55">
          <w:rPr>
            <w:rStyle w:val="Hypertextovodkaz"/>
          </w:rPr>
          <w:t>marcela.gerdova@msmt.cz</w:t>
        </w:r>
      </w:hyperlink>
    </w:p>
    <w:p w:rsidR="00981C2B" w:rsidRDefault="00981C2B" w:rsidP="00981C2B">
      <w:pPr>
        <w:rPr>
          <w:szCs w:val="24"/>
        </w:rPr>
      </w:pPr>
    </w:p>
    <w:p w:rsidR="00981C2B" w:rsidRPr="00F93BD5" w:rsidRDefault="00981C2B" w:rsidP="00981C2B">
      <w:pPr>
        <w:rPr>
          <w:b/>
          <w:szCs w:val="24"/>
        </w:rPr>
      </w:pPr>
      <w:r w:rsidRPr="00F93BD5">
        <w:rPr>
          <w:b/>
          <w:szCs w:val="24"/>
        </w:rPr>
        <w:t xml:space="preserve">Konzultace technických problémů s elektronickým systémem: </w:t>
      </w:r>
    </w:p>
    <w:p w:rsidR="00981C2B" w:rsidRDefault="00981C2B" w:rsidP="00981C2B">
      <w:pPr>
        <w:rPr>
          <w:szCs w:val="24"/>
        </w:rPr>
      </w:pPr>
      <w:r>
        <w:rPr>
          <w:szCs w:val="24"/>
        </w:rPr>
        <w:t xml:space="preserve">Bc. Pavel Knobloch, email: </w:t>
      </w:r>
      <w:hyperlink r:id="rId12" w:history="1">
        <w:r w:rsidR="00EB44CE" w:rsidRPr="004D2F55">
          <w:rPr>
            <w:rStyle w:val="Hypertextovodkaz"/>
            <w:szCs w:val="24"/>
          </w:rPr>
          <w:t>is-mladez@gfxs.cz</w:t>
        </w:r>
      </w:hyperlink>
    </w:p>
    <w:p w:rsidR="00EB44CE" w:rsidRDefault="00EB44CE" w:rsidP="00981C2B">
      <w:pPr>
        <w:rPr>
          <w:szCs w:val="24"/>
        </w:rPr>
      </w:pPr>
    </w:p>
    <w:sectPr w:rsidR="00EB44CE" w:rsidSect="003C465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0C" w:rsidRDefault="0085460C" w:rsidP="00981C2B">
      <w:r>
        <w:separator/>
      </w:r>
    </w:p>
  </w:endnote>
  <w:endnote w:type="continuationSeparator" w:id="0">
    <w:p w:rsidR="0085460C" w:rsidRDefault="0085460C" w:rsidP="00981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3297"/>
      <w:docPartObj>
        <w:docPartGallery w:val="Page Numbers (Bottom of Page)"/>
        <w:docPartUnique/>
      </w:docPartObj>
    </w:sdtPr>
    <w:sdtContent>
      <w:p w:rsidR="002B1F6F" w:rsidRDefault="00BD1777">
        <w:pPr>
          <w:pStyle w:val="Zpat"/>
          <w:jc w:val="center"/>
        </w:pPr>
        <w:fldSimple w:instr=" PAGE   \* MERGEFORMAT ">
          <w:r w:rsidR="009A0AD6">
            <w:rPr>
              <w:noProof/>
            </w:rPr>
            <w:t>1</w:t>
          </w:r>
        </w:fldSimple>
      </w:p>
    </w:sdtContent>
  </w:sdt>
  <w:p w:rsidR="002B1F6F" w:rsidRDefault="002B1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0C" w:rsidRDefault="0085460C" w:rsidP="00981C2B">
      <w:r>
        <w:separator/>
      </w:r>
    </w:p>
  </w:footnote>
  <w:footnote w:type="continuationSeparator" w:id="0">
    <w:p w:rsidR="0085460C" w:rsidRDefault="0085460C" w:rsidP="00981C2B">
      <w:r>
        <w:continuationSeparator/>
      </w:r>
    </w:p>
  </w:footnote>
  <w:footnote w:id="1">
    <w:p w:rsidR="00981C2B" w:rsidRDefault="00981C2B" w:rsidP="00981C2B">
      <w:pPr>
        <w:pStyle w:val="Textpoznpodarou"/>
      </w:pPr>
      <w:r>
        <w:rPr>
          <w:rStyle w:val="Znakapoznpodarou"/>
        </w:rPr>
        <w:footnoteRef/>
      </w:r>
      <w:r>
        <w:t xml:space="preserve"> Činnost lze doložit referencemi odborníků, vyjádřením představitele státní správy či samosprávy atp.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alias w:val="Název"/>
      <w:id w:val="77738743"/>
      <w:placeholder>
        <w:docPart w:val="F5B005DBB27345C2B1B61111D4B001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D132F" w:rsidRDefault="00FD132F" w:rsidP="003F1BE9">
        <w:pPr>
          <w:pStyle w:val="Zhlav"/>
          <w:pBdr>
            <w:bottom w:val="thickThinSmallGap" w:sz="24" w:space="0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D132F">
          <w:rPr>
            <w:sz w:val="20"/>
          </w:rPr>
          <w:t>Č. j.:</w:t>
        </w:r>
        <w:r>
          <w:rPr>
            <w:sz w:val="20"/>
          </w:rPr>
          <w:t>MŠMT 6729/2012-27</w:t>
        </w:r>
      </w:p>
    </w:sdtContent>
  </w:sdt>
  <w:p w:rsidR="00FD132F" w:rsidRDefault="00FD132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4F0"/>
    <w:multiLevelType w:val="multilevel"/>
    <w:tmpl w:val="6EFAC7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358C4"/>
    <w:multiLevelType w:val="hybridMultilevel"/>
    <w:tmpl w:val="13A4EF6C"/>
    <w:lvl w:ilvl="0" w:tplc="911EB18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8654B"/>
    <w:multiLevelType w:val="hybridMultilevel"/>
    <w:tmpl w:val="7F22A028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A6780"/>
    <w:multiLevelType w:val="hybridMultilevel"/>
    <w:tmpl w:val="A4FCE07A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5E9E4A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52671"/>
    <w:multiLevelType w:val="multilevel"/>
    <w:tmpl w:val="4F40CD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F3532"/>
    <w:multiLevelType w:val="hybridMultilevel"/>
    <w:tmpl w:val="FD3C7030"/>
    <w:lvl w:ilvl="0" w:tplc="D99814A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079D8"/>
    <w:multiLevelType w:val="hybridMultilevel"/>
    <w:tmpl w:val="EBDE26C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6097C"/>
    <w:multiLevelType w:val="hybridMultilevel"/>
    <w:tmpl w:val="F5044AAC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B21235"/>
    <w:multiLevelType w:val="hybridMultilevel"/>
    <w:tmpl w:val="480A00CE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F25574"/>
    <w:multiLevelType w:val="hybridMultilevel"/>
    <w:tmpl w:val="0BB45BF8"/>
    <w:lvl w:ilvl="0" w:tplc="D99814AA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8225D"/>
    <w:multiLevelType w:val="hybridMultilevel"/>
    <w:tmpl w:val="F264923A"/>
    <w:lvl w:ilvl="0" w:tplc="D99814A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80B0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A1814"/>
    <w:multiLevelType w:val="multilevel"/>
    <w:tmpl w:val="D03E958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EF0F23"/>
    <w:multiLevelType w:val="hybridMultilevel"/>
    <w:tmpl w:val="B9DCE044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B77DF0"/>
    <w:multiLevelType w:val="hybridMultilevel"/>
    <w:tmpl w:val="7F38240A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BC0ABE"/>
    <w:multiLevelType w:val="multilevel"/>
    <w:tmpl w:val="96C4640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C515EA"/>
    <w:multiLevelType w:val="hybridMultilevel"/>
    <w:tmpl w:val="EBFE3466"/>
    <w:lvl w:ilvl="0" w:tplc="0AEC8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628E3CCC">
      <w:start w:val="77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7C0BFB"/>
    <w:multiLevelType w:val="hybridMultilevel"/>
    <w:tmpl w:val="99802F66"/>
    <w:lvl w:ilvl="0" w:tplc="0AEC857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1C2B"/>
    <w:rsid w:val="00054AA8"/>
    <w:rsid w:val="0006469D"/>
    <w:rsid w:val="00191026"/>
    <w:rsid w:val="00205F7C"/>
    <w:rsid w:val="00223E83"/>
    <w:rsid w:val="0023138A"/>
    <w:rsid w:val="00294933"/>
    <w:rsid w:val="002B1F6F"/>
    <w:rsid w:val="002F1D31"/>
    <w:rsid w:val="00316318"/>
    <w:rsid w:val="003A402D"/>
    <w:rsid w:val="003C465C"/>
    <w:rsid w:val="003F1BE9"/>
    <w:rsid w:val="004002B7"/>
    <w:rsid w:val="00494B2B"/>
    <w:rsid w:val="004E1286"/>
    <w:rsid w:val="00554CCC"/>
    <w:rsid w:val="00584622"/>
    <w:rsid w:val="005B7AF7"/>
    <w:rsid w:val="005D60DB"/>
    <w:rsid w:val="00636C5E"/>
    <w:rsid w:val="006D7E87"/>
    <w:rsid w:val="007A7E1F"/>
    <w:rsid w:val="007F0492"/>
    <w:rsid w:val="00806F17"/>
    <w:rsid w:val="008343DC"/>
    <w:rsid w:val="0085460C"/>
    <w:rsid w:val="008D30A1"/>
    <w:rsid w:val="009144B3"/>
    <w:rsid w:val="0093442B"/>
    <w:rsid w:val="00981C2B"/>
    <w:rsid w:val="009A0AD6"/>
    <w:rsid w:val="00A46672"/>
    <w:rsid w:val="00AC306C"/>
    <w:rsid w:val="00AD42B3"/>
    <w:rsid w:val="00BB6D18"/>
    <w:rsid w:val="00BD0578"/>
    <w:rsid w:val="00BD1777"/>
    <w:rsid w:val="00C55BE1"/>
    <w:rsid w:val="00C83728"/>
    <w:rsid w:val="00C8652D"/>
    <w:rsid w:val="00C94ADC"/>
    <w:rsid w:val="00CA272F"/>
    <w:rsid w:val="00CD0CFE"/>
    <w:rsid w:val="00D117D0"/>
    <w:rsid w:val="00D87923"/>
    <w:rsid w:val="00E022DE"/>
    <w:rsid w:val="00E64292"/>
    <w:rsid w:val="00E91251"/>
    <w:rsid w:val="00EB44CE"/>
    <w:rsid w:val="00EC7F3C"/>
    <w:rsid w:val="00F54174"/>
    <w:rsid w:val="00F55CD1"/>
    <w:rsid w:val="00F80EA8"/>
    <w:rsid w:val="00F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C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981C2B"/>
    <w:pPr>
      <w:spacing w:before="120"/>
      <w:ind w:firstLine="851"/>
    </w:pPr>
  </w:style>
  <w:style w:type="paragraph" w:styleId="Odstavecseseznamem">
    <w:name w:val="List Paragraph"/>
    <w:basedOn w:val="Normln"/>
    <w:uiPriority w:val="34"/>
    <w:qFormat/>
    <w:rsid w:val="00981C2B"/>
    <w:pPr>
      <w:ind w:left="720"/>
      <w:contextualSpacing/>
      <w:jc w:val="left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981C2B"/>
    <w:rPr>
      <w:rFonts w:ascii="Times New Roman" w:hAnsi="Times New Roman" w:cs="Times New Roman" w:hint="default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1C2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1C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1C2B"/>
    <w:pPr>
      <w:widowControl w:val="0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1C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uiPriority w:val="99"/>
    <w:rsid w:val="00981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81C2B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13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3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1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3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32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36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C5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C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-mladez.msmt.cz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rtal.gov.cz" TargetMode="External"/><Relationship Id="rId12" Type="http://schemas.openxmlformats.org/officeDocument/2006/relationships/hyperlink" Target="mailto:is-mladez@gfx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.gerdova@msmt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tr.chytil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-mladez.msmt.cz/index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005DBB27345C2B1B61111D4B0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23229-F893-4CD5-BB05-8E1BF7CCB61C}"/>
      </w:docPartPr>
      <w:docPartBody>
        <w:p w:rsidR="00B10312" w:rsidRDefault="009F1319" w:rsidP="009F1319">
          <w:pPr>
            <w:pStyle w:val="F5B005DBB27345C2B1B61111D4B001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F1319"/>
    <w:rsid w:val="001609B3"/>
    <w:rsid w:val="0018565A"/>
    <w:rsid w:val="00391F04"/>
    <w:rsid w:val="005002E3"/>
    <w:rsid w:val="0050091A"/>
    <w:rsid w:val="005D3D23"/>
    <w:rsid w:val="0066095F"/>
    <w:rsid w:val="007110DA"/>
    <w:rsid w:val="0073298C"/>
    <w:rsid w:val="009F1319"/>
    <w:rsid w:val="00B10312"/>
    <w:rsid w:val="00CD4FE5"/>
    <w:rsid w:val="00E8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3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B005DBB27345C2B1B61111D4B00134">
    <w:name w:val="F5B005DBB27345C2B1B61111D4B00134"/>
    <w:rsid w:val="009F131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3692</Words>
  <Characters>21783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j.:MŠMT 6729/2012-27</vt:lpstr>
    </vt:vector>
  </TitlesOfParts>
  <Company>Ministerstvo školství, mládeže a tělovýchovy</Company>
  <LinksUpToDate>false</LinksUpToDate>
  <CharactersWithSpaces>25425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j.:MŠMT 6729/2012-27</dc:title>
  <dc:subject/>
  <dc:creator>gerdovam</dc:creator>
  <cp:keywords/>
  <dc:description/>
  <cp:lastModifiedBy>chytilp</cp:lastModifiedBy>
  <cp:revision>19</cp:revision>
  <cp:lastPrinted>2012-02-20T10:59:00Z</cp:lastPrinted>
  <dcterms:created xsi:type="dcterms:W3CDTF">2012-02-17T12:10:00Z</dcterms:created>
  <dcterms:modified xsi:type="dcterms:W3CDTF">2012-03-07T09:13:00Z</dcterms:modified>
</cp:coreProperties>
</file>