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86" w:rsidRDefault="00F41186" w:rsidP="00C24E8E">
      <w:pPr>
        <w:jc w:val="center"/>
        <w:outlineLvl w:val="0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F41186" w:rsidRDefault="00F41186" w:rsidP="00C24E8E">
      <w:pPr>
        <w:jc w:val="center"/>
        <w:outlineLvl w:val="0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F41186" w:rsidRDefault="00F41186" w:rsidP="004F40EF">
      <w:pPr>
        <w:jc w:val="center"/>
        <w:rPr>
          <w:sz w:val="20"/>
          <w:szCs w:val="20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2"/>
        <w:gridCol w:w="6733"/>
      </w:tblGrid>
      <w:tr w:rsidR="00F41186" w:rsidRPr="00427B93">
        <w:trPr>
          <w:trHeight w:val="99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>
              <w:t>n</w:t>
            </w:r>
            <w:r w:rsidRPr="00427B93">
              <w:t xml:space="preserve">ěno </w:t>
            </w:r>
            <w:r>
              <w:t>MŠMT v případě IP, v případě GP</w:t>
            </w:r>
            <w:r w:rsidRPr="00427B93">
              <w:t xml:space="preserve"> ZS)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6733" w:type="dxa"/>
            <w:vAlign w:val="center"/>
          </w:tcPr>
          <w:p w:rsidR="00F41186" w:rsidRPr="00313A99" w:rsidRDefault="00323882" w:rsidP="004F40EF">
            <w:pPr>
              <w:rPr>
                <w:b/>
              </w:rPr>
            </w:pPr>
            <w:r w:rsidRPr="00323882">
              <w:rPr>
                <w:b/>
              </w:rPr>
              <w:t>C/12/247</w:t>
            </w:r>
          </w:p>
        </w:tc>
      </w:tr>
      <w:tr w:rsidR="00F41186" w:rsidRPr="00427B93">
        <w:trPr>
          <w:trHeight w:val="32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Operační program Vzdělávání pro konkurenceschopnost</w:t>
            </w:r>
          </w:p>
        </w:tc>
      </w:tr>
      <w:tr w:rsidR="00F41186" w:rsidRPr="00427B93">
        <w:trPr>
          <w:trHeight w:val="32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pPr>
              <w:rPr>
                <w:b/>
              </w:rPr>
            </w:pPr>
            <w:r w:rsidRPr="0095626F">
              <w:rPr>
                <w:b/>
              </w:rPr>
              <w:t>CZ.1.07/1.3.00/08.0205</w:t>
            </w:r>
          </w:p>
        </w:tc>
      </w:tr>
      <w:tr w:rsidR="00F41186" w:rsidRPr="00427B93">
        <w:trPr>
          <w:trHeight w:val="99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>Tvorba systému modulárního vzdělávání v oblasti prevence sociálně patologických jevů pro pedagogické a poradenské pracovníky škol a školských zařízení na celostátní úrovni.</w:t>
            </w:r>
          </w:p>
        </w:tc>
      </w:tr>
      <w:tr w:rsidR="00F41186" w:rsidRPr="00427B93">
        <w:trPr>
          <w:trHeight w:val="32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>
              <w:rPr>
                <w:b/>
              </w:rPr>
              <w:t>K</w:t>
            </w:r>
            <w:r w:rsidRPr="00B43BBD">
              <w:rPr>
                <w:b/>
              </w:rPr>
              <w:t xml:space="preserve">ompletní organizační zajištění dvoudenní konference </w:t>
            </w:r>
            <w:r>
              <w:rPr>
                <w:b/>
              </w:rPr>
              <w:t>pro zadavatele</w:t>
            </w:r>
          </w:p>
        </w:tc>
      </w:tr>
      <w:tr w:rsidR="00F41186" w:rsidRPr="00427B93">
        <w:trPr>
          <w:trHeight w:val="99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Veřejná zakázka malého rozsahu na služby</w:t>
            </w:r>
          </w:p>
        </w:tc>
      </w:tr>
      <w:tr w:rsidR="00F41186" w:rsidRPr="00427B93">
        <w:trPr>
          <w:trHeight w:val="32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>
              <w:t>29.3.2012</w:t>
            </w:r>
          </w:p>
        </w:tc>
      </w:tr>
      <w:tr w:rsidR="00F41186" w:rsidRPr="00427B93">
        <w:trPr>
          <w:trHeight w:val="6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Univerzita Karlova v Praze</w:t>
            </w:r>
          </w:p>
        </w:tc>
      </w:tr>
      <w:tr w:rsidR="00F41186" w:rsidRPr="00427B93">
        <w:trPr>
          <w:trHeight w:val="65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 xml:space="preserve">Praha 1, Ovocný trh 3-5, PSČ 116 36, týká se součásti: </w:t>
            </w:r>
          </w:p>
          <w:p w:rsidR="00F41186" w:rsidRPr="0095626F" w:rsidRDefault="00F41186" w:rsidP="004F40EF">
            <w:r w:rsidRPr="0095626F">
              <w:t>1. lékařská fakulta, Kateřinská 1660/32, 121 08 Praha 2</w:t>
            </w:r>
          </w:p>
        </w:tc>
      </w:tr>
      <w:tr w:rsidR="00F41186" w:rsidRPr="00427B93">
        <w:trPr>
          <w:trHeight w:val="132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 xml:space="preserve">Prof. </w:t>
            </w:r>
            <w:smartTag w:uri="urn:schemas-microsoft-com:office:smarttags" w:element="PersonName">
              <w:smartTagPr>
                <w:attr w:name="ProductID" w:val="MUDr. Tomáš Zima"/>
              </w:smartTagPr>
              <w:r w:rsidRPr="0095626F">
                <w:t>MUDr. Tomáš Zima</w:t>
              </w:r>
            </w:smartTag>
            <w:r w:rsidRPr="0095626F">
              <w:t>, DrSc., MBA,</w:t>
            </w:r>
          </w:p>
          <w:p w:rsidR="00F41186" w:rsidRPr="0095626F" w:rsidRDefault="00F41186" w:rsidP="004F40EF">
            <w:r w:rsidRPr="0095626F">
              <w:t>děkan 1. lékařské fakulty Univerzity Karlovy v Praze</w:t>
            </w:r>
          </w:p>
          <w:p w:rsidR="00F41186" w:rsidRPr="0095626F" w:rsidRDefault="00F41186" w:rsidP="004F40EF">
            <w:r w:rsidRPr="0095626F">
              <w:t>TEL.: 224-964-237</w:t>
            </w:r>
          </w:p>
          <w:p w:rsidR="00F41186" w:rsidRPr="0095626F" w:rsidRDefault="00F41186" w:rsidP="004F40EF">
            <w:r w:rsidRPr="0095626F">
              <w:t xml:space="preserve">e-mail: </w:t>
            </w:r>
            <w:hyperlink r:id="rId8" w:history="1">
              <w:r w:rsidRPr="0095626F">
                <w:rPr>
                  <w:rStyle w:val="Hypertextovodkaz"/>
                  <w:color w:val="auto"/>
                </w:rPr>
                <w:t>dekan@lf1.cuni.cz</w:t>
              </w:r>
            </w:hyperlink>
          </w:p>
        </w:tc>
      </w:tr>
      <w:tr w:rsidR="00F41186" w:rsidRPr="00427B93">
        <w:trPr>
          <w:trHeight w:val="32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00216208</w:t>
            </w:r>
          </w:p>
        </w:tc>
      </w:tr>
      <w:tr w:rsidR="00F41186" w:rsidRPr="00427B93">
        <w:trPr>
          <w:trHeight w:val="32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CZ00216208</w:t>
            </w:r>
          </w:p>
        </w:tc>
      </w:tr>
      <w:tr w:rsidR="00F41186" w:rsidRPr="00427B93">
        <w:trPr>
          <w:trHeight w:val="464"/>
        </w:trPr>
        <w:tc>
          <w:tcPr>
            <w:tcW w:w="3122" w:type="dxa"/>
            <w:shd w:val="clear" w:color="auto" w:fill="FABF8F"/>
          </w:tcPr>
          <w:p w:rsidR="00F41186" w:rsidRDefault="00F41186" w:rsidP="004F40EF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  <w:p w:rsidR="00F41186" w:rsidRDefault="00F41186" w:rsidP="004F40EF"/>
          <w:p w:rsidR="00F41186" w:rsidRPr="00427B93" w:rsidRDefault="00F41186" w:rsidP="008F5E26"/>
        </w:tc>
        <w:tc>
          <w:tcPr>
            <w:tcW w:w="6733" w:type="dxa"/>
            <w:vAlign w:val="center"/>
          </w:tcPr>
          <w:p w:rsidR="00F41186" w:rsidRDefault="00F41186" w:rsidP="004F40EF">
            <w:pPr>
              <w:rPr>
                <w:noProof/>
              </w:rPr>
            </w:pPr>
            <w:smartTag w:uri="urn:schemas-microsoft-com:office:smarttags" w:element="PersonName">
              <w:smartTagPr>
                <w:attr w:name="ProductID" w:val="Ing. Eva Dubovská"/>
              </w:smartTagPr>
              <w:r>
                <w:t>Ing. Eva Dubovská</w:t>
              </w:r>
            </w:smartTag>
            <w:r>
              <w:t xml:space="preserve">, 00420 </w:t>
            </w:r>
            <w:r>
              <w:rPr>
                <w:noProof/>
              </w:rPr>
              <w:t>725 738 471</w:t>
            </w:r>
          </w:p>
          <w:p w:rsidR="00F41186" w:rsidRPr="0095626F" w:rsidRDefault="00F41186" w:rsidP="004F40EF">
            <w:r>
              <w:rPr>
                <w:noProof/>
              </w:rPr>
              <w:t>dubovska</w:t>
            </w:r>
            <w:r w:rsidRPr="000915A1">
              <w:rPr>
                <w:noProof/>
              </w:rPr>
              <w:t>@</w:t>
            </w:r>
            <w:r>
              <w:rPr>
                <w:noProof/>
              </w:rPr>
              <w:t>adiktologie.cz</w:t>
            </w:r>
          </w:p>
          <w:p w:rsidR="00F41186" w:rsidRDefault="00F41186" w:rsidP="004F40EF"/>
          <w:p w:rsidR="00F41186" w:rsidRDefault="00F41186" w:rsidP="004F40EF"/>
          <w:p w:rsidR="00F41186" w:rsidRPr="0095626F" w:rsidRDefault="00F41186" w:rsidP="00313A99"/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902DB7">
              <w:rPr>
                <w:b/>
              </w:rPr>
              <w:t>Lhůta pro podání</w:t>
            </w:r>
            <w:r w:rsidRPr="005E1C27">
              <w:rPr>
                <w:b/>
                <w:color w:val="FF00FF"/>
              </w:rPr>
              <w:t xml:space="preserve"> </w:t>
            </w:r>
            <w:r w:rsidRPr="002812C5">
              <w:rPr>
                <w:b/>
              </w:rPr>
              <w:t>nabídek</w:t>
            </w:r>
            <w:r>
              <w:t xml:space="preserve"> (data zahájení a ukončení příjmu, vč. času)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Lhůta pro podání nabídek je zadavatele</w:t>
            </w:r>
            <w:r>
              <w:t xml:space="preserve">m stanovena </w:t>
            </w:r>
            <w:r w:rsidRPr="00B124B2">
              <w:t xml:space="preserve">do </w:t>
            </w:r>
            <w:r>
              <w:t>16</w:t>
            </w:r>
            <w:r w:rsidRPr="00B124B2">
              <w:t>.</w:t>
            </w:r>
            <w:r>
              <w:t>4</w:t>
            </w:r>
            <w:r w:rsidRPr="00B124B2">
              <w:t>.2012</w:t>
            </w:r>
            <w:r w:rsidRPr="0095626F">
              <w:t xml:space="preserve"> do 1</w:t>
            </w:r>
            <w:r>
              <w:t>5</w:t>
            </w:r>
            <w:r w:rsidRPr="0095626F">
              <w:t>,00 hod. Do uvedeného termínu musí být úplná nabídka uchazeče doručena na níže uvedenou adresu.</w:t>
            </w:r>
          </w:p>
          <w:p w:rsidR="00F41186" w:rsidRPr="0095626F" w:rsidRDefault="00F41186" w:rsidP="004F40EF"/>
          <w:p w:rsidR="00F41186" w:rsidRDefault="00F41186" w:rsidP="004F40EF">
            <w:r w:rsidRPr="0095626F">
              <w:t>Uchazeči jsou nabídkami vázáni po dobu 45 kalendářních dnů ode dne následujícího po dni skončení lhůty pro podání nabídek.</w:t>
            </w:r>
          </w:p>
          <w:p w:rsidR="00F41186" w:rsidRPr="0095626F" w:rsidRDefault="00F41186" w:rsidP="004F40EF"/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6733" w:type="dxa"/>
            <w:vAlign w:val="center"/>
          </w:tcPr>
          <w:p w:rsidR="00F41186" w:rsidRDefault="00F41186" w:rsidP="00C04C4D">
            <w:r>
              <w:t xml:space="preserve">Předmětem </w:t>
            </w:r>
            <w:r w:rsidRPr="008F6F1D">
              <w:t xml:space="preserve"> zakázky je </w:t>
            </w:r>
            <w:r>
              <w:t xml:space="preserve">služba - </w:t>
            </w:r>
            <w:r w:rsidRPr="00B43BBD">
              <w:rPr>
                <w:b/>
              </w:rPr>
              <w:t xml:space="preserve">kompletní organizační zajištění dvoudenní konference </w:t>
            </w:r>
            <w:r>
              <w:rPr>
                <w:b/>
              </w:rPr>
              <w:t>pro zadavatele</w:t>
            </w:r>
            <w:r w:rsidRPr="008F6F1D">
              <w:t xml:space="preserve">. </w:t>
            </w:r>
            <w:r>
              <w:t>Služba</w:t>
            </w:r>
            <w:r w:rsidRPr="00ED20B7">
              <w:t xml:space="preserve"> je realizována v souladu s implementační dokumentací OPVK, zejména Příručkou </w:t>
            </w:r>
            <w:r w:rsidRPr="00ED20B7">
              <w:lastRenderedPageBreak/>
              <w:t>pro příjemce OP VK (</w:t>
            </w:r>
            <w:hyperlink r:id="rId9" w:history="1">
              <w:r w:rsidRPr="00ED20B7">
                <w:rPr>
                  <w:rStyle w:val="Hypertextovodkaz"/>
                </w:rPr>
                <w:t>http://www.msmt.cz/strukturalni-fondy/prirucka-pro-prijemce-op-vk</w:t>
              </w:r>
            </w:hyperlink>
            <w:r w:rsidRPr="00ED20B7">
              <w:t>) a s ostatními souvisejícími závaznými pokyny vydanými MŠMT, a to vždy</w:t>
            </w:r>
            <w:r>
              <w:t xml:space="preserve"> v aktuálním znění. Cílem služby</w:t>
            </w:r>
            <w:r w:rsidRPr="00ED20B7">
              <w:t xml:space="preserve"> je kompletní organizační zajištění konferencí, kulatých stolů, osobních jednání, workshopů, přednášek, kurzů a školení specifikace.</w:t>
            </w:r>
          </w:p>
          <w:p w:rsidR="00F41186" w:rsidRPr="009A3125" w:rsidRDefault="00F41186" w:rsidP="00C04C4D">
            <w:r>
              <w:t xml:space="preserve">CPV : </w:t>
            </w:r>
            <w:r w:rsidRPr="009A3125">
              <w:t>79952000-2</w:t>
            </w:r>
          </w:p>
          <w:p w:rsidR="00F41186" w:rsidRPr="00F20582" w:rsidRDefault="00F41186" w:rsidP="00C04C4D"/>
          <w:p w:rsidR="00F41186" w:rsidRPr="00AA23B4" w:rsidRDefault="00F41186" w:rsidP="00110EED">
            <w:pPr>
              <w:spacing w:after="120"/>
              <w:rPr>
                <w:i/>
              </w:rPr>
            </w:pPr>
            <w:r w:rsidRPr="00AA23B4">
              <w:rPr>
                <w:i/>
              </w:rPr>
              <w:t xml:space="preserve"> Základní popis akce:</w:t>
            </w:r>
          </w:p>
          <w:p w:rsidR="00F41186" w:rsidRPr="0031558F" w:rsidRDefault="00F41186" w:rsidP="00110EED">
            <w:pPr>
              <w:spacing w:after="120"/>
              <w:rPr>
                <w:b/>
              </w:rPr>
            </w:pPr>
            <w:r w:rsidRPr="0031558F">
              <w:rPr>
                <w:b/>
              </w:rPr>
              <w:t>Kompletní organizační zajištění dvoudenní závěrečné konference na projektu VYNSPI.</w:t>
            </w:r>
          </w:p>
          <w:p w:rsidR="00F41186" w:rsidRPr="00630E79" w:rsidRDefault="00F41186" w:rsidP="00110EED">
            <w:pPr>
              <w:spacing w:after="120"/>
            </w:pPr>
            <w:r w:rsidRPr="00C00A35">
              <w:rPr>
                <w:u w:val="single"/>
              </w:rPr>
              <w:t>Kapacita:</w:t>
            </w:r>
            <w:r>
              <w:t xml:space="preserve">  200 účastníků</w:t>
            </w:r>
          </w:p>
          <w:p w:rsidR="00F41186" w:rsidRDefault="00F41186" w:rsidP="00110EED">
            <w:pPr>
              <w:spacing w:after="120"/>
            </w:pPr>
            <w:r w:rsidRPr="00C00A35">
              <w:rPr>
                <w:u w:val="single"/>
              </w:rPr>
              <w:t>Termín</w:t>
            </w:r>
            <w:r>
              <w:rPr>
                <w:u w:val="single"/>
              </w:rPr>
              <w:t xml:space="preserve"> konání</w:t>
            </w:r>
            <w:r w:rsidRPr="00C00A35">
              <w:rPr>
                <w:u w:val="single"/>
              </w:rPr>
              <w:t>:</w:t>
            </w:r>
            <w:r>
              <w:t xml:space="preserve"> 10. – 11.9.2012</w:t>
            </w:r>
          </w:p>
          <w:p w:rsidR="00F41186" w:rsidRDefault="00F41186" w:rsidP="00110EED">
            <w:pPr>
              <w:spacing w:after="120"/>
            </w:pPr>
            <w:r w:rsidRPr="00C00A35">
              <w:rPr>
                <w:u w:val="single"/>
              </w:rPr>
              <w:t>Místo konání:</w:t>
            </w:r>
            <w:r>
              <w:t xml:space="preserve"> </w:t>
            </w:r>
            <w:r w:rsidRPr="005E2FCF">
              <w:t>Praha</w:t>
            </w:r>
          </w:p>
          <w:p w:rsidR="00F41186" w:rsidRDefault="00F41186" w:rsidP="00110EED">
            <w:pPr>
              <w:spacing w:after="120"/>
            </w:pPr>
            <w:r w:rsidRPr="00C00A35">
              <w:rPr>
                <w:u w:val="single"/>
              </w:rPr>
              <w:t>Jednací jazyk:</w:t>
            </w:r>
            <w:r w:rsidRPr="005E2FCF">
              <w:t xml:space="preserve"> čeština</w:t>
            </w:r>
          </w:p>
          <w:p w:rsidR="00F41186" w:rsidRDefault="00F41186" w:rsidP="00110EED">
            <w:pPr>
              <w:spacing w:after="120"/>
            </w:pPr>
            <w:r>
              <w:rPr>
                <w:u w:val="single"/>
              </w:rPr>
              <w:t>Odborný p</w:t>
            </w:r>
            <w:r w:rsidRPr="00C00A35">
              <w:rPr>
                <w:u w:val="single"/>
              </w:rPr>
              <w:t>rogram:</w:t>
            </w:r>
            <w:r>
              <w:t xml:space="preserve"> </w:t>
            </w:r>
            <w:r w:rsidRPr="00630E79">
              <w:t>zajišťuje zadavatel</w:t>
            </w:r>
            <w:r>
              <w:t>.</w:t>
            </w:r>
          </w:p>
          <w:p w:rsidR="00F41186" w:rsidRDefault="00F41186" w:rsidP="00110EED">
            <w:pPr>
              <w:spacing w:after="120"/>
            </w:pPr>
            <w:r w:rsidRPr="00C00A35">
              <w:rPr>
                <w:u w:val="single"/>
              </w:rPr>
              <w:t>Cena za kompletní organizační zajištění:</w:t>
            </w:r>
            <w:r>
              <w:t xml:space="preserve"> celkem max</w:t>
            </w:r>
            <w:r w:rsidRPr="00E41CCD">
              <w:t>. 389.000,-Kč včetně DPH</w:t>
            </w:r>
          </w:p>
          <w:p w:rsidR="00F41186" w:rsidRDefault="00F41186" w:rsidP="00110EED">
            <w:pPr>
              <w:spacing w:after="120"/>
            </w:pPr>
          </w:p>
          <w:p w:rsidR="00F41186" w:rsidRPr="00AA23B4" w:rsidRDefault="00F41186" w:rsidP="00110EED">
            <w:pPr>
              <w:spacing w:after="120"/>
              <w:rPr>
                <w:i/>
              </w:rPr>
            </w:pPr>
            <w:r w:rsidRPr="00AA23B4">
              <w:rPr>
                <w:i/>
              </w:rPr>
              <w:t>Součástí kompletního organizačního zajištění konference je: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0" w:author="Unknown" w:date="2012-03-29T11:31:00Z" w:original="%1:1:0:)"/>
              </w:numPr>
              <w:spacing w:after="120"/>
            </w:pPr>
            <w:r w:rsidRPr="00005E79">
              <w:rPr>
                <w:b/>
              </w:rPr>
              <w:t>Koordinační</w:t>
            </w:r>
            <w:r>
              <w:rPr>
                <w:b/>
              </w:rPr>
              <w:t xml:space="preserve">, organizační, personální, prostorové a technické </w:t>
            </w:r>
            <w:r w:rsidRPr="00515FD8">
              <w:rPr>
                <w:b/>
              </w:rPr>
              <w:t xml:space="preserve">zajištění přípravy a průběhu </w:t>
            </w:r>
            <w:r>
              <w:rPr>
                <w:b/>
              </w:rPr>
              <w:t xml:space="preserve">konference </w:t>
            </w:r>
            <w:r>
              <w:t>(včetně komplexní pořadatelské služby v průběhu konání konference a dohledu nad průběhem konference).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" w:author="Unknown" w:date="2012-03-29T11:31:00Z" w:original="%1:2:0:)"/>
              </w:numPr>
              <w:spacing w:after="120"/>
            </w:pPr>
            <w:r w:rsidRPr="00397943">
              <w:t>Zprac</w:t>
            </w:r>
            <w:r>
              <w:t xml:space="preserve">ování </w:t>
            </w:r>
            <w:r w:rsidRPr="00515FD8">
              <w:rPr>
                <w:b/>
              </w:rPr>
              <w:t>časového harmonogramu</w:t>
            </w:r>
            <w:r>
              <w:t xml:space="preserve"> jednotlivých kroků a činností ve fázích přípravy a realizace konference (a v období po konání konference), včetně termínů pro zpracování podkladů zadavatelem.</w:t>
            </w:r>
          </w:p>
          <w:p w:rsidR="00F41186" w:rsidRPr="005C574F" w:rsidRDefault="00F41186" w:rsidP="00110EED">
            <w:pPr>
              <w:pStyle w:val="Odstavecseseznamem"/>
              <w:numPr>
                <w:ilvl w:val="0"/>
                <w:numId w:val="36"/>
                <w:numberingChange w:id="2" w:author="Unknown" w:date="2012-03-29T11:31:00Z" w:original="%1:3:0:)"/>
              </w:numPr>
              <w:spacing w:after="120"/>
              <w:rPr>
                <w:i/>
              </w:rPr>
            </w:pPr>
            <w:r w:rsidRPr="005C574F">
              <w:rPr>
                <w:b/>
              </w:rPr>
              <w:t>Zpracování</w:t>
            </w:r>
            <w:r>
              <w:t xml:space="preserve"> podrobného </w:t>
            </w:r>
            <w:r w:rsidRPr="005C574F">
              <w:rPr>
                <w:b/>
              </w:rPr>
              <w:t>rozpočtu</w:t>
            </w:r>
            <w:r>
              <w:t xml:space="preserve"> 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3" w:author="Unknown" w:date="2012-03-29T11:31:00Z" w:original="%1:4:0:)"/>
              </w:numPr>
              <w:spacing w:after="120"/>
            </w:pPr>
            <w:r w:rsidRPr="00700257">
              <w:t>Zajišt</w:t>
            </w:r>
            <w:r>
              <w:t xml:space="preserve">ění adekvátních </w:t>
            </w:r>
            <w:r w:rsidRPr="00515FD8">
              <w:rPr>
                <w:b/>
              </w:rPr>
              <w:t>prostor pro konání konference</w:t>
            </w:r>
            <w:r>
              <w:t xml:space="preserve"> v hl. m. Praze přístupné osobní i veřejnou dopravou (pěší chůzí do </w:t>
            </w:r>
            <w:r w:rsidRPr="00700257">
              <w:t xml:space="preserve">7 minut od stanice metra + dojezdnost </w:t>
            </w:r>
            <w:r>
              <w:t xml:space="preserve">MHD </w:t>
            </w:r>
            <w:r w:rsidRPr="00700257">
              <w:t xml:space="preserve">z centra </w:t>
            </w:r>
            <w:r>
              <w:t>Prahy do 20</w:t>
            </w:r>
            <w:r w:rsidRPr="00700257">
              <w:t xml:space="preserve"> min)</w:t>
            </w:r>
            <w:r>
              <w:t xml:space="preserve">, s parkováním, s  technickým zázemím v obou místnostech (konkrétní specifikace požadovaného technického zázemí viz níže), se šatnou a vhodným prostorem pro poskytování občerstvení. Požadujeme jeden hlavní a jeden vedlejší sál, kapacita hlavního sálu 230 míst, </w:t>
            </w:r>
            <w:r w:rsidRPr="000F7FD0">
              <w:t>kapacita vedlejšího sálu 70 míst</w:t>
            </w:r>
            <w:r>
              <w:t>, dále vhodný prostor pro servírování občerstvení, šatnu, toalety.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4" w:author="Unknown" w:date="2012-03-29T11:31:00Z" w:original="%1:5:0:)"/>
              </w:numPr>
              <w:spacing w:after="120"/>
            </w:pPr>
            <w:r w:rsidRPr="00397943">
              <w:t>Zajiš</w:t>
            </w:r>
            <w:r>
              <w:t xml:space="preserve">tění plnění pravidel </w:t>
            </w:r>
            <w:r w:rsidRPr="00515FD8">
              <w:rPr>
                <w:b/>
              </w:rPr>
              <w:t xml:space="preserve">povinné publicity </w:t>
            </w:r>
            <w:r>
              <w:t xml:space="preserve">projektu v souladu </w:t>
            </w:r>
            <w:r>
              <w:lastRenderedPageBreak/>
              <w:t>s pravidly poskytovatele dotace v průběhu zajištění kompletní zakázky, včetně dodržení pravidel publicity u všech graficky upravovaných a tiskových materiálů, včetně materiálů týkající se vizuální stránky konference (jmenovky přednášejících, praporky a loga dle povinné publicity a další), finální schválení všech materiálů podléhá schválení zadavatelem.</w:t>
            </w:r>
          </w:p>
          <w:p w:rsidR="00F41186" w:rsidRPr="00397943" w:rsidRDefault="00F41186" w:rsidP="00110EED">
            <w:pPr>
              <w:pStyle w:val="Odstavecseseznamem"/>
              <w:numPr>
                <w:ilvl w:val="0"/>
                <w:numId w:val="36"/>
                <w:numberingChange w:id="5" w:author="Unknown" w:date="2012-03-29T11:31:00Z" w:original="%1:6:0:)"/>
              </w:numPr>
              <w:spacing w:after="120"/>
            </w:pPr>
            <w:r w:rsidRPr="00397943">
              <w:rPr>
                <w:b/>
              </w:rPr>
              <w:t>Příprava</w:t>
            </w:r>
            <w:r w:rsidRPr="00397943">
              <w:t xml:space="preserve"> (grafický návrh, tisk) </w:t>
            </w:r>
            <w:r w:rsidRPr="00397943">
              <w:rPr>
                <w:b/>
              </w:rPr>
              <w:t>pozvánek na konferenci</w:t>
            </w:r>
            <w:r>
              <w:rPr>
                <w:b/>
              </w:rPr>
              <w:t xml:space="preserve">  a letáku s programem konference </w:t>
            </w:r>
            <w:r>
              <w:t xml:space="preserve">(v počtu 400 ks, formát 4xA5, </w:t>
            </w:r>
            <w:r w:rsidRPr="00397943">
              <w:t xml:space="preserve">dle pokynů zadavatele) a jejich </w:t>
            </w:r>
            <w:r w:rsidRPr="00397943">
              <w:rPr>
                <w:b/>
              </w:rPr>
              <w:t>distribuce</w:t>
            </w:r>
            <w:r w:rsidRPr="00397943">
              <w:t xml:space="preserve"> dle</w:t>
            </w:r>
            <w:r w:rsidRPr="00397943">
              <w:rPr>
                <w:b/>
              </w:rPr>
              <w:t xml:space="preserve"> </w:t>
            </w:r>
            <w:r w:rsidRPr="00397943">
              <w:t>distribučního seznamu poskytnutého</w:t>
            </w:r>
            <w:r w:rsidRPr="00397943">
              <w:rPr>
                <w:b/>
              </w:rPr>
              <w:t xml:space="preserve"> </w:t>
            </w:r>
            <w:r w:rsidRPr="00397943">
              <w:t xml:space="preserve">zadavatelem. 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6" w:author="Unknown" w:date="2012-03-29T11:31:00Z" w:original="%1:7:0:)"/>
              </w:numPr>
              <w:spacing w:after="120"/>
            </w:pPr>
            <w:r w:rsidRPr="00397943">
              <w:t xml:space="preserve">Zajištění </w:t>
            </w:r>
            <w:r w:rsidRPr="00397943">
              <w:rPr>
                <w:b/>
              </w:rPr>
              <w:t xml:space="preserve">systému přihlášování </w:t>
            </w:r>
            <w:r w:rsidRPr="00397943">
              <w:t>na konferenci přes internetový portál.</w:t>
            </w:r>
            <w:r>
              <w:t xml:space="preserve"> </w:t>
            </w:r>
            <w:r w:rsidRPr="007D4B00">
              <w:rPr>
                <w:b/>
              </w:rPr>
              <w:t>R</w:t>
            </w:r>
            <w:r w:rsidRPr="00515FD8">
              <w:rPr>
                <w:b/>
              </w:rPr>
              <w:t>egistrace přihlášek</w:t>
            </w:r>
            <w:r>
              <w:t xml:space="preserve"> účastníků (evidence, komunikace s účastníky), včetně </w:t>
            </w:r>
            <w:r w:rsidRPr="00071360">
              <w:rPr>
                <w:b/>
              </w:rPr>
              <w:t>registrace účastníků</w:t>
            </w:r>
            <w:r>
              <w:t xml:space="preserve"> v průběhu konference (zajištění prezenčních listin).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7" w:author="Unknown" w:date="2012-03-29T11:31:00Z" w:original="%1:8:0:)"/>
              </w:numPr>
              <w:spacing w:after="120"/>
            </w:pPr>
            <w:r w:rsidRPr="00397943">
              <w:rPr>
                <w:b/>
              </w:rPr>
              <w:t>Zajiš</w:t>
            </w:r>
            <w:r w:rsidRPr="0002414D">
              <w:rPr>
                <w:b/>
              </w:rPr>
              <w:t>tění</w:t>
            </w:r>
            <w:r>
              <w:t xml:space="preserve"> </w:t>
            </w:r>
            <w:r w:rsidRPr="0002414D">
              <w:rPr>
                <w:b/>
              </w:rPr>
              <w:t>letenek</w:t>
            </w:r>
            <w:r>
              <w:t xml:space="preserve"> </w:t>
            </w:r>
            <w:r w:rsidRPr="0002414D">
              <w:rPr>
                <w:b/>
              </w:rPr>
              <w:t>pro dva zahraniční hosty</w:t>
            </w:r>
            <w:r>
              <w:t xml:space="preserve"> konference (Lisabon – Praha a zpět) </w:t>
            </w:r>
            <w:r w:rsidRPr="000F7FD0">
              <w:t>na 09 -12/09/2012.</w:t>
            </w:r>
            <w:r>
              <w:t xml:space="preserve"> </w:t>
            </w:r>
            <w:r w:rsidRPr="0002414D">
              <w:rPr>
                <w:b/>
              </w:rPr>
              <w:t>Zajištění ubytování</w:t>
            </w:r>
            <w:r>
              <w:t xml:space="preserve"> pro dva zahraniční hosty konference v centru Prahy, požadavek na hotel – minimálně ***. 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8" w:author="Unknown" w:date="2012-03-29T11:31:00Z" w:original="%1:9:0:)"/>
              </w:numPr>
              <w:spacing w:after="120"/>
            </w:pPr>
            <w:r>
              <w:t xml:space="preserve">Zajištění zkušeného </w:t>
            </w:r>
            <w:r w:rsidRPr="00700257">
              <w:rPr>
                <w:b/>
              </w:rPr>
              <w:t xml:space="preserve">moderátora </w:t>
            </w:r>
            <w:r w:rsidRPr="00F2728F">
              <w:t>pro</w:t>
            </w:r>
            <w:r>
              <w:rPr>
                <w:b/>
              </w:rPr>
              <w:t xml:space="preserve"> </w:t>
            </w:r>
            <w:r>
              <w:t xml:space="preserve">oba dny </w:t>
            </w:r>
            <w:r w:rsidRPr="00F2728F">
              <w:t>konference</w:t>
            </w:r>
            <w:r>
              <w:t xml:space="preserve"> (hlavní sál), jak pro moderování konference, tak i pro moderování jednotlivých diskusních bloků. </w:t>
            </w:r>
          </w:p>
          <w:p w:rsidR="00F41186" w:rsidRPr="000F7FD0" w:rsidRDefault="00F41186" w:rsidP="00110EED">
            <w:pPr>
              <w:pStyle w:val="Odstavecseseznamem"/>
              <w:numPr>
                <w:ilvl w:val="0"/>
                <w:numId w:val="36"/>
                <w:numberingChange w:id="9" w:author="Unknown" w:date="2012-03-29T11:31:00Z" w:original="%1:10:0:)"/>
              </w:numPr>
              <w:spacing w:after="120"/>
              <w:rPr>
                <w:rFonts w:cs="Calibri"/>
              </w:rPr>
            </w:pPr>
            <w:r w:rsidRPr="000F7FD0">
              <w:rPr>
                <w:rFonts w:cs="Calibri"/>
              </w:rPr>
              <w:t xml:space="preserve">Zajištění výroby </w:t>
            </w:r>
            <w:r w:rsidRPr="000F7FD0">
              <w:rPr>
                <w:rFonts w:cs="Calibri"/>
                <w:b/>
              </w:rPr>
              <w:t>sborníku konference v počtu 300 ks</w:t>
            </w:r>
            <w:r w:rsidRPr="000F7FD0">
              <w:rPr>
                <w:rFonts w:cs="Calibri"/>
              </w:rPr>
              <w:t xml:space="preserve"> s následující specifikací: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 xml:space="preserve">Formát: 210 x </w:t>
            </w:r>
            <w:smartTag w:uri="urn:schemas-microsoft-com:office:smarttags" w:element="metricconverter">
              <w:smartTagPr>
                <w:attr w:name="ProductID" w:val="297 mm"/>
              </w:smartTagPr>
              <w:r w:rsidRPr="000F7FD0">
                <w:rPr>
                  <w:rFonts w:cs="Calibri"/>
                </w:rPr>
                <w:t>297 mm</w:t>
              </w:r>
            </w:smartTag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Rozsah: Obalka: 4 strany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Vnitrek: 60 stran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Tisk: Obalka: 4/4 (CMYK/CMYK)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  <w:bCs/>
              </w:rPr>
            </w:pPr>
            <w:r w:rsidRPr="000F7FD0">
              <w:rPr>
                <w:rFonts w:cs="Calibri"/>
                <w:bCs/>
              </w:rPr>
              <w:t>Plus Pantone barva na 1. obálce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Vnitrek: 1/1 (K/K)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Papír: Obalka: krida mat 250g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Vnitrek: Ofset 100g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Zpracování: Obalka: jednostranné matné lamino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Falcovani, vazba V2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Balení: do krabic</w:t>
            </w:r>
          </w:p>
          <w:p w:rsidR="00F41186" w:rsidRPr="000F7FD0" w:rsidRDefault="00F41186" w:rsidP="00110EED">
            <w:pPr>
              <w:autoSpaceDE w:val="0"/>
              <w:autoSpaceDN w:val="0"/>
              <w:ind w:left="708"/>
              <w:rPr>
                <w:rFonts w:cs="Calibri"/>
              </w:rPr>
            </w:pPr>
            <w:r w:rsidRPr="000F7FD0">
              <w:rPr>
                <w:rFonts w:cs="Calibri"/>
              </w:rPr>
              <w:t>Podklady: Tisková PDF</w:t>
            </w:r>
          </w:p>
          <w:p w:rsidR="00F41186" w:rsidRDefault="00F41186" w:rsidP="00110EED">
            <w:pPr>
              <w:pStyle w:val="Odstavecseseznamem"/>
            </w:pP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0" w:author="Unknown" w:date="2012-03-29T11:31:00Z" w:original="%1:11:0:)"/>
              </w:numPr>
              <w:spacing w:after="120"/>
            </w:pPr>
            <w:r w:rsidRPr="00023A9A">
              <w:t>Zajiště</w:t>
            </w:r>
            <w:r>
              <w:t xml:space="preserve">ní a příprava </w:t>
            </w:r>
            <w:r w:rsidRPr="00515FD8">
              <w:rPr>
                <w:b/>
              </w:rPr>
              <w:t xml:space="preserve">konferenčních </w:t>
            </w:r>
            <w:r>
              <w:rPr>
                <w:b/>
              </w:rPr>
              <w:t xml:space="preserve">tašek </w:t>
            </w:r>
            <w:r w:rsidRPr="00515FD8">
              <w:rPr>
                <w:b/>
              </w:rPr>
              <w:t>pro účastníky</w:t>
            </w:r>
            <w:r>
              <w:t xml:space="preserve"> – včetně jejich naplnění materiály, které s výjimkou sborníku dodá zadavatel (sborník konference, letáky, reklamní předměty, evaluační dotazníky, další materiály) v počtu 200 ks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1" w:author="Unknown" w:date="2012-03-29T11:31:00Z" w:original="%1:12:0:)"/>
              </w:numPr>
              <w:spacing w:after="120"/>
            </w:pPr>
            <w:r w:rsidRPr="003015F1">
              <w:t>Zaji</w:t>
            </w:r>
            <w:r>
              <w:t xml:space="preserve">štění (výroba a tisk) </w:t>
            </w:r>
            <w:r w:rsidRPr="00515FD8">
              <w:rPr>
                <w:b/>
              </w:rPr>
              <w:t>dokumentů pro účastníky</w:t>
            </w:r>
            <w:r>
              <w:t xml:space="preserve"> (dle zadání zadavatele): prezenční listiny v počtu 2ks, monitorovací listy, </w:t>
            </w:r>
            <w:r>
              <w:lastRenderedPageBreak/>
              <w:t>evaluační dotazníky v počtu 200 ks, všechno formát A4, barevná loga projektu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2" w:author="Unknown" w:date="2012-03-29T11:31:00Z" w:original="%1:13:0:)"/>
              </w:numPr>
              <w:spacing w:after="120"/>
            </w:pPr>
            <w:r>
              <w:t xml:space="preserve">Zajištění přípravy, výroby </w:t>
            </w:r>
            <w:r w:rsidRPr="00515FD8">
              <w:rPr>
                <w:b/>
              </w:rPr>
              <w:t>certifikátů o účasti</w:t>
            </w:r>
            <w:r>
              <w:t xml:space="preserve"> v souladu s pravidly publicity projektu v počtu 200ks, formát A4, křídový papír, barevná loga projektu. Zajištění předání certifikátů o účasti účastníkům, včetně evidence.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3" w:author="Unknown" w:date="2012-03-29T11:31:00Z" w:original="%1:14:0:)"/>
              </w:numPr>
              <w:spacing w:after="120"/>
            </w:pPr>
            <w:r>
              <w:t xml:space="preserve">Komplexní zajištění </w:t>
            </w:r>
            <w:r w:rsidRPr="00D61360">
              <w:rPr>
                <w:b/>
              </w:rPr>
              <w:t>vizuální stránky konference</w:t>
            </w:r>
            <w:r>
              <w:t xml:space="preserve"> (loga a praporky, jmenovky přednášejících na stoly (cca. 20 ks), označení místností, cesty – šipky a další materiály dle požadovaných pravidel publicity).   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4" w:author="Unknown" w:date="2012-03-29T11:31:00Z" w:original="%1:15:0:)"/>
              </w:numPr>
              <w:spacing w:after="120"/>
            </w:pPr>
            <w:r>
              <w:rPr>
                <w:b/>
              </w:rPr>
              <w:t>R</w:t>
            </w:r>
            <w:r w:rsidRPr="00FA3BF3">
              <w:rPr>
                <w:b/>
              </w:rPr>
              <w:t>egistrace účastníků konference</w:t>
            </w:r>
            <w:r>
              <w:t>, včetně uvítání, distribuce konferenčních tašek účastníkům a distribuce monitorovacích listů spojená s jejich bezprostředním sběrem.</w:t>
            </w:r>
          </w:p>
          <w:p w:rsidR="00F41186" w:rsidRDefault="00F41186" w:rsidP="00110EED">
            <w:pPr>
              <w:pStyle w:val="Odstavecseseznamem"/>
              <w:numPr>
                <w:ilvl w:val="0"/>
                <w:numId w:val="36"/>
                <w:numberingChange w:id="15" w:author="Unknown" w:date="2012-03-29T11:31:00Z" w:original="%1:16:0:)"/>
              </w:numPr>
              <w:spacing w:after="120"/>
            </w:pPr>
            <w:r w:rsidRPr="00023A9A">
              <w:t>Zajiš</w:t>
            </w:r>
            <w:r>
              <w:t xml:space="preserve">tění kompletního </w:t>
            </w:r>
            <w:r w:rsidRPr="00515FD8">
              <w:rPr>
                <w:b/>
              </w:rPr>
              <w:t>technického zázemí</w:t>
            </w:r>
            <w:r>
              <w:t xml:space="preserve"> </w:t>
            </w:r>
            <w:r w:rsidRPr="003015F1">
              <w:rPr>
                <w:b/>
              </w:rPr>
              <w:t>konference</w:t>
            </w:r>
            <w:r>
              <w:t xml:space="preserve"> v daných prostorách. Zajištění projekční techniky do obou sálů: počítače, promítací technika, promítací plátna (v adekvátní velikosti vzhledem k velikosti sálu), flipchart, včetně technika/obsluhy k dispozici v každém sále. Zajištění zvukové techniky v hlavním sále – ozvučení sálu, mikrofony pro přednášející + přenosné do pléna (5 + 2), včetně zajištění obsluhy přenosných mikrofonů v plénu. </w:t>
            </w:r>
          </w:p>
          <w:p w:rsidR="00F41186" w:rsidRPr="00C07F1B" w:rsidRDefault="00F41186" w:rsidP="00110EED">
            <w:pPr>
              <w:pStyle w:val="Odstavecseseznamem"/>
              <w:numPr>
                <w:ilvl w:val="0"/>
                <w:numId w:val="36"/>
                <w:numberingChange w:id="16" w:author="Unknown" w:date="2012-03-29T11:31:00Z" w:original="%1:17:0:)"/>
              </w:numPr>
              <w:spacing w:after="120"/>
              <w:rPr>
                <w:i/>
              </w:rPr>
            </w:pPr>
            <w:r>
              <w:t xml:space="preserve">Zajištění </w:t>
            </w:r>
            <w:r w:rsidRPr="002535FE">
              <w:rPr>
                <w:b/>
              </w:rPr>
              <w:t>občerstvení</w:t>
            </w:r>
            <w:r>
              <w:t xml:space="preserve"> </w:t>
            </w:r>
            <w:r w:rsidRPr="002535FE">
              <w:rPr>
                <w:b/>
              </w:rPr>
              <w:t>pro přednášející</w:t>
            </w:r>
            <w:r>
              <w:t xml:space="preserve"> (perlivá/neperlivá voda, káva/čaj). Zajištění </w:t>
            </w:r>
            <w:r w:rsidRPr="00023A9A">
              <w:rPr>
                <w:b/>
              </w:rPr>
              <w:t>občerstvení pro účastníky konference</w:t>
            </w:r>
            <w:r>
              <w:t xml:space="preserve"> v rozsahu:</w:t>
            </w:r>
          </w:p>
          <w:p w:rsidR="00F41186" w:rsidRPr="00C07F1B" w:rsidRDefault="00F41186" w:rsidP="00110EED">
            <w:pPr>
              <w:pStyle w:val="Odstavecseseznamem"/>
              <w:numPr>
                <w:ilvl w:val="0"/>
                <w:numId w:val="37"/>
                <w:numberingChange w:id="17" w:author="Unknown" w:date="2012-03-29T11:31:00Z" w:original="%1:1:0:."/>
              </w:numPr>
              <w:spacing w:after="120"/>
              <w:rPr>
                <w:i/>
              </w:rPr>
            </w:pPr>
            <w:r>
              <w:t xml:space="preserve">Den:  </w:t>
            </w:r>
          </w:p>
          <w:p w:rsidR="00F41186" w:rsidRDefault="00F41186" w:rsidP="00110EED">
            <w:pPr>
              <w:pStyle w:val="Odstavecseseznamem"/>
              <w:spacing w:after="120"/>
              <w:ind w:left="1080"/>
            </w:pPr>
            <w:r>
              <w:t>3x coffee break – káva, voda, sladké sušenky, sladké koláčky, ovoce.</w:t>
            </w:r>
          </w:p>
          <w:p w:rsidR="00F41186" w:rsidRDefault="00F41186" w:rsidP="00110EED">
            <w:pPr>
              <w:pStyle w:val="Odstavecseseznamem"/>
              <w:spacing w:after="120"/>
              <w:ind w:left="1080"/>
            </w:pPr>
            <w:r>
              <w:t>Oběd ve formě teplého a studeného bufetu: polévka, na výběr minimálně dvě teplá jídla, dvě přílohy, 2 druhy salátu.</w:t>
            </w:r>
          </w:p>
          <w:p w:rsidR="00F41186" w:rsidRDefault="00F41186" w:rsidP="00110EED">
            <w:pPr>
              <w:pStyle w:val="Odstavecseseznamem"/>
              <w:spacing w:after="120"/>
              <w:ind w:left="1080"/>
            </w:pPr>
          </w:p>
          <w:p w:rsidR="00F41186" w:rsidRPr="00794F3B" w:rsidRDefault="00F41186" w:rsidP="00110EED">
            <w:pPr>
              <w:pStyle w:val="Odstavecseseznamem"/>
              <w:numPr>
                <w:ilvl w:val="0"/>
                <w:numId w:val="37"/>
                <w:numberingChange w:id="18" w:author="Unknown" w:date="2012-03-29T11:31:00Z" w:original="%1:2:0:."/>
              </w:numPr>
              <w:spacing w:after="120"/>
              <w:rPr>
                <w:i/>
              </w:rPr>
            </w:pPr>
            <w:r>
              <w:t>Den:</w:t>
            </w:r>
          </w:p>
          <w:p w:rsidR="00F41186" w:rsidRDefault="00F41186" w:rsidP="00110EED">
            <w:pPr>
              <w:pStyle w:val="Odstavecseseznamem"/>
              <w:spacing w:after="120"/>
              <w:ind w:left="1080"/>
            </w:pPr>
            <w:r>
              <w:t>3x coffee break - káva, voda, sladké sušenky, sladké koláčky, ovoce.</w:t>
            </w:r>
          </w:p>
          <w:p w:rsidR="00F41186" w:rsidRPr="00513820" w:rsidRDefault="00F41186" w:rsidP="00110EED">
            <w:pPr>
              <w:pStyle w:val="Odstavecseseznamem"/>
              <w:spacing w:after="120"/>
              <w:ind w:left="1080"/>
              <w:rPr>
                <w:i/>
              </w:rPr>
            </w:pPr>
          </w:p>
          <w:p w:rsidR="00F41186" w:rsidRPr="00AD42B3" w:rsidRDefault="00F41186" w:rsidP="00110EED">
            <w:pPr>
              <w:pStyle w:val="Odstavecseseznamem"/>
              <w:numPr>
                <w:ilvl w:val="0"/>
                <w:numId w:val="36"/>
                <w:numberingChange w:id="19" w:author="Unknown" w:date="2012-03-29T11:31:00Z" w:original="%1:18:0:)"/>
              </w:numPr>
              <w:spacing w:after="120"/>
            </w:pPr>
            <w:r w:rsidRPr="00AD42B3">
              <w:rPr>
                <w:b/>
              </w:rPr>
              <w:t>Zajištění</w:t>
            </w:r>
            <w:r>
              <w:rPr>
                <w:b/>
              </w:rPr>
              <w:t xml:space="preserve"> vyhovujících </w:t>
            </w:r>
            <w:r w:rsidRPr="00AD42B3">
              <w:rPr>
                <w:b/>
              </w:rPr>
              <w:t>prostor</w:t>
            </w:r>
            <w:r>
              <w:rPr>
                <w:b/>
              </w:rPr>
              <w:t xml:space="preserve"> </w:t>
            </w:r>
            <w:r w:rsidRPr="002535FE">
              <w:rPr>
                <w:b/>
              </w:rPr>
              <w:t>pro konání večerního rautu</w:t>
            </w:r>
            <w:r>
              <w:t xml:space="preserve">, který bude spojený se křtem zadavatelem publikovaných </w:t>
            </w:r>
            <w:r w:rsidRPr="00AD42B3">
              <w:t>knih</w:t>
            </w:r>
            <w:r w:rsidRPr="00AD42B3">
              <w:rPr>
                <w:b/>
              </w:rPr>
              <w:t xml:space="preserve"> </w:t>
            </w:r>
            <w:r w:rsidRPr="00AD42B3">
              <w:t>(</w:t>
            </w:r>
            <w:r>
              <w:t xml:space="preserve">první den konference </w:t>
            </w:r>
            <w:r w:rsidRPr="00AD42B3">
              <w:t xml:space="preserve">večer) </w:t>
            </w:r>
            <w:r w:rsidRPr="00AD42B3">
              <w:rPr>
                <w:b/>
              </w:rPr>
              <w:t>a zajištění samotného rautu</w:t>
            </w:r>
            <w:r w:rsidRPr="00AD42B3">
              <w:t xml:space="preserve"> (počet účastníků cca 60 lidí) dle zadání zadavatele.</w:t>
            </w:r>
            <w:r>
              <w:t xml:space="preserve"> Raut v dojezdové vzdálenosti MHD do 20 minut od místa konání konference. </w:t>
            </w:r>
          </w:p>
          <w:p w:rsidR="00F41186" w:rsidRPr="00513820" w:rsidRDefault="00F41186" w:rsidP="00110EED">
            <w:pPr>
              <w:pStyle w:val="Odstavecseseznamem"/>
              <w:numPr>
                <w:ilvl w:val="0"/>
                <w:numId w:val="36"/>
                <w:numberingChange w:id="20" w:author="Unknown" w:date="2012-03-29T11:31:00Z" w:original="%1:19:0:)"/>
              </w:numPr>
              <w:spacing w:after="120"/>
              <w:rPr>
                <w:i/>
              </w:rPr>
            </w:pPr>
            <w:r>
              <w:lastRenderedPageBreak/>
              <w:t xml:space="preserve">Zajištění </w:t>
            </w:r>
            <w:r w:rsidRPr="00515FD8">
              <w:rPr>
                <w:b/>
              </w:rPr>
              <w:t xml:space="preserve">foto, video a audio dokumentace </w:t>
            </w:r>
            <w:r w:rsidRPr="00515FD8">
              <w:t>akce.</w:t>
            </w:r>
            <w:r>
              <w:t xml:space="preserve">  </w:t>
            </w:r>
            <w:r w:rsidRPr="00794F3B">
              <w:rPr>
                <w:b/>
              </w:rPr>
              <w:t>Pořízení audio/video záznamu</w:t>
            </w:r>
            <w:r>
              <w:t xml:space="preserve"> ze všech přednášek konference, jejich úprava (včetně střihu) a výroba 20 DVD nosičů s přednáškami</w:t>
            </w:r>
          </w:p>
          <w:p w:rsidR="00F41186" w:rsidRPr="00914A00" w:rsidRDefault="00F41186" w:rsidP="00CD442D">
            <w:pPr>
              <w:autoSpaceDE w:val="0"/>
              <w:autoSpaceDN w:val="0"/>
              <w:adjustRightInd w:val="0"/>
            </w:pP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pPr>
              <w:rPr>
                <w:b/>
              </w:rPr>
            </w:pPr>
            <w:r>
              <w:rPr>
                <w:b/>
              </w:rPr>
              <w:t>Celkem 389.000,- včetně</w:t>
            </w:r>
            <w:r w:rsidRPr="0095626F">
              <w:rPr>
                <w:b/>
              </w:rPr>
              <w:t xml:space="preserve"> DPH </w:t>
            </w:r>
          </w:p>
          <w:p w:rsidR="00F41186" w:rsidRPr="0095626F" w:rsidRDefault="00F41186" w:rsidP="004F40EF">
            <w:pPr>
              <w:rPr>
                <w:b/>
              </w:rPr>
            </w:pP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733" w:type="dxa"/>
            <w:vAlign w:val="center"/>
          </w:tcPr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Jedná se o ve</w:t>
            </w:r>
            <w:r>
              <w:rPr>
                <w:rFonts w:ascii="TimesNewRoman" w:cs="TimesNewRoman"/>
              </w:rPr>
              <w:t>ř</w:t>
            </w:r>
            <w:r>
              <w:t>ejnou zakázku malého rozsahu zadávanou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v souladu s ust. § 18 odst. 5 zákona postupem mimo režim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 xml:space="preserve">zákona </w:t>
            </w:r>
            <w:r>
              <w:rPr>
                <w:rFonts w:ascii="TimesNewRoman" w:cs="TimesNewRoman"/>
              </w:rPr>
              <w:t>č</w:t>
            </w:r>
            <w:r>
              <w:t>. 137/2006 Sb., o ve</w:t>
            </w:r>
            <w:r>
              <w:rPr>
                <w:rFonts w:ascii="TimesNewRoman" w:cs="TimesNewRoman"/>
              </w:rPr>
              <w:t>ř</w:t>
            </w:r>
            <w:r>
              <w:t>ejných zakázkách, ve zn</w:t>
            </w:r>
            <w:r>
              <w:rPr>
                <w:rFonts w:ascii="TimesNewRoman" w:cs="TimesNewRoman"/>
              </w:rPr>
              <w:t>ě</w:t>
            </w:r>
            <w:r>
              <w:t>ní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pozd</w:t>
            </w:r>
            <w:r>
              <w:rPr>
                <w:rFonts w:ascii="TimesNewRoman" w:cs="TimesNewRoman"/>
              </w:rPr>
              <w:t>ě</w:t>
            </w:r>
            <w:r>
              <w:t>jších p</w:t>
            </w:r>
            <w:r>
              <w:rPr>
                <w:rFonts w:ascii="TimesNewRoman" w:cs="TimesNewRoman"/>
              </w:rPr>
              <w:t>ř</w:t>
            </w:r>
            <w:r>
              <w:t>edpis</w:t>
            </w:r>
            <w:r>
              <w:rPr>
                <w:rFonts w:ascii="TimesNewRoman" w:cs="TimesNewRoman"/>
              </w:rPr>
              <w:t>ů</w:t>
            </w:r>
            <w:r>
              <w:rPr>
                <w:rFonts w:ascii="TimesNewRoman" w:cs="TimesNewRoman"/>
              </w:rPr>
              <w:t xml:space="preserve"> </w:t>
            </w:r>
            <w:r>
              <w:t>(dále jen zákon), p</w:t>
            </w:r>
            <w:r>
              <w:rPr>
                <w:rFonts w:ascii="TimesNewRoman" w:cs="TimesNewRoman"/>
              </w:rPr>
              <w:t>ř</w:t>
            </w:r>
            <w:r>
              <w:t>i respektování § 6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zákona.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 xml:space="preserve">Toto zadávací </w:t>
            </w:r>
            <w:r>
              <w:rPr>
                <w:rFonts w:ascii="TimesNewRoman" w:cs="TimesNewRoman"/>
              </w:rPr>
              <w:t>ř</w:t>
            </w:r>
            <w:r>
              <w:t>ízení je realizováno na základ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pravidel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Opera</w:t>
            </w:r>
            <w:r>
              <w:rPr>
                <w:rFonts w:ascii="TimesNewRoman" w:cs="TimesNewRoman"/>
              </w:rPr>
              <w:t>č</w:t>
            </w:r>
            <w:r>
              <w:t>ního programu Vzd</w:t>
            </w:r>
            <w:r>
              <w:rPr>
                <w:rFonts w:ascii="TimesNewRoman" w:cs="TimesNewRoman"/>
              </w:rPr>
              <w:t>ě</w:t>
            </w:r>
            <w:r>
              <w:t>lávání pro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konkurenceschopnost.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S ohledem na shora uvedené zadavatel rovn</w:t>
            </w:r>
            <w:r>
              <w:rPr>
                <w:rFonts w:ascii="TimesNewRoman" w:cs="TimesNewRoman"/>
              </w:rPr>
              <w:t>ě</w:t>
            </w:r>
            <w:r>
              <w:t>ž upozor</w:t>
            </w:r>
            <w:r>
              <w:rPr>
                <w:rFonts w:ascii="TimesNewRoman" w:cs="TimesNewRoman"/>
              </w:rPr>
              <w:t>ň</w:t>
            </w:r>
            <w:r>
              <w:t>uje,</w:t>
            </w:r>
          </w:p>
          <w:p w:rsidR="00F41186" w:rsidRDefault="00F41186" w:rsidP="00382475">
            <w:pPr>
              <w:autoSpaceDE w:val="0"/>
              <w:autoSpaceDN w:val="0"/>
              <w:adjustRightInd w:val="0"/>
            </w:pPr>
            <w:r>
              <w:t>že nepostupuje ani podle ust. § 26 odst. 5 v</w:t>
            </w:r>
            <w:r>
              <w:rPr>
                <w:rFonts w:ascii="TimesNewRoman" w:cs="TimesNewRoman"/>
              </w:rPr>
              <w:t>ě</w:t>
            </w:r>
            <w:r>
              <w:t>ta druhá</w:t>
            </w:r>
          </w:p>
          <w:p w:rsidR="00F41186" w:rsidRPr="00D85A93" w:rsidRDefault="00F41186" w:rsidP="00382475">
            <w:pPr>
              <w:jc w:val="both"/>
            </w:pPr>
            <w:r>
              <w:t xml:space="preserve">zákona, </w:t>
            </w:r>
            <w:r w:rsidRPr="00D20BAB">
              <w:t xml:space="preserve">přestože se v této zadávací dokumentaci </w:t>
            </w:r>
            <w:r w:rsidRPr="00D85A93">
              <w:t>odkazuje analogicky na ustanovení zákona.</w:t>
            </w:r>
            <w:r w:rsidRPr="00D85A93">
              <w:rPr>
                <w:sz w:val="22"/>
                <w:szCs w:val="22"/>
              </w:rPr>
              <w:t xml:space="preserve"> </w:t>
            </w:r>
          </w:p>
          <w:p w:rsidR="00F41186" w:rsidRPr="0095626F" w:rsidRDefault="00F41186" w:rsidP="004F40EF"/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bookmarkStart w:id="21" w:name="OLE_LINK4"/>
            <w:r w:rsidRPr="0095626F">
              <w:t>Plnění zakázky bude zahájeno dnem uzavření smlouvy s uchazečem,  termín</w:t>
            </w:r>
            <w:r>
              <w:t xml:space="preserve"> konference</w:t>
            </w:r>
            <w:r w:rsidRPr="0095626F">
              <w:t xml:space="preserve">  je </w:t>
            </w:r>
            <w:r>
              <w:t>10.-11.9.2012.</w:t>
            </w:r>
            <w:r w:rsidRPr="0095626F">
              <w:t xml:space="preserve"> </w:t>
            </w:r>
            <w:bookmarkEnd w:id="21"/>
            <w:r w:rsidRPr="0095626F">
              <w:t xml:space="preserve">Předmět zakázky bude plněn do </w:t>
            </w:r>
            <w:r>
              <w:t>20</w:t>
            </w:r>
            <w:r w:rsidRPr="00914A00">
              <w:t xml:space="preserve">. </w:t>
            </w:r>
            <w:r>
              <w:t>9</w:t>
            </w:r>
            <w:r w:rsidRPr="00914A00">
              <w:t>. 2012</w:t>
            </w:r>
            <w:r>
              <w:t>, kdy proběhne závěrečné vyúčtování.</w:t>
            </w:r>
          </w:p>
          <w:p w:rsidR="00F41186" w:rsidRPr="0095626F" w:rsidRDefault="00F41186" w:rsidP="004F40EF">
            <w:pPr>
              <w:rPr>
                <w:highlight w:val="yellow"/>
              </w:rPr>
            </w:pP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Nabídku je možno podávat tak, aby do termínu uvedeného v této výzvě byla doručena:</w:t>
            </w:r>
          </w:p>
          <w:p w:rsidR="00F41186" w:rsidRPr="0095626F" w:rsidRDefault="00F41186" w:rsidP="004F40EF"/>
          <w:p w:rsidR="00F41186" w:rsidRPr="0095626F" w:rsidRDefault="00F41186" w:rsidP="004F40EF">
            <w:pPr>
              <w:numPr>
                <w:ilvl w:val="0"/>
                <w:numId w:val="6"/>
                <w:numberingChange w:id="22" w:author="Unknown" w:date="2012-03-29T11:31:00Z" w:original="%1:1:0:."/>
              </w:numPr>
              <w:ind w:left="0" w:firstLine="0"/>
            </w:pPr>
            <w:r w:rsidRPr="0095626F">
              <w:t xml:space="preserve">Buď </w:t>
            </w:r>
            <w:r w:rsidRPr="0095626F">
              <w:rPr>
                <w:u w:val="single"/>
              </w:rPr>
              <w:t>osobně</w:t>
            </w:r>
            <w:r w:rsidRPr="0095626F">
              <w:t xml:space="preserve"> na adresu zadavatele: Univerzita Karlova v Praze, 1. lékařská fakulta, Kateřinská 32, 121 08 Praha 2, k rukám ing. Mestekové, podatelna v přízemí vlevo, č. dveří 1.071</w:t>
            </w:r>
            <w:r>
              <w:t>, úřední hodiny podatelny: Po-Pá 8-12</w:t>
            </w:r>
            <w:r w:rsidRPr="0095626F">
              <w:t xml:space="preserve">. </w:t>
            </w:r>
          </w:p>
          <w:p w:rsidR="00F41186" w:rsidRPr="0095626F" w:rsidRDefault="00F41186" w:rsidP="004F40EF">
            <w:pPr>
              <w:numPr>
                <w:ilvl w:val="0"/>
                <w:numId w:val="6"/>
                <w:numberingChange w:id="23" w:author="Unknown" w:date="2012-03-29T11:31:00Z" w:original="%1:2:0:."/>
              </w:numPr>
              <w:ind w:left="0" w:firstLine="0"/>
            </w:pPr>
            <w:r w:rsidRPr="0095626F">
              <w:t xml:space="preserve">Nebo </w:t>
            </w:r>
            <w:r w:rsidRPr="0095626F">
              <w:rPr>
                <w:u w:val="single"/>
              </w:rPr>
              <w:t>poštou</w:t>
            </w:r>
            <w:r w:rsidRPr="0095626F">
              <w:t xml:space="preserve"> na adresu zadavatele: Univerzita Karlova v Praze, 1. lékařská fakulta, Kateřinská 32, 121 08 Praha 2, k rukám ing. Mestekové. </w:t>
            </w:r>
          </w:p>
          <w:p w:rsidR="00F41186" w:rsidRPr="0095626F" w:rsidRDefault="00F41186" w:rsidP="004F40EF"/>
          <w:p w:rsidR="00F41186" w:rsidRPr="0095626F" w:rsidRDefault="00F41186" w:rsidP="004F40EF">
            <w:pPr>
              <w:rPr>
                <w:b/>
              </w:rPr>
            </w:pPr>
            <w:r w:rsidRPr="0095626F">
              <w:rPr>
                <w:b/>
              </w:rPr>
              <w:t>Nabídky je možné předkládat pouze v listinné podobě v řádně uzavřené obálce označené celým názvem zakázky a nápisem „NEOTEVÍRAT!“, s uvedenou kontaktní adresou dodavatele (uchazeče).</w:t>
            </w:r>
          </w:p>
          <w:p w:rsidR="00F41186" w:rsidRPr="0095626F" w:rsidRDefault="00F41186" w:rsidP="004F40EF">
            <w:r>
              <w:t>Nabídka bude podána v dvojím (originál+kopie)</w:t>
            </w:r>
            <w:r w:rsidRPr="0095626F">
              <w:t xml:space="preserve"> vyhotovení.</w:t>
            </w:r>
          </w:p>
          <w:p w:rsidR="00F41186" w:rsidRPr="0095626F" w:rsidRDefault="00F41186" w:rsidP="004F40EF">
            <w:r w:rsidRPr="0095626F">
              <w:t>Zpracování nabídky je možné pouze v českém jazyce.</w:t>
            </w:r>
          </w:p>
          <w:p w:rsidR="00F41186" w:rsidRPr="0095626F" w:rsidRDefault="00F41186" w:rsidP="004F40EF">
            <w:r w:rsidRPr="0095626F">
              <w:lastRenderedPageBreak/>
              <w:t xml:space="preserve"> </w:t>
            </w:r>
          </w:p>
        </w:tc>
      </w:tr>
      <w:tr w:rsidR="00F41186" w:rsidRPr="008520F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>
              <w:rPr>
                <w:b/>
              </w:rPr>
              <w:lastRenderedPageBreak/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6733" w:type="dxa"/>
            <w:vAlign w:val="center"/>
          </w:tcPr>
          <w:p w:rsidR="00F41186" w:rsidRDefault="00F41186" w:rsidP="00C652D1">
            <w:pPr>
              <w:autoSpaceDE w:val="0"/>
              <w:autoSpaceDN w:val="0"/>
              <w:adjustRightInd w:val="0"/>
            </w:pPr>
            <w:r w:rsidRPr="00D14925">
              <w:t>Základní</w:t>
            </w:r>
            <w:r>
              <w:t>m</w:t>
            </w:r>
            <w:r w:rsidRPr="00D14925">
              <w:t xml:space="preserve"> </w:t>
            </w:r>
            <w:r>
              <w:t xml:space="preserve">a jediným </w:t>
            </w:r>
            <w:r w:rsidRPr="00D14925">
              <w:t>hodnotící</w:t>
            </w:r>
            <w:r>
              <w:t>m</w:t>
            </w:r>
            <w:r w:rsidRPr="00D14925">
              <w:t xml:space="preserve"> kritéri</w:t>
            </w:r>
            <w:r>
              <w:t xml:space="preserve">em je </w:t>
            </w:r>
            <w:r w:rsidRPr="00460F30">
              <w:rPr>
                <w:b/>
              </w:rPr>
              <w:t>nejnižší nabídková cena</w:t>
            </w:r>
            <w:r>
              <w:t>.</w:t>
            </w:r>
            <w:r w:rsidRPr="00D14925">
              <w:t xml:space="preserve"> </w:t>
            </w:r>
          </w:p>
          <w:p w:rsidR="00F41186" w:rsidRDefault="00F41186" w:rsidP="00C652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</w:t>
            </w:r>
            <w:r w:rsidRPr="00D14925">
              <w:rPr>
                <w:bCs/>
              </w:rPr>
              <w:t>ejvhodnější nabídkou je ta, která nabíd</w:t>
            </w:r>
            <w:r>
              <w:rPr>
                <w:bCs/>
              </w:rPr>
              <w:t>ne nejnižší nabídkovou cenu.</w:t>
            </w:r>
          </w:p>
          <w:p w:rsidR="00F41186" w:rsidRDefault="00F41186" w:rsidP="00C652D1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1186" w:rsidRDefault="00F41186" w:rsidP="00C652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Pořadí nabídek v rámci hodnocení bude stanoveno podle vzorce:</w:t>
            </w:r>
          </w:p>
          <w:p w:rsidR="00F41186" w:rsidRDefault="00F41186" w:rsidP="00C652D1">
            <w:pPr>
              <w:autoSpaceDE w:val="0"/>
              <w:autoSpaceDN w:val="0"/>
              <w:adjustRightInd w:val="0"/>
            </w:pPr>
          </w:p>
          <w:p w:rsidR="00F41186" w:rsidRPr="009A4683" w:rsidRDefault="00F41186" w:rsidP="00110EED">
            <w:pPr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  <w:r w:rsidRPr="009A4683">
              <w:rPr>
                <w:i/>
                <w:iCs/>
                <w:u w:val="single"/>
              </w:rPr>
              <w:t xml:space="preserve">nejnižší nabídková cena    x </w:t>
            </w:r>
            <w:r>
              <w:rPr>
                <w:i/>
                <w:iCs/>
                <w:u w:val="single"/>
              </w:rPr>
              <w:t>100</w:t>
            </w:r>
            <w:r w:rsidRPr="009A4683">
              <w:rPr>
                <w:i/>
                <w:iCs/>
                <w:u w:val="single"/>
              </w:rPr>
              <w:t>%</w:t>
            </w:r>
          </w:p>
          <w:p w:rsidR="00F41186" w:rsidRPr="009A4683" w:rsidRDefault="00F41186" w:rsidP="00110E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A4683">
              <w:rPr>
                <w:i/>
                <w:iCs/>
              </w:rPr>
              <w:t>nabídková cena hodnocené nabídky</w:t>
            </w:r>
          </w:p>
          <w:p w:rsidR="00F41186" w:rsidRDefault="00F41186" w:rsidP="00C652D1">
            <w:pPr>
              <w:autoSpaceDE w:val="0"/>
              <w:autoSpaceDN w:val="0"/>
              <w:adjustRightInd w:val="0"/>
            </w:pPr>
          </w:p>
          <w:p w:rsidR="00F41186" w:rsidRPr="00C652D1" w:rsidRDefault="00F41186" w:rsidP="00D14925">
            <w:pPr>
              <w:autoSpaceDE w:val="0"/>
              <w:autoSpaceDN w:val="0"/>
              <w:adjustRightInd w:val="0"/>
            </w:pPr>
            <w:r w:rsidRPr="0095626F">
              <w:t>Hodnotící komise neprovede hodnocení nabídek, pokud by měla hodnotit nabídku pouze jednoho uchazeče (analogicky dle § 79 odst. 6 zákona).</w:t>
            </w: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</w:rPr>
            </w:pPr>
            <w:r w:rsidRPr="0095626F">
              <w:rPr>
                <w:b/>
              </w:rPr>
              <w:t xml:space="preserve">Uchazeč je povinen prokázat kvalifikaci v dále uvedeném rozsahu. 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 xml:space="preserve">Veškeré doklady požadované k prokázání splnění kvalifikace musejí být, </w:t>
            </w:r>
            <w:r>
              <w:t xml:space="preserve">analogicky </w:t>
            </w:r>
            <w:r w:rsidRPr="0095626F">
              <w:t xml:space="preserve">v souladu s § 57 zákona </w:t>
            </w:r>
            <w:r>
              <w:t xml:space="preserve"> předloženy v</w:t>
            </w:r>
            <w:r w:rsidRPr="0095626F">
              <w:t xml:space="preserve"> kopii. Nabídka bude podepsána statutárním orgánem uchazeče, v případě podpisu jinou osobou musí být originál nebo úředně ověřená kopie zmocnění této osoby součástí dokladů, kterými uchazeč prokazuje splnění kvalifikace. Nesplnění těchto podmínek posoudí zadavatel jako nesplnění kvalifikace s následkem vyloučení dodavatele ze zadávacího řízení.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95626F">
              <w:rPr>
                <w:u w:val="single"/>
              </w:rPr>
              <w:t>Splněním kvalifikace se rozumí: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 xml:space="preserve">a) splnění základních kvalifikačních předpokladů </w:t>
            </w:r>
            <w:r>
              <w:t xml:space="preserve">analogicky </w:t>
            </w:r>
            <w:r w:rsidRPr="0095626F">
              <w:t>podle § 53 zákona,</w:t>
            </w:r>
          </w:p>
          <w:p w:rsidR="00F41186" w:rsidRPr="0095626F" w:rsidRDefault="00F41186" w:rsidP="004F40EF">
            <w:pPr>
              <w:pStyle w:val="Barevnseznamzvraznn11"/>
              <w:ind w:left="0"/>
              <w:contextualSpacing w:val="0"/>
            </w:pPr>
            <w:r w:rsidRPr="0095626F">
              <w:t>b) splnění profesních kvalifikačních předpokladů</w:t>
            </w:r>
          </w:p>
          <w:p w:rsidR="00F41186" w:rsidRPr="0095626F" w:rsidRDefault="00F41186" w:rsidP="004F40EF">
            <w:pPr>
              <w:pStyle w:val="Barevnseznamzvraznn11"/>
              <w:ind w:left="0"/>
              <w:contextualSpacing w:val="0"/>
            </w:pPr>
            <w:r>
              <w:t>analogicky podle § 54 písm. a)</w:t>
            </w:r>
            <w:r w:rsidRPr="0095626F">
              <w:t xml:space="preserve"> b)</w:t>
            </w:r>
            <w:r>
              <w:t xml:space="preserve"> a c)</w:t>
            </w:r>
            <w:r w:rsidRPr="0095626F">
              <w:t xml:space="preserve"> zákona, včetně odpovídajících živnostenských oprávnění na všechny vykonávané činnosti,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 xml:space="preserve">c) splnění ekonomických a finančních kvalifikačních předpokladů </w:t>
            </w:r>
            <w:r>
              <w:t xml:space="preserve">analogicky </w:t>
            </w:r>
            <w:r w:rsidRPr="0095626F">
              <w:t>podle § 55 zákona odst. 1 písm. a) a b)</w:t>
            </w:r>
          </w:p>
          <w:p w:rsidR="00F41186" w:rsidRDefault="00F41186" w:rsidP="004F40EF">
            <w:pPr>
              <w:autoSpaceDE w:val="0"/>
              <w:autoSpaceDN w:val="0"/>
              <w:adjustRightInd w:val="0"/>
            </w:pPr>
            <w:r w:rsidRPr="0095626F">
              <w:t xml:space="preserve">d) splnění technických kvalifikačních předpokladů </w:t>
            </w:r>
            <w:r>
              <w:t xml:space="preserve">analogicky </w:t>
            </w:r>
            <w:r w:rsidRPr="0095626F">
              <w:t>dle § 56 odst. 2 písm. a) zákona.</w:t>
            </w:r>
          </w:p>
          <w:p w:rsidR="00F41186" w:rsidRDefault="00F41186" w:rsidP="004F40EF">
            <w:pPr>
              <w:autoSpaceDE w:val="0"/>
              <w:autoSpaceDN w:val="0"/>
              <w:adjustRightInd w:val="0"/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626F">
              <w:rPr>
                <w:b/>
                <w:bCs/>
              </w:rPr>
              <w:t>ad a)</w:t>
            </w:r>
            <w:r w:rsidRPr="0095626F">
              <w:rPr>
                <w:b/>
                <w:bCs/>
              </w:rPr>
              <w:tab/>
              <w:t>Základní kvalifikační předpoklady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 xml:space="preserve">Základní kvalifikační předpoklady splňuje dodavatel, který splňuje veškeré zákonné požadavky dané § 53 zákona. Dodavatel prokazuje splnění kvalifikačních předpokladů předložením </w:t>
            </w:r>
            <w:r>
              <w:lastRenderedPageBreak/>
              <w:t xml:space="preserve">originálu </w:t>
            </w:r>
            <w:r w:rsidRPr="0095626F">
              <w:t>čestného prohlášení</w:t>
            </w:r>
            <w:r>
              <w:t>, ze kterého musí být jednoznačně zřejmé, že dodavatel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1C4A">
              <w:t xml:space="preserve">splňuje příslušné základní kvalifikační </w:t>
            </w:r>
            <w:r>
              <w:t xml:space="preserve">předpoklady požadované </w:t>
            </w:r>
            <w:r w:rsidRPr="00751C4A">
              <w:t>zadavatelem.</w:t>
            </w:r>
            <w:r w:rsidRPr="0095626F">
              <w:t>.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626F">
              <w:rPr>
                <w:b/>
                <w:bCs/>
              </w:rPr>
              <w:t>ad b)</w:t>
            </w:r>
            <w:r w:rsidRPr="0095626F">
              <w:rPr>
                <w:b/>
                <w:bCs/>
              </w:rPr>
              <w:tab/>
              <w:t>Profesní kvalifikační předpoklady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>Splnění profesních kvalifikačních předpokladů prokáže dodavatel, který předloží: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</w:pPr>
            <w:r w:rsidRPr="0095626F">
              <w:t>1) výpis z obchodního rejstříku, pokud je v něm zapsán, či výpis z jiné obdobné evidence, pokud je v ní zapsán,</w:t>
            </w:r>
          </w:p>
          <w:p w:rsidR="00F41186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  <w:r w:rsidRPr="0095626F">
              <w:t>2) doklad o oprávnění k podnikání podle zvláštních právních předpisů v rozsahu odpovídajícím předmětu veřejné zakázky, zejména doklad prokazující příslušné živnostenské oprávnění.</w:t>
            </w: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  <w:rPr>
                <w:b/>
              </w:rPr>
            </w:pPr>
            <w:r w:rsidRPr="0095626F">
              <w:t xml:space="preserve"> </w:t>
            </w:r>
            <w:r w:rsidRPr="0095626F">
              <w:rPr>
                <w:b/>
              </w:rPr>
              <w:t>ad c) Ekonomické a finanční kvalifikační předpoklady</w:t>
            </w: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  <w:r w:rsidRPr="0095626F">
              <w:t xml:space="preserve">Dodavatel prokáže tento předpoklad předložením: </w:t>
            </w: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  <w:r w:rsidRPr="0095626F">
              <w:t xml:space="preserve">1) Pojistné smlouvy, jejímž předmětem je pojištění odpovědnosti za škodu způsobenou dodavatelem třetí osobě. Konkrétně pak zadavatel požaduje doklad o pojištění, za který zadavatel považuje výhradně pojistnou smlouvu, pojistku nebo potvrzení pojišťovny o existenci pojištění odpovědnosti uchazeče za škody způsobené při výkonu jeho podnikatelské činnosti. Zadavatel přitom stanoví, že ke splnění zadávacích podmínek je nutné, aby pojistná částka předmětného pojištění činila alespoň </w:t>
            </w:r>
            <w:r>
              <w:t>30</w:t>
            </w:r>
            <w:r w:rsidRPr="0095626F">
              <w:t>0.000,- Kč.</w:t>
            </w:r>
          </w:p>
          <w:p w:rsidR="00F41186" w:rsidRPr="0095626F" w:rsidRDefault="00F41186" w:rsidP="004F40EF">
            <w:pPr>
              <w:tabs>
                <w:tab w:val="left" w:pos="1843"/>
              </w:tabs>
              <w:autoSpaceDE w:val="0"/>
              <w:autoSpaceDN w:val="0"/>
              <w:adjustRightInd w:val="0"/>
            </w:pP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626F">
              <w:rPr>
                <w:b/>
                <w:bCs/>
              </w:rPr>
              <w:t>ad d)</w:t>
            </w:r>
            <w:r w:rsidRPr="0095626F">
              <w:rPr>
                <w:b/>
                <w:bCs/>
              </w:rPr>
              <w:tab/>
              <w:t>Technické kvalifikační předpoklady</w:t>
            </w:r>
          </w:p>
          <w:p w:rsidR="00F41186" w:rsidRPr="0095626F" w:rsidRDefault="00F41186" w:rsidP="004F40E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41186" w:rsidRPr="00E84A26" w:rsidRDefault="00F41186" w:rsidP="00E84A26">
            <w:r w:rsidRPr="0095626F">
              <w:t xml:space="preserve">Zadavatel požaduje prokázání splnění následujících technických </w:t>
            </w:r>
            <w:r w:rsidRPr="00E84A26">
              <w:t>kvalifikačních předpokladů:</w:t>
            </w:r>
          </w:p>
          <w:p w:rsidR="00F41186" w:rsidRPr="00E84A26" w:rsidRDefault="00F41186" w:rsidP="00E84A26">
            <w:r w:rsidRPr="00E84A26">
              <w:t>seznamem obdobných služeb (se základními informacemi o nich) poskytnutých dodavatelem v posledních 3 letech. Za obdobnou službu se považuje uspořádání akce pro minimálně 180 lidí.</w:t>
            </w:r>
          </w:p>
          <w:p w:rsidR="00F41186" w:rsidRPr="0095626F" w:rsidRDefault="00F41186" w:rsidP="00045A0F">
            <w:r w:rsidRPr="00056C25">
              <w:t>Seznam musí mít formu čestného prohlášení podepsaného osobo</w:t>
            </w:r>
            <w:r>
              <w:t xml:space="preserve">u oprávněnou jednat jménem </w:t>
            </w:r>
            <w:r w:rsidRPr="00056C25">
              <w:t xml:space="preserve"> uchazeče.</w:t>
            </w: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427B93" w:rsidRDefault="00F41186" w:rsidP="004F40EF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6733" w:type="dxa"/>
            <w:vAlign w:val="center"/>
          </w:tcPr>
          <w:p w:rsidR="00F41186" w:rsidRDefault="00F41186" w:rsidP="004F40EF">
            <w:r w:rsidRPr="0095626F">
              <w:t>Uchazeč ve své nabídce uvede kontaktní osobu ve věci zakázky, její telefon a e-mailovou adresu.</w:t>
            </w:r>
          </w:p>
          <w:p w:rsidR="00F41186" w:rsidRPr="0095626F" w:rsidRDefault="00F41186" w:rsidP="004F40EF"/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 xml:space="preserve">(včetně požadavků na písemné zpracování smlouvy </w:t>
            </w:r>
            <w:r w:rsidRPr="007F7162">
              <w:lastRenderedPageBreak/>
              <w:t>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E84A26">
            <w:pPr>
              <w:jc w:val="both"/>
            </w:pPr>
            <w:r w:rsidRPr="00164B58">
              <w:lastRenderedPageBreak/>
              <w:t>Nabídka musí být zadavateli podána v listinné podobě</w:t>
            </w:r>
            <w:r>
              <w:t xml:space="preserve"> ve dvojím vyhotovení (originál + kopie)</w:t>
            </w:r>
            <w:r w:rsidRPr="00164B58">
              <w:t>. Požadavek na listinnou podobu je považován za splněný tehdy, pokud je nabídka podepsána osobou oprávněnou jednat jménem uchazeče.</w:t>
            </w: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733" w:type="dxa"/>
            <w:vAlign w:val="center"/>
          </w:tcPr>
          <w:p w:rsidR="00F41186" w:rsidRPr="0095626F" w:rsidRDefault="00F41186" w:rsidP="004F40EF">
            <w:r w:rsidRPr="0095626F">
              <w:t>Smlouv</w:t>
            </w:r>
            <w:r>
              <w:t>a</w:t>
            </w:r>
            <w:r w:rsidRPr="0095626F">
              <w:t xml:space="preserve"> uzavřen</w:t>
            </w:r>
            <w:r>
              <w:t>á</w:t>
            </w:r>
            <w:r w:rsidRPr="0095626F">
              <w:t xml:space="preserve"> s vybraným dodavatelem musí zavazovat dodavatele, aby umožnil všem subjektům oprávněným k výkonu kontroly projektu, z jehož prostředků je veřejná zakázka hrazena, provést kontrolu dokladů souvisejících s plněním zakázky, a to po dobu danou právními předpisy ČR k jejich archivaci (zákon č. 563/1991 Sb., o účetnictví, a zákon č. 235/2004 Sb., o dani z přidané hodnoty).</w:t>
            </w:r>
            <w:r>
              <w:t xml:space="preserve"> </w:t>
            </w:r>
            <w:r w:rsidRPr="000D36F9">
              <w:rPr>
                <w:b/>
              </w:rPr>
              <w:t>Tuto poznámku je nutné uvést v návr</w:t>
            </w:r>
            <w:r>
              <w:rPr>
                <w:b/>
              </w:rPr>
              <w:t>hu</w:t>
            </w:r>
            <w:r w:rsidRPr="000D36F9">
              <w:rPr>
                <w:b/>
              </w:rPr>
              <w:t xml:space="preserve"> sml</w:t>
            </w:r>
            <w:r>
              <w:rPr>
                <w:b/>
              </w:rPr>
              <w:t>o</w:t>
            </w:r>
            <w:r w:rsidRPr="000D36F9">
              <w:rPr>
                <w:b/>
              </w:rPr>
              <w:t>uv</w:t>
            </w:r>
            <w:r>
              <w:rPr>
                <w:b/>
              </w:rPr>
              <w:t>y</w:t>
            </w:r>
            <w:r>
              <w:t xml:space="preserve"> </w:t>
            </w:r>
            <w:r w:rsidRPr="000D36F9">
              <w:rPr>
                <w:b/>
              </w:rPr>
              <w:t>o dílo.</w:t>
            </w:r>
          </w:p>
        </w:tc>
      </w:tr>
      <w:tr w:rsidR="00F41186" w:rsidRPr="00427B93">
        <w:trPr>
          <w:trHeight w:val="17"/>
        </w:trPr>
        <w:tc>
          <w:tcPr>
            <w:tcW w:w="3122" w:type="dxa"/>
            <w:shd w:val="clear" w:color="auto" w:fill="FABF8F"/>
          </w:tcPr>
          <w:p w:rsidR="00F41186" w:rsidRPr="002812C5" w:rsidRDefault="00F41186" w:rsidP="004F40EF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6733" w:type="dxa"/>
            <w:vAlign w:val="center"/>
          </w:tcPr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Služba bude realizována pro zadavatele a na adresu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zadavatele.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P</w:t>
            </w:r>
            <w:r>
              <w:rPr>
                <w:rFonts w:ascii="TimesNewRoman" w:cs="TimesNewRoman"/>
              </w:rPr>
              <w:t>ř</w:t>
            </w:r>
            <w:r>
              <w:t>esná specifikace služby je rozepsána v požadavku na</w:t>
            </w:r>
          </w:p>
          <w:p w:rsidR="00F41186" w:rsidRPr="0095626F" w:rsidRDefault="00F41186" w:rsidP="00D86EE5">
            <w:pPr>
              <w:pStyle w:val="honey"/>
              <w:spacing w:after="120" w:line="240" w:lineRule="auto"/>
              <w:jc w:val="left"/>
            </w:pPr>
            <w:r>
              <w:t>smlouvu o dílo (viz níže).</w:t>
            </w:r>
          </w:p>
          <w:p w:rsidR="00F41186" w:rsidRPr="0095626F" w:rsidRDefault="00F41186" w:rsidP="00D14925">
            <w:pPr>
              <w:rPr>
                <w:b/>
              </w:rPr>
            </w:pPr>
            <w:r w:rsidRPr="0095626F">
              <w:rPr>
                <w:b/>
              </w:rPr>
              <w:t>Variantní nabídky:</w:t>
            </w:r>
          </w:p>
          <w:p w:rsidR="00F41186" w:rsidRPr="0095626F" w:rsidRDefault="00F41186" w:rsidP="00D14925">
            <w:r w:rsidRPr="0095626F">
              <w:t>Každý uchazeč může v rámci zadávacího řízení předložit pouze jednu nabídku. Zadavatel vyloučí ze zadávacího řízení uchazeče, který předložil více nabídek.</w:t>
            </w:r>
          </w:p>
          <w:p w:rsidR="00F41186" w:rsidRPr="0095626F" w:rsidRDefault="00F41186" w:rsidP="00D14925">
            <w:r w:rsidRPr="0095626F">
              <w:t xml:space="preserve">Podání variantních nabídek </w:t>
            </w:r>
            <w:r w:rsidRPr="0095626F">
              <w:rPr>
                <w:u w:val="single"/>
              </w:rPr>
              <w:t>není</w:t>
            </w:r>
            <w:r w:rsidRPr="0095626F">
              <w:t xml:space="preserve"> v zadávacím řízení přípustné. Zadavatel vyloučí ze zadávacího řízení uchazeče, který předložil variantní nabídku.</w:t>
            </w:r>
          </w:p>
          <w:p w:rsidR="00F41186" w:rsidRPr="0095626F" w:rsidRDefault="00F41186" w:rsidP="00D14925">
            <w:r w:rsidRPr="0095626F">
              <w:rPr>
                <w:b/>
              </w:rPr>
              <w:t>Požadovaná struktura cenové nabídky:</w:t>
            </w:r>
          </w:p>
          <w:p w:rsidR="00F41186" w:rsidRPr="0095626F" w:rsidRDefault="00F41186" w:rsidP="00D14925">
            <w:r w:rsidRPr="0095626F">
              <w:t>Uchazeč stanoví nabídkovou cenu absolutní částkou v česk</w:t>
            </w:r>
            <w:r>
              <w:t>ých korunách. Nabídková cena včetně</w:t>
            </w:r>
            <w:r w:rsidRPr="0095626F">
              <w:t xml:space="preserve"> DPH bude stanovena jako nejvýše přípustná a nepřekročitelná a zahrnuje veškeré náklady v popisu předmětu zakázky </w:t>
            </w:r>
          </w:p>
          <w:p w:rsidR="00F41186" w:rsidRPr="0095626F" w:rsidRDefault="00F41186" w:rsidP="00D14925"/>
          <w:p w:rsidR="00F41186" w:rsidRPr="0095626F" w:rsidRDefault="00F41186" w:rsidP="00D14925">
            <w:r w:rsidRPr="0095626F">
              <w:t>Nabídková cena bude uvedena v členění:</w:t>
            </w:r>
          </w:p>
          <w:p w:rsidR="00F41186" w:rsidRPr="0095626F" w:rsidRDefault="00F41186" w:rsidP="00D14925">
            <w:pPr>
              <w:numPr>
                <w:ilvl w:val="0"/>
                <w:numId w:val="9"/>
                <w:numberingChange w:id="24" w:author="Unknown" w:date="2012-03-29T11:31:00Z" w:original=""/>
              </w:numPr>
              <w:ind w:left="0" w:firstLine="0"/>
            </w:pPr>
            <w:r w:rsidRPr="0095626F">
              <w:t>cenu bez DPH</w:t>
            </w:r>
          </w:p>
          <w:p w:rsidR="00F41186" w:rsidRPr="0095626F" w:rsidRDefault="00F41186" w:rsidP="00D14925">
            <w:pPr>
              <w:numPr>
                <w:ilvl w:val="0"/>
                <w:numId w:val="9"/>
                <w:numberingChange w:id="25" w:author="Unknown" w:date="2012-03-29T11:31:00Z" w:original=""/>
              </w:numPr>
              <w:ind w:left="0" w:firstLine="0"/>
            </w:pPr>
            <w:r w:rsidRPr="0095626F">
              <w:t>DPH (procentní výše DPH) včetně jejího vyjádření v korunách;</w:t>
            </w:r>
          </w:p>
          <w:p w:rsidR="00F41186" w:rsidRPr="0095626F" w:rsidRDefault="00F41186" w:rsidP="00D14925">
            <w:pPr>
              <w:numPr>
                <w:ilvl w:val="0"/>
                <w:numId w:val="9"/>
                <w:numberingChange w:id="26" w:author="Unknown" w:date="2012-03-29T11:31:00Z" w:original=""/>
              </w:numPr>
              <w:ind w:left="0" w:firstLine="0"/>
            </w:pPr>
            <w:r w:rsidRPr="0095626F">
              <w:t>celkovou nabídkovou cenu včetně DPH.</w:t>
            </w:r>
          </w:p>
          <w:p w:rsidR="00F41186" w:rsidRDefault="00F41186" w:rsidP="00D14925">
            <w:r w:rsidRPr="0095626F">
              <w:t>Celková nabídková cena za zakázku bude uvedena součtem. Nabídková cena nesmí přesáhnout částku </w:t>
            </w:r>
            <w:r>
              <w:rPr>
                <w:b/>
              </w:rPr>
              <w:t>389.000,- včetně</w:t>
            </w:r>
            <w:r w:rsidRPr="0095626F">
              <w:rPr>
                <w:b/>
              </w:rPr>
              <w:t xml:space="preserve"> DPH</w:t>
            </w:r>
            <w:r w:rsidRPr="0095626F">
              <w:t xml:space="preserve">. </w:t>
            </w:r>
          </w:p>
          <w:p w:rsidR="00F41186" w:rsidRPr="0095626F" w:rsidRDefault="00F41186" w:rsidP="004F40EF">
            <w:pPr>
              <w:rPr>
                <w:b/>
                <w:u w:val="single"/>
              </w:rPr>
            </w:pPr>
          </w:p>
          <w:p w:rsidR="00F41186" w:rsidRPr="0095626F" w:rsidRDefault="00F41186" w:rsidP="004F40EF">
            <w:pPr>
              <w:rPr>
                <w:b/>
                <w:u w:val="single"/>
              </w:rPr>
            </w:pPr>
            <w:r w:rsidRPr="0095626F">
              <w:rPr>
                <w:b/>
                <w:u w:val="single"/>
              </w:rPr>
              <w:t>Požadavky na návrh smlouvy:</w:t>
            </w:r>
          </w:p>
          <w:p w:rsidR="00F41186" w:rsidRPr="0095626F" w:rsidRDefault="00F41186" w:rsidP="00D14925">
            <w:pPr>
              <w:pStyle w:val="honey"/>
              <w:spacing w:line="240" w:lineRule="auto"/>
              <w:jc w:val="left"/>
              <w:rPr>
                <w:szCs w:val="24"/>
              </w:rPr>
            </w:pPr>
            <w:r w:rsidRPr="0095626F">
              <w:rPr>
                <w:szCs w:val="24"/>
              </w:rPr>
              <w:t>Služba bude realizována :</w:t>
            </w:r>
          </w:p>
          <w:p w:rsidR="00F41186" w:rsidRPr="0095626F" w:rsidRDefault="00F41186" w:rsidP="00D14925">
            <w:pPr>
              <w:pStyle w:val="honey"/>
              <w:spacing w:line="240" w:lineRule="auto"/>
              <w:jc w:val="left"/>
              <w:rPr>
                <w:szCs w:val="24"/>
              </w:rPr>
            </w:pPr>
            <w:r w:rsidRPr="0095626F">
              <w:rPr>
                <w:szCs w:val="24"/>
              </w:rPr>
              <w:t>1) na adresu zadavatele</w:t>
            </w:r>
            <w:r>
              <w:rPr>
                <w:szCs w:val="24"/>
              </w:rPr>
              <w:t>.</w:t>
            </w:r>
          </w:p>
          <w:p w:rsidR="00F41186" w:rsidRPr="0095626F" w:rsidRDefault="00F41186" w:rsidP="00D14925">
            <w:pPr>
              <w:rPr>
                <w:b/>
              </w:rPr>
            </w:pPr>
          </w:p>
          <w:p w:rsidR="00F41186" w:rsidRPr="0095626F" w:rsidRDefault="00F41186" w:rsidP="00D14925">
            <w:pPr>
              <w:pStyle w:val="honey"/>
              <w:spacing w:line="240" w:lineRule="auto"/>
              <w:jc w:val="left"/>
              <w:rPr>
                <w:szCs w:val="24"/>
              </w:rPr>
            </w:pPr>
            <w:r w:rsidRPr="0095626F">
              <w:rPr>
                <w:szCs w:val="24"/>
              </w:rPr>
              <w:t>Uchazeč je povinen předložit v nabídce  návrh sml</w:t>
            </w:r>
            <w:r>
              <w:rPr>
                <w:szCs w:val="24"/>
              </w:rPr>
              <w:t>ouvy</w:t>
            </w:r>
            <w:r w:rsidRPr="0095626F">
              <w:rPr>
                <w:szCs w:val="24"/>
              </w:rPr>
              <w:t xml:space="preserve"> o dílo včetně všech jej</w:t>
            </w:r>
            <w:r>
              <w:rPr>
                <w:szCs w:val="24"/>
              </w:rPr>
              <w:t>í</w:t>
            </w:r>
            <w:r w:rsidRPr="0095626F">
              <w:rPr>
                <w:szCs w:val="24"/>
              </w:rPr>
              <w:t xml:space="preserve">ch příloh. </w:t>
            </w:r>
          </w:p>
          <w:p w:rsidR="00F41186" w:rsidRPr="0095626F" w:rsidRDefault="00F41186" w:rsidP="00D86EE5">
            <w:pPr>
              <w:pStyle w:val="honey"/>
              <w:spacing w:after="120" w:line="240" w:lineRule="auto"/>
              <w:jc w:val="left"/>
            </w:pPr>
            <w:r>
              <w:rPr>
                <w:szCs w:val="24"/>
              </w:rPr>
              <w:t>V </w:t>
            </w:r>
            <w:r w:rsidRPr="00902DB7">
              <w:rPr>
                <w:szCs w:val="24"/>
              </w:rPr>
              <w:t>návrhu smlouvy</w:t>
            </w:r>
            <w:r>
              <w:rPr>
                <w:szCs w:val="24"/>
              </w:rPr>
              <w:t xml:space="preserve"> o dílo</w:t>
            </w:r>
            <w:r w:rsidRPr="00902DB7">
              <w:rPr>
                <w:szCs w:val="24"/>
              </w:rPr>
              <w:t xml:space="preserve"> bude uveden jako </w:t>
            </w:r>
            <w:r>
              <w:rPr>
                <w:szCs w:val="24"/>
              </w:rPr>
              <w:t>objednatel</w:t>
            </w:r>
            <w:r w:rsidRPr="00902DB7">
              <w:rPr>
                <w:szCs w:val="24"/>
              </w:rPr>
              <w:t xml:space="preserve"> zad</w:t>
            </w:r>
            <w:r>
              <w:rPr>
                <w:szCs w:val="24"/>
              </w:rPr>
              <w:t xml:space="preserve">avatel </w:t>
            </w:r>
            <w:r w:rsidRPr="00902DB7">
              <w:rPr>
                <w:szCs w:val="24"/>
              </w:rPr>
              <w:t xml:space="preserve">a předmět </w:t>
            </w:r>
            <w:r>
              <w:rPr>
                <w:szCs w:val="24"/>
              </w:rPr>
              <w:t>díla</w:t>
            </w:r>
            <w:r w:rsidRPr="00902DB7">
              <w:rPr>
                <w:szCs w:val="24"/>
              </w:rPr>
              <w:t xml:space="preserve"> bude vymezen </w:t>
            </w:r>
            <w:r>
              <w:rPr>
                <w:szCs w:val="24"/>
              </w:rPr>
              <w:t>dle struktury viz Popis předmětu zakázky.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lastRenderedPageBreak/>
              <w:t>Návrh smlouvy o dílo musí být ze strany uchaze</w:t>
            </w:r>
            <w:r>
              <w:rPr>
                <w:rFonts w:ascii="TimesNewRoman" w:cs="TimesNewRoman"/>
              </w:rPr>
              <w:t>č</w:t>
            </w:r>
            <w:r>
              <w:t>e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podepsán uchaze</w:t>
            </w:r>
            <w:r>
              <w:rPr>
                <w:rFonts w:ascii="TimesNewRoman" w:cs="TimesNewRoman"/>
              </w:rPr>
              <w:t>č</w:t>
            </w:r>
            <w:r>
              <w:t xml:space="preserve">em </w:t>
            </w:r>
            <w:r>
              <w:rPr>
                <w:rFonts w:ascii="TimesNewRoman" w:cs="TimesNewRoman"/>
              </w:rPr>
              <w:t>č</w:t>
            </w:r>
            <w:r>
              <w:t>i statutárním orgánem nebo osobou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p</w:t>
            </w:r>
            <w:r>
              <w:rPr>
                <w:rFonts w:ascii="TimesNewRoman" w:cs="TimesNewRoman"/>
              </w:rPr>
              <w:t>ř</w:t>
            </w:r>
            <w:r>
              <w:t>íslušn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zmocn</w:t>
            </w:r>
            <w:r>
              <w:rPr>
                <w:rFonts w:ascii="TimesNewRoman" w:cs="TimesNewRoman"/>
              </w:rPr>
              <w:t>ě</w:t>
            </w:r>
            <w:r>
              <w:t>nou; originál nebo ú</w:t>
            </w:r>
            <w:r>
              <w:rPr>
                <w:rFonts w:ascii="TimesNewRoman" w:cs="TimesNewRoman"/>
              </w:rPr>
              <w:t>ř</w:t>
            </w:r>
            <w:r>
              <w:t>edn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ov</w:t>
            </w:r>
            <w:r>
              <w:rPr>
                <w:rFonts w:ascii="TimesNewRoman" w:cs="TimesNewRoman"/>
              </w:rPr>
              <w:t>ěř</w:t>
            </w:r>
            <w:r>
              <w:t>ená kopie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zmocn</w:t>
            </w:r>
            <w:r>
              <w:rPr>
                <w:rFonts w:ascii="TimesNewRoman" w:cs="TimesNewRoman"/>
              </w:rPr>
              <w:t>ě</w:t>
            </w:r>
            <w:r>
              <w:t>ní musí být v takovém p</w:t>
            </w:r>
            <w:r>
              <w:rPr>
                <w:rFonts w:ascii="TimesNewRoman" w:cs="TimesNewRoman"/>
              </w:rPr>
              <w:t>ř</w:t>
            </w:r>
            <w:r>
              <w:t>ípad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sou</w:t>
            </w:r>
            <w:r>
              <w:rPr>
                <w:rFonts w:ascii="TimesNewRoman" w:cs="TimesNewRoman"/>
              </w:rPr>
              <w:t>č</w:t>
            </w:r>
            <w:r>
              <w:t>ástí nabídky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uchaze</w:t>
            </w:r>
            <w:r>
              <w:rPr>
                <w:rFonts w:ascii="TimesNewRoman" w:cs="TimesNewRoman"/>
              </w:rPr>
              <w:t>č</w:t>
            </w:r>
            <w:r>
              <w:t>e, resp. sou</w:t>
            </w:r>
            <w:r>
              <w:rPr>
                <w:rFonts w:ascii="TimesNewRoman" w:cs="TimesNewRoman"/>
              </w:rPr>
              <w:t>č</w:t>
            </w:r>
            <w:r>
              <w:t>ástí návrhu smlouvy. P</w:t>
            </w:r>
            <w:r>
              <w:rPr>
                <w:rFonts w:ascii="TimesNewRoman" w:cs="TimesNewRoman"/>
              </w:rPr>
              <w:t>ř</w:t>
            </w:r>
            <w:r>
              <w:t>edložení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nepodepsaného textu smlouvy není p</w:t>
            </w:r>
            <w:r>
              <w:rPr>
                <w:rFonts w:ascii="TimesNewRoman" w:cs="TimesNewRoman"/>
              </w:rPr>
              <w:t>ř</w:t>
            </w:r>
            <w:r>
              <w:t>edložením návrhu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této smlouvy. Nabídka uchaze</w:t>
            </w:r>
            <w:r>
              <w:rPr>
                <w:rFonts w:ascii="TimesNewRoman" w:cs="TimesNewRoman"/>
              </w:rPr>
              <w:t>č</w:t>
            </w:r>
            <w:r>
              <w:t>e se tak stává neúplnou a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zadavatel vylou</w:t>
            </w:r>
            <w:r>
              <w:rPr>
                <w:rFonts w:ascii="TimesNewRoman" w:cs="TimesNewRoman"/>
              </w:rPr>
              <w:t>č</w:t>
            </w:r>
            <w:r>
              <w:t>í takového uchaze</w:t>
            </w:r>
            <w:r>
              <w:rPr>
                <w:rFonts w:ascii="TimesNewRoman" w:cs="TimesNewRoman"/>
              </w:rPr>
              <w:t>č</w:t>
            </w:r>
            <w:r>
              <w:t>e z další ú</w:t>
            </w:r>
            <w:r>
              <w:rPr>
                <w:rFonts w:ascii="TimesNewRoman" w:cs="TimesNewRoman"/>
              </w:rPr>
              <w:t>č</w:t>
            </w:r>
            <w:r>
              <w:t>asti na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zakázce.</w:t>
            </w:r>
            <w:r w:rsidRPr="00552102">
              <w:br/>
            </w:r>
            <w:r>
              <w:t>Uchaze</w:t>
            </w:r>
            <w:r>
              <w:rPr>
                <w:rFonts w:ascii="TimesNewRoman" w:cs="TimesNewRoman"/>
              </w:rPr>
              <w:t>č</w:t>
            </w:r>
            <w:r>
              <w:t>em p</w:t>
            </w:r>
            <w:r>
              <w:rPr>
                <w:rFonts w:ascii="TimesNewRoman" w:cs="TimesNewRoman"/>
              </w:rPr>
              <w:t>ř</w:t>
            </w:r>
            <w:r>
              <w:t>edložený návrh smlouvy musí po obsahové i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formální stránce bezvýhradn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odpovídat veškerým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požadavk</w:t>
            </w:r>
            <w:r>
              <w:rPr>
                <w:rFonts w:ascii="TimesNewRoman" w:cs="TimesNewRoman"/>
              </w:rPr>
              <w:t>ů</w:t>
            </w:r>
            <w:r>
              <w:t>m uvedeným v zadávacích podmínkách.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  <w:rPr>
                <w:rFonts w:ascii="TimesNewRoman" w:cs="TimesNewRoman"/>
              </w:rPr>
            </w:pPr>
            <w:r>
              <w:t>Návrh smlouvy rovn</w:t>
            </w:r>
            <w:r>
              <w:rPr>
                <w:rFonts w:ascii="TimesNewRoman" w:cs="TimesNewRoman"/>
              </w:rPr>
              <w:t>ě</w:t>
            </w:r>
            <w:r>
              <w:t>ž musí akceptovat ustanovení obecn</w:t>
            </w:r>
            <w:r>
              <w:rPr>
                <w:rFonts w:ascii="TimesNewRoman" w:cs="TimesNewRoman"/>
              </w:rPr>
              <w:t>ě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závazných právních p</w:t>
            </w:r>
            <w:r>
              <w:rPr>
                <w:rFonts w:ascii="TimesNewRoman" w:cs="TimesNewRoman"/>
              </w:rPr>
              <w:t>ř</w:t>
            </w:r>
            <w:r>
              <w:t>edpis</w:t>
            </w:r>
            <w:r>
              <w:rPr>
                <w:rFonts w:ascii="TimesNewRoman" w:cs="TimesNewRoman"/>
              </w:rPr>
              <w:t>ů</w:t>
            </w:r>
            <w:r>
              <w:t>, které se vztahují na</w:t>
            </w:r>
          </w:p>
          <w:p w:rsidR="00F41186" w:rsidRPr="00902DB7" w:rsidRDefault="00F41186" w:rsidP="00D86EE5">
            <w:pPr>
              <w:spacing w:after="120"/>
              <w:jc w:val="both"/>
            </w:pPr>
            <w:r>
              <w:t>provád</w:t>
            </w:r>
            <w:r>
              <w:rPr>
                <w:rFonts w:ascii="TimesNewRoman" w:cs="TimesNewRoman"/>
              </w:rPr>
              <w:t>ě</w:t>
            </w:r>
            <w:r>
              <w:t>ní této ve</w:t>
            </w:r>
            <w:r>
              <w:rPr>
                <w:rFonts w:ascii="TimesNewRoman" w:cs="TimesNewRoman"/>
              </w:rPr>
              <w:t>ř</w:t>
            </w:r>
            <w:r>
              <w:t>ejné zakázky.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Návrh smlouvy musí obsahovat následující platební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podmínky: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- Zadavatelem nebude poskytnuta záloha. Úhrada bude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provád</w:t>
            </w:r>
            <w:r>
              <w:rPr>
                <w:rFonts w:ascii="TimesNewRoman" w:cs="TimesNewRoman"/>
              </w:rPr>
              <w:t>ě</w:t>
            </w:r>
            <w:r>
              <w:t xml:space="preserve">na v </w:t>
            </w:r>
            <w:r>
              <w:rPr>
                <w:rFonts w:ascii="TimesNewRoman" w:cs="TimesNewRoman"/>
              </w:rPr>
              <w:t>č</w:t>
            </w:r>
            <w:r>
              <w:t>eské m</w:t>
            </w:r>
            <w:r>
              <w:rPr>
                <w:rFonts w:ascii="TimesNewRoman" w:cs="TimesNewRoman"/>
              </w:rPr>
              <w:t>ě</w:t>
            </w:r>
            <w:r>
              <w:t>n</w:t>
            </w:r>
            <w:r>
              <w:rPr>
                <w:rFonts w:ascii="TimesNewRoman" w:cs="TimesNewRoman"/>
              </w:rPr>
              <w:t>ě</w:t>
            </w:r>
            <w:r>
              <w:t>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- Cena ve</w:t>
            </w:r>
            <w:r>
              <w:rPr>
                <w:rFonts w:ascii="TimesNewRoman" w:cs="TimesNewRoman"/>
              </w:rPr>
              <w:t>ř</w:t>
            </w:r>
            <w:r>
              <w:t>ejné zakázky bude hrazena takto: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  <w:rPr>
                <w:rFonts w:ascii="TimesNewRoman" w:cs="TimesNewRoman"/>
              </w:rPr>
            </w:pPr>
            <w:r>
              <w:t>Úhrada za službu bude zadavatelem provedena na základ</w:t>
            </w:r>
            <w:r>
              <w:rPr>
                <w:rFonts w:ascii="TimesNewRoman" w:cs="TimesNewRoman"/>
              </w:rPr>
              <w:t>ě</w:t>
            </w:r>
          </w:p>
          <w:p w:rsidR="00F41186" w:rsidRPr="00E84A26" w:rsidRDefault="00F41186" w:rsidP="00E84A26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fakturace dodavatele. </w:t>
            </w:r>
            <w:r w:rsidRPr="00E84A26">
              <w:rPr>
                <w:b/>
              </w:rPr>
              <w:t>Dodavatel je oprávn</w:t>
            </w:r>
            <w:r w:rsidRPr="00E84A26">
              <w:rPr>
                <w:rFonts w:ascii="TimesNewRoman" w:cs="TimesNewRoman"/>
                <w:b/>
              </w:rPr>
              <w:t>ě</w:t>
            </w:r>
            <w:r w:rsidRPr="00E84A26">
              <w:rPr>
                <w:b/>
              </w:rPr>
              <w:t>n fakturu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 w:rsidRPr="00E84A26">
              <w:rPr>
                <w:b/>
              </w:rPr>
              <w:t xml:space="preserve">vystavit </w:t>
            </w:r>
            <w:r>
              <w:rPr>
                <w:b/>
              </w:rPr>
              <w:t>až</w:t>
            </w:r>
            <w:r w:rsidRPr="00E84A26">
              <w:rPr>
                <w:b/>
              </w:rPr>
              <w:t xml:space="preserve"> po </w:t>
            </w:r>
            <w:r w:rsidRPr="00E84A26">
              <w:rPr>
                <w:rFonts w:ascii="TimesNewRoman" w:cs="TimesNewRoman"/>
                <w:b/>
              </w:rPr>
              <w:t>ř</w:t>
            </w:r>
            <w:r w:rsidRPr="00E84A26">
              <w:rPr>
                <w:b/>
              </w:rPr>
              <w:t>ádném provedení služby v termínu do 20.9.2012</w:t>
            </w:r>
            <w:r>
              <w:t xml:space="preserve"> a v rozsahu stanoveném ve smlouv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o dílo uzav</w:t>
            </w:r>
            <w:r>
              <w:rPr>
                <w:rFonts w:ascii="TimesNewRoman" w:cs="TimesNewRoman"/>
              </w:rPr>
              <w:t>ř</w:t>
            </w:r>
            <w:r>
              <w:t>ené se</w:t>
            </w:r>
          </w:p>
          <w:p w:rsidR="00F41186" w:rsidRDefault="00F41186" w:rsidP="00E84A26">
            <w:r>
              <w:t xml:space="preserve">zadavatelem. </w:t>
            </w:r>
          </w:p>
          <w:p w:rsidR="00F41186" w:rsidRPr="00A72277" w:rsidRDefault="00F41186" w:rsidP="00E84A26">
            <w:pPr>
              <w:autoSpaceDE w:val="0"/>
              <w:autoSpaceDN w:val="0"/>
              <w:adjustRightInd w:val="0"/>
            </w:pPr>
            <w:r w:rsidRPr="00A72277">
              <w:t>Fakturována bude dokon</w:t>
            </w:r>
            <w:r w:rsidRPr="00A72277">
              <w:rPr>
                <w:rFonts w:ascii="TimesNewRoman" w:cs="TimesNewRoman"/>
              </w:rPr>
              <w:t>č</w:t>
            </w:r>
            <w:r w:rsidRPr="00A72277">
              <w:t xml:space="preserve">ená služba v </w:t>
            </w:r>
            <w:r w:rsidRPr="00A72277">
              <w:rPr>
                <w:rFonts w:ascii="TimesNewRoman" w:cs="TimesNewRoman"/>
              </w:rPr>
              <w:t>č</w:t>
            </w:r>
            <w:r w:rsidRPr="00A72277">
              <w:t>len</w:t>
            </w:r>
            <w:r w:rsidRPr="00A72277">
              <w:rPr>
                <w:rFonts w:ascii="TimesNewRoman" w:cs="TimesNewRoman"/>
              </w:rPr>
              <w:t>ě</w:t>
            </w:r>
            <w:r w:rsidRPr="00A72277">
              <w:t>ní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 w:rsidRPr="00A72277">
              <w:t xml:space="preserve">uvedeném v </w:t>
            </w:r>
            <w:r w:rsidRPr="00A72277">
              <w:rPr>
                <w:rFonts w:ascii="TimesNewRoman" w:cs="TimesNewRoman"/>
              </w:rPr>
              <w:t>č</w:t>
            </w:r>
            <w:r w:rsidRPr="00A72277">
              <w:t>ásti „Popis p</w:t>
            </w:r>
            <w:r w:rsidRPr="00A72277">
              <w:rPr>
                <w:rFonts w:ascii="TimesNewRoman" w:cs="TimesNewRoman"/>
              </w:rPr>
              <w:t>ř</w:t>
            </w:r>
            <w:r w:rsidRPr="00A72277">
              <w:t>edm</w:t>
            </w:r>
            <w:r w:rsidRPr="00A72277">
              <w:rPr>
                <w:rFonts w:ascii="TimesNewRoman" w:cs="TimesNewRoman"/>
              </w:rPr>
              <w:t>ě</w:t>
            </w:r>
            <w:r w:rsidRPr="00A72277">
              <w:t>tu zakázky“.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Zadavatel zaplatí fakturu samostatn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ze svého projektového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ú</w:t>
            </w:r>
            <w:r>
              <w:rPr>
                <w:rFonts w:ascii="TimesNewRoman" w:cs="TimesNewRoman"/>
              </w:rPr>
              <w:t>č</w:t>
            </w:r>
            <w:r>
              <w:t>tu.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- Splatnost faktury bude 30 dn</w:t>
            </w:r>
            <w:r>
              <w:rPr>
                <w:rFonts w:ascii="TimesNewRoman" w:cs="TimesNewRoman"/>
              </w:rPr>
              <w:t>ů</w:t>
            </w:r>
            <w:r>
              <w:rPr>
                <w:rFonts w:ascii="TimesNewRoman" w:cs="TimesNewRoman"/>
              </w:rPr>
              <w:t xml:space="preserve"> </w:t>
            </w:r>
            <w:r>
              <w:t>od jejího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doru</w:t>
            </w:r>
            <w:r>
              <w:rPr>
                <w:rFonts w:ascii="TimesNewRoman" w:cs="TimesNewRoman"/>
              </w:rPr>
              <w:t>č</w:t>
            </w:r>
            <w:r>
              <w:t>ení zadavateli.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- Faktura dodavatele musí mít náležitosti da</w:t>
            </w:r>
            <w:r>
              <w:rPr>
                <w:rFonts w:ascii="TimesNewRoman" w:cs="TimesNewRoman"/>
              </w:rPr>
              <w:t>ň</w:t>
            </w:r>
            <w:r>
              <w:t>ového a</w:t>
            </w:r>
          </w:p>
          <w:p w:rsidR="00F41186" w:rsidRDefault="00F41186" w:rsidP="00E84A26">
            <w:pPr>
              <w:autoSpaceDE w:val="0"/>
              <w:autoSpaceDN w:val="0"/>
              <w:adjustRightInd w:val="0"/>
            </w:pPr>
            <w:r>
              <w:t>ú</w:t>
            </w:r>
            <w:r>
              <w:rPr>
                <w:rFonts w:ascii="TimesNewRoman" w:cs="TimesNewRoman"/>
              </w:rPr>
              <w:t>č</w:t>
            </w:r>
            <w:r>
              <w:t>etního dokladu dle platných obecn</w:t>
            </w:r>
            <w:r>
              <w:rPr>
                <w:rFonts w:ascii="TimesNewRoman" w:cs="TimesNewRoman"/>
              </w:rPr>
              <w:t>ě</w:t>
            </w:r>
            <w:r>
              <w:rPr>
                <w:rFonts w:ascii="TimesNewRoman" w:cs="TimesNewRoman"/>
              </w:rPr>
              <w:t xml:space="preserve"> </w:t>
            </w:r>
            <w:r>
              <w:t>závazných právních</w:t>
            </w:r>
          </w:p>
          <w:p w:rsidR="00F41186" w:rsidRPr="0095626F" w:rsidRDefault="00F41186" w:rsidP="00D86EE5">
            <w:pPr>
              <w:pStyle w:val="honey"/>
              <w:spacing w:after="120" w:line="240" w:lineRule="auto"/>
              <w:jc w:val="left"/>
              <w:rPr>
                <w:szCs w:val="24"/>
              </w:rPr>
            </w:pPr>
            <w:r>
              <w:t>p</w:t>
            </w:r>
            <w:r>
              <w:rPr>
                <w:rFonts w:ascii="TimesNewRoman" w:cs="TimesNewRoman"/>
              </w:rPr>
              <w:t>ř</w:t>
            </w:r>
            <w:r>
              <w:t>edpis</w:t>
            </w:r>
            <w:r>
              <w:rPr>
                <w:rFonts w:ascii="TimesNewRoman" w:cs="TimesNewRoman"/>
              </w:rPr>
              <w:t>ů</w:t>
            </w:r>
          </w:p>
          <w:p w:rsidR="00F41186" w:rsidRPr="0095626F" w:rsidRDefault="00F41186" w:rsidP="00D86EE5">
            <w:pPr>
              <w:pStyle w:val="honey"/>
              <w:spacing w:line="240" w:lineRule="auto"/>
              <w:jc w:val="left"/>
            </w:pPr>
            <w:r w:rsidRPr="003774A6">
              <w:rPr>
                <w:b/>
                <w:szCs w:val="24"/>
                <w:u w:val="single"/>
              </w:rPr>
              <w:t>Obchodní podmínky:</w:t>
            </w:r>
            <w:r w:rsidRPr="003774A6">
              <w:rPr>
                <w:szCs w:val="24"/>
              </w:rPr>
              <w:br/>
            </w:r>
            <w:r w:rsidRPr="0095626F">
              <w:rPr>
                <w:szCs w:val="24"/>
              </w:rPr>
              <w:t>Zadavatel stanovuje dále uvedené obchodní podmínky pro plnění zakázky. Veškeré dále uvedené obchodní podmínky jsou stanoveny jako minimální a uchazeči tak mohou nabídnout zadavateli</w:t>
            </w:r>
            <w:r>
              <w:rPr>
                <w:szCs w:val="24"/>
              </w:rPr>
              <w:t xml:space="preserve"> </w:t>
            </w:r>
            <w:r w:rsidRPr="0095626F">
              <w:rPr>
                <w:szCs w:val="24"/>
              </w:rPr>
              <w:t>podmínky výhodnější.</w:t>
            </w:r>
            <w:r w:rsidRPr="0095626F">
              <w:rPr>
                <w:szCs w:val="24"/>
              </w:rPr>
              <w:br/>
              <w:t>Nesplnění kterékoliv minimální obchodní podmínky stanovené zadavatelem, posoudí zadavatel jako nesplnění zadávacích podmínek s následkem vyloučení příslušného uchazeče</w:t>
            </w:r>
            <w:r>
              <w:rPr>
                <w:szCs w:val="24"/>
              </w:rPr>
              <w:t xml:space="preserve"> z účasti na veřejné zakázce</w:t>
            </w:r>
            <w:r w:rsidRPr="0095626F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95626F">
              <w:rPr>
                <w:szCs w:val="24"/>
              </w:rPr>
              <w:br/>
            </w:r>
            <w:r w:rsidRPr="0095626F">
              <w:rPr>
                <w:szCs w:val="24"/>
              </w:rPr>
              <w:lastRenderedPageBreak/>
              <w:br/>
            </w:r>
            <w:r w:rsidRPr="0095626F">
              <w:rPr>
                <w:b/>
                <w:szCs w:val="24"/>
              </w:rPr>
              <w:t>Zadavatel si vyhrazuje:</w:t>
            </w:r>
          </w:p>
          <w:p w:rsidR="00F41186" w:rsidRPr="0095626F" w:rsidRDefault="00F41186" w:rsidP="004F40EF">
            <w:r w:rsidRPr="0095626F">
              <w:t>- odmítnout všechny předložené nabídky;</w:t>
            </w:r>
          </w:p>
          <w:p w:rsidR="00F41186" w:rsidRPr="0095626F" w:rsidRDefault="00F41186" w:rsidP="004F40EF">
            <w:r w:rsidRPr="0095626F">
              <w:t>- zrušit zadávací řízení bez uvedení důvodu;</w:t>
            </w:r>
          </w:p>
          <w:p w:rsidR="00F41186" w:rsidRPr="0095626F" w:rsidRDefault="00F41186" w:rsidP="004F40EF">
            <w:r w:rsidRPr="0095626F">
              <w:t>- nevracet podané nabídky;</w:t>
            </w:r>
          </w:p>
          <w:p w:rsidR="00F41186" w:rsidRPr="0095626F" w:rsidRDefault="00F41186" w:rsidP="004F40EF">
            <w:r w:rsidRPr="0095626F">
              <w:t>- upřesnit podmínky zakázky;</w:t>
            </w:r>
          </w:p>
          <w:p w:rsidR="00F41186" w:rsidRPr="0095626F" w:rsidRDefault="00F41186" w:rsidP="004F40EF">
            <w:r w:rsidRPr="0095626F">
              <w:t>- vyloučit ze soutěže uchazeče, jehož nabídka nebude splňovat podmínky stanovené ve výzvě;</w:t>
            </w:r>
          </w:p>
          <w:p w:rsidR="00F41186" w:rsidRPr="0095626F" w:rsidRDefault="00F41186" w:rsidP="004F40EF">
            <w:r w:rsidRPr="0095626F">
              <w:t>- vyžádat si od uchazeče písemné doplnění nabídky a ověřit si informace uvedené uchazečem v nabídce;</w:t>
            </w:r>
          </w:p>
          <w:p w:rsidR="00F41186" w:rsidRPr="0095626F" w:rsidRDefault="00F41186" w:rsidP="004F40EF">
            <w:r w:rsidRPr="0095626F">
              <w:t>- že uchazeči podáním nabídky nevznikají žádná práva na uzavření smlouvy se zadavatelem;</w:t>
            </w:r>
          </w:p>
          <w:p w:rsidR="00F41186" w:rsidRPr="0095626F" w:rsidRDefault="00F41186" w:rsidP="004F40EF">
            <w:r w:rsidRPr="0095626F">
              <w:t>- že výběrem nejvhodnější nabídky uchazeči nevzniká právní vztah, zadavatel si vyhrazuje právo jednat o obsahu sml</w:t>
            </w:r>
            <w:r>
              <w:t>o</w:t>
            </w:r>
            <w:r w:rsidRPr="0095626F">
              <w:t>uv</w:t>
            </w:r>
            <w:r>
              <w:t>y</w:t>
            </w:r>
            <w:r w:rsidRPr="0095626F">
              <w:t xml:space="preserve"> a upřesnit jej</w:t>
            </w:r>
            <w:r>
              <w:t>í</w:t>
            </w:r>
            <w:r w:rsidRPr="0095626F">
              <w:t xml:space="preserve"> konečné znění;</w:t>
            </w:r>
          </w:p>
          <w:p w:rsidR="00F41186" w:rsidRPr="0095626F" w:rsidRDefault="00F41186" w:rsidP="004F40EF">
            <w:r w:rsidRPr="0095626F">
              <w:t>- že uchazeč nemá nárok na úhradu nákladů, které mu vznikly v souvislosti s účastí v soutěži.</w:t>
            </w:r>
          </w:p>
          <w:p w:rsidR="00F41186" w:rsidRDefault="00F41186" w:rsidP="004F40EF">
            <w:r w:rsidRPr="0095626F">
              <w:t>- projednat a upravit platební a jiné podmínky navržené uchazečem v návr</w:t>
            </w:r>
            <w:r>
              <w:t>hu</w:t>
            </w:r>
            <w:r w:rsidRPr="0095626F">
              <w:t xml:space="preserve"> sml</w:t>
            </w:r>
            <w:r>
              <w:t>o</w:t>
            </w:r>
            <w:r w:rsidRPr="0095626F">
              <w:t>uv</w:t>
            </w:r>
            <w:r>
              <w:t>y</w:t>
            </w:r>
            <w:r w:rsidRPr="0095626F">
              <w:t>, kter</w:t>
            </w:r>
            <w:r>
              <w:t>á</w:t>
            </w:r>
            <w:r w:rsidRPr="0095626F">
              <w:t xml:space="preserve"> bud</w:t>
            </w:r>
            <w:r>
              <w:t>e</w:t>
            </w:r>
            <w:r w:rsidRPr="0095626F">
              <w:t xml:space="preserve"> nedílnou součástí nabídky.</w:t>
            </w:r>
          </w:p>
          <w:p w:rsidR="00F41186" w:rsidRDefault="00F41186" w:rsidP="004F40EF"/>
          <w:p w:rsidR="00F41186" w:rsidRPr="00E84A26" w:rsidRDefault="00F41186" w:rsidP="00E84A26">
            <w:pPr>
              <w:jc w:val="both"/>
              <w:rPr>
                <w:b/>
              </w:rPr>
            </w:pPr>
            <w:r w:rsidRPr="00E84A26">
              <w:rPr>
                <w:b/>
              </w:rPr>
              <w:t>Zadavatel požaduje, aby uchazeč ve své nabídce specifikoval části veřejné zakázky, které má v úmyslu zadat jednomu či více subdodavatelům,  a aby uvedl identifikační údaje každého subdodavatele, pokud tato situace nastane.</w:t>
            </w:r>
          </w:p>
          <w:p w:rsidR="00F41186" w:rsidRDefault="00F41186" w:rsidP="004F40EF"/>
          <w:p w:rsidR="00F41186" w:rsidRPr="0095626F" w:rsidRDefault="00F41186" w:rsidP="004F40EF"/>
        </w:tc>
      </w:tr>
    </w:tbl>
    <w:p w:rsidR="00F41186" w:rsidRDefault="00F41186"/>
    <w:p w:rsidR="00F41186" w:rsidRDefault="00F41186" w:rsidP="004F40EF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F41186" w:rsidRPr="00DF12E5" w:rsidRDefault="00F41186" w:rsidP="004F40EF">
      <w:pPr>
        <w:jc w:val="both"/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F41186" w:rsidRPr="00DF12E5">
        <w:tc>
          <w:tcPr>
            <w:tcW w:w="324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>
              <w:t>Eva</w:t>
            </w:r>
          </w:p>
        </w:tc>
      </w:tr>
      <w:tr w:rsidR="00F41186" w:rsidRPr="00DF12E5">
        <w:tc>
          <w:tcPr>
            <w:tcW w:w="324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F41186" w:rsidRPr="00962498" w:rsidRDefault="00F41186" w:rsidP="004F40EF">
            <w:pPr>
              <w:ind w:left="57"/>
              <w:jc w:val="both"/>
            </w:pPr>
            <w:r>
              <w:t>Dubovská</w:t>
            </w:r>
          </w:p>
        </w:tc>
      </w:tr>
      <w:tr w:rsidR="00F41186" w:rsidRPr="00DF12E5">
        <w:tc>
          <w:tcPr>
            <w:tcW w:w="324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>
              <w:t>dubovska</w:t>
            </w:r>
            <w:r w:rsidRPr="00914A00">
              <w:t>@</w:t>
            </w:r>
            <w:r>
              <w:t>adiktologie.cz</w:t>
            </w:r>
          </w:p>
        </w:tc>
      </w:tr>
      <w:tr w:rsidR="00F41186" w:rsidRPr="00DF12E5">
        <w:tc>
          <w:tcPr>
            <w:tcW w:w="324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F41186" w:rsidRPr="00DF12E5" w:rsidRDefault="00F41186" w:rsidP="004F40EF">
            <w:pPr>
              <w:ind w:left="57"/>
              <w:jc w:val="both"/>
            </w:pPr>
            <w:r>
              <w:t>725 738 471</w:t>
            </w:r>
          </w:p>
        </w:tc>
      </w:tr>
    </w:tbl>
    <w:p w:rsidR="00F41186" w:rsidRDefault="00F41186"/>
    <w:p w:rsidR="00F41186" w:rsidRPr="00C61316" w:rsidRDefault="00F41186"/>
    <w:p w:rsidR="00F41186" w:rsidRPr="00C61316" w:rsidRDefault="00F41186" w:rsidP="00C24E8E">
      <w:pPr>
        <w:outlineLvl w:val="0"/>
      </w:pPr>
      <w:r>
        <w:t>V Praze dne 29.3.2012</w:t>
      </w:r>
    </w:p>
    <w:p w:rsidR="00F41186" w:rsidRDefault="00F41186">
      <w:pPr>
        <w:rPr>
          <w:i/>
          <w:color w:val="00FF00"/>
        </w:rPr>
      </w:pPr>
    </w:p>
    <w:p w:rsidR="00F41186" w:rsidRDefault="00F41186">
      <w:pPr>
        <w:rPr>
          <w:i/>
          <w:color w:val="00FF00"/>
        </w:rPr>
      </w:pPr>
    </w:p>
    <w:p w:rsidR="00F41186" w:rsidRDefault="00F41186">
      <w:pPr>
        <w:rPr>
          <w:i/>
          <w:color w:val="00FF00"/>
        </w:rPr>
      </w:pPr>
    </w:p>
    <w:p w:rsidR="00F41186" w:rsidRPr="00BC13AE" w:rsidRDefault="00F41186" w:rsidP="004F40EF">
      <w:pPr>
        <w:rPr>
          <w:b/>
        </w:rPr>
      </w:pPr>
      <w:r>
        <w:t xml:space="preserve">                                                             </w:t>
      </w:r>
      <w:r w:rsidRPr="00BC13AE">
        <w:rPr>
          <w:b/>
        </w:rPr>
        <w:t>prof. MUDr. Tomáš Zima, DrSc., MBA</w:t>
      </w:r>
    </w:p>
    <w:p w:rsidR="00F41186" w:rsidRPr="00DF12E5" w:rsidRDefault="00F41186" w:rsidP="004F40EF">
      <w:r>
        <w:tab/>
      </w:r>
      <w:r>
        <w:tab/>
      </w:r>
      <w:r>
        <w:tab/>
      </w:r>
      <w:r>
        <w:tab/>
        <w:t xml:space="preserve">   děkan 1. lékařské fakulty Univerzity Karlovy v Praze</w:t>
      </w:r>
    </w:p>
    <w:p w:rsidR="00F41186" w:rsidRPr="000165DC" w:rsidRDefault="00F41186">
      <w:pPr>
        <w:rPr>
          <w:i/>
          <w:color w:val="00FF00"/>
        </w:rPr>
      </w:pPr>
    </w:p>
    <w:sectPr w:rsidR="00F41186" w:rsidRPr="000165DC" w:rsidSect="004F40E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186" w:rsidRDefault="00F41186" w:rsidP="004F40EF">
      <w:r>
        <w:separator/>
      </w:r>
    </w:p>
  </w:endnote>
  <w:endnote w:type="continuationSeparator" w:id="0">
    <w:p w:rsidR="00F41186" w:rsidRDefault="00F41186" w:rsidP="004F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86" w:rsidRDefault="00F41186" w:rsidP="004F40EF">
    <w:pPr>
      <w:pStyle w:val="Zpat"/>
      <w:jc w:val="center"/>
      <w:rPr>
        <w:sz w:val="20"/>
        <w:szCs w:val="20"/>
      </w:rPr>
    </w:pPr>
  </w:p>
  <w:p w:rsidR="00F41186" w:rsidRDefault="00F41186" w:rsidP="004F40EF">
    <w:pPr>
      <w:pStyle w:val="Zpat"/>
      <w:jc w:val="center"/>
      <w:rPr>
        <w:sz w:val="20"/>
        <w:szCs w:val="20"/>
      </w:rPr>
    </w:pPr>
  </w:p>
  <w:p w:rsidR="00F41186" w:rsidRPr="007F7162" w:rsidRDefault="00F41186" w:rsidP="004F40EF">
    <w:pPr>
      <w:pStyle w:val="Zpat"/>
      <w:jc w:val="center"/>
      <w:rPr>
        <w:sz w:val="20"/>
        <w:szCs w:val="20"/>
      </w:rPr>
    </w:pPr>
    <w:r w:rsidRPr="007F7162">
      <w:rPr>
        <w:sz w:val="20"/>
        <w:szCs w:val="20"/>
      </w:rPr>
      <w:t>Tato výzva je spolufinancována z Evropského sociálního fondu a státního rozpočtu České republiky.</w:t>
    </w:r>
  </w:p>
  <w:p w:rsidR="00F41186" w:rsidRDefault="00F41186" w:rsidP="004F40EF">
    <w:pPr>
      <w:pStyle w:val="Zpat"/>
    </w:pPr>
  </w:p>
  <w:p w:rsidR="00F41186" w:rsidRPr="007F7162" w:rsidRDefault="00F41186" w:rsidP="004F40EF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 4. 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0568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0568A" w:rsidRPr="007F7162">
      <w:rPr>
        <w:b/>
        <w:sz w:val="20"/>
        <w:szCs w:val="20"/>
      </w:rPr>
      <w:fldChar w:fldCharType="separate"/>
    </w:r>
    <w:r w:rsidR="00323882">
      <w:rPr>
        <w:b/>
        <w:noProof/>
        <w:sz w:val="20"/>
        <w:szCs w:val="20"/>
      </w:rPr>
      <w:t>1</w:t>
    </w:r>
    <w:r w:rsidR="0080568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0568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0568A" w:rsidRPr="007F7162">
      <w:rPr>
        <w:b/>
        <w:sz w:val="20"/>
        <w:szCs w:val="20"/>
      </w:rPr>
      <w:fldChar w:fldCharType="separate"/>
    </w:r>
    <w:r w:rsidR="00323882">
      <w:rPr>
        <w:b/>
        <w:noProof/>
        <w:sz w:val="20"/>
        <w:szCs w:val="20"/>
      </w:rPr>
      <w:t>10</w:t>
    </w:r>
    <w:r w:rsidR="0080568A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186" w:rsidRDefault="00F41186" w:rsidP="004F40EF">
      <w:r>
        <w:separator/>
      </w:r>
    </w:p>
  </w:footnote>
  <w:footnote w:type="continuationSeparator" w:id="0">
    <w:p w:rsidR="00F41186" w:rsidRDefault="00F41186" w:rsidP="004F40EF">
      <w:r>
        <w:continuationSeparator/>
      </w:r>
    </w:p>
  </w:footnote>
  <w:footnote w:id="1">
    <w:p w:rsidR="00F41186" w:rsidRDefault="00F4118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F41186" w:rsidRDefault="00F41186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F41186" w:rsidRDefault="00F41186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F41186" w:rsidRDefault="00F41186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86" w:rsidRDefault="0080568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0;margin-top:-25.8pt;width:483.85pt;height:118.2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007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2AEC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7E88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B806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DFA4E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18C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9CA6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1E4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C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1CF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9820F5"/>
    <w:multiLevelType w:val="hybridMultilevel"/>
    <w:tmpl w:val="8F8451E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6F61BE"/>
    <w:multiLevelType w:val="hybridMultilevel"/>
    <w:tmpl w:val="40A69C24"/>
    <w:lvl w:ilvl="0" w:tplc="9E188A3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6D38CB"/>
    <w:multiLevelType w:val="multilevel"/>
    <w:tmpl w:val="E57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Tahoma" w:hAnsi="Tahoma" w:cs="Times New Roman" w:hint="default"/>
        <w:b w:val="0"/>
        <w:i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17001C1B"/>
    <w:multiLevelType w:val="hybridMultilevel"/>
    <w:tmpl w:val="E348C11A"/>
    <w:lvl w:ilvl="0" w:tplc="040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247D10FA"/>
    <w:multiLevelType w:val="hybridMultilevel"/>
    <w:tmpl w:val="4FEED05E"/>
    <w:lvl w:ilvl="0" w:tplc="5D166B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609CF"/>
    <w:multiLevelType w:val="hybridMultilevel"/>
    <w:tmpl w:val="ED4C1A12"/>
    <w:lvl w:ilvl="0" w:tplc="D8966F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EB2B9B"/>
    <w:multiLevelType w:val="hybridMultilevel"/>
    <w:tmpl w:val="0DDAB16C"/>
    <w:lvl w:ilvl="0" w:tplc="691000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822F83"/>
    <w:multiLevelType w:val="hybridMultilevel"/>
    <w:tmpl w:val="263AF9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00100F"/>
    <w:multiLevelType w:val="hybridMultilevel"/>
    <w:tmpl w:val="83F02A80"/>
    <w:lvl w:ilvl="0" w:tplc="0902CA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831F4"/>
    <w:multiLevelType w:val="hybridMultilevel"/>
    <w:tmpl w:val="9C56368A"/>
    <w:lvl w:ilvl="0" w:tplc="2B9C8250">
      <w:start w:val="1"/>
      <w:numFmt w:val="decimal"/>
      <w:lvlText w:val="%1."/>
      <w:lvlJc w:val="left"/>
      <w:pPr>
        <w:tabs>
          <w:tab w:val="num" w:pos="503"/>
        </w:tabs>
        <w:ind w:left="503" w:hanging="4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22">
    <w:nsid w:val="4458227C"/>
    <w:multiLevelType w:val="hybridMultilevel"/>
    <w:tmpl w:val="82FEC87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B80978"/>
    <w:multiLevelType w:val="hybridMultilevel"/>
    <w:tmpl w:val="73005B42"/>
    <w:lvl w:ilvl="0" w:tplc="1AD84C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DA21C0"/>
    <w:multiLevelType w:val="hybridMultilevel"/>
    <w:tmpl w:val="5858996A"/>
    <w:lvl w:ilvl="0" w:tplc="22E282F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D16B1D"/>
    <w:multiLevelType w:val="hybridMultilevel"/>
    <w:tmpl w:val="311AFAD0"/>
    <w:lvl w:ilvl="0" w:tplc="67209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3564A13"/>
    <w:multiLevelType w:val="hybridMultilevel"/>
    <w:tmpl w:val="6D4672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4A4648A"/>
    <w:multiLevelType w:val="hybridMultilevel"/>
    <w:tmpl w:val="669009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1D33FC"/>
    <w:multiLevelType w:val="hybridMultilevel"/>
    <w:tmpl w:val="F4922E7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735B3F"/>
    <w:multiLevelType w:val="hybridMultilevel"/>
    <w:tmpl w:val="59625B72"/>
    <w:lvl w:ilvl="0" w:tplc="8060705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037170"/>
    <w:multiLevelType w:val="hybridMultilevel"/>
    <w:tmpl w:val="CACA2CF0"/>
    <w:lvl w:ilvl="0" w:tplc="0186E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28A17D1"/>
    <w:multiLevelType w:val="hybridMultilevel"/>
    <w:tmpl w:val="200011A0"/>
    <w:lvl w:ilvl="0" w:tplc="462C6F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557C6B"/>
    <w:multiLevelType w:val="hybridMultilevel"/>
    <w:tmpl w:val="D96EE9CE"/>
    <w:lvl w:ilvl="0" w:tplc="0409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34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abstractNum w:abstractNumId="35">
    <w:nsid w:val="740B1F06"/>
    <w:multiLevelType w:val="hybridMultilevel"/>
    <w:tmpl w:val="719292B6"/>
    <w:lvl w:ilvl="0" w:tplc="A8AA32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5BB5348"/>
    <w:multiLevelType w:val="hybridMultilevel"/>
    <w:tmpl w:val="C5026D28"/>
    <w:lvl w:ilvl="0" w:tplc="E538553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F702EF3"/>
    <w:multiLevelType w:val="hybridMultilevel"/>
    <w:tmpl w:val="C970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1"/>
  </w:num>
  <w:num w:numId="4">
    <w:abstractNumId w:val="15"/>
  </w:num>
  <w:num w:numId="5">
    <w:abstractNumId w:val="25"/>
  </w:num>
  <w:num w:numId="6">
    <w:abstractNumId w:val="33"/>
  </w:num>
  <w:num w:numId="7">
    <w:abstractNumId w:val="21"/>
  </w:num>
  <w:num w:numId="8">
    <w:abstractNumId w:val="36"/>
  </w:num>
  <w:num w:numId="9">
    <w:abstractNumId w:val="37"/>
  </w:num>
  <w:num w:numId="10">
    <w:abstractNumId w:val="28"/>
  </w:num>
  <w:num w:numId="11">
    <w:abstractNumId w:val="22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7"/>
  </w:num>
  <w:num w:numId="24">
    <w:abstractNumId w:val="11"/>
  </w:num>
  <w:num w:numId="25">
    <w:abstractNumId w:val="10"/>
  </w:num>
  <w:num w:numId="26">
    <w:abstractNumId w:val="18"/>
  </w:num>
  <w:num w:numId="27">
    <w:abstractNumId w:val="16"/>
  </w:num>
  <w:num w:numId="28">
    <w:abstractNumId w:val="17"/>
  </w:num>
  <w:num w:numId="29">
    <w:abstractNumId w:val="12"/>
  </w:num>
  <w:num w:numId="30">
    <w:abstractNumId w:val="32"/>
  </w:num>
  <w:num w:numId="31">
    <w:abstractNumId w:val="19"/>
  </w:num>
  <w:num w:numId="32">
    <w:abstractNumId w:val="30"/>
  </w:num>
  <w:num w:numId="33">
    <w:abstractNumId w:val="24"/>
  </w:num>
  <w:num w:numId="34">
    <w:abstractNumId w:val="34"/>
  </w:num>
  <w:num w:numId="35">
    <w:abstractNumId w:val="26"/>
  </w:num>
  <w:num w:numId="36">
    <w:abstractNumId w:val="29"/>
  </w:num>
  <w:num w:numId="37">
    <w:abstractNumId w:val="35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E79"/>
    <w:rsid w:val="0000623C"/>
    <w:rsid w:val="0000682D"/>
    <w:rsid w:val="000165DC"/>
    <w:rsid w:val="00023A9A"/>
    <w:rsid w:val="0002414D"/>
    <w:rsid w:val="00045A0F"/>
    <w:rsid w:val="00056C25"/>
    <w:rsid w:val="00066A2B"/>
    <w:rsid w:val="00071360"/>
    <w:rsid w:val="000915A1"/>
    <w:rsid w:val="00096E55"/>
    <w:rsid w:val="000975EC"/>
    <w:rsid w:val="000C3385"/>
    <w:rsid w:val="000C7B8A"/>
    <w:rsid w:val="000D36F9"/>
    <w:rsid w:val="000E2F2B"/>
    <w:rsid w:val="000F7FD0"/>
    <w:rsid w:val="00100670"/>
    <w:rsid w:val="00110EED"/>
    <w:rsid w:val="001229FC"/>
    <w:rsid w:val="001345D6"/>
    <w:rsid w:val="00140D10"/>
    <w:rsid w:val="00164B58"/>
    <w:rsid w:val="0019529C"/>
    <w:rsid w:val="001B29BF"/>
    <w:rsid w:val="00206015"/>
    <w:rsid w:val="00233841"/>
    <w:rsid w:val="002479D2"/>
    <w:rsid w:val="002535FE"/>
    <w:rsid w:val="002631BE"/>
    <w:rsid w:val="002812C5"/>
    <w:rsid w:val="002E546D"/>
    <w:rsid w:val="003015F1"/>
    <w:rsid w:val="00313A99"/>
    <w:rsid w:val="0031558F"/>
    <w:rsid w:val="00315AF6"/>
    <w:rsid w:val="0032085C"/>
    <w:rsid w:val="00323882"/>
    <w:rsid w:val="00341125"/>
    <w:rsid w:val="0034384A"/>
    <w:rsid w:val="00356DB9"/>
    <w:rsid w:val="003774A6"/>
    <w:rsid w:val="00382475"/>
    <w:rsid w:val="00386F44"/>
    <w:rsid w:val="00397943"/>
    <w:rsid w:val="003C33B0"/>
    <w:rsid w:val="003D0AD0"/>
    <w:rsid w:val="003F63C1"/>
    <w:rsid w:val="004034AB"/>
    <w:rsid w:val="00427B93"/>
    <w:rsid w:val="004364BE"/>
    <w:rsid w:val="00450379"/>
    <w:rsid w:val="00460F30"/>
    <w:rsid w:val="00462EBC"/>
    <w:rsid w:val="004A4281"/>
    <w:rsid w:val="004B0904"/>
    <w:rsid w:val="004C239A"/>
    <w:rsid w:val="004C595A"/>
    <w:rsid w:val="004D3A0B"/>
    <w:rsid w:val="004F40EF"/>
    <w:rsid w:val="00503548"/>
    <w:rsid w:val="00513820"/>
    <w:rsid w:val="00515FD8"/>
    <w:rsid w:val="00552102"/>
    <w:rsid w:val="005C574F"/>
    <w:rsid w:val="005E1C27"/>
    <w:rsid w:val="005E2FCF"/>
    <w:rsid w:val="005F0646"/>
    <w:rsid w:val="00611A73"/>
    <w:rsid w:val="00630E79"/>
    <w:rsid w:val="00632EBD"/>
    <w:rsid w:val="006651FE"/>
    <w:rsid w:val="006876FB"/>
    <w:rsid w:val="00696C43"/>
    <w:rsid w:val="00700257"/>
    <w:rsid w:val="0073457C"/>
    <w:rsid w:val="00751C4A"/>
    <w:rsid w:val="0075242E"/>
    <w:rsid w:val="00784E2D"/>
    <w:rsid w:val="00786B1E"/>
    <w:rsid w:val="00794F3B"/>
    <w:rsid w:val="007B32EB"/>
    <w:rsid w:val="007D4B00"/>
    <w:rsid w:val="007F03C4"/>
    <w:rsid w:val="007F42C4"/>
    <w:rsid w:val="007F7162"/>
    <w:rsid w:val="0080568A"/>
    <w:rsid w:val="00827191"/>
    <w:rsid w:val="008520F3"/>
    <w:rsid w:val="00860F23"/>
    <w:rsid w:val="008B4DB0"/>
    <w:rsid w:val="008B72AF"/>
    <w:rsid w:val="008F5E26"/>
    <w:rsid w:val="008F6F1D"/>
    <w:rsid w:val="00902DB7"/>
    <w:rsid w:val="00914A00"/>
    <w:rsid w:val="00945A9B"/>
    <w:rsid w:val="0095626F"/>
    <w:rsid w:val="00962498"/>
    <w:rsid w:val="009A3125"/>
    <w:rsid w:val="009A4683"/>
    <w:rsid w:val="00A034FD"/>
    <w:rsid w:val="00A413D2"/>
    <w:rsid w:val="00A526DD"/>
    <w:rsid w:val="00A72277"/>
    <w:rsid w:val="00A80DC5"/>
    <w:rsid w:val="00AA23B4"/>
    <w:rsid w:val="00AB1EE4"/>
    <w:rsid w:val="00AD42B3"/>
    <w:rsid w:val="00AF5886"/>
    <w:rsid w:val="00B124B2"/>
    <w:rsid w:val="00B43BBD"/>
    <w:rsid w:val="00B71E4E"/>
    <w:rsid w:val="00BB2BB9"/>
    <w:rsid w:val="00BB4064"/>
    <w:rsid w:val="00BC13AE"/>
    <w:rsid w:val="00BC59F5"/>
    <w:rsid w:val="00C00A35"/>
    <w:rsid w:val="00C04C4D"/>
    <w:rsid w:val="00C07F1B"/>
    <w:rsid w:val="00C1145C"/>
    <w:rsid w:val="00C24E8E"/>
    <w:rsid w:val="00C303EA"/>
    <w:rsid w:val="00C31E17"/>
    <w:rsid w:val="00C56BF7"/>
    <w:rsid w:val="00C61316"/>
    <w:rsid w:val="00C652D1"/>
    <w:rsid w:val="00C976BA"/>
    <w:rsid w:val="00CC66A2"/>
    <w:rsid w:val="00CD442D"/>
    <w:rsid w:val="00D049DA"/>
    <w:rsid w:val="00D14925"/>
    <w:rsid w:val="00D20BAB"/>
    <w:rsid w:val="00D33BB5"/>
    <w:rsid w:val="00D53187"/>
    <w:rsid w:val="00D602ED"/>
    <w:rsid w:val="00D60631"/>
    <w:rsid w:val="00D61360"/>
    <w:rsid w:val="00D736BE"/>
    <w:rsid w:val="00D8002E"/>
    <w:rsid w:val="00D85A93"/>
    <w:rsid w:val="00D86EE5"/>
    <w:rsid w:val="00DC3375"/>
    <w:rsid w:val="00DE257A"/>
    <w:rsid w:val="00DF12E5"/>
    <w:rsid w:val="00E20997"/>
    <w:rsid w:val="00E2141A"/>
    <w:rsid w:val="00E41CCD"/>
    <w:rsid w:val="00E53B1A"/>
    <w:rsid w:val="00E84A26"/>
    <w:rsid w:val="00E92424"/>
    <w:rsid w:val="00EB5BF9"/>
    <w:rsid w:val="00ED20B7"/>
    <w:rsid w:val="00ED2DC3"/>
    <w:rsid w:val="00ED660B"/>
    <w:rsid w:val="00F05E2A"/>
    <w:rsid w:val="00F20582"/>
    <w:rsid w:val="00F20DB9"/>
    <w:rsid w:val="00F22252"/>
    <w:rsid w:val="00F2728F"/>
    <w:rsid w:val="00F41186"/>
    <w:rsid w:val="00F61580"/>
    <w:rsid w:val="00F74126"/>
    <w:rsid w:val="00FA3BF3"/>
    <w:rsid w:val="00FB7A98"/>
    <w:rsid w:val="00FE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revnseznamzvraznn11">
    <w:name w:val="Barevný seznam – zvýraznění 11"/>
    <w:basedOn w:val="Normln"/>
    <w:uiPriority w:val="99"/>
    <w:rsid w:val="00E2141A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E2141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E2141A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E21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2141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1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2141A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E2141A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E214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2141A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2141A"/>
    <w:rPr>
      <w:rFonts w:cs="Times New Roman"/>
      <w:vertAlign w:val="superscript"/>
    </w:rPr>
  </w:style>
  <w:style w:type="character" w:customStyle="1" w:styleId="Nzevknihy1">
    <w:name w:val="Název knihy1"/>
    <w:basedOn w:val="Standardnpsmoodstavce"/>
    <w:uiPriority w:val="99"/>
    <w:rsid w:val="00E2141A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E214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E2141A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E2141A"/>
    <w:rPr>
      <w:rFonts w:cs="Times New Roman"/>
      <w:vertAlign w:val="superscript"/>
    </w:rPr>
  </w:style>
  <w:style w:type="paragraph" w:customStyle="1" w:styleId="honey">
    <w:name w:val="honey"/>
    <w:basedOn w:val="Normln"/>
    <w:uiPriority w:val="99"/>
    <w:rsid w:val="00E2141A"/>
    <w:pPr>
      <w:spacing w:line="360" w:lineRule="auto"/>
      <w:jc w:val="both"/>
    </w:pPr>
    <w:rPr>
      <w:szCs w:val="20"/>
    </w:rPr>
  </w:style>
  <w:style w:type="paragraph" w:customStyle="1" w:styleId="Odstavecseseznamem1">
    <w:name w:val="Odstavec se seznamem1"/>
    <w:basedOn w:val="Normln"/>
    <w:uiPriority w:val="99"/>
    <w:rsid w:val="00E2141A"/>
    <w:pPr>
      <w:ind w:left="720"/>
      <w:contextualSpacing/>
    </w:pPr>
    <w:rPr>
      <w:rFonts w:eastAsia="Calibri"/>
    </w:rPr>
  </w:style>
  <w:style w:type="paragraph" w:customStyle="1" w:styleId="TextovArialCE">
    <w:name w:val="Textový Arial CE"/>
    <w:basedOn w:val="Normln"/>
    <w:uiPriority w:val="99"/>
    <w:rsid w:val="00E2141A"/>
    <w:pPr>
      <w:ind w:firstLine="720"/>
      <w:jc w:val="both"/>
    </w:pPr>
    <w:rPr>
      <w:rFonts w:ascii="Arial" w:eastAsia="Calibri" w:hAnsi="Arial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rsid w:val="00E2141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2141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2141A"/>
    <w:rPr>
      <w:b/>
      <w:bCs/>
    </w:rPr>
  </w:style>
  <w:style w:type="paragraph" w:customStyle="1" w:styleId="ListParagraph1">
    <w:name w:val="List Paragraph1"/>
    <w:basedOn w:val="Normln"/>
    <w:uiPriority w:val="99"/>
    <w:rsid w:val="00E21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E21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E2141A"/>
    <w:rPr>
      <w:rFonts w:ascii="Courier New" w:hAnsi="Courier New" w:cs="Courier New"/>
      <w:sz w:val="20"/>
      <w:szCs w:val="20"/>
    </w:rPr>
  </w:style>
  <w:style w:type="paragraph" w:customStyle="1" w:styleId="Barevnstnovnzvraznn11">
    <w:name w:val="Barevné stínování – zvýraznění 11"/>
    <w:hidden/>
    <w:uiPriority w:val="99"/>
    <w:semiHidden/>
    <w:rsid w:val="00E2141A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uiPriority w:val="99"/>
    <w:rsid w:val="00045A0F"/>
    <w:pPr>
      <w:numPr>
        <w:ilvl w:val="6"/>
        <w:numId w:val="3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uiPriority w:val="99"/>
    <w:rsid w:val="00045A0F"/>
    <w:pPr>
      <w:numPr>
        <w:ilvl w:val="8"/>
        <w:numId w:val="34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045A0F"/>
    <w:pPr>
      <w:numPr>
        <w:ilvl w:val="7"/>
        <w:numId w:val="34"/>
      </w:numPr>
      <w:jc w:val="both"/>
      <w:outlineLvl w:val="7"/>
    </w:pPr>
    <w:rPr>
      <w:rFonts w:ascii="Verdana" w:hAnsi="Verdana"/>
      <w:sz w:val="20"/>
      <w:szCs w:val="20"/>
    </w:rPr>
  </w:style>
  <w:style w:type="character" w:customStyle="1" w:styleId="tsubjname">
    <w:name w:val="tsubjname"/>
    <w:basedOn w:val="Standardnpsmoodstavce"/>
    <w:uiPriority w:val="99"/>
    <w:rsid w:val="00AF5886"/>
    <w:rPr>
      <w:rFonts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rsid w:val="00C24E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632EBD"/>
    <w:rPr>
      <w:rFonts w:ascii="Times New Roman" w:hAnsi="Times New Roman" w:cs="Times New Roman"/>
      <w:sz w:val="2"/>
    </w:rPr>
  </w:style>
  <w:style w:type="paragraph" w:styleId="Odstavecseseznamem">
    <w:name w:val="List Paragraph"/>
    <w:basedOn w:val="Normln"/>
    <w:uiPriority w:val="99"/>
    <w:qFormat/>
    <w:rsid w:val="00110EED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rsid w:val="00E84A26"/>
    <w:rPr>
      <w:rFonts w:ascii="Consolas" w:eastAsia="Calibri" w:hAnsi="Consolas"/>
      <w:sz w:val="21"/>
      <w:szCs w:val="20"/>
      <w:lang w:eastAsia="en-US"/>
    </w:rPr>
  </w:style>
  <w:style w:type="character" w:customStyle="1" w:styleId="PlainTextChar">
    <w:name w:val="Plain Text Char"/>
    <w:basedOn w:val="Standardnpsmoodstavce"/>
    <w:link w:val="Prosttext"/>
    <w:uiPriority w:val="99"/>
    <w:semiHidden/>
    <w:locked/>
    <w:rsid w:val="0032085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E84A26"/>
    <w:rPr>
      <w:rFonts w:ascii="Consolas" w:hAnsi="Consolas"/>
      <w:sz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@lf1.cu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strukturalni-fondy/prirucka-pro-prijemce-op-v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2652</Words>
  <Characters>15651</Characters>
  <Application>Microsoft Office Word</Application>
  <DocSecurity>0</DocSecurity>
  <Lines>130</Lines>
  <Paragraphs>36</Paragraphs>
  <ScaleCrop>false</ScaleCrop>
  <Company>Ministerstvo školství, mládeže a tělovýchovy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3</cp:revision>
  <cp:lastPrinted>2012-03-29T09:40:00Z</cp:lastPrinted>
  <dcterms:created xsi:type="dcterms:W3CDTF">2012-03-29T09:54:00Z</dcterms:created>
  <dcterms:modified xsi:type="dcterms:W3CDTF">2012-03-30T10:36:00Z</dcterms:modified>
</cp:coreProperties>
</file>