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1D" w:rsidRDefault="00F94F1D" w:rsidP="00F94F1D">
      <w:pPr>
        <w:rPr>
          <w:sz w:val="18"/>
          <w:szCs w:val="18"/>
        </w:rPr>
      </w:pPr>
    </w:p>
    <w:p w:rsidR="00F94F1D" w:rsidRDefault="00F94F1D" w:rsidP="00F94F1D">
      <w:pPr>
        <w:spacing w:before="240" w:after="240" w:line="240" w:lineRule="auto"/>
        <w:jc w:val="center"/>
        <w:rPr>
          <w:color w:val="34943E"/>
          <w:sz w:val="36"/>
          <w:szCs w:val="36"/>
        </w:rPr>
      </w:pPr>
    </w:p>
    <w:p w:rsidR="00F94F1D" w:rsidRDefault="00F94F1D" w:rsidP="00F94F1D">
      <w:pPr>
        <w:pStyle w:val="Odstavecseseznamem"/>
        <w:tabs>
          <w:tab w:val="left" w:pos="142"/>
        </w:tabs>
        <w:spacing w:line="360" w:lineRule="auto"/>
        <w:ind w:left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F94F1D" w:rsidRPr="00ED1C05" w:rsidRDefault="00F94F1D" w:rsidP="00F94F1D">
      <w:pPr>
        <w:pStyle w:val="Odstavecseseznamem"/>
        <w:spacing w:line="360" w:lineRule="auto"/>
        <w:ind w:left="0"/>
        <w:rPr>
          <w:b/>
          <w:sz w:val="16"/>
          <w:szCs w:val="16"/>
        </w:rPr>
      </w:pPr>
      <w:r w:rsidRPr="00ED1C05">
        <w:rPr>
          <w:b/>
          <w:sz w:val="16"/>
          <w:szCs w:val="16"/>
        </w:rPr>
        <w:tab/>
      </w:r>
      <w:r w:rsidRPr="00ED1C05">
        <w:rPr>
          <w:b/>
          <w:sz w:val="16"/>
          <w:szCs w:val="16"/>
        </w:rPr>
        <w:tab/>
      </w:r>
      <w:r w:rsidRPr="00ED1C05">
        <w:rPr>
          <w:b/>
          <w:sz w:val="16"/>
          <w:szCs w:val="16"/>
        </w:rPr>
        <w:tab/>
      </w:r>
      <w:r w:rsidRPr="00ED1C05">
        <w:rPr>
          <w:b/>
          <w:sz w:val="16"/>
          <w:szCs w:val="16"/>
        </w:rPr>
        <w:tab/>
      </w:r>
      <w:r w:rsidRPr="00ED1C05">
        <w:rPr>
          <w:b/>
          <w:sz w:val="16"/>
          <w:szCs w:val="16"/>
        </w:rPr>
        <w:tab/>
      </w:r>
      <w:r w:rsidRPr="00ED1C05">
        <w:rPr>
          <w:b/>
          <w:sz w:val="16"/>
          <w:szCs w:val="16"/>
        </w:rPr>
        <w:tab/>
      </w:r>
    </w:p>
    <w:p w:rsidR="00F94F1D" w:rsidRDefault="00F94F1D" w:rsidP="00081DF2">
      <w:pPr>
        <w:pStyle w:val="Odstavecseseznamem"/>
        <w:spacing w:line="360" w:lineRule="auto"/>
        <w:ind w:left="0"/>
        <w:rPr>
          <w:b/>
        </w:rPr>
      </w:pPr>
      <w:r w:rsidRPr="009A42A2">
        <w:rPr>
          <w:b/>
        </w:rPr>
        <w:t xml:space="preserve">Monitorování projektu </w:t>
      </w:r>
    </w:p>
    <w:p w:rsidR="00081DF2" w:rsidRP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 w:rsidR="00C25B39">
        <w:rPr>
          <w:i/>
        </w:rPr>
        <w:t xml:space="preserve"> </w:t>
      </w:r>
      <w:r w:rsidR="00932D8D">
        <w:rPr>
          <w:i/>
        </w:rPr>
        <w:t>Fotodokumentace</w:t>
      </w:r>
      <w:r w:rsidR="00BE00A4">
        <w:rPr>
          <w:i/>
        </w:rPr>
        <w:t xml:space="preserve"> – Je povinné uvádět fotodokumentaci z pořádaných</w:t>
      </w:r>
      <w:r w:rsidR="0004405D">
        <w:rPr>
          <w:i/>
        </w:rPr>
        <w:t xml:space="preserve"> seminářů</w:t>
      </w:r>
      <w:r w:rsidR="00BE00A4">
        <w:rPr>
          <w:i/>
        </w:rPr>
        <w:t xml:space="preserve"> do MZ</w:t>
      </w:r>
      <w:r w:rsidR="0004405D">
        <w:rPr>
          <w:i/>
        </w:rPr>
        <w:t>?</w:t>
      </w:r>
    </w:p>
    <w:p w:rsid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 w:rsidR="00FA7E6F">
        <w:rPr>
          <w:i/>
        </w:rPr>
        <w:t xml:space="preserve"> Ano, dvě/tři fotky z průběhu akce jsou vyžadovány. Fotografie je následně nutné archivovat.</w:t>
      </w:r>
    </w:p>
    <w:p w:rsidR="000D13FF" w:rsidRPr="00081DF2" w:rsidRDefault="000D13FF" w:rsidP="000D13FF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>
        <w:rPr>
          <w:i/>
        </w:rPr>
        <w:t xml:space="preserve"> </w:t>
      </w:r>
      <w:r w:rsidR="002A6D1A">
        <w:rPr>
          <w:i/>
        </w:rPr>
        <w:t>Jak správně uvádět MI</w:t>
      </w:r>
      <w:r w:rsidR="009F6A02">
        <w:rPr>
          <w:i/>
        </w:rPr>
        <w:t xml:space="preserve"> v MZ </w:t>
      </w:r>
      <w:r>
        <w:rPr>
          <w:i/>
        </w:rPr>
        <w:t xml:space="preserve">– </w:t>
      </w:r>
      <w:r w:rsidR="00C50178">
        <w:rPr>
          <w:i/>
        </w:rPr>
        <w:t xml:space="preserve">jaké datum dosažení uvádět, </w:t>
      </w:r>
      <w:r w:rsidR="009F6A02">
        <w:rPr>
          <w:i/>
        </w:rPr>
        <w:t>pokud je hodnota „0“</w:t>
      </w:r>
      <w:r w:rsidR="002A6D1A">
        <w:rPr>
          <w:i/>
        </w:rPr>
        <w:t xml:space="preserve">: </w:t>
      </w:r>
      <w:r>
        <w:rPr>
          <w:i/>
        </w:rPr>
        <w:t>datum dosažení nuly?</w:t>
      </w:r>
    </w:p>
    <w:p w:rsidR="000D13FF" w:rsidRDefault="000D13FF" w:rsidP="000D13FF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 w:rsidR="002E40A5">
        <w:rPr>
          <w:i/>
        </w:rPr>
        <w:t>Datum posledního dne daného monitorovacího období, i v případě, že vykázaná hodnota je nulová.</w:t>
      </w:r>
    </w:p>
    <w:p w:rsidR="00305613" w:rsidRDefault="000D13FF" w:rsidP="00305613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>
        <w:rPr>
          <w:i/>
        </w:rPr>
        <w:t xml:space="preserve"> Definice – datum zahájení/ukončení VŘ</w:t>
      </w:r>
      <w:r w:rsidR="00C50178">
        <w:rPr>
          <w:i/>
        </w:rPr>
        <w:t>.</w:t>
      </w:r>
    </w:p>
    <w:p w:rsidR="002C3F0C" w:rsidRPr="00305613" w:rsidRDefault="000D13FF" w:rsidP="00305613">
      <w:pPr>
        <w:pStyle w:val="Odstavecseseznamem"/>
        <w:spacing w:line="360" w:lineRule="auto"/>
        <w:ind w:left="708"/>
        <w:rPr>
          <w:i/>
        </w:rPr>
      </w:pPr>
      <w:r w:rsidRPr="00305613">
        <w:rPr>
          <w:i/>
        </w:rPr>
        <w:t>Odpověď:</w:t>
      </w:r>
      <w:r w:rsidR="00BE00A4">
        <w:rPr>
          <w:i/>
        </w:rPr>
        <w:t xml:space="preserve"> Datum zahájení VŘ je datum uveřejnění výzvy/datum ukončení VŘ je</w:t>
      </w:r>
      <w:r w:rsidR="002C3F0C" w:rsidRPr="00305613">
        <w:rPr>
          <w:i/>
        </w:rPr>
        <w:t xml:space="preserve"> datum podpisu smlouvy s dodavatelem.</w:t>
      </w:r>
    </w:p>
    <w:p w:rsidR="000D13FF" w:rsidRPr="00081DF2" w:rsidRDefault="000D13FF" w:rsidP="00081DF2">
      <w:pPr>
        <w:pStyle w:val="Odstavecseseznamem"/>
        <w:spacing w:line="360" w:lineRule="auto"/>
        <w:ind w:left="708"/>
        <w:rPr>
          <w:i/>
        </w:rPr>
      </w:pPr>
    </w:p>
    <w:p w:rsidR="00F94F1D" w:rsidRDefault="00F94F1D" w:rsidP="00081DF2">
      <w:pPr>
        <w:pStyle w:val="Odstavecseseznamem"/>
        <w:spacing w:line="360" w:lineRule="auto"/>
        <w:ind w:left="0"/>
        <w:rPr>
          <w:b/>
        </w:rPr>
      </w:pPr>
      <w:r w:rsidRPr="009368C3">
        <w:rPr>
          <w:b/>
        </w:rPr>
        <w:t xml:space="preserve">Žádosti o platbu </w:t>
      </w:r>
    </w:p>
    <w:p w:rsidR="00081DF2" w:rsidRP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 w:rsidR="00AD1748">
        <w:rPr>
          <w:i/>
        </w:rPr>
        <w:t xml:space="preserve"> Doklady o zaúčtování mezd – </w:t>
      </w:r>
      <w:r w:rsidR="00AB0BA6">
        <w:rPr>
          <w:i/>
        </w:rPr>
        <w:t>jak dokládat? M</w:t>
      </w:r>
      <w:r w:rsidR="00AD1748">
        <w:rPr>
          <w:i/>
        </w:rPr>
        <w:t>ěsíčně/souhrnně za monitorovací období?</w:t>
      </w:r>
    </w:p>
    <w:p w:rsid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 w:rsidR="001A7A78">
        <w:rPr>
          <w:i/>
        </w:rPr>
        <w:t xml:space="preserve"> Měsíčně. Souhrnně </w:t>
      </w:r>
      <w:r w:rsidR="00386ADB">
        <w:rPr>
          <w:i/>
        </w:rPr>
        <w:t xml:space="preserve">za celé monitorovací období </w:t>
      </w:r>
      <w:r w:rsidR="00D51FFB">
        <w:rPr>
          <w:i/>
        </w:rPr>
        <w:t xml:space="preserve">dokládejte </w:t>
      </w:r>
      <w:r w:rsidR="001A7A78">
        <w:rPr>
          <w:i/>
        </w:rPr>
        <w:t xml:space="preserve">pouze </w:t>
      </w:r>
      <w:r w:rsidR="00386ADB">
        <w:rPr>
          <w:i/>
        </w:rPr>
        <w:t xml:space="preserve">čestné prohlášení </w:t>
      </w:r>
      <w:r w:rsidR="002C70CE">
        <w:rPr>
          <w:i/>
        </w:rPr>
        <w:t xml:space="preserve">hlavní </w:t>
      </w:r>
      <w:r w:rsidR="00386ADB">
        <w:rPr>
          <w:i/>
        </w:rPr>
        <w:t>účetní o úhradě uplatňovaných mezd příslušným zaměstnancům</w:t>
      </w:r>
      <w:r w:rsidR="001A7A78">
        <w:rPr>
          <w:i/>
        </w:rPr>
        <w:t>.</w:t>
      </w:r>
    </w:p>
    <w:p w:rsidR="00AD1748" w:rsidRPr="00081DF2" w:rsidRDefault="00AD1748" w:rsidP="00AD1748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>
        <w:rPr>
          <w:i/>
        </w:rPr>
        <w:t xml:space="preserve"> Je dokladem o zaúčtování mezd sjetina ze mzdového IS?</w:t>
      </w:r>
    </w:p>
    <w:p w:rsidR="00AD1748" w:rsidRPr="00081DF2" w:rsidRDefault="00AD1748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 w:rsidR="000A6C64">
        <w:rPr>
          <w:i/>
        </w:rPr>
        <w:t xml:space="preserve"> A</w:t>
      </w:r>
      <w:r w:rsidR="001A7A78">
        <w:rPr>
          <w:i/>
        </w:rPr>
        <w:t>no</w:t>
      </w:r>
      <w:r w:rsidR="002C70CE">
        <w:rPr>
          <w:i/>
        </w:rPr>
        <w:t>, opatřená podpisem osoby zodpovědné za zpracování mezd (mzdové účetní) a podpisem osoby zodpovědné za úhradu mezd (hlavní účetní).</w:t>
      </w:r>
    </w:p>
    <w:p w:rsidR="00081DF2" w:rsidRPr="009368C3" w:rsidRDefault="00081DF2" w:rsidP="00081DF2">
      <w:pPr>
        <w:pStyle w:val="Odstavecseseznamem"/>
        <w:spacing w:line="360" w:lineRule="auto"/>
        <w:ind w:left="0"/>
        <w:rPr>
          <w:b/>
        </w:rPr>
      </w:pPr>
    </w:p>
    <w:p w:rsidR="00F94F1D" w:rsidRDefault="00F94F1D" w:rsidP="00081DF2">
      <w:pPr>
        <w:pStyle w:val="Odstavecseseznamem"/>
        <w:spacing w:line="360" w:lineRule="auto"/>
        <w:ind w:left="0"/>
        <w:rPr>
          <w:b/>
        </w:rPr>
      </w:pPr>
      <w:r w:rsidRPr="009A42A2">
        <w:rPr>
          <w:b/>
        </w:rPr>
        <w:t xml:space="preserve">Nejčastější chyby v MZ a ŽOZL </w:t>
      </w:r>
    </w:p>
    <w:p w:rsidR="00081DF2" w:rsidRP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 w:rsidR="00F17D05">
        <w:rPr>
          <w:i/>
        </w:rPr>
        <w:t xml:space="preserve"> Uvádět do sloupce další zákonné odvody </w:t>
      </w:r>
      <w:r w:rsidR="00DA06E8">
        <w:rPr>
          <w:i/>
        </w:rPr>
        <w:t xml:space="preserve">sociální </w:t>
      </w:r>
      <w:r w:rsidR="00F17D05">
        <w:rPr>
          <w:i/>
        </w:rPr>
        <w:t>a úrazové pojištění?</w:t>
      </w:r>
    </w:p>
    <w:p w:rsid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lastRenderedPageBreak/>
        <w:t>Odpověď:</w:t>
      </w:r>
      <w:r w:rsidR="00F17D05">
        <w:rPr>
          <w:i/>
        </w:rPr>
        <w:t xml:space="preserve"> Ano, ale sociální fond</w:t>
      </w:r>
      <w:r w:rsidR="00B23152">
        <w:rPr>
          <w:i/>
        </w:rPr>
        <w:t xml:space="preserve"> u VŠ</w:t>
      </w:r>
      <w:r w:rsidR="00F17D05">
        <w:rPr>
          <w:i/>
        </w:rPr>
        <w:t xml:space="preserve"> není z pohledu ŘO </w:t>
      </w:r>
      <w:r w:rsidR="00D51FFB">
        <w:rPr>
          <w:i/>
        </w:rPr>
        <w:t>způsobilým výdajem</w:t>
      </w:r>
      <w:r w:rsidR="00F17D05">
        <w:rPr>
          <w:i/>
        </w:rPr>
        <w:t>.</w:t>
      </w:r>
      <w:r w:rsidR="00371E08" w:rsidRPr="00371E08">
        <w:rPr>
          <w:i/>
        </w:rPr>
        <w:t xml:space="preserve"> </w:t>
      </w:r>
      <w:r w:rsidR="00371E08">
        <w:rPr>
          <w:i/>
        </w:rPr>
        <w:t xml:space="preserve">Vykazování zákonného úrazového pojištění za zaměstnance upravuje Příručka pro příjemce </w:t>
      </w:r>
      <w:r w:rsidR="00D51FFB">
        <w:rPr>
          <w:i/>
        </w:rPr>
        <w:t xml:space="preserve">OP </w:t>
      </w:r>
      <w:proofErr w:type="spellStart"/>
      <w:r w:rsidR="00D51FFB">
        <w:rPr>
          <w:i/>
        </w:rPr>
        <w:t>VaVpI</w:t>
      </w:r>
      <w:proofErr w:type="spellEnd"/>
      <w:r w:rsidR="00D51FFB">
        <w:rPr>
          <w:i/>
        </w:rPr>
        <w:t xml:space="preserve">, verze 4.0 </w:t>
      </w:r>
      <w:r w:rsidR="00371E08">
        <w:rPr>
          <w:i/>
        </w:rPr>
        <w:t xml:space="preserve">v kap. </w:t>
      </w:r>
      <w:proofErr w:type="gramStart"/>
      <w:r w:rsidR="00371E08">
        <w:rPr>
          <w:i/>
        </w:rPr>
        <w:t>5.1.11</w:t>
      </w:r>
      <w:proofErr w:type="gramEnd"/>
      <w:r w:rsidR="00371E08">
        <w:rPr>
          <w:i/>
        </w:rPr>
        <w:t>.</w:t>
      </w:r>
    </w:p>
    <w:p w:rsidR="001E5978" w:rsidRPr="00081DF2" w:rsidRDefault="001E5978" w:rsidP="001E5978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>
        <w:rPr>
          <w:i/>
        </w:rPr>
        <w:t xml:space="preserve"> Kam zařadit výdaj</w:t>
      </w:r>
      <w:r w:rsidR="00DA06E8">
        <w:rPr>
          <w:i/>
        </w:rPr>
        <w:t xml:space="preserve"> do sledovaného</w:t>
      </w:r>
      <w:r w:rsidR="00D276A6">
        <w:rPr>
          <w:i/>
        </w:rPr>
        <w:t xml:space="preserve"> monitorovacího</w:t>
      </w:r>
      <w:r w:rsidR="00DA06E8">
        <w:rPr>
          <w:i/>
        </w:rPr>
        <w:t xml:space="preserve"> období</w:t>
      </w:r>
      <w:r>
        <w:rPr>
          <w:i/>
        </w:rPr>
        <w:t xml:space="preserve"> – dle </w:t>
      </w:r>
      <w:r w:rsidR="00DA06E8">
        <w:rPr>
          <w:i/>
        </w:rPr>
        <w:t xml:space="preserve">vynaložených </w:t>
      </w:r>
      <w:r>
        <w:rPr>
          <w:i/>
        </w:rPr>
        <w:t>nákladů?</w:t>
      </w:r>
    </w:p>
    <w:p w:rsidR="00371E08" w:rsidRDefault="001E5978" w:rsidP="00371E08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>
        <w:rPr>
          <w:i/>
        </w:rPr>
        <w:t xml:space="preserve"> </w:t>
      </w:r>
      <w:r w:rsidR="00371E08" w:rsidRPr="00F77D44">
        <w:rPr>
          <w:i/>
        </w:rPr>
        <w:t>Příjemce má povinnost předkládat způsobilé výdaje projektu v rámci podkladů pro vyúčtování za monitorovací období, ve kterém daný výdaj (respektive související náklad) vznikl a to za předpokladu, že tento výdaj bude uhrazen nejpozději do doby schválení žádosti o platbu, ve které bylo vyúčtování předloženo.</w:t>
      </w:r>
    </w:p>
    <w:p w:rsidR="007315C2" w:rsidRPr="00081DF2" w:rsidRDefault="007315C2" w:rsidP="007315C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>
        <w:rPr>
          <w:i/>
        </w:rPr>
        <w:t xml:space="preserve"> Jaký je postup při vytváření položky 3. </w:t>
      </w:r>
      <w:r w:rsidR="00216D0C">
        <w:rPr>
          <w:i/>
        </w:rPr>
        <w:t>Řádu v</w:t>
      </w:r>
      <w:r w:rsidR="00FE4D48">
        <w:rPr>
          <w:i/>
        </w:rPr>
        <w:t> rozpočtu – konkrétně kurzy za účasti zahraničních odborníků neumožňuje účast tuzemských odborníků?</w:t>
      </w:r>
    </w:p>
    <w:p w:rsidR="007315C2" w:rsidRDefault="007315C2" w:rsidP="007315C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>
        <w:rPr>
          <w:i/>
        </w:rPr>
        <w:t xml:space="preserve"> </w:t>
      </w:r>
      <w:r w:rsidR="00371E08">
        <w:rPr>
          <w:i/>
        </w:rPr>
        <w:t>Tento konkrétní dotaz je velmi specifický, jelikož zmiňovaná položka je zcela konkrétně pojmenovaná/předdefinovaná jako kurzy od zahraničních odborníků, proto není možné tyto prostředky čerpat na kurzy s tuzemskými odborníky. Obecně doporučujeme před vytvořením položky 3. řádu během realizace projektu kontaktovat ŘO a tento požadavek nejprve zkonzultovat</w:t>
      </w:r>
      <w:r w:rsidR="00D276A6">
        <w:rPr>
          <w:i/>
        </w:rPr>
        <w:t xml:space="preserve"> s Vaším přiděleným PM/FM</w:t>
      </w:r>
      <w:r w:rsidR="00371E08">
        <w:rPr>
          <w:i/>
        </w:rPr>
        <w:t>, jelikož s vytvořením položky souvisí také přesun</w:t>
      </w:r>
      <w:r w:rsidR="00D276A6">
        <w:rPr>
          <w:i/>
        </w:rPr>
        <w:t xml:space="preserve"> finančních</w:t>
      </w:r>
      <w:r w:rsidR="00371E08">
        <w:rPr>
          <w:i/>
        </w:rPr>
        <w:t xml:space="preserve"> prostředků a ten může být podle jejich povahy v režimu podstatné či nepodstatné změny.   </w:t>
      </w:r>
    </w:p>
    <w:p w:rsidR="00FE4D48" w:rsidRPr="00081DF2" w:rsidRDefault="00FE4D48" w:rsidP="00FE4D48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>
        <w:rPr>
          <w:i/>
        </w:rPr>
        <w:t xml:space="preserve"> </w:t>
      </w:r>
      <w:r w:rsidR="00371E08">
        <w:rPr>
          <w:i/>
        </w:rPr>
        <w:t xml:space="preserve">Rozpis osobních </w:t>
      </w:r>
      <w:r w:rsidR="00D13B37">
        <w:rPr>
          <w:i/>
        </w:rPr>
        <w:t>výdajů – náhrady mzdy uvádět pouze, pokud je to ZV? Jaký bude dopad na pracovní výkazy?</w:t>
      </w:r>
      <w:r w:rsidR="008370C4">
        <w:rPr>
          <w:i/>
        </w:rPr>
        <w:t xml:space="preserve"> Viz postup v PO4.</w:t>
      </w:r>
    </w:p>
    <w:p w:rsidR="00FE4D48" w:rsidRDefault="00FE4D48" w:rsidP="00FE4D48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>
        <w:rPr>
          <w:i/>
        </w:rPr>
        <w:t xml:space="preserve"> </w:t>
      </w:r>
      <w:r w:rsidR="00022FF1">
        <w:rPr>
          <w:i/>
        </w:rPr>
        <w:t xml:space="preserve"> V případě, kdy jsou náhrady mezd </w:t>
      </w:r>
      <w:r w:rsidR="00616CC6">
        <w:rPr>
          <w:i/>
        </w:rPr>
        <w:t>hrazené také z jiných zdrojů, uveďte v Pracovním výkazu poznámku, že</w:t>
      </w:r>
      <w:r w:rsidR="00022FF1">
        <w:rPr>
          <w:i/>
        </w:rPr>
        <w:t xml:space="preserve"> </w:t>
      </w:r>
      <w:r w:rsidR="00616CC6">
        <w:rPr>
          <w:i/>
        </w:rPr>
        <w:t>náhrady mzdy zaměstnance v daném měsíci jsou hrazeny z jiného zdroje vč. uvedení směrnice – metodiky rozúčtování mzdových nákladů zaměstnanců při vícezdrojovém financování. D</w:t>
      </w:r>
      <w:r w:rsidR="00022FF1">
        <w:rPr>
          <w:i/>
        </w:rPr>
        <w:t xml:space="preserve">o </w:t>
      </w:r>
      <w:r w:rsidR="00616CC6">
        <w:rPr>
          <w:i/>
        </w:rPr>
        <w:t>Rozpisu osobních výdajů uvádějte pouze</w:t>
      </w:r>
      <w:r w:rsidR="00022FF1">
        <w:rPr>
          <w:i/>
        </w:rPr>
        <w:t xml:space="preserve"> náhrady mezd, </w:t>
      </w:r>
      <w:r w:rsidR="00616CC6">
        <w:rPr>
          <w:i/>
        </w:rPr>
        <w:t>které jsou způsobilým výdajem projektu.</w:t>
      </w:r>
      <w:r w:rsidR="00022FF1">
        <w:rPr>
          <w:i/>
        </w:rPr>
        <w:t xml:space="preserve"> </w:t>
      </w:r>
    </w:p>
    <w:p w:rsidR="00081DF2" w:rsidRDefault="00081DF2" w:rsidP="00081DF2">
      <w:pPr>
        <w:pStyle w:val="Odstavecseseznamem"/>
        <w:spacing w:line="360" w:lineRule="auto"/>
        <w:ind w:left="0"/>
        <w:rPr>
          <w:b/>
          <w:color w:val="92D050"/>
        </w:rPr>
      </w:pPr>
    </w:p>
    <w:p w:rsidR="00F94F1D" w:rsidRDefault="00F94F1D" w:rsidP="00081DF2">
      <w:pPr>
        <w:pStyle w:val="Odstavecseseznamem"/>
        <w:spacing w:line="360" w:lineRule="auto"/>
        <w:ind w:left="0"/>
        <w:rPr>
          <w:b/>
        </w:rPr>
      </w:pPr>
      <w:r w:rsidRPr="009A42A2">
        <w:rPr>
          <w:b/>
        </w:rPr>
        <w:t xml:space="preserve">Monitorovací indikátory </w:t>
      </w:r>
    </w:p>
    <w:p w:rsidR="00081DF2" w:rsidRP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 w:rsidR="004F343D">
        <w:rPr>
          <w:i/>
        </w:rPr>
        <w:t xml:space="preserve"> </w:t>
      </w:r>
      <w:r w:rsidR="0033775F">
        <w:rPr>
          <w:i/>
        </w:rPr>
        <w:t xml:space="preserve">Jak dokládat studenty/výzkumníky v rámci MI </w:t>
      </w:r>
      <w:r w:rsidR="00696C55">
        <w:rPr>
          <w:i/>
        </w:rPr>
        <w:t>132010?</w:t>
      </w:r>
      <w:r w:rsidR="00A8232E">
        <w:rPr>
          <w:i/>
        </w:rPr>
        <w:t xml:space="preserve"> Jaká je forma interní evidence přijatelná pro ŘO?</w:t>
      </w:r>
      <w:r w:rsidR="003B08F9">
        <w:rPr>
          <w:i/>
        </w:rPr>
        <w:t xml:space="preserve"> Je nutný podpis daného výzkumníka/studenta u každého záznamu? </w:t>
      </w:r>
    </w:p>
    <w:p w:rsidR="00081DF2" w:rsidRP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 w:rsidR="00CA7A71">
        <w:rPr>
          <w:i/>
        </w:rPr>
        <w:t xml:space="preserve"> </w:t>
      </w:r>
      <w:r w:rsidR="00CA7A71">
        <w:rPr>
          <w:i/>
          <w:iCs/>
          <w:u w:val="single"/>
        </w:rPr>
        <w:t xml:space="preserve">V nejbližší době bude vydána aktualizovaná verze Přílohy 8g, která obsahuje vzorový formulář pro vyplňování (dokladování) studentů/výzkumníků a firem v rámci MI </w:t>
      </w:r>
      <w:r w:rsidR="00CA7A71">
        <w:rPr>
          <w:i/>
          <w:iCs/>
          <w:u w:val="single"/>
        </w:rPr>
        <w:lastRenderedPageBreak/>
        <w:t xml:space="preserve">132010. Pokud příjemce používá svou vlastní interní evidenci k dokladování těchto osob či firem, musí tato interní evidence </w:t>
      </w:r>
      <w:r w:rsidR="00CA7A71" w:rsidRPr="00F77D44">
        <w:rPr>
          <w:i/>
          <w:iCs/>
          <w:u w:val="single"/>
        </w:rPr>
        <w:t>odpovídat rozsahu dat uvedených ve výše zmíněném vzorovém formuláři. Při vykazování  práce výzkumníka či studenta postačí např. podpis příslušného vedoucího týmu (pověřené osoby, projektového manažera atp.).</w:t>
      </w:r>
      <w:bookmarkStart w:id="0" w:name="_GoBack"/>
      <w:bookmarkEnd w:id="0"/>
    </w:p>
    <w:p w:rsidR="00081DF2" w:rsidRPr="00081DF2" w:rsidRDefault="00081DF2" w:rsidP="00081DF2">
      <w:pPr>
        <w:pStyle w:val="Odstavecseseznamem"/>
        <w:spacing w:line="360" w:lineRule="auto"/>
        <w:ind w:left="0"/>
      </w:pPr>
    </w:p>
    <w:p w:rsidR="00F94F1D" w:rsidRDefault="0030485A" w:rsidP="00081DF2">
      <w:pPr>
        <w:pStyle w:val="Odstavecseseznamem"/>
        <w:spacing w:line="360" w:lineRule="auto"/>
        <w:ind w:left="0"/>
        <w:rPr>
          <w:b/>
        </w:rPr>
      </w:pPr>
      <w:r>
        <w:rPr>
          <w:b/>
        </w:rPr>
        <w:t>Povinná publicita</w:t>
      </w:r>
    </w:p>
    <w:p w:rsidR="00081DF2" w:rsidRPr="0054740D" w:rsidRDefault="00081DF2" w:rsidP="0054740D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 w:rsidR="00701C71">
        <w:rPr>
          <w:i/>
        </w:rPr>
        <w:t xml:space="preserve"> </w:t>
      </w:r>
      <w:r w:rsidR="0054740D">
        <w:rPr>
          <w:i/>
        </w:rPr>
        <w:t>Co znamená povinnost archi</w:t>
      </w:r>
      <w:r w:rsidR="0054740D" w:rsidRPr="0054740D">
        <w:rPr>
          <w:i/>
        </w:rPr>
        <w:t>vovat štítky/samolepky</w:t>
      </w:r>
      <w:r w:rsidR="00701C71" w:rsidRPr="0054740D">
        <w:rPr>
          <w:i/>
        </w:rPr>
        <w:t xml:space="preserve">? </w:t>
      </w:r>
    </w:p>
    <w:p w:rsidR="00081DF2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 w:rsidR="003C3A83">
        <w:rPr>
          <w:i/>
        </w:rPr>
        <w:t xml:space="preserve"> Archivace </w:t>
      </w:r>
      <w:r w:rsidR="003C3A83" w:rsidRPr="00BE3F3A">
        <w:rPr>
          <w:i/>
          <w:u w:val="single"/>
        </w:rPr>
        <w:t>vzorů</w:t>
      </w:r>
      <w:r w:rsidR="003C3A83">
        <w:rPr>
          <w:i/>
        </w:rPr>
        <w:t xml:space="preserve"> štítků</w:t>
      </w:r>
      <w:r w:rsidR="006825A3">
        <w:rPr>
          <w:i/>
        </w:rPr>
        <w:t xml:space="preserve"> (nikoliv jejich fotodokumentace)</w:t>
      </w:r>
      <w:r w:rsidR="003C3A83">
        <w:rPr>
          <w:i/>
        </w:rPr>
        <w:t xml:space="preserve"> – po dobu 10let.</w:t>
      </w:r>
    </w:p>
    <w:p w:rsidR="00081DF2" w:rsidRPr="00F94F1D" w:rsidRDefault="00081DF2" w:rsidP="00081DF2">
      <w:pPr>
        <w:pStyle w:val="Odstavecseseznamem"/>
        <w:spacing w:line="360" w:lineRule="auto"/>
        <w:ind w:left="0"/>
        <w:rPr>
          <w:b/>
        </w:rPr>
      </w:pPr>
    </w:p>
    <w:p w:rsidR="00F94F1D" w:rsidRDefault="00F94F1D" w:rsidP="00081DF2">
      <w:pPr>
        <w:pStyle w:val="Odstavecseseznamem"/>
        <w:spacing w:line="360" w:lineRule="auto"/>
        <w:ind w:left="0"/>
        <w:rPr>
          <w:b/>
        </w:rPr>
      </w:pPr>
      <w:r w:rsidRPr="009A42A2">
        <w:rPr>
          <w:b/>
        </w:rPr>
        <w:t xml:space="preserve">Výběr dodavatelů </w:t>
      </w:r>
    </w:p>
    <w:p w:rsidR="006434ED" w:rsidRDefault="00081DF2" w:rsidP="00081DF2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Otázka:</w:t>
      </w:r>
      <w:r w:rsidR="006434ED" w:rsidRPr="006434ED">
        <w:t xml:space="preserve"> </w:t>
      </w:r>
      <w:r w:rsidR="006434ED" w:rsidRPr="006434ED">
        <w:rPr>
          <w:i/>
        </w:rPr>
        <w:t>Výběrová řízení na služby, které mohou poskytnout pouze renomované zahraniční subjekty.</w:t>
      </w:r>
      <w:r w:rsidR="006825A3">
        <w:rPr>
          <w:i/>
        </w:rPr>
        <w:t xml:space="preserve"> Jak zajistit dále to, aby se nevybral nekvalifikovaný dodavatel, pokud má být zá</w:t>
      </w:r>
      <w:r w:rsidR="005A296A">
        <w:rPr>
          <w:i/>
        </w:rPr>
        <w:t xml:space="preserve">kladním hodnotícím kritériem </w:t>
      </w:r>
      <w:r w:rsidR="006825A3">
        <w:rPr>
          <w:i/>
        </w:rPr>
        <w:t>pouze ekonomická výhodnost nabídky?</w:t>
      </w:r>
      <w:r w:rsidR="006434ED" w:rsidRPr="006434ED">
        <w:rPr>
          <w:i/>
        </w:rPr>
        <w:t xml:space="preserve"> </w:t>
      </w:r>
    </w:p>
    <w:p w:rsidR="006434ED" w:rsidRPr="00081DF2" w:rsidRDefault="006434ED" w:rsidP="006434ED">
      <w:pPr>
        <w:pStyle w:val="Odstavecseseznamem"/>
        <w:spacing w:line="360" w:lineRule="auto"/>
        <w:ind w:left="708"/>
        <w:rPr>
          <w:i/>
        </w:rPr>
      </w:pPr>
      <w:r w:rsidRPr="00081DF2">
        <w:rPr>
          <w:i/>
        </w:rPr>
        <w:t>Odpověď:</w:t>
      </w:r>
      <w:r w:rsidR="008F0E85">
        <w:rPr>
          <w:i/>
        </w:rPr>
        <w:t xml:space="preserve"> Toto lze zajistit nastavením kvalifikační předpokladů, které však musí být přiměřené a musí se vztahovat k předmětu veřejné zakázky. Rovněž lze využít subjektivních (kvalitativních) hodnotících kritérií (více ke kvalifikačním předpokladům a subjektivním hodnotícím kritériím viz níže). </w:t>
      </w:r>
    </w:p>
    <w:p w:rsidR="00081DF2" w:rsidRDefault="006434ED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Otázka:</w:t>
      </w:r>
      <w:r w:rsidRPr="006434ED">
        <w:rPr>
          <w:i/>
        </w:rPr>
        <w:t xml:space="preserve"> Vyhlašujeme-li výběrové řízení na specializované služby. Jsme oprávněni žádat po dodavateli doložení jeho certifikace v určité oblasti</w:t>
      </w:r>
      <w:r w:rsidR="00677FCA">
        <w:rPr>
          <w:i/>
        </w:rPr>
        <w:t>?</w:t>
      </w:r>
    </w:p>
    <w:p w:rsidR="006434ED" w:rsidRDefault="006434ED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 xml:space="preserve">Odpověď: </w:t>
      </w:r>
      <w:r w:rsidR="008F0E85" w:rsidRPr="008F0E85">
        <w:rPr>
          <w:i/>
        </w:rPr>
        <w:t xml:space="preserve">Při stanovení kvalifikačních předpokladů je zadavatel povinen omezit rozsah požadované kvalifikace pouze na informace a doklady bezprostředně související s předmětem veřejné zakázky. Zadavatel zároveň nesmí stanovit nepřiměřené kvalifikační předpoklady nebo je stanovit takovým způsobem, </w:t>
      </w:r>
      <w:r w:rsidR="004D74FA">
        <w:rPr>
          <w:i/>
        </w:rPr>
        <w:t>který by mohl vést</w:t>
      </w:r>
      <w:r w:rsidR="008F0E85" w:rsidRPr="008F0E85">
        <w:rPr>
          <w:i/>
        </w:rPr>
        <w:t xml:space="preserve"> k neodůvodněnému omezení soutěže</w:t>
      </w:r>
      <w:r w:rsidR="008F0E85">
        <w:rPr>
          <w:i/>
        </w:rPr>
        <w:t>.</w:t>
      </w:r>
    </w:p>
    <w:p w:rsidR="002F548F" w:rsidRDefault="00127F31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Otázka: J</w:t>
      </w:r>
      <w:r w:rsidR="002F548F">
        <w:rPr>
          <w:i/>
        </w:rPr>
        <w:t>ak nastavovat hodnotící kritéria u služeb, aby byla zajištěna kvalita</w:t>
      </w:r>
      <w:r w:rsidR="00FE1CA8">
        <w:rPr>
          <w:i/>
        </w:rPr>
        <w:t xml:space="preserve"> např. patentové rešerše</w:t>
      </w:r>
      <w:r w:rsidR="002F548F">
        <w:rPr>
          <w:i/>
        </w:rPr>
        <w:t>?</w:t>
      </w:r>
    </w:p>
    <w:p w:rsidR="002F548F" w:rsidRDefault="002F548F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 xml:space="preserve">Odpověď: </w:t>
      </w:r>
      <w:r w:rsidR="00D73146">
        <w:rPr>
          <w:i/>
        </w:rPr>
        <w:t>Pro zajištění odpovídající kvality je možné použití hodnotícího kritéria ekonomická výhodnost nabídky a stanovení odpovídajících dílčích (subjektivních) kritérií. V takovém případě je však zadavatel povinen z</w:t>
      </w:r>
      <w:r w:rsidR="00D73146" w:rsidRPr="00D73146">
        <w:rPr>
          <w:i/>
        </w:rPr>
        <w:t xml:space="preserve">působ hodnocení, hodnotící kritéria i postup hodnocení </w:t>
      </w:r>
      <w:r w:rsidR="00D73146">
        <w:rPr>
          <w:i/>
        </w:rPr>
        <w:t>řádně stanovit</w:t>
      </w:r>
      <w:r w:rsidR="00D73146" w:rsidRPr="00D73146">
        <w:rPr>
          <w:i/>
        </w:rPr>
        <w:t xml:space="preserve">, </w:t>
      </w:r>
      <w:r w:rsidR="00D73146">
        <w:rPr>
          <w:i/>
        </w:rPr>
        <w:t>zdůvodnit</w:t>
      </w:r>
      <w:r w:rsidR="00D73146" w:rsidRPr="00D73146">
        <w:rPr>
          <w:i/>
        </w:rPr>
        <w:t xml:space="preserve">, a v neposlední řadě </w:t>
      </w:r>
      <w:r w:rsidR="00D73146">
        <w:rPr>
          <w:i/>
        </w:rPr>
        <w:t>zveřejnit</w:t>
      </w:r>
      <w:r w:rsidR="00D73146" w:rsidRPr="00D73146">
        <w:rPr>
          <w:i/>
        </w:rPr>
        <w:t xml:space="preserve"> před či spolu se zahájením výběrového řízení. V případě, že zadavatel zvolí matematicky nevyhodnotitelná kritéria, musí být již ze zadávacích podmínek zřejmé, co a jakým způsobem bude dle jednotlivých kritérií </w:t>
      </w:r>
      <w:r w:rsidR="00D73146" w:rsidRPr="00D73146">
        <w:rPr>
          <w:i/>
        </w:rPr>
        <w:lastRenderedPageBreak/>
        <w:t>hodnoceno vč. informací, které bude zadavatel zohledňovat při hodnocení nabídek, resp. při přidělování bodů v rámci procesu hodnocení.</w:t>
      </w:r>
      <w:r w:rsidR="008F0E85">
        <w:rPr>
          <w:i/>
        </w:rPr>
        <w:t xml:space="preserve"> Odůvodnění postupu hodnocení musí být zřejmé i z dokumentace týkající se hodnocení nabídek.</w:t>
      </w:r>
    </w:p>
    <w:p w:rsidR="003B48C3" w:rsidRDefault="003B48C3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 xml:space="preserve">Otázka: Jak postupovat, pokud podá nabídku </w:t>
      </w:r>
      <w:proofErr w:type="gramStart"/>
      <w:r>
        <w:rPr>
          <w:i/>
        </w:rPr>
        <w:t>ze</w:t>
      </w:r>
      <w:proofErr w:type="gramEnd"/>
      <w:r>
        <w:rPr>
          <w:i/>
        </w:rPr>
        <w:t xml:space="preserve"> 3 oslovených uchazečů pouze 1?</w:t>
      </w:r>
    </w:p>
    <w:p w:rsidR="003B48C3" w:rsidRDefault="003B48C3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Odpověď:</w:t>
      </w:r>
      <w:r w:rsidR="00D73146">
        <w:rPr>
          <w:i/>
        </w:rPr>
        <w:t xml:space="preserve"> Je-li veřejná zakázka zadávána dle zákona o veřejných zakázkách, je zadavatel povinen takové zadávací řízení zrušit (to platí i pro případ, že po posouzení nabídek zbyla k hodnocení pouze 1 nabídka); pro veřejné zakázky malého rozsahu tato povinnost stanovena není </w:t>
      </w:r>
    </w:p>
    <w:p w:rsidR="00A5260A" w:rsidRDefault="00A5260A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Otázka: Kvalifikační předpoklady – jak je nastavit u advokátů a patentových zástupců? Lze požadovat délku praxe (</w:t>
      </w:r>
      <w:r w:rsidR="00AA184A">
        <w:rPr>
          <w:i/>
        </w:rPr>
        <w:t>viz Judikát ESD</w:t>
      </w:r>
      <w:r>
        <w:rPr>
          <w:i/>
        </w:rPr>
        <w:t>…)?</w:t>
      </w:r>
      <w:r w:rsidR="00E41D07">
        <w:rPr>
          <w:i/>
        </w:rPr>
        <w:t xml:space="preserve"> Lze požadovat specifickou odbornost (konkrétní obor)?</w:t>
      </w:r>
    </w:p>
    <w:p w:rsidR="001E6A52" w:rsidRDefault="001E6A52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Odpověď:</w:t>
      </w:r>
      <w:r w:rsidR="0055790E">
        <w:rPr>
          <w:i/>
        </w:rPr>
        <w:t xml:space="preserve"> </w:t>
      </w:r>
      <w:r w:rsidR="00D73146">
        <w:rPr>
          <w:i/>
        </w:rPr>
        <w:t>Kvalifikační předpoklady musí být nastaveny přiměřeně vždy se vztahem k předmětu zadávací dokumentace.</w:t>
      </w:r>
    </w:p>
    <w:p w:rsidR="00756F04" w:rsidRDefault="00756F04">
      <w:pPr>
        <w:spacing w:after="200" w:line="276" w:lineRule="auto"/>
        <w:rPr>
          <w:rFonts w:ascii="Calibri" w:hAnsi="Calibri"/>
          <w:i/>
          <w:sz w:val="22"/>
          <w:szCs w:val="22"/>
        </w:rPr>
      </w:pPr>
      <w:r>
        <w:rPr>
          <w:i/>
        </w:rPr>
        <w:br w:type="page"/>
      </w:r>
    </w:p>
    <w:p w:rsidR="00756F04" w:rsidRDefault="00281CE0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lastRenderedPageBreak/>
        <w:t xml:space="preserve">Otázka: </w:t>
      </w:r>
      <w:r w:rsidR="00A17A7D">
        <w:rPr>
          <w:i/>
        </w:rPr>
        <w:t xml:space="preserve">Aktualizace </w:t>
      </w:r>
      <w:r w:rsidR="00C54F0F">
        <w:rPr>
          <w:i/>
        </w:rPr>
        <w:t xml:space="preserve">PVD – </w:t>
      </w:r>
      <w:r w:rsidR="00A17A7D">
        <w:rPr>
          <w:i/>
        </w:rPr>
        <w:t xml:space="preserve">od </w:t>
      </w:r>
      <w:r w:rsidR="00C54F0F">
        <w:rPr>
          <w:i/>
        </w:rPr>
        <w:t>kdy bude účinnost</w:t>
      </w:r>
      <w:r w:rsidR="00C32252">
        <w:rPr>
          <w:i/>
        </w:rPr>
        <w:t>, letos</w:t>
      </w:r>
      <w:r w:rsidR="00C54F0F">
        <w:rPr>
          <w:i/>
        </w:rPr>
        <w:t>? Jak je to s retro aktivitami?</w:t>
      </w:r>
    </w:p>
    <w:p w:rsidR="00C54F0F" w:rsidRDefault="00C54F0F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Odpověď:</w:t>
      </w:r>
      <w:r w:rsidR="006E66A8">
        <w:rPr>
          <w:i/>
        </w:rPr>
        <w:t xml:space="preserve"> </w:t>
      </w:r>
      <w:r w:rsidR="003741A4">
        <w:rPr>
          <w:i/>
        </w:rPr>
        <w:t>Novela PVD je dokončována, měla by být připravena k vydání do konce července 2012 s předpokládanou účinností od 1. 8. 2012. Zadavatel je povinen aplikovat Pravidla ve verzi platné a účinné</w:t>
      </w:r>
      <w:r w:rsidR="003741A4" w:rsidRPr="003741A4">
        <w:t xml:space="preserve"> </w:t>
      </w:r>
      <w:r w:rsidR="003741A4" w:rsidRPr="003741A4">
        <w:rPr>
          <w:i/>
        </w:rPr>
        <w:t>v okamžiku prvního úkonu zadavatele v předmětném výběrovém řízení</w:t>
      </w:r>
      <w:r w:rsidR="003741A4">
        <w:rPr>
          <w:i/>
        </w:rPr>
        <w:t>.</w:t>
      </w:r>
    </w:p>
    <w:p w:rsidR="00C54F0F" w:rsidRDefault="00A17A7D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 xml:space="preserve">Otázka: </w:t>
      </w:r>
      <w:r w:rsidR="00756F04">
        <w:rPr>
          <w:i/>
        </w:rPr>
        <w:t>Opakovaná služba (např. právní služby) – po dobu 2 let – jaká je doporučovaná forma? Rámcová smlouva?</w:t>
      </w:r>
    </w:p>
    <w:p w:rsidR="006E66A8" w:rsidRDefault="006E66A8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 xml:space="preserve">Odpověď: </w:t>
      </w:r>
      <w:r w:rsidR="003741A4">
        <w:rPr>
          <w:i/>
        </w:rPr>
        <w:t>Jedná-li se o písemnou smlouvu mezi zadavatelem a jedním či více uchazeči, která upravuje podmínky týkajíc</w:t>
      </w:r>
      <w:r w:rsidR="004D74FA">
        <w:rPr>
          <w:i/>
        </w:rPr>
        <w:t>í</w:t>
      </w:r>
      <w:r w:rsidR="003741A4">
        <w:rPr>
          <w:i/>
        </w:rPr>
        <w:t xml:space="preserve"> se jednotlivých veřejných zakázek na pořízení opakujících se služeb, jedná se o smlouvu rámcovou.</w:t>
      </w:r>
    </w:p>
    <w:p w:rsidR="00DB0D0B" w:rsidRDefault="00DB0D0B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Otázka: Dělení zakázky – např. právní služby realizované s odstupem až 1 roku, lze soutěžit každé plnění zvlášť?</w:t>
      </w:r>
    </w:p>
    <w:p w:rsidR="00DB0D0B" w:rsidRDefault="00DB0D0B" w:rsidP="00081DF2">
      <w:pPr>
        <w:pStyle w:val="Odstavecseseznamem"/>
        <w:spacing w:line="360" w:lineRule="auto"/>
        <w:ind w:left="708"/>
        <w:rPr>
          <w:i/>
        </w:rPr>
      </w:pPr>
      <w:r>
        <w:rPr>
          <w:i/>
        </w:rPr>
        <w:t>Odpověď:</w:t>
      </w:r>
      <w:r w:rsidR="000D03DD" w:rsidRPr="000D03DD">
        <w:t xml:space="preserve"> </w:t>
      </w:r>
      <w:r w:rsidR="000D03DD" w:rsidRPr="000D03DD">
        <w:rPr>
          <w:i/>
        </w:rPr>
        <w:t>Zadavatel nesmí rozdělit předmět</w:t>
      </w:r>
      <w:r w:rsidR="004D74FA">
        <w:rPr>
          <w:i/>
        </w:rPr>
        <w:t xml:space="preserve"> veřejné</w:t>
      </w:r>
      <w:r w:rsidR="000D03DD" w:rsidRPr="000D03DD">
        <w:rPr>
          <w:i/>
        </w:rPr>
        <w:t xml:space="preserve"> </w:t>
      </w:r>
      <w:proofErr w:type="gramStart"/>
      <w:r w:rsidR="000D03DD" w:rsidRPr="000D03DD">
        <w:rPr>
          <w:i/>
        </w:rPr>
        <w:t>zakázky  tak</w:t>
      </w:r>
      <w:proofErr w:type="gramEnd"/>
      <w:r w:rsidR="000D03DD" w:rsidRPr="000D03DD">
        <w:rPr>
          <w:i/>
        </w:rPr>
        <w:t>, aby tím došlo ke snížení předpokládané hodnoty pod finanční limity stanovené</w:t>
      </w:r>
      <w:r w:rsidR="000D03DD">
        <w:rPr>
          <w:i/>
        </w:rPr>
        <w:t xml:space="preserve"> zákonem o veřejných zakázkách</w:t>
      </w:r>
      <w:r w:rsidR="000D03DD" w:rsidRPr="000D03DD">
        <w:rPr>
          <w:i/>
        </w:rPr>
        <w:t xml:space="preserve"> či Pravidly. Pro určení předpokládané hodnoty postupuje zadavatel </w:t>
      </w:r>
      <w:r w:rsidR="000D03DD">
        <w:rPr>
          <w:i/>
        </w:rPr>
        <w:t>(</w:t>
      </w:r>
      <w:r w:rsidR="000D03DD" w:rsidRPr="000D03DD">
        <w:rPr>
          <w:i/>
        </w:rPr>
        <w:t>analogicky</w:t>
      </w:r>
      <w:r w:rsidR="000D03DD">
        <w:rPr>
          <w:i/>
        </w:rPr>
        <w:t>)</w:t>
      </w:r>
      <w:r w:rsidR="000D03DD" w:rsidRPr="000D03DD">
        <w:rPr>
          <w:i/>
        </w:rPr>
        <w:t xml:space="preserve"> podle </w:t>
      </w:r>
      <w:r w:rsidR="000D03DD">
        <w:rPr>
          <w:i/>
        </w:rPr>
        <w:t>zákona o veřejných zakázkách</w:t>
      </w:r>
      <w:r w:rsidR="000D03DD" w:rsidRPr="000D03DD">
        <w:rPr>
          <w:i/>
        </w:rPr>
        <w:t xml:space="preserve">, přičemž musí vzít v úvahu všechna obdobná, spolu související plnění, která zamýšlí pořídit v průběhu realizace projektu, a tato plnění sečíst. </w:t>
      </w:r>
      <w:r w:rsidR="000D03DD">
        <w:rPr>
          <w:i/>
        </w:rPr>
        <w:t xml:space="preserve"> </w:t>
      </w:r>
      <w:r w:rsidR="004D74FA">
        <w:rPr>
          <w:i/>
        </w:rPr>
        <w:t>Jednotlivé z</w:t>
      </w:r>
      <w:r w:rsidR="000D03DD">
        <w:rPr>
          <w:i/>
        </w:rPr>
        <w:t>akázky lze zadat i v samostatném výběrovém, resp. zadávacím řízení,</w:t>
      </w:r>
      <w:r w:rsidR="004D74FA">
        <w:rPr>
          <w:i/>
        </w:rPr>
        <w:t xml:space="preserve"> když</w:t>
      </w:r>
      <w:r w:rsidR="000D03DD">
        <w:rPr>
          <w:i/>
        </w:rPr>
        <w:t xml:space="preserve"> předpokládanou hodnotou, která je rozhodná pro stanovení, zda se jedná o zakázku malého rozsahu, podlimitní veřejnou zakázku či zakázku nadlimitní je hodnota stanovená dle výše popsaného postupu. Tj. např. hodlá-li zadavatel během jednoho roku zadat dvě veřejné zakázky se stejným předmětem plnění, kdy předpokládaná hodnota veřejné zakázky A je 800.000,- Kč bez DPH a předpokládaná hodnota veřejné zakázky B je 700.000,- Kč, bude zadávat obě veřejné zakázky v režimu veřejných zakázek podlimitních.</w:t>
      </w:r>
    </w:p>
    <w:p w:rsidR="00A5260A" w:rsidRPr="00081DF2" w:rsidRDefault="00A5260A" w:rsidP="00081DF2">
      <w:pPr>
        <w:pStyle w:val="Odstavecseseznamem"/>
        <w:spacing w:line="360" w:lineRule="auto"/>
        <w:ind w:left="708"/>
        <w:rPr>
          <w:i/>
        </w:rPr>
      </w:pPr>
    </w:p>
    <w:p w:rsidR="00081DF2" w:rsidRPr="009A42A2" w:rsidRDefault="006155DB" w:rsidP="00081DF2">
      <w:pPr>
        <w:pStyle w:val="Odstavecseseznamem"/>
        <w:spacing w:line="360" w:lineRule="auto"/>
        <w:ind w:left="0"/>
        <w:rPr>
          <w:b/>
        </w:rPr>
      </w:pPr>
      <w:r>
        <w:rPr>
          <w:b/>
        </w:rPr>
        <w:t>Podnět</w:t>
      </w:r>
      <w:r w:rsidR="00EB25EA">
        <w:rPr>
          <w:b/>
        </w:rPr>
        <w:t>: vyřešit zápatí na dokumentech – poznámky pod čarou loga kryjí.</w:t>
      </w:r>
    </w:p>
    <w:p w:rsidR="00FB2F0C" w:rsidRDefault="00FB2F0C" w:rsidP="00081DF2">
      <w:pPr>
        <w:spacing w:line="360" w:lineRule="auto"/>
      </w:pPr>
    </w:p>
    <w:sectPr w:rsidR="00FB2F0C" w:rsidSect="00D73146">
      <w:footerReference w:type="default" r:id="rId8"/>
      <w:headerReference w:type="first" r:id="rId9"/>
      <w:footerReference w:type="first" r:id="rId10"/>
      <w:pgSz w:w="11906" w:h="16838"/>
      <w:pgMar w:top="1417" w:right="1417" w:bottom="283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F1" w:rsidRDefault="00022FF1" w:rsidP="00F94F1D">
      <w:pPr>
        <w:spacing w:line="240" w:lineRule="auto"/>
      </w:pPr>
      <w:r>
        <w:separator/>
      </w:r>
    </w:p>
  </w:endnote>
  <w:endnote w:type="continuationSeparator" w:id="0">
    <w:p w:rsidR="00022FF1" w:rsidRDefault="00022FF1" w:rsidP="00F94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F1" w:rsidRDefault="00022FF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-855345</wp:posOffset>
          </wp:positionH>
          <wp:positionV relativeFrom="paragraph">
            <wp:posOffset>-626745</wp:posOffset>
          </wp:positionV>
          <wp:extent cx="5436235" cy="958215"/>
          <wp:effectExtent l="0" t="0" r="0" b="0"/>
          <wp:wrapTight wrapText="bothSides">
            <wp:wrapPolygon edited="0">
              <wp:start x="0" y="0"/>
              <wp:lineTo x="0" y="21042"/>
              <wp:lineTo x="21497" y="21042"/>
              <wp:lineTo x="21497" y="0"/>
              <wp:lineTo x="0" y="0"/>
            </wp:wrapPolygon>
          </wp:wrapTight>
          <wp:docPr id="7" name="Obrázek 7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loga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23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7D44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6" o:spid="_x0000_s4100" type="#_x0000_t202" style="position:absolute;margin-left:439.65pt;margin-top:-15.05pt;width:16.4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" stroked="f">
          <v:fill opacity="0"/>
          <v:textbox inset="0,0,0,0">
            <w:txbxContent>
              <w:p w:rsidR="00022FF1" w:rsidRPr="00546F0A" w:rsidRDefault="00022FF1" w:rsidP="00D73146">
                <w:pPr>
                  <w:jc w:val="center"/>
                  <w:rPr>
                    <w:b/>
                    <w:color w:val="FFFFFF"/>
                    <w:sz w:val="14"/>
                    <w:szCs w:val="14"/>
                  </w:rPr>
                </w:pPr>
                <w:r w:rsidRPr="00546F0A">
                  <w:rPr>
                    <w:b/>
                    <w:color w:val="FFFFFF"/>
                    <w:sz w:val="14"/>
                    <w:szCs w:val="14"/>
                  </w:rPr>
                  <w:fldChar w:fldCharType="begin"/>
                </w:r>
                <w:r w:rsidRPr="00546F0A">
                  <w:rPr>
                    <w:b/>
                    <w:color w:val="FFFFFF"/>
                    <w:sz w:val="14"/>
                    <w:szCs w:val="14"/>
                  </w:rPr>
                  <w:instrText xml:space="preserve"> PAGE   \* MERGEFORMAT </w:instrText>
                </w:r>
                <w:r w:rsidRPr="00546F0A">
                  <w:rPr>
                    <w:b/>
                    <w:color w:val="FFFFFF"/>
                    <w:sz w:val="14"/>
                    <w:szCs w:val="14"/>
                  </w:rPr>
                  <w:fldChar w:fldCharType="separate"/>
                </w:r>
                <w:r w:rsidR="00F77D44">
                  <w:rPr>
                    <w:b/>
                    <w:noProof/>
                    <w:color w:val="FFFFFF"/>
                    <w:sz w:val="14"/>
                    <w:szCs w:val="14"/>
                  </w:rPr>
                  <w:t>2</w:t>
                </w:r>
                <w:r w:rsidRPr="00546F0A">
                  <w:rPr>
                    <w:b/>
                    <w:color w:val="FFFFFF"/>
                    <w:sz w:val="14"/>
                    <w:szCs w:val="14"/>
                  </w:rPr>
                  <w:fldChar w:fldCharType="end"/>
                </w:r>
              </w:p>
            </w:txbxContent>
          </v:textbox>
        </v:shape>
      </w:pict>
    </w:r>
    <w:r w:rsidR="00F77D44">
      <w:rPr>
        <w:rFonts w:cs="Arial"/>
        <w:b/>
        <w:bCs/>
        <w:noProof/>
        <w:color w:val="808080"/>
        <w:sz w:val="14"/>
        <w:szCs w:val="14"/>
        <w:lang w:eastAsia="cs-CZ"/>
      </w:rPr>
      <w:pict>
        <v:oval id="Ovál 5" o:spid="_x0000_s4099" style="position:absolute;margin-left:436.05pt;margin-top:-19.9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" fillcolor="#a7c998" stroked="f" strokecolor="#f2f2f2" strokeweight="3pt">
          <v:fill color2="#a7c998" rotate="t" focus="100%" type="gradient"/>
          <v:shadow color="#4e6128" opacity=".5" offset="1pt"/>
          <o:lock v:ext="edit" aspectratio="t"/>
        </v:oval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F1" w:rsidRDefault="00022FF1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-340995</wp:posOffset>
          </wp:positionH>
          <wp:positionV relativeFrom="paragraph">
            <wp:posOffset>-569595</wp:posOffset>
          </wp:positionV>
          <wp:extent cx="5436235" cy="958215"/>
          <wp:effectExtent l="0" t="0" r="0" b="0"/>
          <wp:wrapTight wrapText="bothSides">
            <wp:wrapPolygon edited="0">
              <wp:start x="0" y="0"/>
              <wp:lineTo x="0" y="21042"/>
              <wp:lineTo x="21497" y="21042"/>
              <wp:lineTo x="21497" y="0"/>
              <wp:lineTo x="0" y="0"/>
            </wp:wrapPolygon>
          </wp:wrapTight>
          <wp:docPr id="1" name="Obrázek 1" descr="3loga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loga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23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F1" w:rsidRDefault="00022FF1" w:rsidP="00F94F1D">
      <w:pPr>
        <w:spacing w:line="240" w:lineRule="auto"/>
      </w:pPr>
      <w:r>
        <w:separator/>
      </w:r>
    </w:p>
  </w:footnote>
  <w:footnote w:type="continuationSeparator" w:id="0">
    <w:p w:rsidR="00022FF1" w:rsidRDefault="00022FF1" w:rsidP="00F94F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F1" w:rsidRDefault="00F77D44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4" o:spid="_x0000_s4098" type="#_x0000_t202" style="position:absolute;margin-left:-52.85pt;margin-top:65.1pt;width:559.5pt;height:6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" stroked="f">
          <v:textbox>
            <w:txbxContent>
              <w:p w:rsidR="00022FF1" w:rsidRPr="00A40321" w:rsidRDefault="00022FF1" w:rsidP="00D73146">
                <w:pPr>
                  <w:spacing w:line="660" w:lineRule="exact"/>
                  <w:jc w:val="center"/>
                  <w:rPr>
                    <w:color w:val="34943E"/>
                    <w:sz w:val="60"/>
                    <w:szCs w:val="60"/>
                  </w:rPr>
                </w:pPr>
                <w:r>
                  <w:rPr>
                    <w:color w:val="34943E"/>
                    <w:sz w:val="60"/>
                    <w:szCs w:val="60"/>
                  </w:rPr>
                  <w:t>FAQ ze semináře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3" o:spid="_x0000_s4097" type="#_x0000_t202" style="position:absolute;margin-left:-8.1pt;margin-top:12.45pt;width:199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" stroked="f">
          <v:fill opacity="0"/>
          <v:textbox>
            <w:txbxContent>
              <w:p w:rsidR="00022FF1" w:rsidRPr="00A40321" w:rsidRDefault="00022FF1" w:rsidP="00D73146">
                <w:pPr>
                  <w:spacing w:line="660" w:lineRule="exact"/>
                  <w:rPr>
                    <w:color w:val="FFFFFF"/>
                    <w:sz w:val="24"/>
                    <w:szCs w:val="24"/>
                  </w:rPr>
                </w:pPr>
                <w:r w:rsidRPr="00A40321">
                  <w:rPr>
                    <w:color w:val="FFFFFF"/>
                    <w:sz w:val="24"/>
                    <w:szCs w:val="24"/>
                  </w:rPr>
                  <w:t>Investice do vaší budoucnosti</w:t>
                </w:r>
              </w:p>
            </w:txbxContent>
          </v:textbox>
        </v:shape>
      </w:pict>
    </w:r>
    <w:r w:rsidR="00022FF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-1029970</wp:posOffset>
          </wp:positionV>
          <wp:extent cx="7562850" cy="1152525"/>
          <wp:effectExtent l="0" t="0" r="0" b="9525"/>
          <wp:wrapTight wrapText="bothSides">
            <wp:wrapPolygon edited="0">
              <wp:start x="0" y="0"/>
              <wp:lineTo x="0" y="21421"/>
              <wp:lineTo x="21546" y="21421"/>
              <wp:lineTo x="21546" y="0"/>
              <wp:lineTo x="0" y="0"/>
            </wp:wrapPolygon>
          </wp:wrapTight>
          <wp:docPr id="2" name="Obrázek 2" descr="prez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ez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25A"/>
    <w:multiLevelType w:val="hybridMultilevel"/>
    <w:tmpl w:val="0A3020A8"/>
    <w:lvl w:ilvl="0" w:tplc="04050017">
      <w:start w:val="1"/>
      <w:numFmt w:val="lowerLetter"/>
      <w:lvlText w:val="%1)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9FD4789"/>
    <w:multiLevelType w:val="hybridMultilevel"/>
    <w:tmpl w:val="070E06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F74D2"/>
    <w:multiLevelType w:val="hybridMultilevel"/>
    <w:tmpl w:val="BF781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A29A7"/>
    <w:multiLevelType w:val="hybridMultilevel"/>
    <w:tmpl w:val="2B1E8098"/>
    <w:lvl w:ilvl="0" w:tplc="A7C6F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8D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E9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2A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E9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0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C5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7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87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F51"/>
    <w:rsid w:val="00022FF1"/>
    <w:rsid w:val="0004405D"/>
    <w:rsid w:val="00081DF2"/>
    <w:rsid w:val="000A6C64"/>
    <w:rsid w:val="000D03DD"/>
    <w:rsid w:val="000D13FF"/>
    <w:rsid w:val="00127F31"/>
    <w:rsid w:val="00171A13"/>
    <w:rsid w:val="001A7A78"/>
    <w:rsid w:val="001B78B7"/>
    <w:rsid w:val="001C0580"/>
    <w:rsid w:val="001E5978"/>
    <w:rsid w:val="001E6A52"/>
    <w:rsid w:val="001F630B"/>
    <w:rsid w:val="00216D0C"/>
    <w:rsid w:val="00281CE0"/>
    <w:rsid w:val="002A6D1A"/>
    <w:rsid w:val="002B7F0F"/>
    <w:rsid w:val="002C3F0C"/>
    <w:rsid w:val="002C70CE"/>
    <w:rsid w:val="002E40A5"/>
    <w:rsid w:val="002F548F"/>
    <w:rsid w:val="0030485A"/>
    <w:rsid w:val="00305613"/>
    <w:rsid w:val="003170DE"/>
    <w:rsid w:val="0033775F"/>
    <w:rsid w:val="00371E08"/>
    <w:rsid w:val="003741A4"/>
    <w:rsid w:val="00386ADB"/>
    <w:rsid w:val="003B08F9"/>
    <w:rsid w:val="003B48C3"/>
    <w:rsid w:val="003C3A83"/>
    <w:rsid w:val="004C0185"/>
    <w:rsid w:val="004D74FA"/>
    <w:rsid w:val="004F343D"/>
    <w:rsid w:val="0054740D"/>
    <w:rsid w:val="0055790E"/>
    <w:rsid w:val="005A296A"/>
    <w:rsid w:val="006155DB"/>
    <w:rsid w:val="00616CC6"/>
    <w:rsid w:val="006434ED"/>
    <w:rsid w:val="00677FCA"/>
    <w:rsid w:val="006825A3"/>
    <w:rsid w:val="00696C55"/>
    <w:rsid w:val="006E66A8"/>
    <w:rsid w:val="00701C71"/>
    <w:rsid w:val="00716619"/>
    <w:rsid w:val="007315C2"/>
    <w:rsid w:val="00756F04"/>
    <w:rsid w:val="007B389E"/>
    <w:rsid w:val="008370C4"/>
    <w:rsid w:val="008F0E85"/>
    <w:rsid w:val="00932D8D"/>
    <w:rsid w:val="009368C3"/>
    <w:rsid w:val="00970CDB"/>
    <w:rsid w:val="009C0B0C"/>
    <w:rsid w:val="009F6A02"/>
    <w:rsid w:val="00A17A7D"/>
    <w:rsid w:val="00A231E8"/>
    <w:rsid w:val="00A5260A"/>
    <w:rsid w:val="00A8232E"/>
    <w:rsid w:val="00AA184A"/>
    <w:rsid w:val="00AB0BA6"/>
    <w:rsid w:val="00AD1748"/>
    <w:rsid w:val="00B1436F"/>
    <w:rsid w:val="00B1620C"/>
    <w:rsid w:val="00B23152"/>
    <w:rsid w:val="00B34056"/>
    <w:rsid w:val="00B53C1D"/>
    <w:rsid w:val="00BE00A4"/>
    <w:rsid w:val="00BE3F3A"/>
    <w:rsid w:val="00C04D25"/>
    <w:rsid w:val="00C25B39"/>
    <w:rsid w:val="00C32252"/>
    <w:rsid w:val="00C44026"/>
    <w:rsid w:val="00C50178"/>
    <w:rsid w:val="00C54F0F"/>
    <w:rsid w:val="00CA7A71"/>
    <w:rsid w:val="00D13B37"/>
    <w:rsid w:val="00D276A6"/>
    <w:rsid w:val="00D51FFB"/>
    <w:rsid w:val="00D73146"/>
    <w:rsid w:val="00D753EC"/>
    <w:rsid w:val="00DA06E8"/>
    <w:rsid w:val="00DB0D0B"/>
    <w:rsid w:val="00DC30B1"/>
    <w:rsid w:val="00E41D07"/>
    <w:rsid w:val="00E45A3B"/>
    <w:rsid w:val="00EA3B09"/>
    <w:rsid w:val="00EB25EA"/>
    <w:rsid w:val="00F17D05"/>
    <w:rsid w:val="00F20F51"/>
    <w:rsid w:val="00F77D44"/>
    <w:rsid w:val="00F94F1D"/>
    <w:rsid w:val="00FA7E6F"/>
    <w:rsid w:val="00FB2F0C"/>
    <w:rsid w:val="00FB4691"/>
    <w:rsid w:val="00FE1CA8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F1D"/>
    <w:pPr>
      <w:spacing w:after="0" w:line="216" w:lineRule="exact"/>
    </w:pPr>
    <w:rPr>
      <w:rFonts w:ascii="Arial" w:eastAsia="Calibri" w:hAnsi="Arial" w:cs="Times New Roman"/>
      <w:sz w:val="17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F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F1D"/>
    <w:rPr>
      <w:rFonts w:ascii="Arial" w:eastAsia="Calibri" w:hAnsi="Arial" w:cs="Times New Roman"/>
      <w:sz w:val="17"/>
      <w:szCs w:val="20"/>
    </w:rPr>
  </w:style>
  <w:style w:type="paragraph" w:styleId="Zpat">
    <w:name w:val="footer"/>
    <w:basedOn w:val="Normln"/>
    <w:link w:val="ZpatChar"/>
    <w:uiPriority w:val="99"/>
    <w:unhideWhenUsed/>
    <w:rsid w:val="00F94F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F1D"/>
    <w:rPr>
      <w:rFonts w:ascii="Arial" w:eastAsia="Calibri" w:hAnsi="Arial" w:cs="Times New Roman"/>
      <w:sz w:val="17"/>
      <w:szCs w:val="20"/>
    </w:rPr>
  </w:style>
  <w:style w:type="paragraph" w:styleId="Odstavecseseznamem">
    <w:name w:val="List Paragraph"/>
    <w:basedOn w:val="Normln"/>
    <w:uiPriority w:val="34"/>
    <w:qFormat/>
    <w:rsid w:val="00F94F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E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E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F1D"/>
    <w:pPr>
      <w:spacing w:after="0" w:line="216" w:lineRule="exact"/>
    </w:pPr>
    <w:rPr>
      <w:rFonts w:ascii="Arial" w:eastAsia="Calibri" w:hAnsi="Arial" w:cs="Times New Roman"/>
      <w:sz w:val="17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F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F1D"/>
    <w:rPr>
      <w:rFonts w:ascii="Arial" w:eastAsia="Calibri" w:hAnsi="Arial" w:cs="Times New Roman"/>
      <w:sz w:val="17"/>
      <w:szCs w:val="20"/>
    </w:rPr>
  </w:style>
  <w:style w:type="paragraph" w:styleId="Zpat">
    <w:name w:val="footer"/>
    <w:basedOn w:val="Normln"/>
    <w:link w:val="ZpatChar"/>
    <w:uiPriority w:val="99"/>
    <w:unhideWhenUsed/>
    <w:rsid w:val="00F94F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F1D"/>
    <w:rPr>
      <w:rFonts w:ascii="Arial" w:eastAsia="Calibri" w:hAnsi="Arial" w:cs="Times New Roman"/>
      <w:sz w:val="17"/>
      <w:szCs w:val="20"/>
    </w:rPr>
  </w:style>
  <w:style w:type="paragraph" w:styleId="Odstavecseseznamem">
    <w:name w:val="List Paragraph"/>
    <w:basedOn w:val="Normln"/>
    <w:uiPriority w:val="34"/>
    <w:qFormat/>
    <w:rsid w:val="00F94F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1202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Radiměřská Božena</dc:creator>
  <cp:lastModifiedBy>David Palivec</cp:lastModifiedBy>
  <cp:revision>18</cp:revision>
  <dcterms:created xsi:type="dcterms:W3CDTF">2012-06-27T12:02:00Z</dcterms:created>
  <dcterms:modified xsi:type="dcterms:W3CDTF">2012-07-03T11:06:00Z</dcterms:modified>
</cp:coreProperties>
</file>