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E6" w:rsidRPr="00760083" w:rsidRDefault="003C27E6" w:rsidP="00CA7C76">
      <w:pPr>
        <w:spacing w:line="360" w:lineRule="auto"/>
        <w:rPr>
          <w:rFonts w:ascii="Arial" w:hAnsi="Arial" w:cs="Arial"/>
          <w:u w:val="single"/>
        </w:rPr>
      </w:pPr>
      <w:bookmarkStart w:id="0" w:name="_GoBack"/>
      <w:bookmarkEnd w:id="0"/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2757C3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PŘÍLOHA Č. 2: SPECIFIKACE PŘEDMĚTU PLNĚNÍ</w:t>
      </w:r>
    </w:p>
    <w:p w:rsidR="002757C3" w:rsidRPr="000E1D23" w:rsidRDefault="002757C3" w:rsidP="000E1D2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color w:val="FFFFFF"/>
          <w:sz w:val="22"/>
          <w:szCs w:val="22"/>
          <w:u w:val="single"/>
          <w:lang w:eastAsia="en-US"/>
        </w:rPr>
      </w:pPr>
      <w:r w:rsidRPr="000E1D23">
        <w:rPr>
          <w:rFonts w:ascii="Arial" w:eastAsia="Calibri" w:hAnsi="Arial" w:cs="Arial"/>
          <w:b/>
          <w:color w:val="FFFFFF"/>
          <w:sz w:val="22"/>
          <w:szCs w:val="22"/>
          <w:u w:val="single"/>
          <w:lang w:eastAsia="en-US"/>
        </w:rPr>
        <w:t>Část plnění veřejné zakázky A):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Cíle kampaně projektu:</w:t>
      </w:r>
    </w:p>
    <w:p w:rsidR="002757C3" w:rsidRPr="002757C3" w:rsidRDefault="002757C3" w:rsidP="002757C3">
      <w:pPr>
        <w:widowControl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Hlavním cílem je prostřednictvím kampaně sdělit cílové skupině informaci o realizaci projektu, tj. prezentovat jednotlivým cílovým skupinám možnost aktivně se zapojit do dalšího profesního vzdělávání formou stáží ve firmách. </w:t>
      </w:r>
    </w:p>
    <w:p w:rsidR="002757C3" w:rsidRPr="002757C3" w:rsidRDefault="002757C3" w:rsidP="002757C3">
      <w:pPr>
        <w:widowControl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Další cíl propagační kampaně bude směřovat ke zdůraznění důležitosti praktického vzdělávání a pozitivní vliv zkušeností z reálné praxe na šanci uplatnit se na trhu práce. 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Poselstvím a cílem kampaně je, </w:t>
      </w:r>
      <w:r w:rsidRPr="002757C3">
        <w:rPr>
          <w:rFonts w:ascii="Arial" w:eastAsia="Calibri" w:hAnsi="Arial" w:cs="Arial"/>
          <w:bCs/>
          <w:sz w:val="22"/>
          <w:szCs w:val="22"/>
          <w:lang w:eastAsia="en-US"/>
        </w:rPr>
        <w:t xml:space="preserve">aby svým obsahem co nejvíce zaujala a motivovala cílovou skupinu k využití možnosti dalšího odborného vzdělávání v rámci projektu </w:t>
      </w:r>
      <w:r w:rsidRPr="002757C3">
        <w:rPr>
          <w:rFonts w:ascii="Arial" w:eastAsia="Calibri" w:hAnsi="Arial" w:cs="Arial"/>
          <w:sz w:val="22"/>
          <w:szCs w:val="22"/>
          <w:lang w:eastAsia="en-US"/>
        </w:rPr>
        <w:t>„Stáže ve firmách – vzdělávání praxí“, který realizuje Fond dalšího vzdělávání.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bCs/>
          <w:sz w:val="22"/>
          <w:szCs w:val="22"/>
          <w:lang w:eastAsia="en-US"/>
        </w:rPr>
        <w:t>Vybraný uchazeč zajistí celou kampaň, která zahrnuje:</w:t>
      </w:r>
    </w:p>
    <w:p w:rsidR="002757C3" w:rsidRPr="002757C3" w:rsidRDefault="002757C3" w:rsidP="002757C3">
      <w:pPr>
        <w:widowControl/>
        <w:numPr>
          <w:ilvl w:val="1"/>
          <w:numId w:val="14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bCs/>
          <w:sz w:val="22"/>
          <w:szCs w:val="22"/>
          <w:lang w:eastAsia="en-US"/>
        </w:rPr>
        <w:t>Inzerci v tištěných médiích, vhodně navržených s ohledem na cílové skupiny a co nejvyšší účinnost kampaně</w:t>
      </w:r>
    </w:p>
    <w:p w:rsidR="002757C3" w:rsidRPr="002757C3" w:rsidRDefault="002757C3" w:rsidP="002757C3">
      <w:pPr>
        <w:widowControl/>
        <w:numPr>
          <w:ilvl w:val="1"/>
          <w:numId w:val="14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bCs/>
          <w:sz w:val="22"/>
          <w:szCs w:val="22"/>
          <w:lang w:eastAsia="en-US"/>
        </w:rPr>
        <w:t>Inzerci na internetu formou PPC kampaně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Všechny části mediální kampaně (kampaň v tištěných médiích a na internetu) musí mít stejné charakteristické prvky. Cílem je dosáhnout provázanosti jednotlivých částí kampaně a tím zvýšení účinku jednotlivých částí. Jednotlivé části by se měly navzájem podporovat a případně doplňovat.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Realizátor projektu (zadavatel reklamní kampaně) může navrhovat v kampani případné změny, které je povinen dodavatel zrealizovat. Zadavatel si vyhrazuje právo vznášet připomínky ke změnám a také sám navrhovat další postup. Všechny změny by neměly mít vliv na cenu, která bude uvedena ve smlouvě jako cena konečná a nepřekročitelná. 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Hodnotí se jasný způsob prezentace navrhovaného řešení, srozumitelnost, kvalita a kreativita při zpracování jednotlivých vizuálů kampaně, jednoznačnost, která vylučuje různé možnosti výkladu, kvalita a funkčnost tak, aby se kampaň dostala do povědomí potencionálních účastníků a zaujala je svým </w:t>
      </w:r>
      <w:proofErr w:type="spellStart"/>
      <w:r w:rsidRPr="002757C3">
        <w:rPr>
          <w:rFonts w:ascii="Arial" w:eastAsia="Calibri" w:hAnsi="Arial" w:cs="Arial"/>
          <w:sz w:val="22"/>
          <w:szCs w:val="22"/>
          <w:lang w:eastAsia="en-US"/>
        </w:rPr>
        <w:t>obsahems</w:t>
      </w:r>
      <w:proofErr w:type="spellEnd"/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 ohledem na vhodnost zvoleného řešení ve vztahu k předmětu kampaně.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Celá kampaň bude realizována pouze v českém jazyce.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Kreativní řešení kampaně – požadavky na zpracování:</w:t>
      </w:r>
    </w:p>
    <w:p w:rsidR="002757C3" w:rsidRPr="002757C3" w:rsidRDefault="002757C3" w:rsidP="002757C3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jednotný vizuální styl</w:t>
      </w:r>
    </w:p>
    <w:p w:rsidR="002757C3" w:rsidRPr="002757C3" w:rsidRDefault="002757C3" w:rsidP="002757C3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jednotný slogan v českém jazyce</w:t>
      </w:r>
    </w:p>
    <w:p w:rsidR="002757C3" w:rsidRPr="002757C3" w:rsidRDefault="002757C3" w:rsidP="002757C3">
      <w:pPr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zachování povinných prvků publicity projektu financovaného ze strukturálních fondů EU</w:t>
      </w:r>
      <w:r w:rsidR="00957BAD">
        <w:rPr>
          <w:rFonts w:ascii="Arial" w:eastAsia="Calibri" w:hAnsi="Arial" w:cs="Arial"/>
          <w:sz w:val="22"/>
          <w:szCs w:val="22"/>
          <w:lang w:eastAsia="en-US"/>
        </w:rPr>
        <w:t xml:space="preserve"> a zároveň v souladu s manuálem FDV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Vše s ohledem na různé cílové skupiny a používané po celou dobu realizace kampaně: 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lastRenderedPageBreak/>
        <w:t>5 typů cílových skupin lze oddělit barevně, nicméně všechny vizuály by měly mít sjednocující prvky a být snadno identifikovatelné.</w:t>
      </w:r>
    </w:p>
    <w:p w:rsidR="002757C3" w:rsidRPr="002757C3" w:rsidRDefault="002757C3" w:rsidP="000E1D2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Specifikace cílové skupiny pro potřeby výběrového řízení: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Cílovou skupinou jsou obyvatelé České republiky s trvalým pobytem mimo hl. m. Praha a mimo OSVČ. Projekt Stáže ve firmách – vzdělávání praxí je určen pro níže uvedených 5 cílových skupin:</w:t>
      </w:r>
    </w:p>
    <w:p w:rsidR="002757C3" w:rsidRPr="002757C3" w:rsidRDefault="002757C3" w:rsidP="002757C3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2757C3">
        <w:rPr>
          <w:rFonts w:ascii="Arial" w:eastAsia="Calibri" w:hAnsi="Arial" w:cs="Arial"/>
          <w:b/>
          <w:sz w:val="20"/>
          <w:szCs w:val="20"/>
          <w:lang w:eastAsia="en-US"/>
        </w:rPr>
        <w:t>absolventy</w:t>
      </w:r>
      <w:r w:rsidRPr="002757C3">
        <w:rPr>
          <w:rFonts w:ascii="Arial" w:eastAsia="Calibri" w:hAnsi="Arial" w:cs="Arial"/>
          <w:sz w:val="20"/>
          <w:szCs w:val="20"/>
          <w:lang w:eastAsia="en-US"/>
        </w:rPr>
        <w:t>: tím se rozumí čerství absolventi středních, vysokých a vyšších odborných škol</w:t>
      </w:r>
      <w:r w:rsidR="00321A96">
        <w:rPr>
          <w:rFonts w:ascii="Arial" w:eastAsia="Calibri" w:hAnsi="Arial" w:cs="Arial"/>
          <w:sz w:val="20"/>
          <w:szCs w:val="20"/>
          <w:lang w:eastAsia="en-US"/>
        </w:rPr>
        <w:t xml:space="preserve"> a učilišť</w:t>
      </w:r>
    </w:p>
    <w:p w:rsidR="002757C3" w:rsidRPr="002757C3" w:rsidRDefault="002757C3" w:rsidP="002757C3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2757C3">
        <w:rPr>
          <w:rFonts w:ascii="Arial" w:eastAsia="Calibri" w:hAnsi="Arial" w:cs="Arial"/>
          <w:b/>
          <w:sz w:val="20"/>
          <w:szCs w:val="20"/>
          <w:lang w:eastAsia="en-US"/>
        </w:rPr>
        <w:t>nezaměstnané</w:t>
      </w:r>
      <w:r w:rsidRPr="002757C3">
        <w:rPr>
          <w:rFonts w:ascii="Arial" w:eastAsia="Calibri" w:hAnsi="Arial" w:cs="Arial"/>
          <w:sz w:val="20"/>
          <w:szCs w:val="20"/>
          <w:lang w:eastAsia="en-US"/>
        </w:rPr>
        <w:t>: tím se rozumí osoby, které jsou bez stálého placeného zaměstnání déle, jak dvanáct měsíců,</w:t>
      </w:r>
    </w:p>
    <w:p w:rsidR="002757C3" w:rsidRPr="002757C3" w:rsidRDefault="002757C3" w:rsidP="002757C3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2757C3">
        <w:rPr>
          <w:rFonts w:ascii="Arial" w:eastAsia="Calibri" w:hAnsi="Arial" w:cs="Arial"/>
          <w:b/>
          <w:sz w:val="20"/>
          <w:szCs w:val="20"/>
          <w:lang w:eastAsia="en-US"/>
        </w:rPr>
        <w:t>osoby vracející se na trh práce</w:t>
      </w:r>
      <w:r w:rsidRPr="002757C3">
        <w:rPr>
          <w:rFonts w:ascii="Arial" w:eastAsia="Calibri" w:hAnsi="Arial" w:cs="Arial"/>
          <w:sz w:val="20"/>
          <w:szCs w:val="20"/>
          <w:lang w:eastAsia="en-US"/>
        </w:rPr>
        <w:t xml:space="preserve"> po pracovní pauze: tím se rozumí například maminky po rodičovské dovolené,</w:t>
      </w:r>
    </w:p>
    <w:p w:rsidR="002757C3" w:rsidRPr="002757C3" w:rsidRDefault="002757C3" w:rsidP="002757C3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2757C3">
        <w:rPr>
          <w:rFonts w:ascii="Arial" w:eastAsia="Calibri" w:hAnsi="Arial" w:cs="Arial"/>
          <w:sz w:val="20"/>
          <w:szCs w:val="20"/>
          <w:lang w:eastAsia="en-US"/>
        </w:rPr>
        <w:t xml:space="preserve">stávající </w:t>
      </w:r>
      <w:r w:rsidRPr="002757C3">
        <w:rPr>
          <w:rFonts w:ascii="Arial" w:eastAsia="Calibri" w:hAnsi="Arial" w:cs="Arial"/>
          <w:b/>
          <w:sz w:val="20"/>
          <w:szCs w:val="20"/>
          <w:lang w:eastAsia="en-US"/>
        </w:rPr>
        <w:t>zaměstnance mající zájem o další profesní vzdělávání</w:t>
      </w:r>
      <w:r w:rsidRPr="002757C3">
        <w:rPr>
          <w:rFonts w:ascii="Arial" w:eastAsia="Calibri" w:hAnsi="Arial" w:cs="Arial"/>
          <w:sz w:val="20"/>
          <w:szCs w:val="20"/>
          <w:lang w:eastAsia="en-US"/>
        </w:rPr>
        <w:t>: tím se rozumí na osoby, které jsou v současnosti zaměstnány, ale chtějí si prohloubit svou profesní kvalifikaci a zlepšit své postavení na trhu práce,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2757C3">
        <w:rPr>
          <w:rFonts w:ascii="Arial" w:eastAsia="Calibri" w:hAnsi="Arial" w:cs="Arial"/>
          <w:sz w:val="20"/>
          <w:szCs w:val="20"/>
          <w:lang w:eastAsia="en-US"/>
        </w:rPr>
        <w:t>a dále</w:t>
      </w:r>
    </w:p>
    <w:p w:rsidR="002757C3" w:rsidRPr="002757C3" w:rsidRDefault="002757C3" w:rsidP="002757C3">
      <w:pPr>
        <w:widowControl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2757C3">
        <w:rPr>
          <w:rFonts w:ascii="Arial" w:eastAsia="Calibri" w:hAnsi="Arial" w:cs="Arial"/>
          <w:b/>
          <w:sz w:val="20"/>
          <w:szCs w:val="20"/>
          <w:lang w:eastAsia="en-US"/>
        </w:rPr>
        <w:t>firmy</w:t>
      </w:r>
      <w:r w:rsidRPr="002757C3">
        <w:rPr>
          <w:rFonts w:ascii="Arial" w:eastAsia="Calibri" w:hAnsi="Arial" w:cs="Arial"/>
          <w:sz w:val="20"/>
          <w:szCs w:val="20"/>
          <w:lang w:eastAsia="en-US"/>
        </w:rPr>
        <w:t>, které mají zájem zapojit se do projektu jako poskytovatelé stáží.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V rámci nabídky požadujeme vizuální návrh kreativního řešení kampaně:</w:t>
      </w:r>
    </w:p>
    <w:p w:rsidR="002757C3" w:rsidRPr="002757C3" w:rsidRDefault="002757C3" w:rsidP="002757C3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návrhy jednotlivých grafických prvků včetně popisu</w:t>
      </w:r>
    </w:p>
    <w:p w:rsidR="002757C3" w:rsidRPr="002757C3" w:rsidRDefault="002757C3" w:rsidP="002757C3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maketa tiskového inzerátu s použitím navržených grafických prvků, včetně zdůvodnění zvoleného postupu, </w:t>
      </w:r>
    </w:p>
    <w:p w:rsidR="002757C3" w:rsidRPr="002757C3" w:rsidRDefault="002757C3" w:rsidP="002757C3">
      <w:pPr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maketa banneru, letáku a plakátu.</w:t>
      </w:r>
    </w:p>
    <w:p w:rsidR="002757C3" w:rsidRPr="00E920ED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Návrh layoutu kampaně bude zpracovaný v tištěné verzi v následujících formátech pro výše </w:t>
      </w:r>
      <w:r w:rsidRPr="00E920ED">
        <w:rPr>
          <w:rFonts w:ascii="Arial" w:eastAsia="Calibri" w:hAnsi="Arial" w:cs="Arial"/>
          <w:sz w:val="22"/>
          <w:szCs w:val="22"/>
          <w:lang w:eastAsia="en-US"/>
        </w:rPr>
        <w:t>specifikovaných 5 cílových skupin, tj. pro každou cílovou skupinu pět typů vizuálů:</w:t>
      </w:r>
    </w:p>
    <w:p w:rsidR="002757C3" w:rsidRPr="00E920ED" w:rsidRDefault="002757C3" w:rsidP="002757C3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920ED">
        <w:rPr>
          <w:rFonts w:ascii="Arial" w:eastAsia="Calibri" w:hAnsi="Arial" w:cs="Arial"/>
          <w:sz w:val="22"/>
          <w:szCs w:val="22"/>
          <w:lang w:eastAsia="en-US"/>
        </w:rPr>
        <w:t>Celostránková barevná inzerce A4</w:t>
      </w:r>
    </w:p>
    <w:p w:rsidR="002757C3" w:rsidRPr="00E920ED" w:rsidRDefault="002757C3" w:rsidP="002757C3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920ED">
        <w:rPr>
          <w:rFonts w:ascii="Arial" w:eastAsia="Calibri" w:hAnsi="Arial" w:cs="Arial"/>
          <w:sz w:val="22"/>
          <w:szCs w:val="22"/>
          <w:lang w:eastAsia="en-US"/>
        </w:rPr>
        <w:t>Banner pro internetové prohlížeče (</w:t>
      </w:r>
      <w:proofErr w:type="spellStart"/>
      <w:r w:rsidRPr="00E920ED">
        <w:rPr>
          <w:rFonts w:ascii="Arial" w:eastAsia="Calibri" w:hAnsi="Arial" w:cs="Arial"/>
          <w:sz w:val="22"/>
          <w:szCs w:val="22"/>
          <w:lang w:eastAsia="en-US"/>
        </w:rPr>
        <w:t>fullbanner</w:t>
      </w:r>
      <w:proofErr w:type="spellEnd"/>
      <w:r w:rsidRPr="00E920ED">
        <w:rPr>
          <w:rFonts w:ascii="Arial" w:eastAsia="Calibri" w:hAnsi="Arial" w:cs="Arial"/>
          <w:sz w:val="22"/>
          <w:szCs w:val="22"/>
          <w:lang w:eastAsia="en-US"/>
        </w:rPr>
        <w:t>, 468x60 pixelů)</w:t>
      </w:r>
    </w:p>
    <w:p w:rsidR="002757C3" w:rsidRPr="00E920ED" w:rsidRDefault="002757C3" w:rsidP="002757C3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920ED">
        <w:rPr>
          <w:rFonts w:ascii="Arial" w:eastAsia="Calibri" w:hAnsi="Arial" w:cs="Arial"/>
          <w:sz w:val="22"/>
          <w:szCs w:val="22"/>
          <w:lang w:eastAsia="en-US"/>
        </w:rPr>
        <w:t>Banner pro internetové prohlížeče (čtvercový/ square, 250x250 pixelů)</w:t>
      </w:r>
    </w:p>
    <w:p w:rsidR="002757C3" w:rsidRPr="00E920ED" w:rsidRDefault="002757C3" w:rsidP="002757C3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920ED">
        <w:rPr>
          <w:rFonts w:ascii="Arial" w:eastAsia="Calibri" w:hAnsi="Arial" w:cs="Arial"/>
          <w:sz w:val="22"/>
          <w:szCs w:val="22"/>
          <w:lang w:eastAsia="en-US"/>
        </w:rPr>
        <w:t>Banner pro internetové prohlížeče (</w:t>
      </w:r>
      <w:proofErr w:type="spellStart"/>
      <w:r w:rsidRPr="00E920ED">
        <w:rPr>
          <w:rFonts w:ascii="Arial" w:eastAsia="Calibri" w:hAnsi="Arial" w:cs="Arial"/>
          <w:sz w:val="22"/>
          <w:szCs w:val="22"/>
          <w:lang w:eastAsia="en-US"/>
        </w:rPr>
        <w:t>leaderboard</w:t>
      </w:r>
      <w:proofErr w:type="spellEnd"/>
      <w:r w:rsidRPr="00E920ED">
        <w:rPr>
          <w:rFonts w:ascii="Arial" w:eastAsia="Calibri" w:hAnsi="Arial" w:cs="Arial"/>
          <w:sz w:val="22"/>
          <w:szCs w:val="22"/>
          <w:lang w:eastAsia="en-US"/>
        </w:rPr>
        <w:t>, cca 745x100 pixelů)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ind w:left="720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 xml:space="preserve">Součástí této Zadávací dokumentace je i </w:t>
      </w:r>
      <w:proofErr w:type="spellStart"/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mediaplán</w:t>
      </w:r>
      <w:proofErr w:type="spellEnd"/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, který stanovuje minimální požadavky na konkrétní média. Konkrétní rozložení kampaně do jednotlivých médií je pak součástí návrhu Uchazeče, který bude posuzován v rámci hodnotícího kritéria č. 2. Uchazeč musí zohlednit, že kampaň má zasáhnout alespoň 50% ekonomicky aktivní populace.</w:t>
      </w:r>
    </w:p>
    <w:p w:rsidR="00E920ED" w:rsidRPr="002E4187" w:rsidRDefault="002757C3" w:rsidP="002E4187">
      <w:pPr>
        <w:widowControl/>
        <w:overflowPunct/>
        <w:autoSpaceDE/>
        <w:autoSpaceDN/>
        <w:adjustRightInd/>
        <w:spacing w:after="4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 xml:space="preserve">Uchazeč zároveň do nabídky kampaně zahrne i cenu za mediální prostor v tištěných médiích, který nebude mít v kampani fixní období zveřejnění. Zadavatel požaduje alespoň 5 výstupů 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(z toho 2 x celostránková prezentace ve formátu A4 v časopisech z kategorie ekonomické a názorové tituly nebo A3 v denících nebo specializovaných přílohách deníků se zaměřením na vzdělávání a zaměstnání, 3 x pak půlstránková 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lastRenderedPageBreak/>
        <w:t>prezentace dle formátu vybraného média z výše uvedených dvou kategorií). Těchto 5 výstupů formou PR článků</w:t>
      </w:r>
      <w:r w:rsidR="006E0458" w:rsidRPr="000E1D23">
        <w:rPr>
          <w:rFonts w:ascii="Arial" w:eastAsia="Calibri" w:hAnsi="Arial" w:cs="Arial"/>
          <w:sz w:val="22"/>
          <w:szCs w:val="22"/>
          <w:lang w:eastAsia="en-US"/>
        </w:rPr>
        <w:t xml:space="preserve">, jejichž obsah i grafické zpracování dodá sám Zadavatel a které jsou nad rámec 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>výše specifikované standardní inzerce celé kampaně</w:t>
      </w:r>
      <w:r w:rsidR="006E0458" w:rsidRPr="000E1D23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 bude zveřejněno dle potřeb projektového týmu v průběhu projektu. Hlavním cílem je zajištění pozitivního obrazu projektu. Konkrétní tituly a formáty uvede uchazeč v tabulce </w:t>
      </w:r>
      <w:r w:rsidR="00584A2E" w:rsidRPr="000E1D23">
        <w:rPr>
          <w:rFonts w:ascii="Arial" w:eastAsia="Calibri" w:hAnsi="Arial" w:cs="Arial"/>
          <w:sz w:val="22"/>
          <w:szCs w:val="22"/>
          <w:lang w:eastAsia="en-US"/>
        </w:rPr>
        <w:t>Přílohy č. 6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 ve vyznačených polích</w:t>
      </w:r>
      <w:r w:rsidRPr="002E4187">
        <w:rPr>
          <w:rFonts w:ascii="Arial" w:eastAsia="Calibri" w:hAnsi="Arial" w:cs="Arial"/>
          <w:sz w:val="22"/>
          <w:szCs w:val="22"/>
          <w:lang w:eastAsia="en-US"/>
        </w:rPr>
        <w:t>.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 Zadavatel požaduje zveřejnění výstupů </w:t>
      </w:r>
      <w:r w:rsidR="000412B1" w:rsidRPr="002E4187">
        <w:rPr>
          <w:rFonts w:ascii="Arial" w:eastAsia="Calibri" w:hAnsi="Arial" w:cs="Arial"/>
          <w:sz w:val="22"/>
          <w:szCs w:val="22"/>
          <w:lang w:eastAsia="en-US"/>
        </w:rPr>
        <w:t>(PR článků) v ná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>sled</w:t>
      </w:r>
      <w:r w:rsidR="000412B1" w:rsidRPr="002E4187">
        <w:rPr>
          <w:rFonts w:ascii="Arial" w:eastAsia="Calibri" w:hAnsi="Arial" w:cs="Arial"/>
          <w:sz w:val="22"/>
          <w:szCs w:val="22"/>
          <w:lang w:eastAsia="en-US"/>
        </w:rPr>
        <w:t>ujících lhůtách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E920ED" w:rsidRPr="002E4187" w:rsidRDefault="000412B1" w:rsidP="000412B1">
      <w:pPr>
        <w:widowControl/>
        <w:numPr>
          <w:ilvl w:val="0"/>
          <w:numId w:val="19"/>
        </w:numPr>
        <w:overflowPunct/>
        <w:autoSpaceDE/>
        <w:autoSpaceDN/>
        <w:adjustRightInd/>
        <w:spacing w:after="40" w:line="276" w:lineRule="auto"/>
        <w:ind w:left="714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E4187">
        <w:rPr>
          <w:rFonts w:ascii="Arial" w:eastAsia="Calibri" w:hAnsi="Arial" w:cs="Arial"/>
          <w:sz w:val="22"/>
          <w:szCs w:val="22"/>
          <w:lang w:eastAsia="en-US"/>
        </w:rPr>
        <w:t>v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 deníku do dvou dnů od vznesení požadavku</w:t>
      </w:r>
      <w:r w:rsidRPr="002E4187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E920ED" w:rsidRPr="002E4187" w:rsidRDefault="00E920ED" w:rsidP="000412B1">
      <w:pPr>
        <w:widowControl/>
        <w:numPr>
          <w:ilvl w:val="0"/>
          <w:numId w:val="19"/>
        </w:numPr>
        <w:overflowPunct/>
        <w:autoSpaceDE/>
        <w:autoSpaceDN/>
        <w:adjustRightInd/>
        <w:spacing w:after="40" w:line="276" w:lineRule="auto"/>
        <w:ind w:left="714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E4187">
        <w:rPr>
          <w:rFonts w:ascii="Arial" w:eastAsia="Calibri" w:hAnsi="Arial" w:cs="Arial"/>
          <w:sz w:val="22"/>
          <w:szCs w:val="22"/>
          <w:lang w:eastAsia="en-US"/>
        </w:rPr>
        <w:t xml:space="preserve">v týdeníku do jeho nejbližšího vydání, pokud bude požadavek vznesen nejpozději 3 pracovní dny před vydáním požadovaného čísla; bude-li požadavek vznesen </w:t>
      </w:r>
      <w:r w:rsidR="000412B1" w:rsidRPr="002E4187">
        <w:rPr>
          <w:rFonts w:ascii="Arial" w:eastAsia="Calibri" w:hAnsi="Arial" w:cs="Arial"/>
          <w:sz w:val="22"/>
          <w:szCs w:val="22"/>
          <w:lang w:eastAsia="en-US"/>
        </w:rPr>
        <w:t>později, bude výstup zveřejněn v následujícím vydání,</w:t>
      </w:r>
    </w:p>
    <w:p w:rsidR="00E920ED" w:rsidRPr="002E4187" w:rsidRDefault="000412B1" w:rsidP="000412B1">
      <w:pPr>
        <w:widowControl/>
        <w:numPr>
          <w:ilvl w:val="0"/>
          <w:numId w:val="19"/>
        </w:numPr>
        <w:overflowPunct/>
        <w:autoSpaceDE/>
        <w:autoSpaceDN/>
        <w:adjustRightInd/>
        <w:spacing w:after="120" w:line="276" w:lineRule="auto"/>
        <w:ind w:left="714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E4187">
        <w:rPr>
          <w:rFonts w:ascii="Arial" w:eastAsia="Calibri" w:hAnsi="Arial" w:cs="Arial"/>
          <w:sz w:val="22"/>
          <w:szCs w:val="22"/>
          <w:lang w:eastAsia="en-US"/>
        </w:rPr>
        <w:t>v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 měsíčník</w:t>
      </w:r>
      <w:r w:rsidRPr="002E4187">
        <w:rPr>
          <w:rFonts w:ascii="Arial" w:eastAsia="Calibri" w:hAnsi="Arial" w:cs="Arial"/>
          <w:sz w:val="22"/>
          <w:szCs w:val="22"/>
          <w:lang w:eastAsia="en-US"/>
        </w:rPr>
        <w:t>u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 do nejbližšího vydání při vznesení požadavku nejpozději 10 pracovních dnů před vydáním požadovaného čísla</w:t>
      </w:r>
      <w:r w:rsidRPr="002E4187">
        <w:rPr>
          <w:rFonts w:ascii="Arial" w:eastAsia="Calibri" w:hAnsi="Arial" w:cs="Arial"/>
          <w:sz w:val="22"/>
          <w:szCs w:val="22"/>
          <w:lang w:eastAsia="en-US"/>
        </w:rPr>
        <w:t>; bude-li požadavek vznesen později, bude výstup zveřejněn v následujícím vydání.</w:t>
      </w:r>
    </w:p>
    <w:p w:rsidR="00E920ED" w:rsidRPr="002E4187" w:rsidRDefault="000412B1" w:rsidP="000412B1">
      <w:pPr>
        <w:widowControl/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E4187">
        <w:rPr>
          <w:rFonts w:ascii="Arial" w:eastAsia="Calibri" w:hAnsi="Arial" w:cs="Arial"/>
          <w:sz w:val="22"/>
          <w:szCs w:val="22"/>
          <w:lang w:eastAsia="en-US"/>
        </w:rPr>
        <w:t>P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odklady </w:t>
      </w:r>
      <w:r w:rsidRPr="002E4187">
        <w:rPr>
          <w:rFonts w:ascii="Arial" w:eastAsia="Calibri" w:hAnsi="Arial" w:cs="Arial"/>
          <w:sz w:val="22"/>
          <w:szCs w:val="22"/>
          <w:lang w:eastAsia="en-US"/>
        </w:rPr>
        <w:t xml:space="preserve">budou Zadavatelem dodány 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dle požadavků </w:t>
      </w:r>
      <w:r w:rsidRPr="002E4187">
        <w:rPr>
          <w:rFonts w:ascii="Arial" w:eastAsia="Calibri" w:hAnsi="Arial" w:cs="Arial"/>
          <w:sz w:val="22"/>
          <w:szCs w:val="22"/>
          <w:lang w:eastAsia="en-US"/>
        </w:rPr>
        <w:t>příslušného</w:t>
      </w:r>
      <w:r w:rsidR="00E920ED" w:rsidRPr="002E4187">
        <w:rPr>
          <w:rFonts w:ascii="Arial" w:eastAsia="Calibri" w:hAnsi="Arial" w:cs="Arial"/>
          <w:sz w:val="22"/>
          <w:szCs w:val="22"/>
          <w:lang w:eastAsia="en-US"/>
        </w:rPr>
        <w:t xml:space="preserve"> média.</w:t>
      </w:r>
    </w:p>
    <w:p w:rsidR="00E920ED" w:rsidRPr="000E1D23" w:rsidRDefault="00E920ED" w:rsidP="000412B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584A2E" w:rsidRPr="000E1D23" w:rsidRDefault="00584A2E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proofErr w:type="spellStart"/>
      <w:r w:rsidRPr="000E1D23">
        <w:rPr>
          <w:rFonts w:ascii="Arial" w:eastAsia="Calibri" w:hAnsi="Arial" w:cs="Arial"/>
          <w:sz w:val="22"/>
          <w:szCs w:val="22"/>
          <w:lang w:eastAsia="en-US"/>
        </w:rPr>
        <w:t>nacenění</w:t>
      </w:r>
      <w:proofErr w:type="spellEnd"/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 kampaně bude uchazeč vycházet z požadavků v </w:t>
      </w:r>
      <w:proofErr w:type="spellStart"/>
      <w:r w:rsidRPr="000E1D23">
        <w:rPr>
          <w:rFonts w:ascii="Arial" w:eastAsia="Calibri" w:hAnsi="Arial" w:cs="Arial"/>
          <w:sz w:val="22"/>
          <w:szCs w:val="22"/>
          <w:lang w:eastAsia="en-US"/>
        </w:rPr>
        <w:t>mediaplánu</w:t>
      </w:r>
      <w:proofErr w:type="spellEnd"/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B3EC6" w:rsidRPr="000E1D23">
        <w:rPr>
          <w:rFonts w:ascii="Arial" w:eastAsia="Calibri" w:hAnsi="Arial" w:cs="Arial"/>
          <w:sz w:val="22"/>
          <w:szCs w:val="22"/>
          <w:lang w:eastAsia="en-US"/>
        </w:rPr>
        <w:t xml:space="preserve">a zohlední 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>požadavek na alokaci zdrojů na jednotlivé typy médií:</w:t>
      </w:r>
    </w:p>
    <w:p w:rsidR="00584A2E" w:rsidRPr="000E1D23" w:rsidRDefault="00584A2E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Tištěná média: 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ab/>
      </w:r>
      <w:r w:rsidRPr="000E1D23">
        <w:rPr>
          <w:rFonts w:ascii="Arial" w:eastAsia="Calibri" w:hAnsi="Arial" w:cs="Arial"/>
          <w:b/>
          <w:sz w:val="22"/>
          <w:szCs w:val="22"/>
          <w:lang w:eastAsia="en-US"/>
        </w:rPr>
        <w:t>2 200 000,- Kč bez DPH</w:t>
      </w:r>
    </w:p>
    <w:p w:rsidR="00584A2E" w:rsidRPr="000E1D23" w:rsidRDefault="00584A2E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Internet: 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ab/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ab/>
      </w:r>
      <w:r w:rsidRPr="000E1D23">
        <w:rPr>
          <w:rFonts w:ascii="Arial" w:eastAsia="Calibri" w:hAnsi="Arial" w:cs="Arial"/>
          <w:b/>
          <w:sz w:val="22"/>
          <w:szCs w:val="22"/>
          <w:lang w:eastAsia="en-US"/>
        </w:rPr>
        <w:t>3 300 000,- Kč bez DPH</w:t>
      </w:r>
    </w:p>
    <w:p w:rsidR="00584A2E" w:rsidRPr="000E1D23" w:rsidRDefault="001E463C" w:rsidP="00584A2E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0E1D23">
        <w:rPr>
          <w:rFonts w:ascii="Arial" w:eastAsia="Calibri" w:hAnsi="Arial" w:cs="Arial"/>
          <w:sz w:val="22"/>
          <w:szCs w:val="22"/>
          <w:lang w:eastAsia="en-US"/>
        </w:rPr>
        <w:t>Orientační</w:t>
      </w:r>
      <w:r w:rsidR="00584A2E" w:rsidRPr="000E1D23">
        <w:rPr>
          <w:rFonts w:ascii="Arial" w:eastAsia="Calibri" w:hAnsi="Arial" w:cs="Arial"/>
          <w:sz w:val="22"/>
          <w:szCs w:val="22"/>
          <w:lang w:eastAsia="en-US"/>
        </w:rPr>
        <w:t xml:space="preserve"> výše investic pro jednotlivé měsíce kampaně jsou rovněž uvedeny v tabulce v Příloze č. 6. U prvních 4 částí kampaně (tj. říjen-listopad 2012, prosinec 12 – leden 13, březen – duben 13 a květen – červen 13) Zadavatel upřednostňuje vyšší intenzitu kampaně.</w:t>
      </w:r>
      <w:r w:rsidR="00FB3EC6" w:rsidRPr="000E1D23">
        <w:rPr>
          <w:rFonts w:ascii="Arial" w:eastAsia="Calibri" w:hAnsi="Arial" w:cs="Arial"/>
          <w:sz w:val="22"/>
          <w:szCs w:val="22"/>
          <w:lang w:eastAsia="en-US"/>
        </w:rPr>
        <w:t xml:space="preserve"> V rámci k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>ampa</w:t>
      </w:r>
      <w:r w:rsidR="00FB3EC6" w:rsidRPr="000E1D23">
        <w:rPr>
          <w:rFonts w:ascii="Arial" w:eastAsia="Calibri" w:hAnsi="Arial" w:cs="Arial"/>
          <w:sz w:val="22"/>
          <w:szCs w:val="22"/>
          <w:lang w:eastAsia="en-US"/>
        </w:rPr>
        <w:t>ně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 musí </w:t>
      </w:r>
      <w:r w:rsidR="00FB3EC6" w:rsidRPr="000E1D23">
        <w:rPr>
          <w:rFonts w:ascii="Arial" w:eastAsia="Calibri" w:hAnsi="Arial" w:cs="Arial"/>
          <w:sz w:val="22"/>
          <w:szCs w:val="22"/>
          <w:lang w:eastAsia="en-US"/>
        </w:rPr>
        <w:t>být realizovány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 xml:space="preserve"> všechny části uvedené v</w:t>
      </w:r>
      <w:r w:rsidR="00FB3EC6" w:rsidRPr="000E1D23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0E1D23">
        <w:rPr>
          <w:rFonts w:ascii="Arial" w:eastAsia="Calibri" w:hAnsi="Arial" w:cs="Arial"/>
          <w:sz w:val="22"/>
          <w:szCs w:val="22"/>
          <w:lang w:eastAsia="en-US"/>
        </w:rPr>
        <w:t>harmonogramu</w:t>
      </w:r>
      <w:r w:rsidR="00FB3EC6" w:rsidRPr="000E1D23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584A2E" w:rsidRDefault="00584A2E" w:rsidP="00584A2E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Upozorňujeme, že cena za 5 výstupů, které Zadavatel požaduje, je již zahrnuta do celkového rozpočtu na tištěná média, tedy do částky 2 200 000,- Kč. </w:t>
      </w:r>
    </w:p>
    <w:p w:rsidR="00584A2E" w:rsidRDefault="00584A2E" w:rsidP="002E4187">
      <w:pPr>
        <w:widowControl/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4A2E">
        <w:rPr>
          <w:rFonts w:ascii="Arial" w:eastAsia="Calibri" w:hAnsi="Arial" w:cs="Arial"/>
          <w:b/>
          <w:sz w:val="22"/>
          <w:szCs w:val="22"/>
          <w:lang w:eastAsia="en-US"/>
        </w:rPr>
        <w:t>Celková částka pro kampaň</w:t>
      </w:r>
      <w:r w:rsidR="001E463C">
        <w:rPr>
          <w:rFonts w:ascii="Arial" w:eastAsia="Calibri" w:hAnsi="Arial" w:cs="Arial"/>
          <w:b/>
          <w:sz w:val="22"/>
          <w:szCs w:val="22"/>
          <w:lang w:eastAsia="en-US"/>
        </w:rPr>
        <w:t xml:space="preserve"> v tištěných médiích a na internetu</w:t>
      </w:r>
      <w:r w:rsidRPr="00584A2E">
        <w:rPr>
          <w:rFonts w:ascii="Arial" w:eastAsia="Calibri" w:hAnsi="Arial" w:cs="Arial"/>
          <w:b/>
          <w:sz w:val="22"/>
          <w:szCs w:val="22"/>
          <w:lang w:eastAsia="en-US"/>
        </w:rPr>
        <w:t>, tj. 5 500 000,- Kč, nesmí být překročena!</w:t>
      </w:r>
    </w:p>
    <w:p w:rsidR="00E920ED" w:rsidRPr="002757C3" w:rsidRDefault="00E920ED" w:rsidP="002E4187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2E4187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 xml:space="preserve">Veškeré výstupy budou v souladu s pravidly vizuální identity operačního programu Vzdělávání pro konkurenceschopnost (OPVK), </w:t>
      </w:r>
      <w:proofErr w:type="spellStart"/>
      <w:r w:rsidRPr="002E4187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>Logomanuálem</w:t>
      </w:r>
      <w:proofErr w:type="spellEnd"/>
      <w:r w:rsidRPr="002E4187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 xml:space="preserve"> loga projektu Stáže ve firmách – vzdělávání praxí a </w:t>
      </w:r>
      <w:proofErr w:type="spellStart"/>
      <w:r w:rsidRPr="002E4187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>Logomanuálem</w:t>
      </w:r>
      <w:proofErr w:type="spellEnd"/>
      <w:r w:rsidRPr="002E4187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 xml:space="preserve"> loga Fondu dalšího vzdělávání. Zároveň Zadavatel požaduje, aby na dodaném plnění nebyla uvedena loga Uchazeče</w:t>
      </w:r>
      <w:r w:rsidRPr="002757C3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.</w:t>
      </w:r>
    </w:p>
    <w:p w:rsidR="002757C3" w:rsidRPr="000E1D23" w:rsidRDefault="002757C3" w:rsidP="000E1D2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color w:val="FFFFFF"/>
          <w:sz w:val="22"/>
          <w:szCs w:val="22"/>
          <w:u w:val="single"/>
          <w:lang w:eastAsia="en-US"/>
        </w:rPr>
      </w:pPr>
      <w:r w:rsidRPr="000E1D23">
        <w:rPr>
          <w:rFonts w:ascii="Arial" w:eastAsia="Calibri" w:hAnsi="Arial" w:cs="Arial"/>
          <w:b/>
          <w:color w:val="FFFFFF"/>
          <w:sz w:val="22"/>
          <w:szCs w:val="22"/>
          <w:u w:val="single"/>
          <w:lang w:eastAsia="en-US"/>
        </w:rPr>
        <w:t>Část plnění veřejné zakázky B):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lang w:eastAsia="en-US"/>
        </w:rPr>
        <w:t>V rámci této části plnění Uchazeč předloží návrh mediálního prostoru v tištěných médiích dle níže uvedených požadavků: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Pro projekt „Vzdělávání uchazečů o zaměstnání v oblasti socioekonomických kompetencí“</w:t>
      </w:r>
      <w:r w:rsid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,</w:t>
      </w:r>
      <w:r w:rsidR="00957BAD" w:rsidRP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="00957BAD" w:rsidRP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reg</w:t>
      </w:r>
      <w:proofErr w:type="spellEnd"/>
      <w:r w:rsidR="00957BAD" w:rsidRP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. </w:t>
      </w:r>
      <w:proofErr w:type="gramStart"/>
      <w:r w:rsidR="00957BAD" w:rsidRP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číslo</w:t>
      </w:r>
      <w:proofErr w:type="gramEnd"/>
      <w:r w:rsidR="00957BAD" w:rsidRP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: CZ.1.04/2.1.00/03.00016, (Výzva č. 03 OP LZZ)</w:t>
      </w:r>
      <w:r w:rsidRPr="002757C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: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Min. 8 výstupů pro zveřejnění PR článků</w:t>
      </w: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 vytvořených zadavatelem (Uchazeč nemusí zpracovávat obsah ani grafickou podobu zveřejněných výstupů projektu – tyto podkladové materiály v požadovaném formátu dodá Zadavatel).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u w:val="single"/>
          <w:lang w:eastAsia="en-US"/>
        </w:rPr>
        <w:t>Formát</w:t>
      </w:r>
      <w:r w:rsidRPr="002757C3">
        <w:rPr>
          <w:rFonts w:ascii="Arial" w:eastAsia="Calibri" w:hAnsi="Arial" w:cs="Arial"/>
          <w:sz w:val="22"/>
          <w:szCs w:val="22"/>
          <w:lang w:eastAsia="en-US"/>
        </w:rPr>
        <w:t>: celostránková inzerce – tj. u časopisů formátu A4 celá strana A4 (cca 210 x 297 mm), u novin pak celá strana A3 (cca 397 x 420 mm).</w:t>
      </w:r>
    </w:p>
    <w:p w:rsidR="002757C3" w:rsidRPr="002757C3" w:rsidRDefault="002757C3" w:rsidP="002757C3">
      <w:pPr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3 x v titulech spadajících do kategorie ekonomické a názorové tituly (týdeníky, měsíčníky)</w:t>
      </w:r>
    </w:p>
    <w:p w:rsidR="0075693F" w:rsidRDefault="002757C3" w:rsidP="0075693F">
      <w:pPr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2 x v titulech spadajících do kategorie specializované přílohy vybraných deníků se zaměřením na zaměstnání a vzdělávání</w:t>
      </w:r>
    </w:p>
    <w:p w:rsidR="0075693F" w:rsidRDefault="0075693F" w:rsidP="006D6310">
      <w:pPr>
        <w:widowControl/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5693F" w:rsidRPr="0075693F" w:rsidRDefault="0075693F" w:rsidP="006D63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Stručný popis cílové skupiny projektu: osoby na trhu práce, především uchazeči o zaměstnání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Pro projekt „Koordinace profesního vzdělávání jako nástroje zaměstnanosti</w:t>
      </w:r>
      <w:r w:rsidR="00957BA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, (Výzva č. 11 OP LZZ)</w:t>
      </w:r>
      <w:r w:rsidR="00957BAD" w:rsidRPr="00957BAD">
        <w:rPr>
          <w:rFonts w:ascii="Arial" w:hAnsi="Arial" w:cs="Arial"/>
        </w:rPr>
        <w:t>,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8 výstupů pro zveřejnění PR článků</w:t>
      </w:r>
      <w:r w:rsidRPr="002757C3">
        <w:rPr>
          <w:rFonts w:ascii="Arial" w:eastAsia="Calibri" w:hAnsi="Arial" w:cs="Arial"/>
          <w:sz w:val="22"/>
          <w:szCs w:val="22"/>
          <w:lang w:eastAsia="en-US"/>
        </w:rPr>
        <w:t xml:space="preserve"> vytvořených zadavatelem (Uchazeč nemusí zpracovávat obsah ani grafickou podobu zveřejněných výstupů projektu – tyto podkladové materiály v požadovaném formátu dodá Zadavatel).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sz w:val="22"/>
          <w:szCs w:val="22"/>
          <w:u w:val="single"/>
          <w:lang w:eastAsia="en-US"/>
        </w:rPr>
        <w:t>Formát</w:t>
      </w:r>
      <w:r w:rsidRPr="002757C3">
        <w:rPr>
          <w:rFonts w:ascii="Arial" w:eastAsia="Calibri" w:hAnsi="Arial" w:cs="Arial"/>
          <w:sz w:val="22"/>
          <w:szCs w:val="22"/>
          <w:lang w:eastAsia="en-US"/>
        </w:rPr>
        <w:t>: celostránková inzerce – tj. u časopisů formátu A4 celá strana A4 (cca 210 x 297 mm), u novin pak celá strana A3 (cca 397 x 420 mm).</w:t>
      </w:r>
    </w:p>
    <w:p w:rsidR="002757C3" w:rsidRPr="002757C3" w:rsidRDefault="002757C3" w:rsidP="002757C3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4 x v titulech spadajících do kategorie časopisy se zaměřením na rozvoj a vzdělávání dospělých, min. náklad 1 200 ks/čtvrtletí, distribuce na cílovou skupinu osob zainteresovaných v oblasti vzdělávání dospělých</w:t>
      </w:r>
    </w:p>
    <w:p w:rsidR="002757C3" w:rsidRPr="002757C3" w:rsidRDefault="002757C3" w:rsidP="002757C3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2 x v titulech spadajících do kategorie odborné časopisy a noviny v oblasti vzdělávání dospělých a zaměstnanosti</w:t>
      </w:r>
    </w:p>
    <w:p w:rsidR="002757C3" w:rsidRPr="002757C3" w:rsidRDefault="002757C3" w:rsidP="002757C3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1 x v titulech spadajících do kategorie ekonomické a názorové tituly (týdeníky, měsíčníky)</w:t>
      </w:r>
    </w:p>
    <w:p w:rsidR="00654582" w:rsidRPr="002757C3" w:rsidRDefault="002757C3" w:rsidP="002757C3">
      <w:pPr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Min. 1 x v titulech spadajících do kategorie specializované přílohy vybraných deníků se zaměřením na zaměstnání a vzdělávání</w:t>
      </w:r>
    </w:p>
    <w:p w:rsidR="00F945DB" w:rsidRPr="003D19C1" w:rsidRDefault="00F945DB" w:rsidP="006D6310">
      <w:pPr>
        <w:widowControl/>
        <w:overflowPunct/>
        <w:autoSpaceDE/>
        <w:autoSpaceDN/>
        <w:adjustRightInd/>
        <w:spacing w:after="200" w:line="276" w:lineRule="auto"/>
        <w:ind w:left="720"/>
        <w:contextualSpacing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5693F" w:rsidRDefault="0075693F" w:rsidP="006D63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Stručný popis cílové skupiny: pracovníci ve službách zaměstnanosti, tj. úřady práce a jejich zaměstnanci na všech úrovních, zaměstnanci relevantních sekcí M</w:t>
      </w:r>
      <w:r w:rsidR="009138EB">
        <w:rPr>
          <w:rFonts w:ascii="Arial" w:eastAsia="Calibri" w:hAnsi="Arial" w:cs="Arial"/>
          <w:b/>
          <w:sz w:val="22"/>
          <w:szCs w:val="22"/>
          <w:lang w:eastAsia="en-US"/>
        </w:rPr>
        <w:t xml:space="preserve">inisterstva práce a sociálních věcí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(sekce IV)</w:t>
      </w:r>
    </w:p>
    <w:p w:rsidR="002757C3" w:rsidRPr="002757C3" w:rsidRDefault="002757C3" w:rsidP="002757C3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7C3">
        <w:rPr>
          <w:rFonts w:ascii="Arial" w:eastAsia="Calibri" w:hAnsi="Arial" w:cs="Arial"/>
          <w:b/>
          <w:sz w:val="22"/>
          <w:szCs w:val="22"/>
          <w:lang w:eastAsia="en-US"/>
        </w:rPr>
        <w:t>Součástí nabídky pro tuto část B) bude: návrh konkrétních titulů splňujících minimální požadavky pro oba projekty a cena za inzerci v požadovaných formátech. Uchazeč vyplní tabulku pro každý projekt zvlášť</w:t>
      </w:r>
      <w:r w:rsidR="006D6310">
        <w:rPr>
          <w:rFonts w:ascii="Arial" w:eastAsia="Calibri" w:hAnsi="Arial" w:cs="Arial"/>
          <w:b/>
          <w:sz w:val="22"/>
          <w:szCs w:val="22"/>
          <w:lang w:eastAsia="en-US"/>
        </w:rPr>
        <w:t xml:space="preserve"> – </w:t>
      </w:r>
      <w:proofErr w:type="gramStart"/>
      <w:r w:rsidR="006D6310">
        <w:rPr>
          <w:rFonts w:ascii="Arial" w:eastAsia="Calibri" w:hAnsi="Arial" w:cs="Arial"/>
          <w:b/>
          <w:sz w:val="22"/>
          <w:szCs w:val="22"/>
          <w:lang w:eastAsia="en-US"/>
        </w:rPr>
        <w:t>viz.</w:t>
      </w:r>
      <w:proofErr w:type="gramEnd"/>
      <w:r w:rsidR="006D6310">
        <w:rPr>
          <w:rFonts w:ascii="Arial" w:eastAsia="Calibri" w:hAnsi="Arial" w:cs="Arial"/>
          <w:b/>
          <w:sz w:val="22"/>
          <w:szCs w:val="22"/>
          <w:lang w:eastAsia="en-US"/>
        </w:rPr>
        <w:t xml:space="preserve"> Příloha č. 6</w:t>
      </w:r>
      <w:r w:rsidR="008F1DA2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3C27E6" w:rsidRPr="00E27ABB" w:rsidRDefault="00767799" w:rsidP="00E27ABB">
      <w:pPr>
        <w:jc w:val="both"/>
        <w:rPr>
          <w:rFonts w:ascii="Arial" w:hAnsi="Arial" w:cs="Arial"/>
          <w:sz w:val="20"/>
          <w:szCs w:val="20"/>
          <w:u w:val="single"/>
        </w:rPr>
      </w:pPr>
      <w:r w:rsidRPr="00767799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Veškeré výstupy budou v souladu s pravidly vizuální identity operačního programu </w:t>
      </w:r>
      <w:r w:rsidRPr="00E27ABB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Lidské zdroje a zaměstnanost (OP LZZ)</w:t>
      </w:r>
      <w:r w:rsidR="002C06E8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a</w:t>
      </w:r>
      <w:r w:rsidRPr="00E27ABB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 </w:t>
      </w:r>
      <w:proofErr w:type="spellStart"/>
      <w:r w:rsidRPr="00E27ABB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Logomanuálem</w:t>
      </w:r>
      <w:proofErr w:type="spellEnd"/>
      <w:r w:rsidRPr="00E27ABB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 loga Fondu dalšího vzdělávání. Zároveň Zadavatel požaduje, aby na dodaném plnění nebyla uvedena loga Uchazeče.</w:t>
      </w:r>
    </w:p>
    <w:p w:rsidR="003C27E6" w:rsidRPr="00760083" w:rsidRDefault="003C27E6" w:rsidP="00760083">
      <w:pPr>
        <w:spacing w:line="360" w:lineRule="auto"/>
        <w:jc w:val="center"/>
        <w:rPr>
          <w:rFonts w:ascii="Arial" w:hAnsi="Arial" w:cs="Arial"/>
          <w:u w:val="single"/>
        </w:rPr>
      </w:pPr>
    </w:p>
    <w:p w:rsidR="008E685C" w:rsidRPr="00760083" w:rsidRDefault="008E685C" w:rsidP="00760083">
      <w:pPr>
        <w:widowControl/>
        <w:spacing w:line="360" w:lineRule="auto"/>
        <w:jc w:val="both"/>
        <w:rPr>
          <w:rFonts w:ascii="Arial" w:hAnsi="Arial" w:cs="Arial"/>
        </w:rPr>
      </w:pPr>
    </w:p>
    <w:sectPr w:rsidR="008E685C" w:rsidRPr="00760083" w:rsidSect="00362CC0">
      <w:headerReference w:type="even" r:id="rId8"/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8B" w:rsidRDefault="00834D8B">
      <w:r>
        <w:separator/>
      </w:r>
    </w:p>
  </w:endnote>
  <w:endnote w:type="continuationSeparator" w:id="0">
    <w:p w:rsidR="00834D8B" w:rsidRDefault="008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00" w:rsidRDefault="00CC2100" w:rsidP="00BF7766">
    <w:pPr>
      <w:pStyle w:val="Zpat"/>
    </w:pPr>
    <w:r>
      <w:tab/>
    </w:r>
    <w:r w:rsidR="002E418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330.75pt;height:3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8B" w:rsidRDefault="00834D8B">
      <w:r>
        <w:separator/>
      </w:r>
    </w:p>
  </w:footnote>
  <w:footnote w:type="continuationSeparator" w:id="0">
    <w:p w:rsidR="00834D8B" w:rsidRDefault="00834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5A8" w:rsidRDefault="005C463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00" w:rsidRDefault="00834D8B" w:rsidP="001E4221">
    <w:pPr>
      <w:pStyle w:val="Zhlav"/>
      <w:tabs>
        <w:tab w:val="clear" w:pos="4536"/>
        <w:tab w:val="left" w:pos="2160"/>
        <w:tab w:val="left" w:pos="2680"/>
        <w:tab w:val="left" w:pos="624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231pt;height:56.25pt;visibility:visible" filled="t">
          <v:imagedata r:id="rId1" o:title=""/>
        </v:shape>
      </w:pict>
    </w:r>
    <w:r>
      <w:pict>
        <v:shape id="_x0000_i1026" type="#_x0000_t75" style="width:117pt;height:55.5pt">
          <v:imagedata r:id="rId2" o:title="FDV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2E66"/>
    <w:multiLevelType w:val="hybridMultilevel"/>
    <w:tmpl w:val="A1049604"/>
    <w:lvl w:ilvl="0" w:tplc="8CCCDB2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48637B"/>
    <w:multiLevelType w:val="hybridMultilevel"/>
    <w:tmpl w:val="80EA1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31502D"/>
    <w:multiLevelType w:val="hybridMultilevel"/>
    <w:tmpl w:val="A44C953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8253FC"/>
    <w:multiLevelType w:val="hybridMultilevel"/>
    <w:tmpl w:val="505C6F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340273"/>
    <w:multiLevelType w:val="hybridMultilevel"/>
    <w:tmpl w:val="5CCA4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706E15"/>
    <w:multiLevelType w:val="hybridMultilevel"/>
    <w:tmpl w:val="F82A1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0C7420"/>
    <w:multiLevelType w:val="multilevel"/>
    <w:tmpl w:val="891EB70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>
    <w:nsid w:val="7AC06C6E"/>
    <w:multiLevelType w:val="hybridMultilevel"/>
    <w:tmpl w:val="EB386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4"/>
  </w:num>
  <w:num w:numId="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6"/>
  </w:num>
  <w:num w:numId="12">
    <w:abstractNumId w:val="3"/>
  </w:num>
  <w:num w:numId="13">
    <w:abstractNumId w:val="12"/>
  </w:num>
  <w:num w:numId="14">
    <w:abstractNumId w:val="7"/>
  </w:num>
  <w:num w:numId="15">
    <w:abstractNumId w:val="2"/>
  </w:num>
  <w:num w:numId="16">
    <w:abstractNumId w:val="14"/>
  </w:num>
  <w:num w:numId="17">
    <w:abstractNumId w:val="11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6C25"/>
    <w:rsid w:val="00010CF1"/>
    <w:rsid w:val="00017AB3"/>
    <w:rsid w:val="000412B1"/>
    <w:rsid w:val="00065DAC"/>
    <w:rsid w:val="0007532F"/>
    <w:rsid w:val="000771F5"/>
    <w:rsid w:val="000B7E43"/>
    <w:rsid w:val="000D4A7A"/>
    <w:rsid w:val="000E1D23"/>
    <w:rsid w:val="001A0D46"/>
    <w:rsid w:val="001E4221"/>
    <w:rsid w:val="001E463C"/>
    <w:rsid w:val="002757C3"/>
    <w:rsid w:val="002C06E8"/>
    <w:rsid w:val="002E4187"/>
    <w:rsid w:val="002E61A8"/>
    <w:rsid w:val="00321A96"/>
    <w:rsid w:val="00345FCB"/>
    <w:rsid w:val="0036098F"/>
    <w:rsid w:val="00362CC0"/>
    <w:rsid w:val="003667D4"/>
    <w:rsid w:val="003C27E6"/>
    <w:rsid w:val="003D19C1"/>
    <w:rsid w:val="00464529"/>
    <w:rsid w:val="004E6024"/>
    <w:rsid w:val="004F7AA5"/>
    <w:rsid w:val="00503F44"/>
    <w:rsid w:val="005535A8"/>
    <w:rsid w:val="0056671F"/>
    <w:rsid w:val="00584A2E"/>
    <w:rsid w:val="005C463D"/>
    <w:rsid w:val="005D6879"/>
    <w:rsid w:val="005F557B"/>
    <w:rsid w:val="00602440"/>
    <w:rsid w:val="006117A5"/>
    <w:rsid w:val="00641E8B"/>
    <w:rsid w:val="00654582"/>
    <w:rsid w:val="006B00B0"/>
    <w:rsid w:val="006D6310"/>
    <w:rsid w:val="006D69C1"/>
    <w:rsid w:val="006E0458"/>
    <w:rsid w:val="006E1F1D"/>
    <w:rsid w:val="006E62F2"/>
    <w:rsid w:val="006F773E"/>
    <w:rsid w:val="00737C66"/>
    <w:rsid w:val="0075693F"/>
    <w:rsid w:val="00760083"/>
    <w:rsid w:val="00767799"/>
    <w:rsid w:val="007E4339"/>
    <w:rsid w:val="007E506B"/>
    <w:rsid w:val="007F3BB8"/>
    <w:rsid w:val="008033B2"/>
    <w:rsid w:val="008218CE"/>
    <w:rsid w:val="00834D8B"/>
    <w:rsid w:val="00856051"/>
    <w:rsid w:val="00873327"/>
    <w:rsid w:val="008C049F"/>
    <w:rsid w:val="008E685C"/>
    <w:rsid w:val="008F1DA2"/>
    <w:rsid w:val="008F6536"/>
    <w:rsid w:val="009138EB"/>
    <w:rsid w:val="00916FD6"/>
    <w:rsid w:val="00957BAD"/>
    <w:rsid w:val="00993BDE"/>
    <w:rsid w:val="009B359B"/>
    <w:rsid w:val="009C3F89"/>
    <w:rsid w:val="009F072D"/>
    <w:rsid w:val="00A05E1E"/>
    <w:rsid w:val="00A16606"/>
    <w:rsid w:val="00A4016B"/>
    <w:rsid w:val="00A40B04"/>
    <w:rsid w:val="00A64650"/>
    <w:rsid w:val="00AC1EC7"/>
    <w:rsid w:val="00B30896"/>
    <w:rsid w:val="00B35C51"/>
    <w:rsid w:val="00B95B32"/>
    <w:rsid w:val="00BA0AE1"/>
    <w:rsid w:val="00BA37DE"/>
    <w:rsid w:val="00BA559A"/>
    <w:rsid w:val="00BF7766"/>
    <w:rsid w:val="00C01182"/>
    <w:rsid w:val="00C05D82"/>
    <w:rsid w:val="00C94A9D"/>
    <w:rsid w:val="00CA7C76"/>
    <w:rsid w:val="00CB1702"/>
    <w:rsid w:val="00CC2100"/>
    <w:rsid w:val="00D23FD7"/>
    <w:rsid w:val="00DB69DC"/>
    <w:rsid w:val="00DF01B5"/>
    <w:rsid w:val="00DF0228"/>
    <w:rsid w:val="00E06C25"/>
    <w:rsid w:val="00E10E4F"/>
    <w:rsid w:val="00E22444"/>
    <w:rsid w:val="00E27ABB"/>
    <w:rsid w:val="00E31C82"/>
    <w:rsid w:val="00E50B3E"/>
    <w:rsid w:val="00E654C9"/>
    <w:rsid w:val="00E75F87"/>
    <w:rsid w:val="00E84B21"/>
    <w:rsid w:val="00E920ED"/>
    <w:rsid w:val="00EB1726"/>
    <w:rsid w:val="00EB6594"/>
    <w:rsid w:val="00ED5337"/>
    <w:rsid w:val="00EF12C6"/>
    <w:rsid w:val="00EF697C"/>
    <w:rsid w:val="00F60326"/>
    <w:rsid w:val="00F64DF3"/>
    <w:rsid w:val="00F77003"/>
    <w:rsid w:val="00F945DB"/>
    <w:rsid w:val="00FB3A7A"/>
    <w:rsid w:val="00FB3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57C3"/>
    <w:pPr>
      <w:widowControl/>
      <w:overflowPunct/>
      <w:autoSpaceDE/>
      <w:autoSpaceDN/>
      <w:adjustRightInd/>
      <w:textAlignment w:val="auto"/>
    </w:pPr>
    <w:rPr>
      <w:rFonts w:ascii="Arial" w:eastAsia="MS Mincho" w:hAnsi="Arial"/>
      <w:sz w:val="20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2757C3"/>
    <w:rPr>
      <w:rFonts w:ascii="Arial" w:eastAsia="MS Mincho" w:hAnsi="Arial"/>
      <w:lang w:eastAsia="en-US"/>
    </w:rPr>
  </w:style>
  <w:style w:type="character" w:styleId="Odkaznakoment">
    <w:name w:val="annotation reference"/>
    <w:uiPriority w:val="99"/>
    <w:semiHidden/>
    <w:rsid w:val="002757C3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1A9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321A96"/>
    <w:rPr>
      <w:rFonts w:ascii="Arial" w:eastAsia="MS Mincho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19</TotalTime>
  <Pages>5</Pages>
  <Words>1374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>MV ČR</Company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admin</cp:lastModifiedBy>
  <cp:revision>5</cp:revision>
  <cp:lastPrinted>2012-07-26T14:45:00Z</cp:lastPrinted>
  <dcterms:created xsi:type="dcterms:W3CDTF">2012-07-31T17:33:00Z</dcterms:created>
  <dcterms:modified xsi:type="dcterms:W3CDTF">2012-08-03T11:11:00Z</dcterms:modified>
</cp:coreProperties>
</file>