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08" w:rsidRDefault="00250D9B" w:rsidP="00B40CB9">
      <w:pPr>
        <w:pStyle w:val="Nzev"/>
        <w:jc w:val="both"/>
        <w:rPr>
          <w:lang w:val="cs-CZ"/>
        </w:rPr>
      </w:pPr>
      <w:r>
        <w:rPr>
          <w:lang w:val="cs-CZ"/>
        </w:rPr>
        <w:t>Vzdělávání pro udržitelný rozvoj: doporučení MŠMT k implementaci na vysokých školách připravujících pedagogické pracovníky</w:t>
      </w:r>
    </w:p>
    <w:p w:rsidR="00023F31" w:rsidRDefault="00250D9B" w:rsidP="00B40CB9">
      <w:pPr>
        <w:jc w:val="both"/>
        <w:rPr>
          <w:lang w:val="cs-CZ"/>
        </w:rPr>
      </w:pPr>
      <w:r>
        <w:rPr>
          <w:lang w:val="cs-CZ"/>
        </w:rPr>
        <w:t>Zpracoval</w:t>
      </w:r>
      <w:r w:rsidR="00023F31">
        <w:rPr>
          <w:lang w:val="cs-CZ"/>
        </w:rPr>
        <w:t>i</w:t>
      </w:r>
      <w:r>
        <w:rPr>
          <w:lang w:val="cs-CZ"/>
        </w:rPr>
        <w:t>: Jan Činčera, Technická univerzita v</w:t>
      </w:r>
      <w:r w:rsidR="00B40CB9">
        <w:rPr>
          <w:lang w:val="cs-CZ"/>
        </w:rPr>
        <w:t> </w:t>
      </w:r>
      <w:r>
        <w:rPr>
          <w:lang w:val="cs-CZ"/>
        </w:rPr>
        <w:t>Liberci</w:t>
      </w:r>
      <w:r w:rsidR="00B40CB9">
        <w:rPr>
          <w:lang w:val="cs-CZ"/>
        </w:rPr>
        <w:t xml:space="preserve"> a Jana Dlouhá, Centrum pro otázky životního prostředí Univerzity Karlovy</w:t>
      </w:r>
    </w:p>
    <w:p w:rsidR="00023F31" w:rsidRDefault="00023F31" w:rsidP="00B40CB9">
      <w:pPr>
        <w:jc w:val="both"/>
        <w:rPr>
          <w:lang w:val="cs-CZ"/>
        </w:rPr>
      </w:pPr>
      <w:r>
        <w:rPr>
          <w:lang w:val="cs-CZ"/>
        </w:rPr>
        <w:t>Recenzovali: Kateřina Jančaříková, Univerzita Karlova v Praze a Jan Krajhanzl, Masarykova univerzita v Brně</w:t>
      </w:r>
    </w:p>
    <w:p w:rsidR="00250D9B" w:rsidRDefault="00250D9B" w:rsidP="00B40CB9">
      <w:pPr>
        <w:pStyle w:val="Nadpis1"/>
        <w:jc w:val="both"/>
        <w:rPr>
          <w:lang w:val="cs-CZ"/>
        </w:rPr>
      </w:pPr>
      <w:r>
        <w:rPr>
          <w:lang w:val="cs-CZ"/>
        </w:rPr>
        <w:t>Úvod</w:t>
      </w:r>
    </w:p>
    <w:p w:rsidR="00D225E6" w:rsidRDefault="00250D9B" w:rsidP="00B40CB9">
      <w:pPr>
        <w:jc w:val="both"/>
        <w:rPr>
          <w:lang w:val="cs-CZ"/>
        </w:rPr>
      </w:pPr>
      <w:r>
        <w:rPr>
          <w:lang w:val="cs-CZ"/>
        </w:rPr>
        <w:t>Jedním ze strategických dokumentů vymezujících priority České republiky v oblasti výchovy a vzdělávání je Strategie vzdělávání pro udržitelný rozvoj České republiky (2008-2015). Dokument ve shodě s UNESCO a dalšími organizacemi definuje principy vzdělávání pro udržitelný rozvoj (VUR) a rámcové cíle, ke kterým by České republika měla v této oblasti směřovat.</w:t>
      </w:r>
      <w:r w:rsidR="00D225E6">
        <w:rPr>
          <w:lang w:val="cs-CZ"/>
        </w:rPr>
        <w:t xml:space="preserve"> </w:t>
      </w:r>
    </w:p>
    <w:p w:rsidR="00D225E6" w:rsidRDefault="00D225E6" w:rsidP="00B40CB9">
      <w:pPr>
        <w:jc w:val="both"/>
        <w:rPr>
          <w:lang w:val="cs-CZ"/>
        </w:rPr>
      </w:pPr>
      <w:r>
        <w:rPr>
          <w:lang w:val="cs-CZ"/>
        </w:rPr>
        <w:t>Obecné cíle vymezené Strategií jsou pak dále konkretizovány navazujícím akčním plánem, resp. Opatřením pro roky 2011 a 2012 ke Strategii pro vzdělávání pro udržitelný rozvoj České republiky (2008-2015). Z obou dokumentů vyplývají určitá doporučení pro vysoké školy, zejména pak pro vysoké školy připravující budoucí pedagogické pracovníky. Cílem tohoto textu je informovat děkany fakult, které připravují pedagogické pracovníky, o možnostech implementace VUR do nabízených studijních plánů či výzkumných záměrů. V širším smyslu pak text usiluje o větší rozšíření a kritickou reflexi zahraničních metodických přístupů souvisejících s VUR a vyhodnocení jejich relevance pro Českou republiku.</w:t>
      </w:r>
    </w:p>
    <w:p w:rsidR="00D225E6" w:rsidRDefault="00D225E6" w:rsidP="00B40CB9">
      <w:pPr>
        <w:pStyle w:val="Nadpis1"/>
        <w:jc w:val="both"/>
        <w:rPr>
          <w:lang w:val="cs-CZ"/>
        </w:rPr>
      </w:pPr>
      <w:r>
        <w:rPr>
          <w:lang w:val="cs-CZ"/>
        </w:rPr>
        <w:t>Vzdělávání pro udržitelný rozvoj</w:t>
      </w:r>
    </w:p>
    <w:p w:rsidR="003E3293" w:rsidRDefault="00836269" w:rsidP="00B40CB9">
      <w:pPr>
        <w:jc w:val="both"/>
        <w:rPr>
          <w:lang w:val="cs-CZ"/>
        </w:rPr>
      </w:pPr>
      <w:r>
        <w:rPr>
          <w:lang w:val="cs-CZ"/>
        </w:rPr>
        <w:t>Přestože v laickém diskursu bývá VUR ztotožňováno s environmentální výchovou</w:t>
      </w:r>
      <w:r w:rsidR="000D17DE">
        <w:rPr>
          <w:lang w:val="cs-CZ"/>
        </w:rPr>
        <w:t>,</w:t>
      </w:r>
      <w:r>
        <w:rPr>
          <w:lang w:val="cs-CZ"/>
        </w:rPr>
        <w:t xml:space="preserve"> v odborné literatuře </w:t>
      </w:r>
      <w:r w:rsidR="003E3293">
        <w:rPr>
          <w:lang w:val="cs-CZ"/>
        </w:rPr>
        <w:t xml:space="preserve">existuje mezi oběma pojmy zřetelná distinkce. Zatímco environmentální výchova má delší historii a jako svůj hlavní cíl chápe odpovědné environmentální chování (Hungerford a Volk, 1990), VUR  usiluje o </w:t>
      </w:r>
      <w:r w:rsidR="00AF76F1">
        <w:rPr>
          <w:lang w:val="cs-CZ"/>
        </w:rPr>
        <w:t xml:space="preserve">dosažení </w:t>
      </w:r>
      <w:r w:rsidR="003E3293" w:rsidRPr="004F47C3">
        <w:rPr>
          <w:lang w:val="cs-CZ"/>
        </w:rPr>
        <w:t>“</w:t>
      </w:r>
      <w:r w:rsidR="003E3293" w:rsidRPr="00756D85">
        <w:rPr>
          <w:i/>
          <w:lang w:val="cs-CZ"/>
        </w:rPr>
        <w:t xml:space="preserve">lidského a ekonomického blahobytu s respektem </w:t>
      </w:r>
      <w:r w:rsidR="00B43BD5">
        <w:rPr>
          <w:i/>
          <w:lang w:val="cs-CZ"/>
        </w:rPr>
        <w:t>ke kulturním tradicím a přírodním zdrojům</w:t>
      </w:r>
      <w:r w:rsidR="003E3293" w:rsidRPr="00756D85">
        <w:rPr>
          <w:i/>
          <w:lang w:val="cs-CZ"/>
        </w:rPr>
        <w:t xml:space="preserve"> Země“</w:t>
      </w:r>
      <w:r w:rsidR="003E3293" w:rsidRPr="004F47C3">
        <w:rPr>
          <w:lang w:val="cs-CZ"/>
        </w:rPr>
        <w:t xml:space="preserve"> (UNESCO, 2004)</w:t>
      </w:r>
      <w:r w:rsidR="003E3293">
        <w:rPr>
          <w:lang w:val="cs-CZ"/>
        </w:rPr>
        <w:t xml:space="preserve">. Podle McKeownové a Hopkinse (2003) mají sice oba obory společný průnik, VUR ale </w:t>
      </w:r>
      <w:r w:rsidR="003E3293" w:rsidRPr="004F47C3">
        <w:rPr>
          <w:lang w:val="cs-CZ"/>
        </w:rPr>
        <w:t>na rozdíl od environmentální výchovy vychází z pozitivního přesvědčení o slučitelnosti environmentálních, sociálních a ekonomických zájmů a z vize společného utváření budoucnosti. Výchova k udržitelnému rozvoji navíc podle jejich názoru přesouvá akcent z životního prostředí na společnost a její potřeby</w:t>
      </w:r>
      <w:r w:rsidR="00681F90">
        <w:rPr>
          <w:lang w:val="cs-CZ"/>
        </w:rPr>
        <w:t>, činí tak ale z poznané nutnosti zapojit všechny společenské skupiny do dialogu o společné budoucnosti</w:t>
      </w:r>
      <w:r w:rsidR="003E3293" w:rsidRPr="004F47C3">
        <w:rPr>
          <w:lang w:val="cs-CZ"/>
        </w:rPr>
        <w:t xml:space="preserve">. To </w:t>
      </w:r>
      <w:r w:rsidR="000D17DE">
        <w:rPr>
          <w:lang w:val="cs-CZ"/>
        </w:rPr>
        <w:t xml:space="preserve">ve vzdělávání </w:t>
      </w:r>
      <w:r w:rsidR="003E3293" w:rsidRPr="004F47C3">
        <w:rPr>
          <w:lang w:val="cs-CZ"/>
        </w:rPr>
        <w:t>legitimizuje zapojení učitelů všech aprobací</w:t>
      </w:r>
      <w:r w:rsidR="00681F90">
        <w:rPr>
          <w:lang w:val="cs-CZ"/>
        </w:rPr>
        <w:t xml:space="preserve">, a především vytváření různých vazeb mezi nimi, přičemž je využívána škála nástrojů mezioborové komunikace i výchovných postupů </w:t>
      </w:r>
      <w:r w:rsidR="000D17DE">
        <w:rPr>
          <w:lang w:val="cs-CZ"/>
        </w:rPr>
        <w:t xml:space="preserve">relevantních </w:t>
      </w:r>
      <w:r w:rsidR="00681F90">
        <w:rPr>
          <w:lang w:val="cs-CZ"/>
        </w:rPr>
        <w:t>např. pro etickou výchovu</w:t>
      </w:r>
      <w:r w:rsidR="003E3293" w:rsidRPr="004F47C3">
        <w:rPr>
          <w:lang w:val="cs-CZ"/>
        </w:rPr>
        <w:t xml:space="preserve">. Podle </w:t>
      </w:r>
      <w:r w:rsidR="000D17DE">
        <w:rPr>
          <w:lang w:val="cs-CZ"/>
        </w:rPr>
        <w:t>výše zmíněných autorů</w:t>
      </w:r>
      <w:r w:rsidR="000D17DE" w:rsidRPr="004F47C3">
        <w:rPr>
          <w:lang w:val="cs-CZ"/>
        </w:rPr>
        <w:t xml:space="preserve"> </w:t>
      </w:r>
      <w:r w:rsidR="003E3293" w:rsidRPr="004F47C3">
        <w:rPr>
          <w:lang w:val="cs-CZ"/>
        </w:rPr>
        <w:t xml:space="preserve">nejde o nahrazení agendy </w:t>
      </w:r>
      <w:r w:rsidR="003E3293" w:rsidRPr="004F47C3">
        <w:rPr>
          <w:lang w:val="cs-CZ"/>
        </w:rPr>
        <w:lastRenderedPageBreak/>
        <w:t>environmentální výchovy, ale o její rozšíření</w:t>
      </w:r>
      <w:r w:rsidR="00D83E1B">
        <w:rPr>
          <w:lang w:val="cs-CZ"/>
        </w:rPr>
        <w:t xml:space="preserve"> a </w:t>
      </w:r>
      <w:r w:rsidR="00B152AD">
        <w:rPr>
          <w:lang w:val="cs-CZ"/>
        </w:rPr>
        <w:t xml:space="preserve">doplnění </w:t>
      </w:r>
      <w:r w:rsidR="000D17DE">
        <w:rPr>
          <w:lang w:val="cs-CZ"/>
        </w:rPr>
        <w:t>o rovinu</w:t>
      </w:r>
      <w:r w:rsidR="00D83E1B">
        <w:rPr>
          <w:lang w:val="cs-CZ"/>
        </w:rPr>
        <w:t xml:space="preserve"> </w:t>
      </w:r>
      <w:r w:rsidR="000D17DE">
        <w:rPr>
          <w:lang w:val="cs-CZ"/>
        </w:rPr>
        <w:t xml:space="preserve">spolupráce a </w:t>
      </w:r>
      <w:r w:rsidR="00D83E1B">
        <w:rPr>
          <w:lang w:val="cs-CZ"/>
        </w:rPr>
        <w:t xml:space="preserve">komunikace mezi různými </w:t>
      </w:r>
      <w:r w:rsidR="00B152AD">
        <w:rPr>
          <w:lang w:val="cs-CZ"/>
        </w:rPr>
        <w:t xml:space="preserve">obory či </w:t>
      </w:r>
      <w:r w:rsidR="00D83E1B">
        <w:rPr>
          <w:lang w:val="cs-CZ"/>
        </w:rPr>
        <w:t>aktéry</w:t>
      </w:r>
      <w:r w:rsidR="003E3293" w:rsidRPr="004F47C3">
        <w:rPr>
          <w:lang w:val="cs-CZ"/>
        </w:rPr>
        <w:t xml:space="preserve">: mezi aktuálně diskutovanými tématy </w:t>
      </w:r>
      <w:r w:rsidR="00DC3FC3">
        <w:rPr>
          <w:lang w:val="cs-CZ"/>
        </w:rPr>
        <w:t>VUR</w:t>
      </w:r>
      <w:r w:rsidR="003E3293" w:rsidRPr="004F47C3">
        <w:rPr>
          <w:lang w:val="cs-CZ"/>
        </w:rPr>
        <w:t xml:space="preserve"> jsou například otázky environmentální spravedlnosti</w:t>
      </w:r>
      <w:r w:rsidR="00DC3FC3">
        <w:rPr>
          <w:lang w:val="cs-CZ"/>
        </w:rPr>
        <w:t>,</w:t>
      </w:r>
      <w:r w:rsidR="003E3293" w:rsidRPr="004F47C3">
        <w:rPr>
          <w:lang w:val="cs-CZ"/>
        </w:rPr>
        <w:t xml:space="preserve"> </w:t>
      </w:r>
      <w:r w:rsidR="000D17DE">
        <w:rPr>
          <w:lang w:val="cs-CZ"/>
        </w:rPr>
        <w:t xml:space="preserve">participace v demokratických procesech, </w:t>
      </w:r>
      <w:r w:rsidR="003E3293" w:rsidRPr="004F47C3">
        <w:rPr>
          <w:lang w:val="cs-CZ"/>
        </w:rPr>
        <w:t>či výchovy o změnách klimatu.</w:t>
      </w:r>
      <w:r w:rsidR="003E3293">
        <w:rPr>
          <w:lang w:val="cs-CZ"/>
        </w:rPr>
        <w:t xml:space="preserve"> </w:t>
      </w:r>
    </w:p>
    <w:p w:rsidR="00DC3FC3" w:rsidRDefault="00615964" w:rsidP="00B40CB9">
      <w:pPr>
        <w:jc w:val="both"/>
        <w:rPr>
          <w:lang w:val="cs-CZ"/>
        </w:rPr>
      </w:pPr>
      <w:r>
        <w:rPr>
          <w:noProof/>
          <w:lang w:val="cs-CZ"/>
        </w:rPr>
        <w:pict>
          <v:shapetype id="_x0000_t202" coordsize="21600,21600" o:spt="202" path="m,l,21600r21600,l21600,xe">
            <v:stroke joinstyle="miter"/>
            <v:path gradientshapeok="t" o:connecttype="rect"/>
          </v:shapetype>
          <v:shape id="_x0000_s1027" type="#_x0000_t202" style="position:absolute;left:0;text-align:left;margin-left:1.1pt;margin-top:205.15pt;width:457pt;height:220.75pt;z-index:251660288;mso-height-percent:200;mso-height-percent:200;mso-width-relative:margin;mso-height-relative:margin">
            <v:textbox style="mso-fit-shape-to-text:t">
              <w:txbxContent>
                <w:p w:rsidR="00360439" w:rsidRDefault="00360439" w:rsidP="00C27C15">
                  <w:pPr>
                    <w:jc w:val="both"/>
                    <w:rPr>
                      <w:lang w:val="cs-CZ"/>
                    </w:rPr>
                  </w:pPr>
                  <w:r>
                    <w:rPr>
                      <w:lang w:val="cs-CZ"/>
                    </w:rPr>
                    <w:t>Příkladem žákovského projektu, který propojoval dohromady sociální, ekonomické, environmentální, ale i zdravotní problémy regionu byl projekt v chudinské čtvrti Makana v Jižní Africe. Kvůli špatné sanitární situaci trpěli obyvatelé zvýšeným výskytem cholery. Žáci základní školy se nejprve učili o technologii čištění odpadní vody a sanitárním systému v oblasti. Pak navázali průzkumem, ve kterém zjišťovali zkušenosti místních obyvatel s používáním různých typů toalet a s výskytem hmyzu kolem toalet. Zjistili, že příčinou špatné hygienické situace je nesprávné používání splachovacích toalet, způsobené nahrazováním nedostupného toaletního papíru novinami, které je ucpávaly. Žáci poté zorganizovali sbírku na nákup toaletního papíru a připravili pro obyvatele regionu komunitní drama, ve které je informovali o nevhodnosti používání novin při osobní hygieně (Lotz-Sisitka a Schudel, 2003).</w:t>
                  </w:r>
                </w:p>
                <w:p w:rsidR="00360439" w:rsidRDefault="00360439" w:rsidP="00C27C15">
                  <w:pPr>
                    <w:jc w:val="both"/>
                    <w:rPr>
                      <w:lang w:val="cs-CZ"/>
                    </w:rPr>
                  </w:pPr>
                  <w:r>
                    <w:rPr>
                      <w:lang w:val="cs-CZ"/>
                    </w:rPr>
                    <w:t>Domácím příkladem projektu, který spojoval studenty vysokých škol, veřejnou správu a žáky základních škol v diskusi nad udržitelným rozvojem svého regionu byl projekt Trvalá udržitelnost Deblinska, koordinovaný Masarykovou univerzitou v</w:t>
                  </w:r>
                  <w:r w:rsidR="00023F31">
                    <w:rPr>
                      <w:lang w:val="cs-CZ"/>
                    </w:rPr>
                    <w:t> </w:t>
                  </w:r>
                  <w:r>
                    <w:rPr>
                      <w:lang w:val="cs-CZ"/>
                    </w:rPr>
                    <w:t>Brně</w:t>
                  </w:r>
                  <w:r w:rsidR="00023F31">
                    <w:rPr>
                      <w:lang w:val="cs-CZ"/>
                    </w:rPr>
                    <w:t xml:space="preserve">. Také v tomto projektu žáci spolupracovali na sběru a analýze dat z terénu </w:t>
                  </w:r>
                  <w:r w:rsidR="00D31688">
                    <w:rPr>
                      <w:lang w:val="cs-CZ"/>
                    </w:rPr>
                    <w:t>a diskutovali o vizi rozvoje svého regionu</w:t>
                  </w:r>
                  <w:r>
                    <w:rPr>
                      <w:lang w:val="cs-CZ"/>
                    </w:rPr>
                    <w:t xml:space="preserve"> (Hynek a kol., 2007). </w:t>
                  </w:r>
                </w:p>
              </w:txbxContent>
            </v:textbox>
            <w10:wrap type="square"/>
          </v:shape>
        </w:pict>
      </w:r>
      <w:r w:rsidR="00DC3FC3">
        <w:rPr>
          <w:lang w:val="cs-CZ"/>
        </w:rPr>
        <w:t xml:space="preserve">Pro VUR je dále charakteristické, že vychází ze specifických potřeb regionu. </w:t>
      </w:r>
      <w:r w:rsidR="00403D9C">
        <w:rPr>
          <w:lang w:val="cs-CZ"/>
        </w:rPr>
        <w:t xml:space="preserve">V zemích subsaharské Afriky jsou například v rámci VUR podporovány programy vzdělávání o AIDS (aids education) nebo programy na šíření gramotnosti (education for all), ve východní Asii jsou v rámci VUR akcentovány otázky chudoby a rovnováhy mezi sociálním a ekonomickým růstem, atd. Přestože VUR nemá žádnou „centrální“ metodiku, řada programů vychází z analýzy stávajících disproporcí mezi environmentálními, sociálními a ekonomickými potřebami regionu, a vede cílové skupiny k formulování vize o jejich zmírnění a o žádoucím pozitivním rozvoji regionu. Žáci se v rámci programů VUR učí rozumět problémům místa, ve kterém žijí a navrhovat, jak by se mělo dále rozvíjet. V praktických školních projektech pak hledají řešení zvoleného místního problému, které se pak snaží prosadit do praxe. </w:t>
      </w:r>
      <w:r w:rsidR="000D17DE">
        <w:rPr>
          <w:lang w:val="cs-CZ"/>
        </w:rPr>
        <w:t xml:space="preserve">VUR tak lze chápat spíše jako </w:t>
      </w:r>
      <w:r w:rsidR="00D744A7">
        <w:rPr>
          <w:lang w:val="cs-CZ"/>
        </w:rPr>
        <w:t xml:space="preserve">konceptuální rámec poskytující </w:t>
      </w:r>
      <w:r w:rsidR="000D17DE">
        <w:rPr>
          <w:lang w:val="cs-CZ"/>
        </w:rPr>
        <w:t xml:space="preserve">příležitost využít místního potenciálu: </w:t>
      </w:r>
      <w:r w:rsidR="00A13CCD">
        <w:rPr>
          <w:lang w:val="cs-CZ"/>
        </w:rPr>
        <w:t xml:space="preserve">v procesu učení </w:t>
      </w:r>
      <w:r w:rsidR="000D17DE">
        <w:rPr>
          <w:lang w:val="cs-CZ"/>
        </w:rPr>
        <w:t>čerpat z místních znalostí a naopak uplatnit školní poznatky na místní problematiku.</w:t>
      </w:r>
    </w:p>
    <w:p w:rsidR="00403D9C" w:rsidRDefault="00403D9C" w:rsidP="00B40CB9">
      <w:pPr>
        <w:jc w:val="both"/>
        <w:rPr>
          <w:lang w:val="cs-CZ"/>
        </w:rPr>
      </w:pPr>
    </w:p>
    <w:p w:rsidR="00E80714" w:rsidRPr="00E80714" w:rsidRDefault="00E80714" w:rsidP="00B40CB9">
      <w:pPr>
        <w:jc w:val="both"/>
        <w:rPr>
          <w:lang w:val="cs-CZ"/>
        </w:rPr>
      </w:pPr>
      <w:r>
        <w:rPr>
          <w:lang w:val="cs-CZ"/>
        </w:rPr>
        <w:t>Akční plán Strategie VUR (dále jen AP) přijatý pro roky 2011-12 byl připravený týmem odborníků z vysokých škol, státní správy i neziskových organizací. Akční plán vymezil pět témat jako klíčovýc</w:t>
      </w:r>
      <w:r w:rsidRPr="00E80714">
        <w:rPr>
          <w:lang w:val="cs-CZ"/>
        </w:rPr>
        <w:t>h pro implementaci:</w:t>
      </w:r>
    </w:p>
    <w:p w:rsidR="00E80714" w:rsidRPr="00C73C69" w:rsidRDefault="00E80714" w:rsidP="00B40CB9">
      <w:pPr>
        <w:pStyle w:val="Odstavecseseznamem"/>
        <w:numPr>
          <w:ilvl w:val="0"/>
          <w:numId w:val="2"/>
        </w:numPr>
        <w:spacing w:line="240" w:lineRule="auto"/>
        <w:jc w:val="both"/>
        <w:rPr>
          <w:lang w:val="cs-CZ"/>
        </w:rPr>
      </w:pPr>
      <w:r w:rsidRPr="00C73C69">
        <w:rPr>
          <w:lang w:val="cs-CZ"/>
        </w:rPr>
        <w:t>Rozvoj občanské participace a dobrovolnictví</w:t>
      </w:r>
    </w:p>
    <w:p w:rsidR="00E80714" w:rsidRPr="00C73C69" w:rsidRDefault="00E80714" w:rsidP="00B40CB9">
      <w:pPr>
        <w:pStyle w:val="Odstavecseseznamem"/>
        <w:numPr>
          <w:ilvl w:val="0"/>
          <w:numId w:val="2"/>
        </w:numPr>
        <w:spacing w:line="240" w:lineRule="auto"/>
        <w:jc w:val="both"/>
        <w:rPr>
          <w:lang w:val="cs-CZ"/>
        </w:rPr>
      </w:pPr>
      <w:r w:rsidRPr="00C73C69">
        <w:rPr>
          <w:lang w:val="cs-CZ"/>
        </w:rPr>
        <w:t>Vztah k místu</w:t>
      </w:r>
    </w:p>
    <w:p w:rsidR="00E80714" w:rsidRPr="00C73C69" w:rsidRDefault="00E80714" w:rsidP="00B40CB9">
      <w:pPr>
        <w:pStyle w:val="Odstavecseseznamem"/>
        <w:numPr>
          <w:ilvl w:val="0"/>
          <w:numId w:val="2"/>
        </w:numPr>
        <w:spacing w:line="240" w:lineRule="auto"/>
        <w:jc w:val="both"/>
        <w:rPr>
          <w:lang w:val="cs-CZ"/>
        </w:rPr>
      </w:pPr>
      <w:r w:rsidRPr="00C73C69">
        <w:rPr>
          <w:lang w:val="cs-CZ"/>
        </w:rPr>
        <w:t>Udržitelná spotřeba a výroba</w:t>
      </w:r>
    </w:p>
    <w:p w:rsidR="00E80714" w:rsidRPr="00C73C69" w:rsidRDefault="00E80714" w:rsidP="00B40CB9">
      <w:pPr>
        <w:pStyle w:val="Odstavecseseznamem"/>
        <w:numPr>
          <w:ilvl w:val="0"/>
          <w:numId w:val="2"/>
        </w:numPr>
        <w:spacing w:line="240" w:lineRule="auto"/>
        <w:jc w:val="both"/>
        <w:rPr>
          <w:lang w:val="cs-CZ"/>
        </w:rPr>
      </w:pPr>
      <w:r w:rsidRPr="00C73C69">
        <w:rPr>
          <w:lang w:val="cs-CZ"/>
        </w:rPr>
        <w:t>Snižování sociálního napětí</w:t>
      </w:r>
    </w:p>
    <w:p w:rsidR="00E80714" w:rsidRPr="00E80714" w:rsidRDefault="00E80714" w:rsidP="00B40CB9">
      <w:pPr>
        <w:pStyle w:val="Odstavecseseznamem"/>
        <w:numPr>
          <w:ilvl w:val="0"/>
          <w:numId w:val="2"/>
        </w:numPr>
        <w:spacing w:line="240" w:lineRule="auto"/>
        <w:jc w:val="both"/>
        <w:rPr>
          <w:lang w:val="cs-CZ"/>
        </w:rPr>
      </w:pPr>
      <w:r w:rsidRPr="00C73C69">
        <w:rPr>
          <w:lang w:val="cs-CZ"/>
        </w:rPr>
        <w:t>Průřezová opatření k realizaci VUR</w:t>
      </w:r>
    </w:p>
    <w:p w:rsidR="00E80714" w:rsidRDefault="00D15253" w:rsidP="00B40CB9">
      <w:pPr>
        <w:spacing w:line="240" w:lineRule="auto"/>
        <w:jc w:val="both"/>
        <w:rPr>
          <w:lang w:val="cs-CZ"/>
        </w:rPr>
      </w:pPr>
      <w:r>
        <w:rPr>
          <w:lang w:val="cs-CZ"/>
        </w:rPr>
        <w:lastRenderedPageBreak/>
        <w:t>Spojujícím motivem všech témat byla snaha o kritickou reflexi souvisejících zahraničních metodických přístupů v českých podmínkách. Cílem akčního plánu tedy bylo mj.</w:t>
      </w:r>
    </w:p>
    <w:p w:rsidR="00C73C69" w:rsidRDefault="00C73C69" w:rsidP="00B40CB9">
      <w:pPr>
        <w:pStyle w:val="Odstavecseseznamem"/>
        <w:numPr>
          <w:ilvl w:val="0"/>
          <w:numId w:val="2"/>
        </w:numPr>
        <w:spacing w:line="240" w:lineRule="auto"/>
        <w:jc w:val="both"/>
        <w:rPr>
          <w:lang w:val="cs-CZ"/>
        </w:rPr>
      </w:pPr>
      <w:r>
        <w:rPr>
          <w:lang w:val="cs-CZ"/>
        </w:rPr>
        <w:t>Pokračovat v dlouhodobě uplatňované strategii zaměřené na podporu eticky založených přístupů a interdisciplinárních vazeb ve vzdělání</w:t>
      </w:r>
    </w:p>
    <w:p w:rsidR="00D15253" w:rsidRDefault="00D15253" w:rsidP="00B40CB9">
      <w:pPr>
        <w:pStyle w:val="Odstavecseseznamem"/>
        <w:numPr>
          <w:ilvl w:val="0"/>
          <w:numId w:val="2"/>
        </w:numPr>
        <w:spacing w:line="240" w:lineRule="auto"/>
        <w:jc w:val="both"/>
        <w:rPr>
          <w:lang w:val="cs-CZ"/>
        </w:rPr>
      </w:pPr>
      <w:r>
        <w:rPr>
          <w:lang w:val="cs-CZ"/>
        </w:rPr>
        <w:t>Podpořit transfer ověřených zahraničních metodik do českého prostředí;</w:t>
      </w:r>
    </w:p>
    <w:p w:rsidR="00D15253" w:rsidRDefault="00D15253" w:rsidP="00B40CB9">
      <w:pPr>
        <w:pStyle w:val="Odstavecseseznamem"/>
        <w:numPr>
          <w:ilvl w:val="0"/>
          <w:numId w:val="2"/>
        </w:numPr>
        <w:spacing w:line="240" w:lineRule="auto"/>
        <w:jc w:val="both"/>
        <w:rPr>
          <w:lang w:val="cs-CZ"/>
        </w:rPr>
      </w:pPr>
      <w:r>
        <w:rPr>
          <w:lang w:val="cs-CZ"/>
        </w:rPr>
        <w:t>Podpořit domácí pedagogický výzkum zaměřený na evaluaci a kritickou reflexi na úrovni metodických přístupů i konkrétních programů;</w:t>
      </w:r>
    </w:p>
    <w:p w:rsidR="00D15253" w:rsidRDefault="00D15253" w:rsidP="00B40CB9">
      <w:pPr>
        <w:pStyle w:val="Odstavecseseznamem"/>
        <w:numPr>
          <w:ilvl w:val="0"/>
          <w:numId w:val="2"/>
        </w:numPr>
        <w:spacing w:line="240" w:lineRule="auto"/>
        <w:jc w:val="both"/>
        <w:rPr>
          <w:lang w:val="cs-CZ"/>
        </w:rPr>
      </w:pPr>
      <w:r>
        <w:rPr>
          <w:lang w:val="cs-CZ"/>
        </w:rPr>
        <w:t>Zvýšit kvalitu vzdělávání a výchovy v souvisejících oblastech v prostředí formální i neformální výchovy všech věkových</w:t>
      </w:r>
      <w:r w:rsidR="00C73C69">
        <w:rPr>
          <w:lang w:val="cs-CZ"/>
        </w:rPr>
        <w:t xml:space="preserve"> kategorií</w:t>
      </w:r>
      <w:r>
        <w:rPr>
          <w:lang w:val="cs-CZ"/>
        </w:rPr>
        <w:t>.</w:t>
      </w:r>
    </w:p>
    <w:p w:rsidR="00D15253" w:rsidRDefault="00D15253" w:rsidP="00B40CB9">
      <w:pPr>
        <w:spacing w:line="240" w:lineRule="auto"/>
        <w:jc w:val="both"/>
        <w:rPr>
          <w:lang w:val="cs-CZ"/>
        </w:rPr>
      </w:pPr>
      <w:r>
        <w:rPr>
          <w:lang w:val="cs-CZ"/>
        </w:rPr>
        <w:t xml:space="preserve">V následující části budou uvedeny příklady </w:t>
      </w:r>
      <w:r w:rsidR="002B14D4">
        <w:rPr>
          <w:lang w:val="cs-CZ"/>
        </w:rPr>
        <w:t>zapojení vysokých škol do naplňování těchto cílů.</w:t>
      </w:r>
    </w:p>
    <w:p w:rsidR="002B14D4" w:rsidRDefault="000D4A75" w:rsidP="00B40CB9">
      <w:pPr>
        <w:pStyle w:val="Nadpis1"/>
        <w:jc w:val="both"/>
        <w:rPr>
          <w:lang w:val="cs-CZ"/>
        </w:rPr>
      </w:pPr>
      <w:r>
        <w:rPr>
          <w:lang w:val="cs-CZ"/>
        </w:rPr>
        <w:t>Role vysokých škol při naplňování cílů vzdělávání pro udržitelný rozvoj</w:t>
      </w:r>
    </w:p>
    <w:p w:rsidR="00D2218E" w:rsidRDefault="00D2218E" w:rsidP="00B40CB9">
      <w:pPr>
        <w:pStyle w:val="Nadpis2"/>
        <w:jc w:val="both"/>
        <w:rPr>
          <w:lang w:val="cs-CZ"/>
        </w:rPr>
      </w:pPr>
      <w:r>
        <w:rPr>
          <w:lang w:val="cs-CZ"/>
        </w:rPr>
        <w:t>Úvod</w:t>
      </w:r>
    </w:p>
    <w:p w:rsidR="00B43BD5" w:rsidRDefault="00B43BD5" w:rsidP="00B40CB9">
      <w:pPr>
        <w:jc w:val="both"/>
        <w:rPr>
          <w:lang w:val="cs-CZ"/>
        </w:rPr>
      </w:pPr>
      <w:r>
        <w:rPr>
          <w:lang w:val="cs-CZ"/>
        </w:rPr>
        <w:t xml:space="preserve">VUR pro své úspěšné začlenění do vzdělávacího systému na všech úrovních vyžaduje určité systémové podmínky, které ne všechny země splňují. Proto se v souvislosti s implementací strategií a přístupů VUR hovoří často o nutnosti změny či reorientace, což platí zvláště v případech méně rozvinutých zemí. Určujícími znaky VUR jsou otevřenost (vůči různým pohledům a přístupům), kritický pohled, schopnost sebereflexe a změny – jedním z definičních znaků tohoto typu vzdělávání jsou inovace, s nimiž je spojen UR a které se promítají i do sociální oblasti a samotného vzdělávání. Kde nejsou splněny tyto základní předpoklady, může být VUR též uplatňován, děje se tak ovšem především top-down směrem, a je ztracen další z určujících znaků – schopnost vést k aktivnímu a participativnímu přístupu (žáka i </w:t>
      </w:r>
      <w:proofErr w:type="gramStart"/>
      <w:r>
        <w:rPr>
          <w:lang w:val="cs-CZ"/>
        </w:rPr>
        <w:t>učitele) (viz</w:t>
      </w:r>
      <w:proofErr w:type="gramEnd"/>
      <w:r>
        <w:rPr>
          <w:lang w:val="cs-CZ"/>
        </w:rPr>
        <w:t xml:space="preserve"> např. </w:t>
      </w:r>
      <w:r>
        <w:rPr>
          <w:rFonts w:eastAsia="Times New Roman"/>
        </w:rPr>
        <w:t xml:space="preserve">Sterling, 2004; </w:t>
      </w:r>
      <w:proofErr w:type="gramStart"/>
      <w:r>
        <w:t>Tilbury, 2004, 2011)</w:t>
      </w:r>
      <w:r>
        <w:rPr>
          <w:lang w:val="cs-CZ"/>
        </w:rPr>
        <w:t>.</w:t>
      </w:r>
      <w:proofErr w:type="gramEnd"/>
    </w:p>
    <w:p w:rsidR="00B43BD5" w:rsidRDefault="00B43BD5" w:rsidP="00B40CB9">
      <w:pPr>
        <w:jc w:val="both"/>
        <w:rPr>
          <w:lang w:val="cs-CZ"/>
        </w:rPr>
      </w:pPr>
      <w:r>
        <w:rPr>
          <w:lang w:val="cs-CZ"/>
        </w:rPr>
        <w:t xml:space="preserve">Vysoké školy obecně jsou pokládány za důležité aktéry jak v UR tak i ve VUR, a obecně se požaduje jejich celková změna k udržitelnosti – tedy nejen obsah vzdělávání, ale též vzdělávací politika, strukturální změny a praxe v oblasti managementu atd. Teprve potom všechny složky vzdělávacího procesu „hrají dohromady“ a vytvářejí konzistentní vzdělávací prostředí, které – jelikož VŠ vzdělávají intelektuální elity – může působit příznivou společenskou změnu. Tyto cíle se v našich podmínkách jeví jako maximalistické, nicméně chceme-li se zapojit do celosvětového dialogu o VUR (který je často pokládán za předzvěst proměny vzdělávání jako takového, spočívající v založení nové pokrokové tradice a současně návratu ke svému původnímu humanistickému určení), měli bychom otevírat některé z možností pro VUR, jež mají potenciál být v našich podmínkách dále rozvíjeny. </w:t>
      </w:r>
    </w:p>
    <w:p w:rsidR="00B43BD5" w:rsidRDefault="00B43BD5" w:rsidP="00B40CB9">
      <w:pPr>
        <w:jc w:val="both"/>
        <w:rPr>
          <w:lang w:val="cs-CZ"/>
        </w:rPr>
      </w:pPr>
      <w:r>
        <w:rPr>
          <w:lang w:val="cs-CZ"/>
        </w:rPr>
        <w:t>V českém prostředí je realisticky třeba navazovat na existující tradice např. z oblasti environmentální výchovy, přičemž tyto přístupy je velmi žádoucí obohacovat o další, především zahraniční impulsy. Jelikož se environmentální vědy i dialog vedený v oblasti UR – a relevantní vzdělávací postupy – velmi rychle vyvíjejí, je to způsob, jak držet krok s celosvětovými změnami. Kromě toho tyto zahraniční inspirace poskytují v našem prostředí dosud ne plně rozvinuté metody vedoucí k aktivnímu zapojení žáků a studentů, podporují jejich schopnost týmové spolupráce, řešení problémů (problémově orientované učení) a utvářejí další kompetence, jež jsou nezbytné též pro uplatnění jedince v demokratických společenských systémech západního typu.</w:t>
      </w:r>
    </w:p>
    <w:p w:rsidR="000D4A75" w:rsidRDefault="00D2218E" w:rsidP="00B40CB9">
      <w:pPr>
        <w:jc w:val="both"/>
        <w:rPr>
          <w:lang w:val="cs-CZ"/>
        </w:rPr>
      </w:pPr>
      <w:r>
        <w:rPr>
          <w:lang w:val="cs-CZ"/>
        </w:rPr>
        <w:lastRenderedPageBreak/>
        <w:t>Vysoké školy připravující budoucí pedagogické pracovníky mohou sehrát důležitou úlohu jak prostřednictvím své vědecko-výzkumné činnosti, tak v rámci vlastního vzdělávání budoucích či souča</w:t>
      </w:r>
      <w:r w:rsidR="00C73C69">
        <w:rPr>
          <w:lang w:val="cs-CZ"/>
        </w:rPr>
        <w:t>sných pedagogických pracovníků.</w:t>
      </w:r>
      <w:r>
        <w:rPr>
          <w:lang w:val="cs-CZ"/>
        </w:rPr>
        <w:t xml:space="preserve"> </w:t>
      </w:r>
      <w:r w:rsidR="00860174">
        <w:rPr>
          <w:lang w:val="cs-CZ"/>
        </w:rPr>
        <w:t>Související aktivity současně mohou být pro vysoké školy prospěšné i v jiných oblastech.</w:t>
      </w:r>
    </w:p>
    <w:p w:rsidR="00F46CF2" w:rsidRDefault="00615964" w:rsidP="00B40CB9">
      <w:pPr>
        <w:jc w:val="both"/>
        <w:rPr>
          <w:lang w:val="cs-CZ"/>
        </w:rPr>
      </w:pPr>
      <w:r>
        <w:rPr>
          <w:lang w:val="cs-CZ"/>
        </w:rPr>
      </w:r>
      <w:r>
        <w:rPr>
          <w:lang w:val="cs-CZ"/>
        </w:rPr>
        <w:pict>
          <v:shape id="_x0000_s1032" type="#_x0000_t202" style="width:455.1pt;height:187.9pt;mso-position-horizontal-relative:char;mso-position-vertical-relative:line;mso-width-relative:margin;mso-height-relative:margin">
            <v:textbox>
              <w:txbxContent>
                <w:p w:rsidR="00360439" w:rsidRDefault="00360439">
                  <w:pPr>
                    <w:rPr>
                      <w:lang w:val="cs-CZ"/>
                    </w:rPr>
                  </w:pPr>
                  <w:r>
                    <w:rPr>
                      <w:lang w:val="cs-CZ"/>
                    </w:rPr>
                    <w:t xml:space="preserve">Klíčovou roli pro koordinaci činnosti univerzit v oblasti VUR hraje UNESCO, v rámci kterého existuje </w:t>
                  </w:r>
                  <w:r>
                    <w:t xml:space="preserve">the mezinárodní síť </w:t>
                  </w:r>
                  <w:r w:rsidRPr="00F46CF2">
                    <w:rPr>
                      <w:i/>
                    </w:rPr>
                    <w:t>International</w:t>
                  </w:r>
                  <w:r>
                    <w:rPr>
                      <w:i/>
                    </w:rPr>
                    <w:t xml:space="preserve"> </w:t>
                  </w:r>
                  <w:r w:rsidRPr="00F46CF2">
                    <w:rPr>
                      <w:i/>
                    </w:rPr>
                    <w:t>Network of Teacher Education Institutions Associated with the UNESCO Chair on Reorienting Teacher Education to Address Sustainability.</w:t>
                  </w:r>
                  <w:r w:rsidRPr="00F46CF2">
                    <w:rPr>
                      <w:i/>
                      <w:lang w:val="cs-CZ"/>
                    </w:rPr>
                    <w:t xml:space="preserve"> </w:t>
                  </w:r>
                  <w:r>
                    <w:rPr>
                      <w:lang w:val="cs-CZ"/>
                    </w:rPr>
                    <w:t>Na řadě univerzit, jako je např. nizozemská University of Wageningen, hraje VUR roli jednoho z hlavních témat výuky i výzkumu. Na dalších univerzitách je vzdělávání pro udržitelný rozvoj nabízeno jako stu</w:t>
                  </w:r>
                  <w:r w:rsidRPr="009F65B8">
                    <w:rPr>
                      <w:lang w:val="cs-CZ"/>
                    </w:rPr>
                    <w:t>dijní obor (např. University of Edinburgh).</w:t>
                  </w:r>
                  <w:r>
                    <w:rPr>
                      <w:lang w:val="cs-CZ"/>
                    </w:rPr>
                    <w:t xml:space="preserve"> </w:t>
                  </w:r>
                  <w:r w:rsidRPr="009F65B8">
                    <w:rPr>
                      <w:lang w:val="cs-CZ"/>
                    </w:rPr>
                    <w:t xml:space="preserve">Důležitou úlohu v regionu střední a východní Evropy hraje také litevská University of Daugavpils, která vydává časopis </w:t>
                  </w:r>
                  <w:r w:rsidRPr="009F65B8">
                    <w:rPr>
                      <w:color w:val="000000"/>
                      <w:shd w:val="clear" w:color="auto" w:fill="FFFFFF"/>
                    </w:rPr>
                    <w:t>Journal of Teacher Education for Sustainability a organizuje mezinárodní síť BBCC.</w:t>
                  </w:r>
                  <w:r>
                    <w:rPr>
                      <w:color w:val="000000"/>
                      <w:sz w:val="27"/>
                      <w:szCs w:val="27"/>
                      <w:shd w:val="clear" w:color="auto" w:fill="FFFFFF"/>
                    </w:rPr>
                    <w:t xml:space="preserve"> </w:t>
                  </w:r>
                </w:p>
                <w:p w:rsidR="00360439" w:rsidRDefault="00360439">
                  <w:pPr>
                    <w:rPr>
                      <w:lang w:val="cs-CZ"/>
                    </w:rPr>
                  </w:pPr>
                  <w:r>
                    <w:rPr>
                      <w:lang w:val="cs-CZ"/>
                    </w:rPr>
                    <w:t>V prostředí českých univerzit hraje důležitou koordinační roli Centrum pro otázky životního prostředí Univerzity Karlovy, které mj. vydává elektronický recenzovaný (VaV</w:t>
                  </w:r>
                  <w:r w:rsidR="00B40CB9">
                    <w:rPr>
                      <w:lang w:val="cs-CZ"/>
                    </w:rPr>
                    <w:t>aI</w:t>
                  </w:r>
                  <w:r>
                    <w:rPr>
                      <w:lang w:val="cs-CZ"/>
                    </w:rPr>
                    <w:t>) časopis Envigogika zaměřený na environmentální výchovu a VUR.</w:t>
                  </w:r>
                </w:p>
                <w:p w:rsidR="00360439" w:rsidRPr="00F46CF2" w:rsidRDefault="00360439">
                  <w:pPr>
                    <w:rPr>
                      <w:lang w:val="cs-CZ"/>
                    </w:rPr>
                  </w:pPr>
                  <w:r>
                    <w:rPr>
                      <w:lang w:val="cs-CZ"/>
                    </w:rPr>
                    <w:t xml:space="preserve"> </w:t>
                  </w:r>
                </w:p>
              </w:txbxContent>
            </v:textbox>
            <w10:wrap type="none"/>
            <w10:anchorlock/>
          </v:shape>
        </w:pict>
      </w:r>
    </w:p>
    <w:p w:rsidR="00360439" w:rsidRPr="00360439" w:rsidRDefault="00360439" w:rsidP="00B40CB9">
      <w:pPr>
        <w:jc w:val="both"/>
        <w:rPr>
          <w:lang w:val="cs-CZ"/>
        </w:rPr>
      </w:pPr>
      <w:r>
        <w:rPr>
          <w:lang w:val="cs-CZ"/>
        </w:rPr>
        <w:t>Vysokých škol nepedagogického typu se v Akčním plánu týká pouze jeden bod, a to formou doporučení. Souvisí to s autonomií akademic</w:t>
      </w:r>
      <w:r w:rsidR="00654DB2">
        <w:rPr>
          <w:lang w:val="cs-CZ"/>
        </w:rPr>
        <w:t>kého</w:t>
      </w:r>
      <w:r>
        <w:rPr>
          <w:lang w:val="cs-CZ"/>
        </w:rPr>
        <w:t xml:space="preserve"> prostředí, nicméně obecné principy a podmínky pro uplatnění VUR na VŠ lze aktivně utvářet. VUR na vysokoškolské úrovni je chápáno jako zvýšení vlivu univerzit na sociální oblast, a vyžaduje propojení teorie a praxe, přičemž jsou sledovány cíle dosažení dlouhodobého „blahobytu“ společnosti, který zahrnuje též neekonomické faktory. </w:t>
      </w:r>
      <w:r w:rsidR="00A13CCD">
        <w:rPr>
          <w:lang w:val="cs-CZ"/>
        </w:rPr>
        <w:t xml:space="preserve">Tyto principy jsou plně v souladu se základním posláním univerzit – podporovat obecnou vzdělanost a rozvoj kultury – což potvrzuje fakt, že světové univerzity a jejich asociace se k myšlence VUR přihlásily v četných deklaracích a závazcích (Lozano, R. et al., 2011). </w:t>
      </w:r>
      <w:r>
        <w:rPr>
          <w:lang w:val="cs-CZ"/>
        </w:rPr>
        <w:t xml:space="preserve">Vysoké školy </w:t>
      </w:r>
      <w:r w:rsidR="00A13CCD">
        <w:rPr>
          <w:lang w:val="cs-CZ"/>
        </w:rPr>
        <w:t xml:space="preserve">jsou </w:t>
      </w:r>
      <w:r>
        <w:rPr>
          <w:lang w:val="cs-CZ"/>
        </w:rPr>
        <w:t xml:space="preserve">tak </w:t>
      </w:r>
      <w:r w:rsidR="00A13CCD">
        <w:rPr>
          <w:lang w:val="cs-CZ"/>
        </w:rPr>
        <w:t>pokládány za významného společenského hráče</w:t>
      </w:r>
      <w:r>
        <w:rPr>
          <w:lang w:val="cs-CZ"/>
        </w:rPr>
        <w:t xml:space="preserve">, který </w:t>
      </w:r>
      <w:r w:rsidR="00A13CCD">
        <w:rPr>
          <w:lang w:val="cs-CZ"/>
        </w:rPr>
        <w:t xml:space="preserve">v praxi </w:t>
      </w:r>
      <w:r>
        <w:rPr>
          <w:lang w:val="cs-CZ"/>
        </w:rPr>
        <w:t xml:space="preserve">například </w:t>
      </w:r>
      <w:r w:rsidR="007D1771">
        <w:rPr>
          <w:lang w:val="cs-CZ"/>
        </w:rPr>
        <w:t xml:space="preserve">pomáhá </w:t>
      </w:r>
      <w:r>
        <w:rPr>
          <w:lang w:val="cs-CZ"/>
        </w:rPr>
        <w:t>utvářet či naplňovat politiky na regionální úrovni. Mohou</w:t>
      </w:r>
      <w:r w:rsidR="00A13CCD">
        <w:rPr>
          <w:lang w:val="cs-CZ"/>
        </w:rPr>
        <w:t xml:space="preserve"> tak</w:t>
      </w:r>
      <w:r>
        <w:rPr>
          <w:lang w:val="cs-CZ"/>
        </w:rPr>
        <w:t xml:space="preserve"> být jedním z vlivných aktérů regionálního rozvoje a </w:t>
      </w:r>
      <w:r w:rsidR="007D1771">
        <w:rPr>
          <w:lang w:val="cs-CZ"/>
        </w:rPr>
        <w:t>usměrňovat</w:t>
      </w:r>
      <w:r>
        <w:rPr>
          <w:lang w:val="cs-CZ"/>
        </w:rPr>
        <w:t xml:space="preserve"> jeho podobu směrem k</w:t>
      </w:r>
      <w:r w:rsidR="00A13CCD">
        <w:rPr>
          <w:lang w:val="cs-CZ"/>
        </w:rPr>
        <w:t xml:space="preserve"> dlouhodobé prosperitě a </w:t>
      </w:r>
      <w:r>
        <w:rPr>
          <w:lang w:val="cs-CZ"/>
        </w:rPr>
        <w:t xml:space="preserve">udržitelnosti. Z těchto důvodů je žádoucí pro ně otevírat příležitosti </w:t>
      </w:r>
      <w:r w:rsidR="00A13CCD">
        <w:rPr>
          <w:lang w:val="cs-CZ"/>
        </w:rPr>
        <w:t xml:space="preserve">k realizaci VUR </w:t>
      </w:r>
      <w:r>
        <w:rPr>
          <w:lang w:val="cs-CZ"/>
        </w:rPr>
        <w:t>například v rámci regionálně orientovaných rozvojových programů, a podporovat též vědeckou práci v interdisciplinární oblasti.</w:t>
      </w:r>
    </w:p>
    <w:p w:rsidR="00860174" w:rsidRDefault="00860174" w:rsidP="00B40CB9">
      <w:pPr>
        <w:pStyle w:val="Nadpis2"/>
        <w:jc w:val="both"/>
        <w:rPr>
          <w:lang w:val="cs-CZ"/>
        </w:rPr>
      </w:pPr>
      <w:r>
        <w:rPr>
          <w:lang w:val="cs-CZ"/>
        </w:rPr>
        <w:t>Pedagogická činnost</w:t>
      </w:r>
    </w:p>
    <w:p w:rsidR="00860174" w:rsidRDefault="00860174" w:rsidP="00B40CB9">
      <w:pPr>
        <w:jc w:val="both"/>
        <w:rPr>
          <w:lang w:val="cs-CZ"/>
        </w:rPr>
      </w:pPr>
      <w:r>
        <w:rPr>
          <w:lang w:val="cs-CZ"/>
        </w:rPr>
        <w:t xml:space="preserve">Akční plán předpokládá, že Ministerstvo školství, mládeže a tělovýchovy (MŠMT) splní v této oblasti </w:t>
      </w:r>
      <w:r w:rsidR="00705690">
        <w:rPr>
          <w:lang w:val="cs-CZ"/>
        </w:rPr>
        <w:t>následující</w:t>
      </w:r>
      <w:r>
        <w:rPr>
          <w:lang w:val="cs-CZ"/>
        </w:rPr>
        <w:t xml:space="preserve"> úkoly:</w:t>
      </w:r>
    </w:p>
    <w:p w:rsidR="00860174" w:rsidRPr="00860174" w:rsidRDefault="00860174" w:rsidP="00B40CB9">
      <w:pPr>
        <w:pStyle w:val="Odstavecseseznamem"/>
        <w:numPr>
          <w:ilvl w:val="0"/>
          <w:numId w:val="6"/>
        </w:numPr>
        <w:jc w:val="both"/>
        <w:rPr>
          <w:rFonts w:eastAsiaTheme="minorHAnsi" w:cs="Times-Roman"/>
          <w:lang w:val="cs-CZ" w:bidi="ar-SA"/>
        </w:rPr>
      </w:pPr>
      <w:r w:rsidRPr="00860174">
        <w:rPr>
          <w:lang w:val="cs-CZ"/>
        </w:rPr>
        <w:t>Doporučit vysokým školám (v rámci kompetencí daných zákonem o VŠ) osvojit si metodiku vzdělávání zaměřeného na analýzu a řešení problémů udržitelného rozvoje a zařadit ji do přípravy budoucích pedagogických pracovníků.</w:t>
      </w:r>
    </w:p>
    <w:p w:rsidR="00860174" w:rsidRPr="00860174" w:rsidRDefault="00860174" w:rsidP="00B40CB9">
      <w:pPr>
        <w:pStyle w:val="Odstavecseseznamem"/>
        <w:numPr>
          <w:ilvl w:val="0"/>
          <w:numId w:val="6"/>
        </w:numPr>
        <w:jc w:val="both"/>
        <w:rPr>
          <w:rFonts w:eastAsiaTheme="minorHAnsi" w:cs="Times-Roman"/>
          <w:lang w:val="cs-CZ" w:bidi="ar-SA"/>
        </w:rPr>
      </w:pPr>
      <w:r w:rsidRPr="00860174">
        <w:rPr>
          <w:rFonts w:eastAsiaTheme="minorHAnsi" w:cs="Times-Roman"/>
          <w:lang w:val="cs-CZ" w:bidi="ar-SA"/>
        </w:rPr>
        <w:t>Doporu</w:t>
      </w:r>
      <w:r w:rsidRPr="00860174">
        <w:rPr>
          <w:rFonts w:eastAsiaTheme="minorHAnsi" w:cs="TimesNewRoman-OneByteIdentityH"/>
          <w:lang w:val="cs-CZ" w:bidi="ar-SA"/>
        </w:rPr>
        <w:t>č</w:t>
      </w:r>
      <w:r w:rsidRPr="00860174">
        <w:rPr>
          <w:rFonts w:eastAsiaTheme="minorHAnsi" w:cs="Times-Roman"/>
          <w:lang w:val="cs-CZ" w:bidi="ar-SA"/>
        </w:rPr>
        <w:t>it vysokým školám/ fakultám p</w:t>
      </w:r>
      <w:r w:rsidRPr="00860174">
        <w:rPr>
          <w:rFonts w:eastAsiaTheme="minorHAnsi" w:cs="TimesNewRoman-OneByteIdentityH"/>
          <w:lang w:val="cs-CZ" w:bidi="ar-SA"/>
        </w:rPr>
        <w:t>ř</w:t>
      </w:r>
      <w:r w:rsidRPr="00860174">
        <w:rPr>
          <w:rFonts w:eastAsiaTheme="minorHAnsi" w:cs="Times-Roman"/>
          <w:lang w:val="cs-CZ" w:bidi="ar-SA"/>
        </w:rPr>
        <w:t>ipravujícím pedagogické pracovníky (v rámci kompetencí daných zákonem o VŠ) osvojit si metodiku pro formování vztahu k místu, k okolnímu prost</w:t>
      </w:r>
      <w:r w:rsidRPr="00860174">
        <w:rPr>
          <w:rFonts w:eastAsiaTheme="minorHAnsi" w:cs="TimesNewRoman-OneByteIdentityH"/>
          <w:lang w:val="cs-CZ" w:bidi="ar-SA"/>
        </w:rPr>
        <w:t>ř</w:t>
      </w:r>
      <w:r w:rsidRPr="00860174">
        <w:rPr>
          <w:rFonts w:eastAsiaTheme="minorHAnsi" w:cs="Times-Roman"/>
          <w:lang w:val="cs-CZ" w:bidi="ar-SA"/>
        </w:rPr>
        <w:t>edí a pro interpretaci p</w:t>
      </w:r>
      <w:r w:rsidRPr="00860174">
        <w:rPr>
          <w:rFonts w:eastAsiaTheme="minorHAnsi" w:cs="TimesNewRoman-OneByteIdentityH"/>
          <w:lang w:val="cs-CZ" w:bidi="ar-SA"/>
        </w:rPr>
        <w:t>ř</w:t>
      </w:r>
      <w:r w:rsidRPr="00860174">
        <w:rPr>
          <w:rFonts w:eastAsiaTheme="minorHAnsi" w:cs="Times-Roman"/>
          <w:lang w:val="cs-CZ" w:bidi="ar-SA"/>
        </w:rPr>
        <w:t>írodního a kulturního d</w:t>
      </w:r>
      <w:r w:rsidRPr="00860174">
        <w:rPr>
          <w:rFonts w:eastAsiaTheme="minorHAnsi" w:cs="TimesNewRoman-OneByteIdentityH"/>
          <w:lang w:val="cs-CZ" w:bidi="ar-SA"/>
        </w:rPr>
        <w:t>ě</w:t>
      </w:r>
      <w:r w:rsidRPr="00860174">
        <w:rPr>
          <w:rFonts w:eastAsiaTheme="minorHAnsi" w:cs="Times-Roman"/>
          <w:lang w:val="cs-CZ" w:bidi="ar-SA"/>
        </w:rPr>
        <w:t>dictví a za</w:t>
      </w:r>
      <w:r w:rsidRPr="00860174">
        <w:rPr>
          <w:rFonts w:eastAsiaTheme="minorHAnsi" w:cs="TimesNewRoman-OneByteIdentityH"/>
          <w:lang w:val="cs-CZ" w:bidi="ar-SA"/>
        </w:rPr>
        <w:t>ř</w:t>
      </w:r>
      <w:r w:rsidRPr="00860174">
        <w:rPr>
          <w:rFonts w:eastAsiaTheme="minorHAnsi" w:cs="Times-Roman"/>
          <w:lang w:val="cs-CZ" w:bidi="ar-SA"/>
        </w:rPr>
        <w:t>adit ji do p</w:t>
      </w:r>
      <w:r w:rsidRPr="00860174">
        <w:rPr>
          <w:rFonts w:eastAsiaTheme="minorHAnsi" w:cs="TimesNewRoman-OneByteIdentityH"/>
          <w:lang w:val="cs-CZ" w:bidi="ar-SA"/>
        </w:rPr>
        <w:t>ř</w:t>
      </w:r>
      <w:r w:rsidRPr="00860174">
        <w:rPr>
          <w:rFonts w:eastAsiaTheme="minorHAnsi" w:cs="Times-Roman"/>
          <w:lang w:val="cs-CZ" w:bidi="ar-SA"/>
        </w:rPr>
        <w:t>ípravy student</w:t>
      </w:r>
      <w:r w:rsidRPr="00860174">
        <w:rPr>
          <w:rFonts w:eastAsiaTheme="minorHAnsi" w:cs="TimesNewRoman-OneByteIdentityH"/>
          <w:lang w:val="cs-CZ" w:bidi="ar-SA"/>
        </w:rPr>
        <w:t xml:space="preserve">ů </w:t>
      </w:r>
      <w:r w:rsidRPr="00860174">
        <w:rPr>
          <w:rFonts w:eastAsiaTheme="minorHAnsi" w:cs="Times-Roman"/>
          <w:lang w:val="cs-CZ" w:bidi="ar-SA"/>
        </w:rPr>
        <w:t>u</w:t>
      </w:r>
      <w:r w:rsidRPr="00860174">
        <w:rPr>
          <w:rFonts w:eastAsiaTheme="minorHAnsi" w:cs="TimesNewRoman-OneByteIdentityH"/>
          <w:lang w:val="cs-CZ" w:bidi="ar-SA"/>
        </w:rPr>
        <w:t>č</w:t>
      </w:r>
      <w:r w:rsidRPr="00860174">
        <w:rPr>
          <w:rFonts w:eastAsiaTheme="minorHAnsi" w:cs="Times-Roman"/>
          <w:lang w:val="cs-CZ" w:bidi="ar-SA"/>
        </w:rPr>
        <w:t>itelských a ostatních pedagogických obor</w:t>
      </w:r>
      <w:r w:rsidRPr="00860174">
        <w:rPr>
          <w:rFonts w:eastAsiaTheme="minorHAnsi" w:cs="TimesNewRoman-OneByteIdentityH"/>
          <w:lang w:val="cs-CZ" w:bidi="ar-SA"/>
        </w:rPr>
        <w:t>ů</w:t>
      </w:r>
      <w:r w:rsidRPr="00860174">
        <w:rPr>
          <w:rFonts w:eastAsiaTheme="minorHAnsi" w:cs="Times-Roman"/>
          <w:lang w:val="cs-CZ" w:bidi="ar-SA"/>
        </w:rPr>
        <w:t>.</w:t>
      </w:r>
    </w:p>
    <w:p w:rsidR="00705690" w:rsidRPr="00705690" w:rsidRDefault="00860174" w:rsidP="00B40CB9">
      <w:pPr>
        <w:pStyle w:val="Odstavecseseznamem"/>
        <w:numPr>
          <w:ilvl w:val="0"/>
          <w:numId w:val="6"/>
        </w:numPr>
        <w:jc w:val="both"/>
      </w:pPr>
      <w:r w:rsidRPr="00860174">
        <w:rPr>
          <w:rFonts w:eastAsiaTheme="minorHAnsi" w:cs="Times-Roman"/>
          <w:lang w:val="cs-CZ" w:bidi="ar-SA"/>
        </w:rPr>
        <w:t>Doporu</w:t>
      </w:r>
      <w:r w:rsidRPr="00860174">
        <w:rPr>
          <w:rFonts w:eastAsiaTheme="minorHAnsi" w:cs="TimesNewRoman-OneByteIdentityH"/>
          <w:lang w:val="cs-CZ" w:bidi="ar-SA"/>
        </w:rPr>
        <w:t>č</w:t>
      </w:r>
      <w:r w:rsidR="00023F31">
        <w:rPr>
          <w:rFonts w:eastAsiaTheme="minorHAnsi" w:cs="Times-Roman"/>
          <w:lang w:val="cs-CZ" w:bidi="ar-SA"/>
        </w:rPr>
        <w:t xml:space="preserve">it vysokým školám/fakultám </w:t>
      </w:r>
      <w:r w:rsidRPr="00860174">
        <w:rPr>
          <w:rFonts w:eastAsiaTheme="minorHAnsi" w:cs="Times-Roman"/>
          <w:lang w:val="cs-CZ" w:bidi="ar-SA"/>
        </w:rPr>
        <w:t>za</w:t>
      </w:r>
      <w:r w:rsidRPr="00860174">
        <w:rPr>
          <w:rFonts w:eastAsiaTheme="minorHAnsi" w:cs="TimesNewRoman-OneByteIdentityH"/>
          <w:lang w:val="cs-CZ" w:bidi="ar-SA"/>
        </w:rPr>
        <w:t>ř</w:t>
      </w:r>
      <w:r w:rsidRPr="00860174">
        <w:rPr>
          <w:rFonts w:eastAsiaTheme="minorHAnsi" w:cs="Times-Roman"/>
          <w:lang w:val="cs-CZ" w:bidi="ar-SA"/>
        </w:rPr>
        <w:t xml:space="preserve">adit problematiku </w:t>
      </w:r>
      <w:r w:rsidRPr="00860174">
        <w:rPr>
          <w:rFonts w:eastAsiaTheme="minorHAnsi" w:cs="TimesNewRoman-OneByteIdentityH"/>
          <w:lang w:val="cs-CZ" w:bidi="ar-SA"/>
        </w:rPr>
        <w:t>ř</w:t>
      </w:r>
      <w:r w:rsidRPr="00860174">
        <w:rPr>
          <w:rFonts w:eastAsiaTheme="minorHAnsi" w:cs="Times-Roman"/>
          <w:lang w:val="cs-CZ" w:bidi="ar-SA"/>
        </w:rPr>
        <w:t>ešení sociálních aspekt</w:t>
      </w:r>
      <w:r w:rsidRPr="00860174">
        <w:rPr>
          <w:rFonts w:eastAsiaTheme="minorHAnsi" w:cs="TimesNewRoman-OneByteIdentityH"/>
          <w:lang w:val="cs-CZ" w:bidi="ar-SA"/>
        </w:rPr>
        <w:t xml:space="preserve">ů </w:t>
      </w:r>
      <w:r w:rsidRPr="00860174">
        <w:rPr>
          <w:rFonts w:eastAsiaTheme="minorHAnsi" w:cs="Times-Roman"/>
          <w:lang w:val="cs-CZ" w:bidi="ar-SA"/>
        </w:rPr>
        <w:t>výchovy a vzd</w:t>
      </w:r>
      <w:r w:rsidRPr="00860174">
        <w:rPr>
          <w:rFonts w:eastAsiaTheme="minorHAnsi" w:cs="TimesNewRoman-OneByteIdentityH"/>
          <w:lang w:val="cs-CZ" w:bidi="ar-SA"/>
        </w:rPr>
        <w:t>ě</w:t>
      </w:r>
      <w:r w:rsidRPr="00860174">
        <w:rPr>
          <w:rFonts w:eastAsiaTheme="minorHAnsi" w:cs="Times-Roman"/>
          <w:lang w:val="cs-CZ" w:bidi="ar-SA"/>
        </w:rPr>
        <w:t>lávání do studijních plán</w:t>
      </w:r>
      <w:r w:rsidRPr="00860174">
        <w:rPr>
          <w:rFonts w:eastAsiaTheme="minorHAnsi" w:cs="TimesNewRoman-OneByteIdentityH"/>
          <w:lang w:val="cs-CZ" w:bidi="ar-SA"/>
        </w:rPr>
        <w:t xml:space="preserve">ů </w:t>
      </w:r>
      <w:r w:rsidRPr="00860174">
        <w:rPr>
          <w:rFonts w:eastAsiaTheme="minorHAnsi" w:cs="Times-Roman"/>
          <w:lang w:val="cs-CZ" w:bidi="ar-SA"/>
        </w:rPr>
        <w:t>p</w:t>
      </w:r>
      <w:r w:rsidRPr="00860174">
        <w:rPr>
          <w:rFonts w:eastAsiaTheme="minorHAnsi" w:cs="TimesNewRoman-OneByteIdentityH"/>
          <w:lang w:val="cs-CZ" w:bidi="ar-SA"/>
        </w:rPr>
        <w:t>ř</w:t>
      </w:r>
      <w:r w:rsidRPr="00860174">
        <w:rPr>
          <w:rFonts w:eastAsiaTheme="minorHAnsi" w:cs="Times-Roman"/>
          <w:lang w:val="cs-CZ" w:bidi="ar-SA"/>
        </w:rPr>
        <w:t>ípravy poslucha</w:t>
      </w:r>
      <w:r w:rsidRPr="00860174">
        <w:rPr>
          <w:rFonts w:eastAsiaTheme="minorHAnsi" w:cs="TimesNewRoman-OneByteIdentityH"/>
          <w:lang w:val="cs-CZ" w:bidi="ar-SA"/>
        </w:rPr>
        <w:t xml:space="preserve">čů </w:t>
      </w:r>
      <w:r w:rsidRPr="00860174">
        <w:rPr>
          <w:rFonts w:eastAsiaTheme="minorHAnsi" w:cs="Times-Roman"/>
          <w:lang w:val="cs-CZ" w:bidi="ar-SA"/>
        </w:rPr>
        <w:t>u</w:t>
      </w:r>
      <w:r w:rsidRPr="00860174">
        <w:rPr>
          <w:rFonts w:eastAsiaTheme="minorHAnsi" w:cs="TimesNewRoman-OneByteIdentityH"/>
          <w:lang w:val="cs-CZ" w:bidi="ar-SA"/>
        </w:rPr>
        <w:t>č</w:t>
      </w:r>
      <w:r w:rsidRPr="00860174">
        <w:rPr>
          <w:rFonts w:eastAsiaTheme="minorHAnsi" w:cs="Times-Roman"/>
          <w:lang w:val="cs-CZ" w:bidi="ar-SA"/>
        </w:rPr>
        <w:t>itelských obor</w:t>
      </w:r>
      <w:r w:rsidR="00705690">
        <w:rPr>
          <w:rFonts w:eastAsiaTheme="minorHAnsi" w:cs="TimesNewRoman-OneByteIdentityH"/>
          <w:lang w:val="cs-CZ" w:bidi="ar-SA"/>
        </w:rPr>
        <w:t>ů.</w:t>
      </w:r>
    </w:p>
    <w:p w:rsidR="00705690" w:rsidRDefault="007B317B" w:rsidP="00B40CB9">
      <w:pPr>
        <w:pStyle w:val="Odstavecseseznamem"/>
        <w:numPr>
          <w:ilvl w:val="0"/>
          <w:numId w:val="6"/>
        </w:numPr>
        <w:autoSpaceDE w:val="0"/>
        <w:autoSpaceDN w:val="0"/>
        <w:adjustRightInd w:val="0"/>
        <w:spacing w:after="0" w:line="240" w:lineRule="auto"/>
        <w:jc w:val="both"/>
        <w:rPr>
          <w:rFonts w:eastAsiaTheme="minorHAnsi" w:cs="Times-Roman"/>
          <w:lang w:val="cs-CZ" w:bidi="ar-SA"/>
        </w:rPr>
      </w:pPr>
      <w:r w:rsidRPr="00705690">
        <w:rPr>
          <w:rFonts w:eastAsiaTheme="minorHAnsi" w:cs="Times-Roman"/>
          <w:lang w:val="cs-CZ" w:bidi="ar-SA"/>
        </w:rPr>
        <w:lastRenderedPageBreak/>
        <w:t>Podporovat posilování kompetencí</w:t>
      </w:r>
      <w:r w:rsidR="00705690" w:rsidRPr="00705690">
        <w:rPr>
          <w:rFonts w:eastAsiaTheme="minorHAnsi" w:cs="Times-Roman"/>
          <w:lang w:val="cs-CZ" w:bidi="ar-SA"/>
        </w:rPr>
        <w:t xml:space="preserve"> </w:t>
      </w:r>
      <w:r w:rsidRPr="00705690">
        <w:rPr>
          <w:rFonts w:eastAsiaTheme="minorHAnsi" w:cs="Times-Roman"/>
          <w:lang w:val="cs-CZ" w:bidi="ar-SA"/>
        </w:rPr>
        <w:t>pedagogických pracovník</w:t>
      </w:r>
      <w:r w:rsidRPr="00705690">
        <w:rPr>
          <w:rFonts w:eastAsiaTheme="minorHAnsi" w:cs="TimesNewRoman-OneByteIdentityH"/>
          <w:lang w:val="cs-CZ" w:bidi="ar-SA"/>
        </w:rPr>
        <w:t>ů</w:t>
      </w:r>
      <w:r w:rsidRPr="00705690">
        <w:rPr>
          <w:rFonts w:eastAsiaTheme="minorHAnsi" w:cs="Times-Roman"/>
          <w:lang w:val="cs-CZ" w:bidi="ar-SA"/>
        </w:rPr>
        <w:t>, které</w:t>
      </w:r>
      <w:r w:rsidR="00705690" w:rsidRPr="00705690">
        <w:rPr>
          <w:rFonts w:eastAsiaTheme="minorHAnsi" w:cs="Times-Roman"/>
          <w:lang w:val="cs-CZ" w:bidi="ar-SA"/>
        </w:rPr>
        <w:t xml:space="preserve"> </w:t>
      </w:r>
      <w:r w:rsidRPr="00705690">
        <w:rPr>
          <w:rFonts w:eastAsiaTheme="minorHAnsi" w:cs="Times-Roman"/>
          <w:lang w:val="cs-CZ" w:bidi="ar-SA"/>
        </w:rPr>
        <w:t>p</w:t>
      </w:r>
      <w:r w:rsidRPr="00705690">
        <w:rPr>
          <w:rFonts w:eastAsiaTheme="minorHAnsi" w:cs="TimesNewRoman-OneByteIdentityH"/>
          <w:lang w:val="cs-CZ" w:bidi="ar-SA"/>
        </w:rPr>
        <w:t>ř</w:t>
      </w:r>
      <w:r w:rsidRPr="00705690">
        <w:rPr>
          <w:rFonts w:eastAsiaTheme="minorHAnsi" w:cs="Times-Roman"/>
          <w:lang w:val="cs-CZ" w:bidi="ar-SA"/>
        </w:rPr>
        <w:t>ispívají ke snižování sociálního nap</w:t>
      </w:r>
      <w:r w:rsidRPr="00705690">
        <w:rPr>
          <w:rFonts w:eastAsiaTheme="minorHAnsi" w:cs="TimesNewRoman-OneByteIdentityH"/>
          <w:lang w:val="cs-CZ" w:bidi="ar-SA"/>
        </w:rPr>
        <w:t>ě</w:t>
      </w:r>
      <w:r w:rsidRPr="00705690">
        <w:rPr>
          <w:rFonts w:eastAsiaTheme="minorHAnsi" w:cs="Times-Roman"/>
          <w:lang w:val="cs-CZ" w:bidi="ar-SA"/>
        </w:rPr>
        <w:t>tí</w:t>
      </w:r>
      <w:r w:rsidR="00705690" w:rsidRPr="00705690">
        <w:rPr>
          <w:rFonts w:eastAsiaTheme="minorHAnsi" w:cs="Times-Roman"/>
          <w:lang w:val="cs-CZ" w:bidi="ar-SA"/>
        </w:rPr>
        <w:t xml:space="preserve"> </w:t>
      </w:r>
      <w:r w:rsidRPr="00705690">
        <w:rPr>
          <w:rFonts w:eastAsiaTheme="minorHAnsi" w:cs="Times-Roman"/>
          <w:lang w:val="cs-CZ" w:bidi="ar-SA"/>
        </w:rPr>
        <w:t>ve spole</w:t>
      </w:r>
      <w:r w:rsidRPr="00705690">
        <w:rPr>
          <w:rFonts w:eastAsiaTheme="minorHAnsi" w:cs="TimesNewRoman-OneByteIdentityH"/>
          <w:lang w:val="cs-CZ" w:bidi="ar-SA"/>
        </w:rPr>
        <w:t>č</w:t>
      </w:r>
      <w:r w:rsidRPr="00705690">
        <w:rPr>
          <w:rFonts w:eastAsiaTheme="minorHAnsi" w:cs="Times-Roman"/>
          <w:lang w:val="cs-CZ" w:bidi="ar-SA"/>
        </w:rPr>
        <w:t>nosti, ve vztahu ke vzd</w:t>
      </w:r>
      <w:r w:rsidRPr="00705690">
        <w:rPr>
          <w:rFonts w:eastAsiaTheme="minorHAnsi" w:cs="TimesNewRoman-OneByteIdentityH"/>
          <w:lang w:val="cs-CZ" w:bidi="ar-SA"/>
        </w:rPr>
        <w:t>ě</w:t>
      </w:r>
      <w:r w:rsidRPr="00705690">
        <w:rPr>
          <w:rFonts w:eastAsiaTheme="minorHAnsi" w:cs="Times-Roman"/>
          <w:lang w:val="cs-CZ" w:bidi="ar-SA"/>
        </w:rPr>
        <w:t>lávání</w:t>
      </w:r>
      <w:r w:rsidR="00705690" w:rsidRPr="00705690">
        <w:rPr>
          <w:rFonts w:eastAsiaTheme="minorHAnsi" w:cs="Times-Roman"/>
          <w:lang w:val="cs-CZ" w:bidi="ar-SA"/>
        </w:rPr>
        <w:t xml:space="preserve"> </w:t>
      </w:r>
      <w:r w:rsidRPr="00705690">
        <w:rPr>
          <w:rFonts w:eastAsiaTheme="minorHAnsi" w:cs="Times-Roman"/>
          <w:lang w:val="cs-CZ" w:bidi="ar-SA"/>
        </w:rPr>
        <w:t>d</w:t>
      </w:r>
      <w:r w:rsidRPr="00705690">
        <w:rPr>
          <w:rFonts w:eastAsiaTheme="minorHAnsi" w:cs="TimesNewRoman-OneByteIdentityH"/>
          <w:lang w:val="cs-CZ" w:bidi="ar-SA"/>
        </w:rPr>
        <w:t>ě</w:t>
      </w:r>
      <w:r w:rsidRPr="00705690">
        <w:rPr>
          <w:rFonts w:eastAsiaTheme="minorHAnsi" w:cs="Times-Roman"/>
          <w:lang w:val="cs-CZ" w:bidi="ar-SA"/>
        </w:rPr>
        <w:t>tí a žák</w:t>
      </w:r>
      <w:r w:rsidRPr="00705690">
        <w:rPr>
          <w:rFonts w:eastAsiaTheme="minorHAnsi" w:cs="TimesNewRoman-OneByteIdentityH"/>
          <w:lang w:val="cs-CZ" w:bidi="ar-SA"/>
        </w:rPr>
        <w:t xml:space="preserve">ů </w:t>
      </w:r>
      <w:r w:rsidRPr="00705690">
        <w:rPr>
          <w:rFonts w:eastAsiaTheme="minorHAnsi" w:cs="Times-Roman"/>
          <w:lang w:val="cs-CZ" w:bidi="ar-SA"/>
        </w:rPr>
        <w:t>s pot</w:t>
      </w:r>
      <w:r w:rsidRPr="00705690">
        <w:rPr>
          <w:rFonts w:eastAsiaTheme="minorHAnsi" w:cs="TimesNewRoman-OneByteIdentityH"/>
          <w:lang w:val="cs-CZ" w:bidi="ar-SA"/>
        </w:rPr>
        <w:t>ř</w:t>
      </w:r>
      <w:r w:rsidRPr="00705690">
        <w:rPr>
          <w:rFonts w:eastAsiaTheme="minorHAnsi" w:cs="Times-Roman"/>
          <w:lang w:val="cs-CZ" w:bidi="ar-SA"/>
        </w:rPr>
        <w:t>ebou podp</w:t>
      </w:r>
      <w:r w:rsidRPr="00705690">
        <w:rPr>
          <w:rFonts w:eastAsiaTheme="minorHAnsi" w:cs="TimesNewRoman-OneByteIdentityH"/>
          <w:lang w:val="cs-CZ" w:bidi="ar-SA"/>
        </w:rPr>
        <w:t>ů</w:t>
      </w:r>
      <w:r w:rsidRPr="00705690">
        <w:rPr>
          <w:rFonts w:eastAsiaTheme="minorHAnsi" w:cs="Times-Roman"/>
          <w:lang w:val="cs-CZ" w:bidi="ar-SA"/>
        </w:rPr>
        <w:t>rných</w:t>
      </w:r>
      <w:r w:rsidR="00705690" w:rsidRPr="00705690">
        <w:rPr>
          <w:rFonts w:eastAsiaTheme="minorHAnsi" w:cs="Times-Roman"/>
          <w:lang w:val="cs-CZ" w:bidi="ar-SA"/>
        </w:rPr>
        <w:t xml:space="preserve"> </w:t>
      </w:r>
      <w:r w:rsidRPr="00705690">
        <w:rPr>
          <w:rFonts w:eastAsiaTheme="minorHAnsi" w:cs="Times-Roman"/>
          <w:lang w:val="cs-CZ" w:bidi="ar-SA"/>
        </w:rPr>
        <w:t>opat</w:t>
      </w:r>
      <w:r w:rsidRPr="00705690">
        <w:rPr>
          <w:rFonts w:eastAsiaTheme="minorHAnsi" w:cs="TimesNewRoman-OneByteIdentityH"/>
          <w:lang w:val="cs-CZ" w:bidi="ar-SA"/>
        </w:rPr>
        <w:t>ř</w:t>
      </w:r>
      <w:r w:rsidRPr="00705690">
        <w:rPr>
          <w:rFonts w:eastAsiaTheme="minorHAnsi" w:cs="Times-Roman"/>
          <w:lang w:val="cs-CZ" w:bidi="ar-SA"/>
        </w:rPr>
        <w:t>ení a k práci s rizikovou mládeží, p</w:t>
      </w:r>
      <w:r w:rsidRPr="00705690">
        <w:rPr>
          <w:rFonts w:eastAsiaTheme="minorHAnsi" w:cs="TimesNewRoman-OneByteIdentityH"/>
          <w:lang w:val="cs-CZ" w:bidi="ar-SA"/>
        </w:rPr>
        <w:t>ř</w:t>
      </w:r>
      <w:r w:rsidRPr="00705690">
        <w:rPr>
          <w:rFonts w:eastAsiaTheme="minorHAnsi" w:cs="Times-Roman"/>
          <w:lang w:val="cs-CZ" w:bidi="ar-SA"/>
        </w:rPr>
        <w:t>i</w:t>
      </w:r>
      <w:r w:rsidR="00705690" w:rsidRPr="00705690">
        <w:rPr>
          <w:rFonts w:eastAsiaTheme="minorHAnsi" w:cs="Times-Roman"/>
          <w:lang w:val="cs-CZ" w:bidi="ar-SA"/>
        </w:rPr>
        <w:t xml:space="preserve"> </w:t>
      </w:r>
      <w:r w:rsidRPr="00705690">
        <w:rPr>
          <w:rFonts w:eastAsiaTheme="minorHAnsi" w:cs="Times-Roman"/>
          <w:lang w:val="cs-CZ" w:bidi="ar-SA"/>
        </w:rPr>
        <w:t>vytvá</w:t>
      </w:r>
      <w:r w:rsidRPr="00705690">
        <w:rPr>
          <w:rFonts w:eastAsiaTheme="minorHAnsi" w:cs="TimesNewRoman-OneByteIdentityH"/>
          <w:lang w:val="cs-CZ" w:bidi="ar-SA"/>
        </w:rPr>
        <w:t>ř</w:t>
      </w:r>
      <w:r w:rsidRPr="00705690">
        <w:rPr>
          <w:rFonts w:eastAsiaTheme="minorHAnsi" w:cs="Times-Roman"/>
          <w:lang w:val="cs-CZ" w:bidi="ar-SA"/>
        </w:rPr>
        <w:t>ení podmínek pro inkluzívní</w:t>
      </w:r>
      <w:r w:rsidR="00705690" w:rsidRPr="00705690">
        <w:rPr>
          <w:rFonts w:eastAsiaTheme="minorHAnsi" w:cs="Times-Roman"/>
          <w:lang w:val="cs-CZ" w:bidi="ar-SA"/>
        </w:rPr>
        <w:t xml:space="preserve"> </w:t>
      </w:r>
      <w:r w:rsidRPr="00705690">
        <w:rPr>
          <w:rFonts w:eastAsiaTheme="minorHAnsi" w:cs="Times-Roman"/>
          <w:lang w:val="cs-CZ" w:bidi="ar-SA"/>
        </w:rPr>
        <w:t>vzd</w:t>
      </w:r>
      <w:r w:rsidRPr="00705690">
        <w:rPr>
          <w:rFonts w:eastAsiaTheme="minorHAnsi" w:cs="TimesNewRoman-OneByteIdentityH"/>
          <w:lang w:val="cs-CZ" w:bidi="ar-SA"/>
        </w:rPr>
        <w:t>ě</w:t>
      </w:r>
      <w:r w:rsidRPr="00705690">
        <w:rPr>
          <w:rFonts w:eastAsiaTheme="minorHAnsi" w:cs="Times-Roman"/>
          <w:lang w:val="cs-CZ" w:bidi="ar-SA"/>
        </w:rPr>
        <w:t>lávání.</w:t>
      </w:r>
      <w:r w:rsidR="00705690" w:rsidRPr="00705690">
        <w:rPr>
          <w:rFonts w:eastAsiaTheme="minorHAnsi" w:cs="Times-Roman"/>
          <w:lang w:val="cs-CZ" w:bidi="ar-SA"/>
        </w:rPr>
        <w:t xml:space="preserve"> </w:t>
      </w:r>
    </w:p>
    <w:p w:rsidR="007B317B" w:rsidRPr="00705690" w:rsidRDefault="007B317B" w:rsidP="00B40CB9">
      <w:pPr>
        <w:pStyle w:val="Odstavecseseznamem"/>
        <w:numPr>
          <w:ilvl w:val="0"/>
          <w:numId w:val="6"/>
        </w:numPr>
        <w:autoSpaceDE w:val="0"/>
        <w:autoSpaceDN w:val="0"/>
        <w:adjustRightInd w:val="0"/>
        <w:spacing w:after="0" w:line="240" w:lineRule="auto"/>
        <w:jc w:val="both"/>
        <w:rPr>
          <w:rFonts w:eastAsiaTheme="minorHAnsi" w:cs="Times-Roman"/>
          <w:lang w:val="cs-CZ" w:bidi="ar-SA"/>
        </w:rPr>
      </w:pPr>
      <w:r w:rsidRPr="00705690">
        <w:rPr>
          <w:rFonts w:eastAsiaTheme="minorHAnsi" w:cs="Times-Roman"/>
          <w:lang w:val="cs-CZ" w:bidi="ar-SA"/>
        </w:rPr>
        <w:t>Podporovat další vzd</w:t>
      </w:r>
      <w:r w:rsidRPr="00705690">
        <w:rPr>
          <w:rFonts w:eastAsiaTheme="minorHAnsi" w:cs="TimesNewRoman-OneByteIdentityH"/>
          <w:lang w:val="cs-CZ" w:bidi="ar-SA"/>
        </w:rPr>
        <w:t>ě</w:t>
      </w:r>
      <w:r w:rsidRPr="00705690">
        <w:rPr>
          <w:rFonts w:eastAsiaTheme="minorHAnsi" w:cs="Times-Roman"/>
          <w:lang w:val="cs-CZ" w:bidi="ar-SA"/>
        </w:rPr>
        <w:t>lávání</w:t>
      </w:r>
      <w:r w:rsidR="00705690" w:rsidRPr="00705690">
        <w:rPr>
          <w:rFonts w:eastAsiaTheme="minorHAnsi" w:cs="Times-Roman"/>
          <w:lang w:val="cs-CZ" w:bidi="ar-SA"/>
        </w:rPr>
        <w:t xml:space="preserve"> </w:t>
      </w:r>
      <w:r w:rsidRPr="00705690">
        <w:rPr>
          <w:rFonts w:eastAsiaTheme="minorHAnsi" w:cs="Times-Roman"/>
          <w:lang w:val="cs-CZ" w:bidi="ar-SA"/>
        </w:rPr>
        <w:t>pedagogických pracovník</w:t>
      </w:r>
      <w:r w:rsidRPr="00705690">
        <w:rPr>
          <w:rFonts w:eastAsiaTheme="minorHAnsi" w:cs="TimesNewRoman-OneByteIdentityH"/>
          <w:lang w:val="cs-CZ" w:bidi="ar-SA"/>
        </w:rPr>
        <w:t xml:space="preserve">ů </w:t>
      </w:r>
      <w:r w:rsidRPr="00705690">
        <w:rPr>
          <w:rFonts w:eastAsiaTheme="minorHAnsi" w:cs="Times-Roman"/>
          <w:lang w:val="cs-CZ" w:bidi="ar-SA"/>
        </w:rPr>
        <w:t>v</w:t>
      </w:r>
      <w:r w:rsidR="00705690" w:rsidRPr="00705690">
        <w:rPr>
          <w:rFonts w:eastAsiaTheme="minorHAnsi" w:cs="Times-Roman"/>
          <w:lang w:val="cs-CZ" w:bidi="ar-SA"/>
        </w:rPr>
        <w:t> </w:t>
      </w:r>
      <w:r w:rsidRPr="00705690">
        <w:rPr>
          <w:rFonts w:eastAsiaTheme="minorHAnsi" w:cs="Times-Roman"/>
          <w:lang w:val="cs-CZ" w:bidi="ar-SA"/>
        </w:rPr>
        <w:t>oblasti</w:t>
      </w:r>
      <w:r w:rsidR="00705690" w:rsidRPr="00705690">
        <w:rPr>
          <w:rFonts w:eastAsiaTheme="minorHAnsi" w:cs="Times-Roman"/>
          <w:lang w:val="cs-CZ" w:bidi="ar-SA"/>
        </w:rPr>
        <w:t xml:space="preserve"> </w:t>
      </w:r>
      <w:r w:rsidRPr="00705690">
        <w:rPr>
          <w:rFonts w:eastAsiaTheme="minorHAnsi" w:cs="Times-Roman"/>
          <w:lang w:val="cs-CZ" w:bidi="ar-SA"/>
        </w:rPr>
        <w:t xml:space="preserve">šetrných technologií, </w:t>
      </w:r>
      <w:r w:rsidR="00705690" w:rsidRPr="00705690">
        <w:rPr>
          <w:rFonts w:eastAsiaTheme="minorHAnsi" w:cs="Times-Roman"/>
          <w:lang w:val="cs-CZ" w:bidi="ar-SA"/>
        </w:rPr>
        <w:t>s</w:t>
      </w:r>
      <w:r w:rsidRPr="00705690">
        <w:rPr>
          <w:rFonts w:eastAsiaTheme="minorHAnsi" w:cs="Times-Roman"/>
          <w:lang w:val="cs-CZ" w:bidi="ar-SA"/>
        </w:rPr>
        <w:t>pot</w:t>
      </w:r>
      <w:r w:rsidRPr="00705690">
        <w:rPr>
          <w:rFonts w:eastAsiaTheme="minorHAnsi" w:cs="TimesNewRoman-OneByteIdentityH"/>
          <w:lang w:val="cs-CZ" w:bidi="ar-SA"/>
        </w:rPr>
        <w:t>ř</w:t>
      </w:r>
      <w:r w:rsidRPr="00705690">
        <w:rPr>
          <w:rFonts w:eastAsiaTheme="minorHAnsi" w:cs="Times-Roman"/>
          <w:lang w:val="cs-CZ" w:bidi="ar-SA"/>
        </w:rPr>
        <w:t>eby energií,</w:t>
      </w:r>
      <w:r w:rsidR="00705690" w:rsidRPr="00705690">
        <w:rPr>
          <w:rFonts w:eastAsiaTheme="minorHAnsi" w:cs="Times-Roman"/>
          <w:lang w:val="cs-CZ" w:bidi="ar-SA"/>
        </w:rPr>
        <w:t xml:space="preserve"> </w:t>
      </w:r>
      <w:r w:rsidRPr="00705690">
        <w:rPr>
          <w:rFonts w:eastAsiaTheme="minorHAnsi" w:cs="Times-Roman"/>
          <w:lang w:val="cs-CZ" w:bidi="ar-SA"/>
        </w:rPr>
        <w:t>energetické ú</w:t>
      </w:r>
      <w:r w:rsidRPr="00705690">
        <w:rPr>
          <w:rFonts w:eastAsiaTheme="minorHAnsi" w:cs="TimesNewRoman-OneByteIdentityH"/>
          <w:lang w:val="cs-CZ" w:bidi="ar-SA"/>
        </w:rPr>
        <w:t>č</w:t>
      </w:r>
      <w:r w:rsidRPr="00705690">
        <w:rPr>
          <w:rFonts w:eastAsiaTheme="minorHAnsi" w:cs="Times-Roman"/>
          <w:lang w:val="cs-CZ" w:bidi="ar-SA"/>
        </w:rPr>
        <w:t>innosti, dobrovolných</w:t>
      </w:r>
      <w:r w:rsidR="00705690" w:rsidRPr="00705690">
        <w:rPr>
          <w:rFonts w:eastAsiaTheme="minorHAnsi" w:cs="Times-Roman"/>
          <w:lang w:val="cs-CZ" w:bidi="ar-SA"/>
        </w:rPr>
        <w:t xml:space="preserve"> </w:t>
      </w:r>
      <w:r w:rsidRPr="00705690">
        <w:rPr>
          <w:rFonts w:eastAsiaTheme="minorHAnsi" w:cs="Times-Roman"/>
          <w:lang w:val="cs-CZ" w:bidi="ar-SA"/>
        </w:rPr>
        <w:t>environmentálních aktivit firem, sociální</w:t>
      </w:r>
      <w:r w:rsidR="00705690" w:rsidRPr="00705690">
        <w:rPr>
          <w:rFonts w:eastAsiaTheme="minorHAnsi" w:cs="Times-Roman"/>
          <w:lang w:val="cs-CZ" w:bidi="ar-SA"/>
        </w:rPr>
        <w:t xml:space="preserve"> </w:t>
      </w:r>
      <w:r w:rsidRPr="00705690">
        <w:rPr>
          <w:rFonts w:eastAsiaTheme="minorHAnsi" w:cs="Times-Roman"/>
          <w:lang w:val="cs-CZ" w:bidi="ar-SA"/>
        </w:rPr>
        <w:t>odpov</w:t>
      </w:r>
      <w:r w:rsidRPr="00705690">
        <w:rPr>
          <w:rFonts w:eastAsiaTheme="minorHAnsi" w:cs="TimesNewRoman-OneByteIdentityH"/>
          <w:lang w:val="cs-CZ" w:bidi="ar-SA"/>
        </w:rPr>
        <w:t>ě</w:t>
      </w:r>
      <w:r w:rsidRPr="00705690">
        <w:rPr>
          <w:rFonts w:eastAsiaTheme="minorHAnsi" w:cs="Times-Roman"/>
          <w:lang w:val="cs-CZ" w:bidi="ar-SA"/>
        </w:rPr>
        <w:t>dnosti firem a udržitelných forem</w:t>
      </w:r>
      <w:r w:rsidR="00705690" w:rsidRPr="00705690">
        <w:rPr>
          <w:rFonts w:eastAsiaTheme="minorHAnsi" w:cs="Times-Roman"/>
          <w:lang w:val="cs-CZ" w:bidi="ar-SA"/>
        </w:rPr>
        <w:t xml:space="preserve"> </w:t>
      </w:r>
      <w:r w:rsidRPr="00705690">
        <w:rPr>
          <w:rFonts w:eastAsiaTheme="minorHAnsi" w:cs="Times-Roman"/>
          <w:lang w:val="cs-CZ" w:bidi="ar-SA"/>
        </w:rPr>
        <w:t>produkce služeb a výrobk</w:t>
      </w:r>
      <w:r w:rsidRPr="00705690">
        <w:rPr>
          <w:rFonts w:eastAsiaTheme="minorHAnsi" w:cs="TimesNewRoman-OneByteIdentityH"/>
          <w:lang w:val="cs-CZ" w:bidi="ar-SA"/>
        </w:rPr>
        <w:t xml:space="preserve">ů </w:t>
      </w:r>
      <w:r w:rsidRPr="00705690">
        <w:rPr>
          <w:rFonts w:eastAsiaTheme="minorHAnsi" w:cs="Times-Roman"/>
          <w:lang w:val="cs-CZ" w:bidi="ar-SA"/>
        </w:rPr>
        <w:t>(zejména</w:t>
      </w:r>
      <w:r w:rsidR="00705690">
        <w:rPr>
          <w:rFonts w:eastAsiaTheme="minorHAnsi" w:cs="Times-Roman"/>
          <w:lang w:val="cs-CZ" w:bidi="ar-SA"/>
        </w:rPr>
        <w:t xml:space="preserve"> </w:t>
      </w:r>
      <w:r w:rsidRPr="00705690">
        <w:rPr>
          <w:rFonts w:eastAsiaTheme="minorHAnsi" w:cs="Times-Roman"/>
          <w:lang w:val="cs-CZ" w:bidi="ar-SA"/>
        </w:rPr>
        <w:t>potravin) zajiš</w:t>
      </w:r>
      <w:r w:rsidRPr="00705690">
        <w:rPr>
          <w:rFonts w:eastAsiaTheme="minorHAnsi" w:cs="TimesNewRoman-OneByteIdentityH"/>
          <w:lang w:val="cs-CZ" w:bidi="ar-SA"/>
        </w:rPr>
        <w:t>ť</w:t>
      </w:r>
      <w:r w:rsidRPr="00705690">
        <w:rPr>
          <w:rFonts w:eastAsiaTheme="minorHAnsi" w:cs="Times-Roman"/>
          <w:lang w:val="cs-CZ" w:bidi="ar-SA"/>
        </w:rPr>
        <w:t>ovaných specialisty z</w:t>
      </w:r>
      <w:r w:rsidR="00705690" w:rsidRPr="00705690">
        <w:rPr>
          <w:rFonts w:eastAsiaTheme="minorHAnsi" w:cs="Times-Roman"/>
          <w:lang w:val="cs-CZ" w:bidi="ar-SA"/>
        </w:rPr>
        <w:t xml:space="preserve"> </w:t>
      </w:r>
      <w:r w:rsidRPr="00705690">
        <w:rPr>
          <w:rFonts w:eastAsiaTheme="minorHAnsi" w:cs="Times-Roman"/>
          <w:lang w:val="cs-CZ" w:bidi="ar-SA"/>
        </w:rPr>
        <w:t>praxe.</w:t>
      </w:r>
    </w:p>
    <w:p w:rsidR="00705690" w:rsidRPr="00705690" w:rsidRDefault="00705690" w:rsidP="00B40CB9">
      <w:pPr>
        <w:jc w:val="both"/>
        <w:rPr>
          <w:lang w:val="cs-CZ"/>
        </w:rPr>
      </w:pPr>
    </w:p>
    <w:p w:rsidR="00860174" w:rsidRPr="00F17274" w:rsidRDefault="00F17274" w:rsidP="00B40CB9">
      <w:pPr>
        <w:jc w:val="both"/>
        <w:rPr>
          <w:lang w:val="cs-CZ"/>
        </w:rPr>
      </w:pPr>
      <w:r w:rsidRPr="00F17274">
        <w:rPr>
          <w:lang w:val="cs-CZ"/>
        </w:rPr>
        <w:t xml:space="preserve">Souvisejícími úkoly jsou doporučení týkající se </w:t>
      </w:r>
      <w:r>
        <w:rPr>
          <w:lang w:val="cs-CZ"/>
        </w:rPr>
        <w:t xml:space="preserve">možné </w:t>
      </w:r>
      <w:r w:rsidRPr="00F17274">
        <w:rPr>
          <w:lang w:val="cs-CZ"/>
        </w:rPr>
        <w:t xml:space="preserve">formy </w:t>
      </w:r>
      <w:r>
        <w:rPr>
          <w:lang w:val="cs-CZ"/>
        </w:rPr>
        <w:t>naplnění těchto doporučení:</w:t>
      </w:r>
    </w:p>
    <w:p w:rsidR="00860174" w:rsidRDefault="00860174" w:rsidP="00B40CB9">
      <w:pPr>
        <w:autoSpaceDE w:val="0"/>
        <w:autoSpaceDN w:val="0"/>
        <w:adjustRightInd w:val="0"/>
        <w:spacing w:after="0" w:line="240" w:lineRule="auto"/>
        <w:jc w:val="both"/>
      </w:pPr>
    </w:p>
    <w:p w:rsidR="00F17274" w:rsidRPr="00F17274" w:rsidRDefault="00860174" w:rsidP="00B40CB9">
      <w:pPr>
        <w:pStyle w:val="Odstavecseseznamem"/>
        <w:numPr>
          <w:ilvl w:val="0"/>
          <w:numId w:val="7"/>
        </w:numPr>
        <w:jc w:val="both"/>
        <w:rPr>
          <w:rFonts w:eastAsiaTheme="minorHAnsi"/>
          <w:lang w:val="cs-CZ" w:bidi="ar-SA"/>
        </w:rPr>
      </w:pPr>
      <w:r w:rsidRPr="00F17274">
        <w:rPr>
          <w:rFonts w:eastAsiaTheme="minorHAnsi"/>
          <w:lang w:val="cs-CZ" w:bidi="ar-SA"/>
        </w:rPr>
        <w:t>Doporu</w:t>
      </w:r>
      <w:r w:rsidRPr="00F17274">
        <w:rPr>
          <w:rFonts w:eastAsiaTheme="minorHAnsi" w:cs="TimesNewRoman-OneByteIdentityH"/>
          <w:lang w:val="cs-CZ" w:bidi="ar-SA"/>
        </w:rPr>
        <w:t>č</w:t>
      </w:r>
      <w:r w:rsidRPr="00F17274">
        <w:rPr>
          <w:rFonts w:eastAsiaTheme="minorHAnsi"/>
          <w:lang w:val="cs-CZ" w:bidi="ar-SA"/>
        </w:rPr>
        <w:t>it vysokým školám za</w:t>
      </w:r>
      <w:r w:rsidRPr="00F17274">
        <w:rPr>
          <w:rFonts w:eastAsiaTheme="minorHAnsi" w:cs="TimesNewRoman-OneByteIdentityH"/>
          <w:lang w:val="cs-CZ" w:bidi="ar-SA"/>
        </w:rPr>
        <w:t>ř</w:t>
      </w:r>
      <w:r w:rsidRPr="00F17274">
        <w:rPr>
          <w:rFonts w:eastAsiaTheme="minorHAnsi"/>
          <w:lang w:val="cs-CZ" w:bidi="ar-SA"/>
        </w:rPr>
        <w:t>adit interdisciplinární kurzy ke</w:t>
      </w:r>
      <w:r w:rsidR="00F17274" w:rsidRPr="00F17274">
        <w:rPr>
          <w:rFonts w:eastAsiaTheme="minorHAnsi"/>
          <w:lang w:val="cs-CZ" w:bidi="ar-SA"/>
        </w:rPr>
        <w:t xml:space="preserve"> </w:t>
      </w:r>
      <w:r w:rsidRPr="00F17274">
        <w:rPr>
          <w:rFonts w:eastAsiaTheme="minorHAnsi"/>
          <w:lang w:val="cs-CZ" w:bidi="ar-SA"/>
        </w:rPr>
        <w:t>zvoleným klí</w:t>
      </w:r>
      <w:r w:rsidRPr="00F17274">
        <w:rPr>
          <w:rFonts w:eastAsiaTheme="minorHAnsi" w:cs="TimesNewRoman-OneByteIdentityH"/>
          <w:lang w:val="cs-CZ" w:bidi="ar-SA"/>
        </w:rPr>
        <w:t>č</w:t>
      </w:r>
      <w:r w:rsidRPr="00F17274">
        <w:rPr>
          <w:rFonts w:eastAsiaTheme="minorHAnsi"/>
          <w:lang w:val="cs-CZ" w:bidi="ar-SA"/>
        </w:rPr>
        <w:t>ovým témat</w:t>
      </w:r>
      <w:r w:rsidRPr="00F17274">
        <w:rPr>
          <w:rFonts w:eastAsiaTheme="minorHAnsi" w:cs="TimesNewRoman-OneByteIdentityH"/>
          <w:lang w:val="cs-CZ" w:bidi="ar-SA"/>
        </w:rPr>
        <w:t>ů</w:t>
      </w:r>
      <w:r w:rsidRPr="00F17274">
        <w:rPr>
          <w:rFonts w:eastAsiaTheme="minorHAnsi"/>
          <w:lang w:val="cs-CZ" w:bidi="ar-SA"/>
        </w:rPr>
        <w:t>m do studijních plán</w:t>
      </w:r>
      <w:r w:rsidRPr="00F17274">
        <w:rPr>
          <w:rFonts w:eastAsiaTheme="minorHAnsi" w:cs="TimesNewRoman-OneByteIdentityH"/>
          <w:lang w:val="cs-CZ" w:bidi="ar-SA"/>
        </w:rPr>
        <w:t>ů</w:t>
      </w:r>
      <w:r w:rsidRPr="00F17274">
        <w:rPr>
          <w:rFonts w:eastAsiaTheme="minorHAnsi"/>
          <w:lang w:val="cs-CZ" w:bidi="ar-SA"/>
        </w:rPr>
        <w:t>.</w:t>
      </w:r>
      <w:r w:rsidR="00F17274" w:rsidRPr="00F17274">
        <w:rPr>
          <w:rFonts w:eastAsiaTheme="minorHAnsi"/>
          <w:lang w:val="cs-CZ" w:bidi="ar-SA"/>
        </w:rPr>
        <w:t xml:space="preserve"> </w:t>
      </w:r>
    </w:p>
    <w:p w:rsidR="00860174" w:rsidRPr="00F17274" w:rsidRDefault="00860174" w:rsidP="00B40CB9">
      <w:pPr>
        <w:pStyle w:val="Odstavecseseznamem"/>
        <w:numPr>
          <w:ilvl w:val="0"/>
          <w:numId w:val="7"/>
        </w:numPr>
        <w:jc w:val="both"/>
      </w:pPr>
      <w:r w:rsidRPr="00F17274">
        <w:rPr>
          <w:rFonts w:eastAsiaTheme="minorHAnsi"/>
          <w:lang w:val="cs-CZ" w:bidi="ar-SA"/>
        </w:rPr>
        <w:t>Podporovat vzd</w:t>
      </w:r>
      <w:r w:rsidRPr="00F17274">
        <w:rPr>
          <w:rFonts w:eastAsiaTheme="minorHAnsi" w:cs="TimesNewRoman-OneByteIdentityH"/>
          <w:lang w:val="cs-CZ" w:bidi="ar-SA"/>
        </w:rPr>
        <w:t>ě</w:t>
      </w:r>
      <w:r w:rsidRPr="00F17274">
        <w:rPr>
          <w:rFonts w:eastAsiaTheme="minorHAnsi"/>
          <w:lang w:val="cs-CZ" w:bidi="ar-SA"/>
        </w:rPr>
        <w:t>lávací aktivity v</w:t>
      </w:r>
      <w:r w:rsidR="00F17274" w:rsidRPr="00F17274">
        <w:rPr>
          <w:rFonts w:eastAsiaTheme="minorHAnsi"/>
          <w:lang w:val="cs-CZ" w:bidi="ar-SA"/>
        </w:rPr>
        <w:t> </w:t>
      </w:r>
      <w:r w:rsidRPr="00F17274">
        <w:rPr>
          <w:rFonts w:eastAsiaTheme="minorHAnsi"/>
          <w:lang w:val="cs-CZ" w:bidi="ar-SA"/>
        </w:rPr>
        <w:t>oblasti</w:t>
      </w:r>
      <w:r w:rsidR="00F17274" w:rsidRPr="00F17274">
        <w:rPr>
          <w:rFonts w:eastAsiaTheme="minorHAnsi"/>
          <w:lang w:val="cs-CZ" w:bidi="ar-SA"/>
        </w:rPr>
        <w:t xml:space="preserve"> </w:t>
      </w:r>
      <w:r w:rsidRPr="00F17274">
        <w:rPr>
          <w:rFonts w:eastAsiaTheme="minorHAnsi"/>
          <w:lang w:val="cs-CZ" w:bidi="ar-SA"/>
        </w:rPr>
        <w:t>VUR pro vzd</w:t>
      </w:r>
      <w:r w:rsidRPr="00F17274">
        <w:rPr>
          <w:rFonts w:eastAsiaTheme="minorHAnsi" w:cs="TimesNewRoman-OneByteIdentityH"/>
          <w:lang w:val="cs-CZ" w:bidi="ar-SA"/>
        </w:rPr>
        <w:t>ě</w:t>
      </w:r>
      <w:r w:rsidRPr="00F17274">
        <w:rPr>
          <w:rFonts w:eastAsiaTheme="minorHAnsi"/>
          <w:lang w:val="cs-CZ" w:bidi="ar-SA"/>
        </w:rPr>
        <w:t>lavatele – zejména tvorbu</w:t>
      </w:r>
      <w:r w:rsidR="00F17274" w:rsidRPr="00F17274">
        <w:rPr>
          <w:rFonts w:eastAsiaTheme="minorHAnsi"/>
          <w:lang w:val="cs-CZ" w:bidi="ar-SA"/>
        </w:rPr>
        <w:t xml:space="preserve"> </w:t>
      </w:r>
      <w:r w:rsidRPr="00F17274">
        <w:rPr>
          <w:rFonts w:eastAsiaTheme="minorHAnsi"/>
          <w:lang w:val="cs-CZ" w:bidi="ar-SA"/>
        </w:rPr>
        <w:t>komplexních vzd</w:t>
      </w:r>
      <w:r w:rsidRPr="00F17274">
        <w:rPr>
          <w:rFonts w:eastAsiaTheme="minorHAnsi" w:cs="TimesNewRoman-OneByteIdentityH"/>
          <w:lang w:val="cs-CZ" w:bidi="ar-SA"/>
        </w:rPr>
        <w:t>ě</w:t>
      </w:r>
      <w:r w:rsidRPr="00F17274">
        <w:rPr>
          <w:rFonts w:eastAsiaTheme="minorHAnsi"/>
          <w:lang w:val="cs-CZ" w:bidi="ar-SA"/>
        </w:rPr>
        <w:t>lávacích program</w:t>
      </w:r>
      <w:r w:rsidRPr="00F17274">
        <w:rPr>
          <w:rFonts w:eastAsiaTheme="minorHAnsi" w:cs="TimesNewRoman-OneByteIdentityH"/>
          <w:lang w:val="cs-CZ" w:bidi="ar-SA"/>
        </w:rPr>
        <w:t>ů</w:t>
      </w:r>
      <w:r w:rsidRPr="00F17274">
        <w:rPr>
          <w:rFonts w:eastAsiaTheme="minorHAnsi"/>
          <w:lang w:val="cs-CZ" w:bidi="ar-SA"/>
        </w:rPr>
        <w:t>,</w:t>
      </w:r>
      <w:r w:rsidR="00F17274" w:rsidRPr="00F17274">
        <w:rPr>
          <w:rFonts w:eastAsiaTheme="minorHAnsi"/>
          <w:lang w:val="cs-CZ" w:bidi="ar-SA"/>
        </w:rPr>
        <w:t xml:space="preserve"> </w:t>
      </w:r>
      <w:r w:rsidRPr="00F17274">
        <w:rPr>
          <w:rFonts w:eastAsiaTheme="minorHAnsi"/>
          <w:lang w:val="cs-CZ" w:bidi="ar-SA"/>
        </w:rPr>
        <w:t>v</w:t>
      </w:r>
      <w:r w:rsidRPr="00F17274">
        <w:rPr>
          <w:rFonts w:eastAsiaTheme="minorHAnsi" w:cs="TimesNewRoman-OneByteIdentityH"/>
          <w:lang w:val="cs-CZ" w:bidi="ar-SA"/>
        </w:rPr>
        <w:t>č</w:t>
      </w:r>
      <w:r w:rsidRPr="00F17274">
        <w:rPr>
          <w:rFonts w:eastAsiaTheme="minorHAnsi"/>
          <w:lang w:val="cs-CZ" w:bidi="ar-SA"/>
        </w:rPr>
        <w:t>etn</w:t>
      </w:r>
      <w:r w:rsidRPr="00F17274">
        <w:rPr>
          <w:rFonts w:eastAsiaTheme="minorHAnsi" w:cs="TimesNewRoman-OneByteIdentityH"/>
          <w:lang w:val="cs-CZ" w:bidi="ar-SA"/>
        </w:rPr>
        <w:t xml:space="preserve">ě </w:t>
      </w:r>
      <w:r w:rsidRPr="00F17274">
        <w:rPr>
          <w:rFonts w:eastAsiaTheme="minorHAnsi"/>
          <w:lang w:val="cs-CZ" w:bidi="ar-SA"/>
        </w:rPr>
        <w:t>akreditace v rámci DVPP a inovací</w:t>
      </w:r>
      <w:r w:rsidR="00F17274" w:rsidRPr="00F17274">
        <w:rPr>
          <w:rFonts w:eastAsiaTheme="minorHAnsi"/>
          <w:lang w:val="cs-CZ" w:bidi="ar-SA"/>
        </w:rPr>
        <w:t xml:space="preserve"> </w:t>
      </w:r>
      <w:r w:rsidRPr="00F17274">
        <w:rPr>
          <w:rFonts w:eastAsiaTheme="minorHAnsi"/>
          <w:lang w:val="cs-CZ" w:bidi="ar-SA"/>
        </w:rPr>
        <w:t>standard</w:t>
      </w:r>
      <w:r w:rsidRPr="00F17274">
        <w:rPr>
          <w:rFonts w:eastAsiaTheme="minorHAnsi" w:cs="TimesNewRoman-OneByteIdentityH"/>
          <w:lang w:val="cs-CZ" w:bidi="ar-SA"/>
        </w:rPr>
        <w:t xml:space="preserve">ů </w:t>
      </w:r>
      <w:r w:rsidRPr="00F17274">
        <w:rPr>
          <w:rFonts w:eastAsiaTheme="minorHAnsi"/>
          <w:lang w:val="cs-CZ" w:bidi="ar-SA"/>
        </w:rPr>
        <w:t>DVPP.</w:t>
      </w:r>
    </w:p>
    <w:p w:rsidR="003B5A08" w:rsidRDefault="00E41DFA" w:rsidP="00B40CB9">
      <w:pPr>
        <w:jc w:val="both"/>
        <w:rPr>
          <w:lang w:val="cs-CZ"/>
        </w:rPr>
      </w:pPr>
      <w:r w:rsidRPr="00E41DFA">
        <w:rPr>
          <w:lang w:val="cs-CZ"/>
        </w:rPr>
        <w:t xml:space="preserve">Je zřejmé, že </w:t>
      </w:r>
      <w:r>
        <w:rPr>
          <w:lang w:val="cs-CZ"/>
        </w:rPr>
        <w:t>každ</w:t>
      </w:r>
      <w:r w:rsidR="00705690">
        <w:rPr>
          <w:lang w:val="cs-CZ"/>
        </w:rPr>
        <w:t>é</w:t>
      </w:r>
      <w:r>
        <w:rPr>
          <w:lang w:val="cs-CZ"/>
        </w:rPr>
        <w:t xml:space="preserve"> z </w:t>
      </w:r>
      <w:r w:rsidR="00705690">
        <w:rPr>
          <w:lang w:val="cs-CZ"/>
        </w:rPr>
        <w:t>uvedených</w:t>
      </w:r>
      <w:r>
        <w:rPr>
          <w:lang w:val="cs-CZ"/>
        </w:rPr>
        <w:t xml:space="preserve"> doporučení je na českých vysokých školách do určité míry realizován</w:t>
      </w:r>
      <w:r w:rsidR="00705690">
        <w:rPr>
          <w:lang w:val="cs-CZ"/>
        </w:rPr>
        <w:t>o</w:t>
      </w:r>
      <w:r>
        <w:rPr>
          <w:lang w:val="cs-CZ"/>
        </w:rPr>
        <w:t>. Akční plán zde nicméně předpokládá, že studenti pedagogických oborů budou v rámci své přípravy seznámeni s konkrétními a ucelenými metodickými postupy, které jsou popsány v odborné literatuře a u kterých je ověřena jejich účinnost. To otevírá prostor pro větší otevření českého pedagogického diskursu novým pohledům a konstruktivní konfrontaci domácí praxe se zahraniční.</w:t>
      </w:r>
    </w:p>
    <w:p w:rsidR="008136FF" w:rsidRDefault="00057D04" w:rsidP="00B40CB9">
      <w:pPr>
        <w:jc w:val="both"/>
        <w:rPr>
          <w:lang w:val="cs-CZ"/>
        </w:rPr>
      </w:pPr>
      <w:r>
        <w:rPr>
          <w:lang w:val="cs-CZ"/>
        </w:rPr>
        <w:t xml:space="preserve">Autoři </w:t>
      </w:r>
      <w:r w:rsidR="002D7B81">
        <w:rPr>
          <w:lang w:val="cs-CZ"/>
        </w:rPr>
        <w:t>akčního plánu</w:t>
      </w:r>
      <w:r>
        <w:rPr>
          <w:lang w:val="cs-CZ"/>
        </w:rPr>
        <w:t xml:space="preserve"> předpokládají, že k uvedeným oblastem je v zahraniční literatuře možné najít velký počet propracovaných a ověřených metodických přístupů s různým stupněm relevance pro českou praxi. Cílem proto není </w:t>
      </w:r>
      <w:r w:rsidR="00F83C5A">
        <w:rPr>
          <w:lang w:val="cs-CZ"/>
        </w:rPr>
        <w:t>doporučit jeden či dva konkrétní přístupy (přestože přehled související literatury je uveden v závěru tohoto textu), jako spíše inspirovat a motivovat k vlastnímu objevování na jednotlivých vysokých školách připravujících pedagogické pracovníky.  Všechny uváděné příklady jsou proto míněny jako ilustrativní.</w:t>
      </w:r>
    </w:p>
    <w:p w:rsidR="00C27C15" w:rsidRDefault="00C27C15" w:rsidP="00B40CB9">
      <w:pPr>
        <w:jc w:val="both"/>
        <w:rPr>
          <w:lang w:val="cs-CZ"/>
        </w:rPr>
      </w:pPr>
      <w:r>
        <w:rPr>
          <w:lang w:val="cs-CZ"/>
        </w:rPr>
        <w:t>Vzhledem k různosti studijních plánů není možné ani oprávněné předepisovat, jakým způsobem mají vysokoškolští pedagogové postupovat, chtějí-li vést studenty k osvojení určitých konkrétních metodických postupů. Podle výzkumů zkoumajících efektivitu vzdělávacích programů pro pedagogické pracovníky se zdá, že krátké, několikahodinové vzdělávací programy jsou spíše problematické a v důsledku mohou vést i poklesu sebehodnocení (self-efficacy) a motivace učitele (</w:t>
      </w:r>
      <w:r w:rsidRPr="005D3098">
        <w:rPr>
          <w:lang w:val="cs-CZ"/>
        </w:rPr>
        <w:t xml:space="preserve">Mosely &amp; Reinke, 2005; Winther, 2005). </w:t>
      </w:r>
      <w:r>
        <w:rPr>
          <w:lang w:val="cs-CZ"/>
        </w:rPr>
        <w:t xml:space="preserve">Nové metodické přístupy mohou vést studenty (zejména pak studenty dalšího vzdělávání pedagogických pracovníků) ke kognitivní disonanci mezi stávajícím a novým konceptem dobré praxe, zavádění nových metodik v praxi pak může narážet na neporozumění ze strany kolegů (Winther a kol., 2002). Přestože volba vhodné strategie nakonec vždy záleží na vhodném kontextu, jsou pravděpodobně efektivnější cestou pro úspěšné zavedení nové metodiky do praxe buď rozsáhlejší kurzy pro pedagogické pracovníky, spojené s následnou konzultací jejich praxe, či zavedení samostatného volitelného kurzu přímo v rámci přípravy budoucích pedagogů (Paul a Volk, 2002). </w:t>
      </w:r>
    </w:p>
    <w:p w:rsidR="00C27C15" w:rsidRDefault="00C27C15" w:rsidP="00B40CB9">
      <w:pPr>
        <w:jc w:val="both"/>
        <w:rPr>
          <w:lang w:val="cs-CZ"/>
        </w:rPr>
      </w:pPr>
    </w:p>
    <w:p w:rsidR="008136FF" w:rsidRDefault="008136FF" w:rsidP="00B40CB9">
      <w:pPr>
        <w:jc w:val="both"/>
        <w:rPr>
          <w:lang w:val="cs-CZ"/>
        </w:rPr>
      </w:pPr>
    </w:p>
    <w:p w:rsidR="008136FF" w:rsidRDefault="00615964" w:rsidP="00B40CB9">
      <w:pPr>
        <w:jc w:val="both"/>
        <w:rPr>
          <w:lang w:val="cs-CZ"/>
        </w:rPr>
      </w:pPr>
      <w:r>
        <w:rPr>
          <w:lang w:val="cs-CZ"/>
        </w:rPr>
      </w:r>
      <w:r>
        <w:rPr>
          <w:lang w:val="cs-CZ"/>
        </w:rPr>
        <w:pict>
          <v:shape id="_x0000_s1031" type="#_x0000_t202" style="width:458.8pt;height:415.85pt;mso-position-horizontal-relative:char;mso-position-vertical-relative:line;mso-width-relative:margin;mso-height-relative:margin">
            <v:textbox>
              <w:txbxContent>
                <w:p w:rsidR="00360439" w:rsidRDefault="00360439" w:rsidP="00A23468">
                  <w:pPr>
                    <w:jc w:val="both"/>
                    <w:rPr>
                      <w:lang w:val="cs-CZ"/>
                    </w:rPr>
                  </w:pPr>
                  <w:r>
                    <w:rPr>
                      <w:lang w:val="cs-CZ"/>
                    </w:rPr>
                    <w:t>Klíčovou roli v environmentální výchově hrají například od počátku 90. let metodické přístupy zaměřené na analýzu environmentálních konfliktů, tj. názorových střetů různých zainteresovaných stran o řešení situací, které souvisejí s využíváním životního prostředí. Podle Lundegårda a Wickmana (2007) je tato problematika přirozenou součástí nejenom vzdělávání pro udržitelný rozvoj, ale i běžného demokratického života. Přestože články v celostátním či regionálním tisku například o ochraně lesů na Šumavě, výstavbě sjezdovek, nových supermarketů, komunikací či jiných konfliktech jsou velmi běžné, v domácích recenzovaných pedagogických časopisech chybí práce, které by reflektovaly, jak učit žáky takové konflikty kriticky a nedogmaticky zkoumat. V pracích dánských, australských či amerických autorů přitom existuje řada dobře ověřených metodických přístupů, jak takovou problematiku otevřít. Příkladem může být metodika na analýzu a řešení konfliktů zpracovaná v 80. letech pro žáky na základních školách týmem kolem Harolda H. Hungerforda (Hungerford a Volk, 1990; Marcinkowski, 2004). Podle ní žáci postupují v několika navazujících krocích: v prvním se na praktických příkladech učí chápat konflikt jako přirozený názorový střet více stran. Učí se analyzovat novinové články, identifikovat jednotlivé strany konflikty, jejich postoje a související hodnoty. V dalším kroku se učí formulovat výzkumnou otázku a připravit jednoduchý plán společensko-vědního výzkumu. V navazující části si žáci vyberou vlastní environmentální konflikt ve svém okolí a pomocí osvojených kompetencí jej samostatně zkoumají a prezentují. V posledním kroku se mohou v případě vlastního rozhodnutí do řešení konfliktu zapojit (např. napíšou článek do novin, uspořádají besedu, napíšou dopis na úřad atd.). Metodika byla od doby svého publikování mnohokrát evaluována ve Spojených státech, ale i dalších zemích, a bylo ověřeno, že má pozitivní dopad na znalosti, postoje i dovednosti žáků.</w:t>
                  </w:r>
                </w:p>
                <w:p w:rsidR="00360439" w:rsidRDefault="00360439" w:rsidP="00A23468">
                  <w:pPr>
                    <w:jc w:val="both"/>
                    <w:rPr>
                      <w:lang w:val="cs-CZ"/>
                    </w:rPr>
                  </w:pPr>
                  <w:r>
                    <w:rPr>
                      <w:lang w:val="cs-CZ"/>
                    </w:rPr>
                    <w:t xml:space="preserve">V České republice zkušenosti s touto </w:t>
                  </w:r>
                  <w:r w:rsidR="00023F31">
                    <w:rPr>
                      <w:lang w:val="cs-CZ"/>
                    </w:rPr>
                    <w:t xml:space="preserve">konkrétní </w:t>
                  </w:r>
                  <w:r>
                    <w:rPr>
                      <w:lang w:val="cs-CZ"/>
                    </w:rPr>
                    <w:t>metodikou prakticky nejsou, až na dílčí studentské práce, jako například diplomová práce M. Zicháčka (2011), který ji ověřoval v rámci své praxe na základní škole.</w:t>
                  </w:r>
                </w:p>
              </w:txbxContent>
            </v:textbox>
            <w10:wrap type="none"/>
            <w10:anchorlock/>
          </v:shape>
        </w:pict>
      </w:r>
    </w:p>
    <w:p w:rsidR="00057D04" w:rsidRDefault="00057D04" w:rsidP="00B40CB9">
      <w:pPr>
        <w:jc w:val="both"/>
        <w:rPr>
          <w:lang w:val="cs-CZ"/>
        </w:rPr>
      </w:pPr>
      <w:r>
        <w:rPr>
          <w:lang w:val="cs-CZ"/>
        </w:rPr>
        <w:t>Obohacování české pedagogické praxe o zahraniční přístupy přitom nemusí mít nutně podobu transferu zahraniční metodiky do domácího prostředí. Důležitou roli může hrát i to, pokud studenti pedagogických oborů</w:t>
      </w:r>
      <w:r w:rsidR="00736971">
        <w:rPr>
          <w:lang w:val="cs-CZ"/>
        </w:rPr>
        <w:t xml:space="preserve"> dokážou najít zahraniční alternativy k praxi, která už u nás existuje, a dokážou je vzájemně kriticky porovnat. </w:t>
      </w:r>
      <w:r>
        <w:rPr>
          <w:lang w:val="cs-CZ"/>
        </w:rPr>
        <w:t xml:space="preserve"> </w:t>
      </w:r>
    </w:p>
    <w:p w:rsidR="00964E52" w:rsidRDefault="00615964" w:rsidP="00B40CB9">
      <w:pPr>
        <w:jc w:val="both"/>
        <w:rPr>
          <w:lang w:val="cs-CZ"/>
        </w:rPr>
      </w:pPr>
      <w:r>
        <w:rPr>
          <w:lang w:val="cs-CZ"/>
        </w:rPr>
      </w:r>
      <w:r>
        <w:rPr>
          <w:lang w:val="cs-CZ"/>
        </w:rPr>
        <w:pict>
          <v:shape id="_x0000_s1030" type="#_x0000_t202" style="width:458.8pt;height:167.2pt;mso-position-horizontal-relative:char;mso-position-vertical-relative:line;mso-width-relative:margin;mso-height-relative:margin">
            <v:textbox style="mso-next-textbox:#_x0000_s1030">
              <w:txbxContent>
                <w:p w:rsidR="00360439" w:rsidRDefault="00360439" w:rsidP="00A23468">
                  <w:pPr>
                    <w:jc w:val="both"/>
                    <w:rPr>
                      <w:lang w:val="cs-CZ"/>
                    </w:rPr>
                  </w:pPr>
                  <w:r>
                    <w:rPr>
                      <w:lang w:val="cs-CZ"/>
                    </w:rPr>
                    <w:t xml:space="preserve">Příkladem zahraničního metodického přístupu formujícího vztah ke konkrétní lokalitě, je tzv. místně ukotvené učení (place-based education). </w:t>
                  </w:r>
                </w:p>
                <w:p w:rsidR="00360439" w:rsidRDefault="00360439" w:rsidP="00A23468">
                  <w:pPr>
                    <w:jc w:val="both"/>
                    <w:rPr>
                      <w:lang w:val="cs-CZ"/>
                    </w:rPr>
                  </w:pPr>
                  <w:r>
                    <w:rPr>
                      <w:lang w:val="cs-CZ"/>
                    </w:rPr>
                    <w:t>Myšlenka důsledného propojení školního kurikula a okolní prostředí rozhodně není ani nová, ani u nás neznámá. V České republice se k místně ukotvenému učení hlásí například program Škola pro udržitelný život, na kterém spolupracují Středisko ekologické výchovy a etiky Rýchory (SEVER a Nadace Partnerství).</w:t>
                  </w:r>
                </w:p>
                <w:p w:rsidR="00360439" w:rsidRPr="00964E52" w:rsidRDefault="00360439" w:rsidP="00A23468">
                  <w:pPr>
                    <w:jc w:val="both"/>
                  </w:pPr>
                  <w:r>
                    <w:rPr>
                      <w:lang w:val="cs-CZ"/>
                    </w:rPr>
                    <w:t xml:space="preserve">Do jaké míry jsou ale domácí zkušenosti (aktivní roli hraje např. ZŠ Králíky) srovnatelné s příklady školních projektů, které popisuje například Sobel (2005)? V čem může česká tradice obohatit zahraničí a v čem mohou být naopak inspirativní zahraniční zkušenosti? </w:t>
                  </w:r>
                </w:p>
              </w:txbxContent>
            </v:textbox>
            <w10:wrap type="none"/>
            <w10:anchorlock/>
          </v:shape>
        </w:pict>
      </w:r>
    </w:p>
    <w:p w:rsidR="00B40CB9" w:rsidRPr="009B5D04" w:rsidRDefault="00B40CB9" w:rsidP="00B40CB9">
      <w:pPr>
        <w:jc w:val="both"/>
        <w:rPr>
          <w:lang w:val="cs-CZ"/>
        </w:rPr>
      </w:pPr>
      <w:r>
        <w:rPr>
          <w:lang w:val="cs-CZ"/>
        </w:rPr>
        <w:lastRenderedPageBreak/>
        <w:t>Kromě výše zmíněných a často již uplatňovaných postupů je třeba zmínit potřebu otevřeného dialogu mezi aktéry vzdělávání a dalšími společenskými subjekty, například místním obyvatelstvem, spočívající především ve spolupráci, výměně informací atd. K tomu je například vhodné vytvářet a využívat otevřené vzdělávací zdroje (open educational resources), což je jedna ze strategií UNESCO směřující k podpoře regionálně orientovaného školství (</w:t>
      </w:r>
      <w:r w:rsidRPr="00D220DA">
        <w:rPr>
          <w:lang w:val="en-GB"/>
        </w:rPr>
        <w:t>van Dam-Mieras, Rikers, 2007)</w:t>
      </w:r>
      <w:r>
        <w:rPr>
          <w:lang w:val="cs-CZ"/>
        </w:rPr>
        <w:t xml:space="preserve">. Další důležitou oblastí je spolupráce uvnitř vzdělávacích institucí (interdisciplinární) a s vnějšími subjekty, jejímž cílem je podpora dialogu a uplatnění znalostí a jejich využití k řešení místních problémů – pro tyto cíle byl na půdě United Nations University vyvinut a ve více než 100 případech po celém světě implementován model Regionálních center expertizy, které se tak staly jakousi laboratoří propojení vzdělávací (akademické) sféry s dalšími subjekty na regionálním principu </w:t>
      </w:r>
      <w:r w:rsidRPr="00D220DA">
        <w:rPr>
          <w:lang w:val="en-GB"/>
        </w:rPr>
        <w:t>(van Dam-Mieras, 200</w:t>
      </w:r>
      <w:r>
        <w:rPr>
          <w:lang w:val="en-GB"/>
        </w:rPr>
        <w:t xml:space="preserve">2; </w:t>
      </w:r>
      <w:proofErr w:type="gramStart"/>
      <w:r>
        <w:rPr>
          <w:lang w:val="en-GB"/>
        </w:rPr>
        <w:t>Fadeeva, 2010</w:t>
      </w:r>
      <w:r w:rsidRPr="00D220DA">
        <w:rPr>
          <w:lang w:val="en-GB"/>
        </w:rPr>
        <w:t>).</w:t>
      </w:r>
      <w:proofErr w:type="gramEnd"/>
      <w:r>
        <w:rPr>
          <w:lang w:val="cs-CZ"/>
        </w:rPr>
        <w:t xml:space="preserve"> Ve vzájemných interakcích postupně vzniká nová koncepce tzv. sociálního učení, která obohacuje stávající přístupy a je relevantní též pro celoživotní vzdělávání (Wals, 2007, 2009).</w:t>
      </w:r>
    </w:p>
    <w:p w:rsidR="00057D04" w:rsidRDefault="005C3C19" w:rsidP="00B40CB9">
      <w:pPr>
        <w:pStyle w:val="Nadpis2"/>
        <w:jc w:val="both"/>
        <w:rPr>
          <w:lang w:val="cs-CZ"/>
        </w:rPr>
      </w:pPr>
      <w:r>
        <w:rPr>
          <w:lang w:val="cs-CZ"/>
        </w:rPr>
        <w:t>Vědecko-výzkumná činnost</w:t>
      </w:r>
    </w:p>
    <w:p w:rsidR="007B317B" w:rsidRDefault="00B85166" w:rsidP="00B40CB9">
      <w:pPr>
        <w:jc w:val="both"/>
        <w:rPr>
          <w:lang w:val="cs-CZ"/>
        </w:rPr>
      </w:pPr>
      <w:r>
        <w:rPr>
          <w:lang w:val="cs-CZ"/>
        </w:rPr>
        <w:t xml:space="preserve">Akční plán dále předpokládá, že kromě samotného </w:t>
      </w:r>
      <w:r w:rsidR="00AE4F51">
        <w:rPr>
          <w:lang w:val="cs-CZ"/>
        </w:rPr>
        <w:t>zpřístupnění</w:t>
      </w:r>
      <w:r>
        <w:rPr>
          <w:lang w:val="cs-CZ"/>
        </w:rPr>
        <w:t xml:space="preserve"> za</w:t>
      </w:r>
      <w:r w:rsidR="00AE4F51">
        <w:rPr>
          <w:lang w:val="cs-CZ"/>
        </w:rPr>
        <w:t xml:space="preserve">hraničních metodických budoucím či stávajícím pedagogickým pracovníkům proběhne také jejich kritická reflexe ověřující jejich relevanci pro českou praxi. Naplnění tohoto cíle předpokládá spolupráci mezi akademickou komunitou a </w:t>
      </w:r>
      <w:r w:rsidR="00935E0C">
        <w:rPr>
          <w:lang w:val="cs-CZ"/>
        </w:rPr>
        <w:t xml:space="preserve">pedagogickou praxí na všech úrovních formálního i neformálního vzdělávání. </w:t>
      </w:r>
      <w:r w:rsidR="007B317B">
        <w:rPr>
          <w:lang w:val="cs-CZ"/>
        </w:rPr>
        <w:t>Akční plán předpokládá, že Ministerstvo školství, mládeže a tělovýchovy, ve spolupráci s Ministerstvem životního prostředí budou:</w:t>
      </w:r>
    </w:p>
    <w:p w:rsidR="007B317B" w:rsidRPr="00105722" w:rsidRDefault="007B317B" w:rsidP="00B40CB9">
      <w:pPr>
        <w:pStyle w:val="Odstavecseseznamem"/>
        <w:numPr>
          <w:ilvl w:val="0"/>
          <w:numId w:val="10"/>
        </w:numPr>
        <w:jc w:val="both"/>
        <w:rPr>
          <w:rFonts w:eastAsiaTheme="minorHAnsi"/>
          <w:lang w:val="cs-CZ" w:bidi="ar-SA"/>
        </w:rPr>
      </w:pPr>
      <w:r w:rsidRPr="00105722">
        <w:rPr>
          <w:rFonts w:eastAsiaTheme="minorHAnsi"/>
          <w:lang w:val="cs-CZ" w:bidi="ar-SA"/>
        </w:rPr>
        <w:t>Podporovat existující výchovn</w:t>
      </w:r>
      <w:r w:rsidRPr="00105722">
        <w:rPr>
          <w:rFonts w:eastAsiaTheme="minorHAnsi" w:cs="TimesNewRoman-OneByteIdentityH"/>
          <w:lang w:val="cs-CZ" w:bidi="ar-SA"/>
        </w:rPr>
        <w:t>ě</w:t>
      </w:r>
      <w:r w:rsidR="00105722" w:rsidRPr="00105722">
        <w:rPr>
          <w:rFonts w:eastAsiaTheme="minorHAnsi" w:cs="TimesNewRoman-OneByteIdentityH"/>
          <w:lang w:val="cs-CZ" w:bidi="ar-SA"/>
        </w:rPr>
        <w:t xml:space="preserve"> </w:t>
      </w:r>
      <w:r w:rsidRPr="00105722">
        <w:rPr>
          <w:rFonts w:eastAsiaTheme="minorHAnsi"/>
          <w:lang w:val="cs-CZ" w:bidi="ar-SA"/>
        </w:rPr>
        <w:t>vzd</w:t>
      </w:r>
      <w:r w:rsidRPr="00105722">
        <w:rPr>
          <w:rFonts w:eastAsiaTheme="minorHAnsi" w:cs="TimesNewRoman-OneByteIdentityH"/>
          <w:lang w:val="cs-CZ" w:bidi="ar-SA"/>
        </w:rPr>
        <w:t>ě</w:t>
      </w:r>
      <w:r w:rsidRPr="00105722">
        <w:rPr>
          <w:rFonts w:eastAsiaTheme="minorHAnsi"/>
          <w:lang w:val="cs-CZ" w:bidi="ar-SA"/>
        </w:rPr>
        <w:t>lávací a osv</w:t>
      </w:r>
      <w:r w:rsidRPr="00105722">
        <w:rPr>
          <w:rFonts w:eastAsiaTheme="minorHAnsi" w:cs="TimesNewRoman-OneByteIdentityH"/>
          <w:lang w:val="cs-CZ" w:bidi="ar-SA"/>
        </w:rPr>
        <w:t>ě</w:t>
      </w:r>
      <w:r w:rsidRPr="00105722">
        <w:rPr>
          <w:rFonts w:eastAsiaTheme="minorHAnsi"/>
          <w:lang w:val="cs-CZ" w:bidi="ar-SA"/>
        </w:rPr>
        <w:t>tové programy</w:t>
      </w:r>
      <w:r w:rsidR="00105722" w:rsidRPr="00105722">
        <w:rPr>
          <w:rFonts w:eastAsiaTheme="minorHAnsi"/>
          <w:lang w:val="cs-CZ" w:bidi="ar-SA"/>
        </w:rPr>
        <w:t xml:space="preserve"> </w:t>
      </w:r>
      <w:r w:rsidRPr="00105722">
        <w:rPr>
          <w:rFonts w:eastAsiaTheme="minorHAnsi"/>
          <w:lang w:val="cs-CZ" w:bidi="ar-SA"/>
        </w:rPr>
        <w:t>zapojující žáky, studenty a ve</w:t>
      </w:r>
      <w:r w:rsidRPr="00105722">
        <w:rPr>
          <w:rFonts w:eastAsiaTheme="minorHAnsi" w:cs="TimesNewRoman-OneByteIdentityH"/>
          <w:lang w:val="cs-CZ" w:bidi="ar-SA"/>
        </w:rPr>
        <w:t>ř</w:t>
      </w:r>
      <w:r w:rsidRPr="00105722">
        <w:rPr>
          <w:rFonts w:eastAsiaTheme="minorHAnsi"/>
          <w:lang w:val="cs-CZ" w:bidi="ar-SA"/>
        </w:rPr>
        <w:t>ejnost do</w:t>
      </w:r>
      <w:r w:rsidR="00105722" w:rsidRPr="00105722">
        <w:rPr>
          <w:rFonts w:eastAsiaTheme="minorHAnsi"/>
          <w:lang w:val="cs-CZ" w:bidi="ar-SA"/>
        </w:rPr>
        <w:t xml:space="preserve"> </w:t>
      </w:r>
      <w:r w:rsidRPr="00105722">
        <w:rPr>
          <w:rFonts w:eastAsiaTheme="minorHAnsi"/>
          <w:lang w:val="cs-CZ" w:bidi="ar-SA"/>
        </w:rPr>
        <w:t xml:space="preserve">analýzy a </w:t>
      </w:r>
      <w:r w:rsidRPr="00105722">
        <w:rPr>
          <w:rFonts w:eastAsiaTheme="minorHAnsi" w:cs="TimesNewRoman-OneByteIdentityH"/>
          <w:lang w:val="cs-CZ" w:bidi="ar-SA"/>
        </w:rPr>
        <w:t>ř</w:t>
      </w:r>
      <w:r w:rsidRPr="00105722">
        <w:rPr>
          <w:rFonts w:eastAsiaTheme="minorHAnsi"/>
          <w:lang w:val="cs-CZ" w:bidi="ar-SA"/>
        </w:rPr>
        <w:t>ešení problém</w:t>
      </w:r>
      <w:r w:rsidRPr="00105722">
        <w:rPr>
          <w:rFonts w:eastAsiaTheme="minorHAnsi" w:cs="TimesNewRoman-OneByteIdentityH"/>
          <w:lang w:val="cs-CZ" w:bidi="ar-SA"/>
        </w:rPr>
        <w:t xml:space="preserve">ů </w:t>
      </w:r>
      <w:r w:rsidRPr="00105722">
        <w:rPr>
          <w:rFonts w:eastAsiaTheme="minorHAnsi"/>
          <w:lang w:val="cs-CZ" w:bidi="ar-SA"/>
        </w:rPr>
        <w:t>udržitelného</w:t>
      </w:r>
      <w:r w:rsidR="00105722" w:rsidRPr="00105722">
        <w:rPr>
          <w:rFonts w:eastAsiaTheme="minorHAnsi"/>
          <w:lang w:val="cs-CZ" w:bidi="ar-SA"/>
        </w:rPr>
        <w:t xml:space="preserve"> </w:t>
      </w:r>
      <w:r w:rsidRPr="00105722">
        <w:rPr>
          <w:rFonts w:eastAsiaTheme="minorHAnsi"/>
          <w:lang w:val="cs-CZ" w:bidi="ar-SA"/>
        </w:rPr>
        <w:t>rozvoje, vyhodnocovat jejich úsp</w:t>
      </w:r>
      <w:r w:rsidRPr="00105722">
        <w:rPr>
          <w:rFonts w:eastAsiaTheme="minorHAnsi" w:cs="TimesNewRoman-OneByteIdentityH"/>
          <w:lang w:val="cs-CZ" w:bidi="ar-SA"/>
        </w:rPr>
        <w:t>ě</w:t>
      </w:r>
      <w:r w:rsidRPr="00105722">
        <w:rPr>
          <w:rFonts w:eastAsiaTheme="minorHAnsi"/>
          <w:lang w:val="cs-CZ" w:bidi="ar-SA"/>
        </w:rPr>
        <w:t>šnost</w:t>
      </w:r>
      <w:r w:rsidR="00105722" w:rsidRPr="00105722">
        <w:rPr>
          <w:rFonts w:eastAsiaTheme="minorHAnsi"/>
          <w:lang w:val="cs-CZ" w:bidi="ar-SA"/>
        </w:rPr>
        <w:t xml:space="preserve"> </w:t>
      </w:r>
      <w:r w:rsidRPr="00105722">
        <w:rPr>
          <w:rFonts w:eastAsiaTheme="minorHAnsi"/>
          <w:lang w:val="cs-CZ" w:bidi="ar-SA"/>
        </w:rPr>
        <w:t>a podporovat informovanost o nich.</w:t>
      </w:r>
    </w:p>
    <w:p w:rsidR="007B317B" w:rsidRPr="00105722" w:rsidRDefault="007B317B" w:rsidP="00B40CB9">
      <w:pPr>
        <w:pStyle w:val="Odstavecseseznamem"/>
        <w:numPr>
          <w:ilvl w:val="0"/>
          <w:numId w:val="10"/>
        </w:numPr>
        <w:jc w:val="both"/>
        <w:rPr>
          <w:rFonts w:eastAsiaTheme="minorHAnsi"/>
          <w:lang w:val="cs-CZ" w:bidi="ar-SA"/>
        </w:rPr>
      </w:pPr>
      <w:r w:rsidRPr="00105722">
        <w:rPr>
          <w:rFonts w:eastAsiaTheme="minorHAnsi"/>
          <w:lang w:val="cs-CZ" w:bidi="ar-SA"/>
        </w:rPr>
        <w:t>Podporovat vznik a rozvoj již</w:t>
      </w:r>
      <w:r w:rsidR="00105722" w:rsidRPr="00105722">
        <w:rPr>
          <w:rFonts w:eastAsiaTheme="minorHAnsi"/>
          <w:lang w:val="cs-CZ" w:bidi="ar-SA"/>
        </w:rPr>
        <w:t xml:space="preserve"> </w:t>
      </w:r>
      <w:r w:rsidRPr="00105722">
        <w:rPr>
          <w:rFonts w:eastAsiaTheme="minorHAnsi"/>
          <w:lang w:val="cs-CZ" w:bidi="ar-SA"/>
        </w:rPr>
        <w:t>existujících vzd</w:t>
      </w:r>
      <w:r w:rsidRPr="00105722">
        <w:rPr>
          <w:rFonts w:eastAsiaTheme="minorHAnsi" w:cs="TimesNewRoman-OneByteIdentityH"/>
          <w:lang w:val="cs-CZ" w:bidi="ar-SA"/>
        </w:rPr>
        <w:t>ě</w:t>
      </w:r>
      <w:r w:rsidRPr="00105722">
        <w:rPr>
          <w:rFonts w:eastAsiaTheme="minorHAnsi"/>
          <w:lang w:val="cs-CZ" w:bidi="ar-SA"/>
        </w:rPr>
        <w:t>lávacích program</w:t>
      </w:r>
      <w:r w:rsidRPr="00105722">
        <w:rPr>
          <w:rFonts w:eastAsiaTheme="minorHAnsi" w:cs="TimesNewRoman-OneByteIdentityH"/>
          <w:lang w:val="cs-CZ" w:bidi="ar-SA"/>
        </w:rPr>
        <w:t>ů</w:t>
      </w:r>
      <w:r w:rsidR="00105722" w:rsidRPr="00105722">
        <w:rPr>
          <w:rFonts w:eastAsiaTheme="minorHAnsi" w:cs="TimesNewRoman-OneByteIdentityH"/>
          <w:lang w:val="cs-CZ" w:bidi="ar-SA"/>
        </w:rPr>
        <w:t xml:space="preserve"> </w:t>
      </w:r>
      <w:r w:rsidRPr="00105722">
        <w:rPr>
          <w:rFonts w:eastAsiaTheme="minorHAnsi"/>
          <w:lang w:val="cs-CZ" w:bidi="ar-SA"/>
        </w:rPr>
        <w:t xml:space="preserve">v oblasti formálního i </w:t>
      </w:r>
      <w:r w:rsidR="00105722" w:rsidRPr="00105722">
        <w:rPr>
          <w:rFonts w:eastAsiaTheme="minorHAnsi"/>
          <w:lang w:val="cs-CZ" w:bidi="ar-SA"/>
        </w:rPr>
        <w:t>n</w:t>
      </w:r>
      <w:r w:rsidRPr="00105722">
        <w:rPr>
          <w:rFonts w:eastAsiaTheme="minorHAnsi"/>
          <w:lang w:val="cs-CZ" w:bidi="ar-SA"/>
        </w:rPr>
        <w:t>eformálního</w:t>
      </w:r>
      <w:r w:rsidR="00105722" w:rsidRPr="00105722">
        <w:rPr>
          <w:rFonts w:eastAsiaTheme="minorHAnsi"/>
          <w:lang w:val="cs-CZ" w:bidi="ar-SA"/>
        </w:rPr>
        <w:t xml:space="preserve"> </w:t>
      </w:r>
      <w:r w:rsidRPr="00105722">
        <w:rPr>
          <w:rFonts w:eastAsiaTheme="minorHAnsi"/>
          <w:lang w:val="cs-CZ" w:bidi="ar-SA"/>
        </w:rPr>
        <w:t>vzd</w:t>
      </w:r>
      <w:r w:rsidRPr="00105722">
        <w:rPr>
          <w:rFonts w:eastAsiaTheme="minorHAnsi" w:cs="TimesNewRoman-OneByteIdentityH"/>
          <w:lang w:val="cs-CZ" w:bidi="ar-SA"/>
        </w:rPr>
        <w:t>ě</w:t>
      </w:r>
      <w:r w:rsidRPr="00105722">
        <w:rPr>
          <w:rFonts w:eastAsiaTheme="minorHAnsi"/>
          <w:lang w:val="cs-CZ" w:bidi="ar-SA"/>
        </w:rPr>
        <w:t>lávání a výchovy zam</w:t>
      </w:r>
      <w:r w:rsidRPr="00105722">
        <w:rPr>
          <w:rFonts w:eastAsiaTheme="minorHAnsi" w:cs="TimesNewRoman-OneByteIdentityH"/>
          <w:lang w:val="cs-CZ" w:bidi="ar-SA"/>
        </w:rPr>
        <w:t>ěř</w:t>
      </w:r>
      <w:r w:rsidRPr="00105722">
        <w:rPr>
          <w:rFonts w:eastAsiaTheme="minorHAnsi"/>
          <w:lang w:val="cs-CZ" w:bidi="ar-SA"/>
        </w:rPr>
        <w:t>ených na</w:t>
      </w:r>
      <w:r w:rsidR="00105722" w:rsidRPr="00105722">
        <w:rPr>
          <w:rFonts w:eastAsiaTheme="minorHAnsi"/>
          <w:lang w:val="cs-CZ" w:bidi="ar-SA"/>
        </w:rPr>
        <w:t xml:space="preserve"> </w:t>
      </w:r>
      <w:r w:rsidRPr="00105722">
        <w:rPr>
          <w:rFonts w:eastAsiaTheme="minorHAnsi"/>
          <w:lang w:val="cs-CZ" w:bidi="ar-SA"/>
        </w:rPr>
        <w:t>formování vztahu k místu, k</w:t>
      </w:r>
      <w:r w:rsidR="00105722" w:rsidRPr="00105722">
        <w:rPr>
          <w:rFonts w:eastAsiaTheme="minorHAnsi"/>
          <w:lang w:val="cs-CZ" w:bidi="ar-SA"/>
        </w:rPr>
        <w:t> </w:t>
      </w:r>
      <w:r w:rsidRPr="00105722">
        <w:rPr>
          <w:rFonts w:eastAsiaTheme="minorHAnsi"/>
          <w:lang w:val="cs-CZ" w:bidi="ar-SA"/>
        </w:rPr>
        <w:t>okolnímu</w:t>
      </w:r>
      <w:r w:rsidR="00105722" w:rsidRPr="00105722">
        <w:rPr>
          <w:rFonts w:eastAsiaTheme="minorHAnsi"/>
          <w:lang w:val="cs-CZ" w:bidi="ar-SA"/>
        </w:rPr>
        <w:t xml:space="preserve"> </w:t>
      </w:r>
      <w:r w:rsidRPr="00105722">
        <w:rPr>
          <w:rFonts w:eastAsiaTheme="minorHAnsi"/>
          <w:lang w:val="cs-CZ" w:bidi="ar-SA"/>
        </w:rPr>
        <w:t>prost</w:t>
      </w:r>
      <w:r w:rsidRPr="00105722">
        <w:rPr>
          <w:rFonts w:eastAsiaTheme="minorHAnsi" w:cs="TimesNewRoman-OneByteIdentityH"/>
          <w:lang w:val="cs-CZ" w:bidi="ar-SA"/>
        </w:rPr>
        <w:t>ř</w:t>
      </w:r>
      <w:r w:rsidRPr="00105722">
        <w:rPr>
          <w:rFonts w:eastAsiaTheme="minorHAnsi"/>
          <w:lang w:val="cs-CZ" w:bidi="ar-SA"/>
        </w:rPr>
        <w:t>edí a na interpretaci p</w:t>
      </w:r>
      <w:r w:rsidRPr="00105722">
        <w:rPr>
          <w:rFonts w:eastAsiaTheme="minorHAnsi" w:cs="TimesNewRoman-OneByteIdentityH"/>
          <w:lang w:val="cs-CZ" w:bidi="ar-SA"/>
        </w:rPr>
        <w:t>ř</w:t>
      </w:r>
      <w:r w:rsidRPr="00105722">
        <w:rPr>
          <w:rFonts w:eastAsiaTheme="minorHAnsi"/>
          <w:lang w:val="cs-CZ" w:bidi="ar-SA"/>
        </w:rPr>
        <w:t>írodního a</w:t>
      </w:r>
      <w:r w:rsidR="00105722" w:rsidRPr="00105722">
        <w:rPr>
          <w:rFonts w:eastAsiaTheme="minorHAnsi"/>
          <w:lang w:val="cs-CZ" w:bidi="ar-SA"/>
        </w:rPr>
        <w:t xml:space="preserve"> </w:t>
      </w:r>
      <w:r w:rsidRPr="00105722">
        <w:rPr>
          <w:rFonts w:eastAsiaTheme="minorHAnsi"/>
          <w:lang w:val="cs-CZ" w:bidi="ar-SA"/>
        </w:rPr>
        <w:t>kulturního d</w:t>
      </w:r>
      <w:r w:rsidRPr="00105722">
        <w:rPr>
          <w:rFonts w:eastAsiaTheme="minorHAnsi" w:cs="TimesNewRoman-OneByteIdentityH"/>
          <w:lang w:val="cs-CZ" w:bidi="ar-SA"/>
        </w:rPr>
        <w:t>ě</w:t>
      </w:r>
      <w:r w:rsidRPr="00105722">
        <w:rPr>
          <w:rFonts w:eastAsiaTheme="minorHAnsi"/>
          <w:lang w:val="cs-CZ" w:bidi="ar-SA"/>
        </w:rPr>
        <w:t>dictví a podporovat</w:t>
      </w:r>
      <w:r w:rsidR="00105722" w:rsidRPr="00105722">
        <w:rPr>
          <w:rFonts w:eastAsiaTheme="minorHAnsi"/>
          <w:lang w:val="cs-CZ" w:bidi="ar-SA"/>
        </w:rPr>
        <w:t xml:space="preserve"> </w:t>
      </w:r>
      <w:r w:rsidRPr="00105722">
        <w:rPr>
          <w:rFonts w:eastAsiaTheme="minorHAnsi"/>
          <w:lang w:val="cs-CZ" w:bidi="ar-SA"/>
        </w:rPr>
        <w:t>informovanost o nich.</w:t>
      </w:r>
    </w:p>
    <w:p w:rsidR="007B317B" w:rsidRPr="00105722" w:rsidRDefault="007B317B" w:rsidP="00B40CB9">
      <w:pPr>
        <w:pStyle w:val="Odstavecseseznamem"/>
        <w:numPr>
          <w:ilvl w:val="0"/>
          <w:numId w:val="10"/>
        </w:numPr>
        <w:jc w:val="both"/>
        <w:rPr>
          <w:rFonts w:eastAsiaTheme="minorHAnsi"/>
          <w:lang w:val="cs-CZ" w:bidi="ar-SA"/>
        </w:rPr>
      </w:pPr>
      <w:r w:rsidRPr="00105722">
        <w:rPr>
          <w:rFonts w:eastAsiaTheme="minorHAnsi"/>
          <w:lang w:val="cs-CZ" w:bidi="ar-SA"/>
        </w:rPr>
        <w:t>Podporovat výzkum využívání podn</w:t>
      </w:r>
      <w:r w:rsidRPr="00105722">
        <w:rPr>
          <w:rFonts w:eastAsiaTheme="minorHAnsi" w:cs="TimesNewRoman-OneByteIdentityH"/>
          <w:lang w:val="cs-CZ" w:bidi="ar-SA"/>
        </w:rPr>
        <w:t>ě</w:t>
      </w:r>
      <w:r w:rsidRPr="00105722">
        <w:rPr>
          <w:rFonts w:eastAsiaTheme="minorHAnsi"/>
          <w:lang w:val="cs-CZ" w:bidi="ar-SA"/>
        </w:rPr>
        <w:t>tného prost</w:t>
      </w:r>
      <w:r w:rsidRPr="00105722">
        <w:rPr>
          <w:rFonts w:eastAsiaTheme="minorHAnsi" w:cs="TimesNewRoman-OneByteIdentityH"/>
          <w:lang w:val="cs-CZ" w:bidi="ar-SA"/>
        </w:rPr>
        <w:t>ř</w:t>
      </w:r>
      <w:r w:rsidRPr="00105722">
        <w:rPr>
          <w:rFonts w:eastAsiaTheme="minorHAnsi"/>
          <w:lang w:val="cs-CZ" w:bidi="ar-SA"/>
        </w:rPr>
        <w:t>edí ve VUR (evaluace</w:t>
      </w:r>
      <w:r w:rsidR="00105722" w:rsidRPr="00105722">
        <w:rPr>
          <w:rFonts w:eastAsiaTheme="minorHAnsi"/>
          <w:lang w:val="cs-CZ" w:bidi="ar-SA"/>
        </w:rPr>
        <w:t xml:space="preserve"> </w:t>
      </w:r>
      <w:r w:rsidRPr="00105722">
        <w:rPr>
          <w:rFonts w:eastAsiaTheme="minorHAnsi"/>
          <w:lang w:val="cs-CZ" w:bidi="ar-SA"/>
        </w:rPr>
        <w:t>ú</w:t>
      </w:r>
      <w:r w:rsidRPr="00105722">
        <w:rPr>
          <w:rFonts w:eastAsiaTheme="minorHAnsi" w:cs="TimesNewRoman-OneByteIdentityH"/>
          <w:lang w:val="cs-CZ" w:bidi="ar-SA"/>
        </w:rPr>
        <w:t>č</w:t>
      </w:r>
      <w:r w:rsidRPr="00105722">
        <w:rPr>
          <w:rFonts w:eastAsiaTheme="minorHAnsi"/>
          <w:lang w:val="cs-CZ" w:bidi="ar-SA"/>
        </w:rPr>
        <w:t>innosti – srovnávací studie).</w:t>
      </w:r>
    </w:p>
    <w:p w:rsidR="007B317B" w:rsidRPr="00105722" w:rsidRDefault="007B317B" w:rsidP="00B40CB9">
      <w:pPr>
        <w:pStyle w:val="Odstavecseseznamem"/>
        <w:numPr>
          <w:ilvl w:val="0"/>
          <w:numId w:val="10"/>
        </w:numPr>
        <w:jc w:val="both"/>
        <w:rPr>
          <w:rFonts w:eastAsiaTheme="minorHAnsi"/>
          <w:lang w:val="cs-CZ" w:bidi="ar-SA"/>
        </w:rPr>
      </w:pPr>
      <w:r w:rsidRPr="00105722">
        <w:rPr>
          <w:rFonts w:eastAsiaTheme="minorHAnsi"/>
          <w:lang w:val="cs-CZ" w:bidi="ar-SA"/>
        </w:rPr>
        <w:t>Podporovat programy VUR ve vztahu</w:t>
      </w:r>
      <w:r w:rsidR="00105722" w:rsidRPr="00105722">
        <w:rPr>
          <w:rFonts w:eastAsiaTheme="minorHAnsi"/>
          <w:lang w:val="cs-CZ" w:bidi="ar-SA"/>
        </w:rPr>
        <w:t xml:space="preserve"> </w:t>
      </w:r>
      <w:r w:rsidRPr="00105722">
        <w:rPr>
          <w:rFonts w:eastAsiaTheme="minorHAnsi"/>
          <w:lang w:val="cs-CZ" w:bidi="ar-SA"/>
        </w:rPr>
        <w:t>k primární prevenci sociálního nap</w:t>
      </w:r>
      <w:r w:rsidRPr="00105722">
        <w:rPr>
          <w:rFonts w:eastAsiaTheme="minorHAnsi" w:cs="TimesNewRoman-OneByteIdentityH"/>
          <w:lang w:val="cs-CZ" w:bidi="ar-SA"/>
        </w:rPr>
        <w:t>ě</w:t>
      </w:r>
      <w:r w:rsidRPr="00105722">
        <w:rPr>
          <w:rFonts w:eastAsiaTheme="minorHAnsi"/>
          <w:lang w:val="cs-CZ" w:bidi="ar-SA"/>
        </w:rPr>
        <w:t>tí ve</w:t>
      </w:r>
      <w:r w:rsidR="00105722" w:rsidRPr="00105722">
        <w:rPr>
          <w:rFonts w:eastAsiaTheme="minorHAnsi"/>
          <w:lang w:val="cs-CZ" w:bidi="ar-SA"/>
        </w:rPr>
        <w:t xml:space="preserve"> </w:t>
      </w:r>
      <w:r w:rsidRPr="00105722">
        <w:rPr>
          <w:rFonts w:eastAsiaTheme="minorHAnsi"/>
          <w:lang w:val="cs-CZ" w:bidi="ar-SA"/>
        </w:rPr>
        <w:t>školách i v celé spole</w:t>
      </w:r>
      <w:r w:rsidRPr="00105722">
        <w:rPr>
          <w:rFonts w:eastAsiaTheme="minorHAnsi" w:cs="TimesNewRoman-OneByteIdentityH"/>
          <w:lang w:val="cs-CZ" w:bidi="ar-SA"/>
        </w:rPr>
        <w:t>č</w:t>
      </w:r>
      <w:r w:rsidRPr="00105722">
        <w:rPr>
          <w:rFonts w:eastAsiaTheme="minorHAnsi"/>
          <w:lang w:val="cs-CZ" w:bidi="ar-SA"/>
        </w:rPr>
        <w:t>nosti.</w:t>
      </w:r>
    </w:p>
    <w:p w:rsidR="007B317B" w:rsidRPr="00105722" w:rsidRDefault="007B317B" w:rsidP="00B40CB9">
      <w:pPr>
        <w:pStyle w:val="Odstavecseseznamem"/>
        <w:numPr>
          <w:ilvl w:val="0"/>
          <w:numId w:val="10"/>
        </w:numPr>
        <w:jc w:val="both"/>
        <w:rPr>
          <w:rFonts w:eastAsiaTheme="minorHAnsi"/>
          <w:lang w:val="cs-CZ" w:bidi="ar-SA"/>
        </w:rPr>
      </w:pPr>
      <w:r w:rsidRPr="00105722">
        <w:rPr>
          <w:rFonts w:eastAsiaTheme="minorHAnsi"/>
          <w:lang w:val="cs-CZ" w:bidi="ar-SA"/>
        </w:rPr>
        <w:t>Podporovat vznik nových a rozvoj a evaluaci již existujících výchovn</w:t>
      </w:r>
      <w:r w:rsidRPr="00105722">
        <w:rPr>
          <w:rFonts w:eastAsiaTheme="minorHAnsi" w:cs="TimesNewRoman-OneByteIdentityH"/>
          <w:lang w:val="cs-CZ" w:bidi="ar-SA"/>
        </w:rPr>
        <w:t>ě</w:t>
      </w:r>
      <w:r w:rsidR="00105722" w:rsidRPr="00105722">
        <w:rPr>
          <w:rFonts w:eastAsiaTheme="minorHAnsi" w:cs="TimesNewRoman-OneByteIdentityH"/>
          <w:lang w:val="cs-CZ" w:bidi="ar-SA"/>
        </w:rPr>
        <w:t xml:space="preserve"> </w:t>
      </w:r>
      <w:r w:rsidRPr="00105722">
        <w:rPr>
          <w:rFonts w:eastAsiaTheme="minorHAnsi"/>
          <w:lang w:val="cs-CZ" w:bidi="ar-SA"/>
        </w:rPr>
        <w:t>vzd</w:t>
      </w:r>
      <w:r w:rsidRPr="00105722">
        <w:rPr>
          <w:rFonts w:eastAsiaTheme="minorHAnsi" w:cs="TimesNewRoman-OneByteIdentityH"/>
          <w:lang w:val="cs-CZ" w:bidi="ar-SA"/>
        </w:rPr>
        <w:t>ě</w:t>
      </w:r>
      <w:r w:rsidRPr="00105722">
        <w:rPr>
          <w:rFonts w:eastAsiaTheme="minorHAnsi"/>
          <w:lang w:val="cs-CZ" w:bidi="ar-SA"/>
        </w:rPr>
        <w:t>lávacích program</w:t>
      </w:r>
      <w:r w:rsidRPr="00105722">
        <w:rPr>
          <w:rFonts w:eastAsiaTheme="minorHAnsi" w:cs="TimesNewRoman-OneByteIdentityH"/>
          <w:lang w:val="cs-CZ" w:bidi="ar-SA"/>
        </w:rPr>
        <w:t xml:space="preserve">ů </w:t>
      </w:r>
      <w:r w:rsidRPr="00105722">
        <w:rPr>
          <w:rFonts w:eastAsiaTheme="minorHAnsi"/>
          <w:lang w:val="cs-CZ" w:bidi="ar-SA"/>
        </w:rPr>
        <w:t>a metodických</w:t>
      </w:r>
      <w:r w:rsidR="00105722" w:rsidRPr="00105722">
        <w:rPr>
          <w:rFonts w:eastAsiaTheme="minorHAnsi"/>
          <w:lang w:val="cs-CZ" w:bidi="ar-SA"/>
        </w:rPr>
        <w:t xml:space="preserve"> </w:t>
      </w:r>
      <w:r w:rsidRPr="00105722">
        <w:rPr>
          <w:rFonts w:eastAsiaTheme="minorHAnsi"/>
          <w:lang w:val="cs-CZ" w:bidi="ar-SA"/>
        </w:rPr>
        <w:t>materiál</w:t>
      </w:r>
      <w:r w:rsidRPr="00105722">
        <w:rPr>
          <w:rFonts w:eastAsiaTheme="minorHAnsi" w:cs="TimesNewRoman-OneByteIdentityH"/>
          <w:lang w:val="cs-CZ" w:bidi="ar-SA"/>
        </w:rPr>
        <w:t xml:space="preserve">ů </w:t>
      </w:r>
      <w:r w:rsidRPr="00105722">
        <w:rPr>
          <w:rFonts w:eastAsiaTheme="minorHAnsi"/>
          <w:lang w:val="cs-CZ" w:bidi="ar-SA"/>
        </w:rPr>
        <w:t>a pom</w:t>
      </w:r>
      <w:r w:rsidRPr="00105722">
        <w:rPr>
          <w:rFonts w:eastAsiaTheme="minorHAnsi" w:cs="TimesNewRoman-OneByteIdentityH"/>
          <w:lang w:val="cs-CZ" w:bidi="ar-SA"/>
        </w:rPr>
        <w:t>ů</w:t>
      </w:r>
      <w:r w:rsidRPr="00105722">
        <w:rPr>
          <w:rFonts w:eastAsiaTheme="minorHAnsi"/>
          <w:lang w:val="cs-CZ" w:bidi="ar-SA"/>
        </w:rPr>
        <w:t>cek pro širokou</w:t>
      </w:r>
      <w:r w:rsidR="00105722" w:rsidRPr="00105722">
        <w:rPr>
          <w:rFonts w:eastAsiaTheme="minorHAnsi"/>
          <w:lang w:val="cs-CZ" w:bidi="ar-SA"/>
        </w:rPr>
        <w:t xml:space="preserve"> </w:t>
      </w:r>
      <w:r w:rsidRPr="00105722">
        <w:rPr>
          <w:rFonts w:eastAsiaTheme="minorHAnsi"/>
          <w:lang w:val="cs-CZ" w:bidi="ar-SA"/>
        </w:rPr>
        <w:t>ve</w:t>
      </w:r>
      <w:r w:rsidRPr="00105722">
        <w:rPr>
          <w:rFonts w:eastAsiaTheme="minorHAnsi" w:cs="TimesNewRoman-OneByteIdentityH"/>
          <w:lang w:val="cs-CZ" w:bidi="ar-SA"/>
        </w:rPr>
        <w:t>ř</w:t>
      </w:r>
      <w:r w:rsidRPr="00105722">
        <w:rPr>
          <w:rFonts w:eastAsiaTheme="minorHAnsi"/>
          <w:lang w:val="cs-CZ" w:bidi="ar-SA"/>
        </w:rPr>
        <w:t>ejnost v oblasti udržitelné spot</w:t>
      </w:r>
      <w:r w:rsidRPr="00105722">
        <w:rPr>
          <w:rFonts w:eastAsiaTheme="minorHAnsi" w:cs="TimesNewRoman-OneByteIdentityH"/>
          <w:lang w:val="cs-CZ" w:bidi="ar-SA"/>
        </w:rPr>
        <w:t>ř</w:t>
      </w:r>
      <w:r w:rsidRPr="00105722">
        <w:rPr>
          <w:rFonts w:eastAsiaTheme="minorHAnsi"/>
          <w:lang w:val="cs-CZ" w:bidi="ar-SA"/>
        </w:rPr>
        <w:t>eby a</w:t>
      </w:r>
      <w:r w:rsidR="00105722" w:rsidRPr="00105722">
        <w:rPr>
          <w:rFonts w:eastAsiaTheme="minorHAnsi"/>
          <w:lang w:val="cs-CZ" w:bidi="ar-SA"/>
        </w:rPr>
        <w:t xml:space="preserve"> </w:t>
      </w:r>
      <w:r w:rsidRPr="00105722">
        <w:rPr>
          <w:rFonts w:eastAsiaTheme="minorHAnsi"/>
          <w:lang w:val="cs-CZ" w:bidi="ar-SA"/>
        </w:rPr>
        <w:t>výroby.</w:t>
      </w:r>
    </w:p>
    <w:p w:rsidR="007B317B" w:rsidRPr="00105722" w:rsidRDefault="007B317B" w:rsidP="00B40CB9">
      <w:pPr>
        <w:pStyle w:val="Odstavecseseznamem"/>
        <w:numPr>
          <w:ilvl w:val="0"/>
          <w:numId w:val="10"/>
        </w:numPr>
        <w:jc w:val="both"/>
        <w:rPr>
          <w:rFonts w:eastAsiaTheme="minorHAnsi"/>
          <w:lang w:val="cs-CZ" w:bidi="ar-SA"/>
        </w:rPr>
      </w:pPr>
      <w:r w:rsidRPr="00105722">
        <w:rPr>
          <w:rFonts w:eastAsiaTheme="minorHAnsi"/>
          <w:lang w:val="cs-CZ" w:bidi="ar-SA"/>
        </w:rPr>
        <w:t xml:space="preserve">Podporovat realizaci </w:t>
      </w:r>
      <w:r w:rsidRPr="00105722">
        <w:rPr>
          <w:rFonts w:eastAsiaTheme="minorHAnsi" w:cs="TimesNewRoman-OneByteIdentityH"/>
          <w:lang w:val="cs-CZ" w:bidi="ar-SA"/>
        </w:rPr>
        <w:t>č</w:t>
      </w:r>
      <w:r w:rsidRPr="00105722">
        <w:rPr>
          <w:rFonts w:eastAsiaTheme="minorHAnsi"/>
          <w:lang w:val="cs-CZ" w:bidi="ar-SA"/>
        </w:rPr>
        <w:t>eských výzkum</w:t>
      </w:r>
      <w:r w:rsidRPr="00105722">
        <w:rPr>
          <w:rFonts w:eastAsiaTheme="minorHAnsi" w:cs="TimesNewRoman-OneByteIdentityH"/>
          <w:lang w:val="cs-CZ" w:bidi="ar-SA"/>
        </w:rPr>
        <w:t>ů</w:t>
      </w:r>
      <w:r w:rsidR="00105722" w:rsidRPr="00105722">
        <w:rPr>
          <w:rFonts w:eastAsiaTheme="minorHAnsi" w:cs="TimesNewRoman-OneByteIdentityH"/>
          <w:lang w:val="cs-CZ" w:bidi="ar-SA"/>
        </w:rPr>
        <w:t xml:space="preserve"> </w:t>
      </w:r>
      <w:r w:rsidRPr="00105722">
        <w:rPr>
          <w:rFonts w:eastAsiaTheme="minorHAnsi"/>
          <w:lang w:val="cs-CZ" w:bidi="ar-SA"/>
        </w:rPr>
        <w:t>mapujících bariéry a možnosti podpory a</w:t>
      </w:r>
      <w:r w:rsidR="00105722" w:rsidRPr="00105722">
        <w:rPr>
          <w:rFonts w:eastAsiaTheme="minorHAnsi"/>
          <w:lang w:val="cs-CZ" w:bidi="ar-SA"/>
        </w:rPr>
        <w:t xml:space="preserve"> </w:t>
      </w:r>
      <w:r w:rsidRPr="00105722">
        <w:rPr>
          <w:rFonts w:eastAsiaTheme="minorHAnsi"/>
          <w:lang w:val="cs-CZ" w:bidi="ar-SA"/>
        </w:rPr>
        <w:t>propagace udržitelné spot</w:t>
      </w:r>
      <w:r w:rsidRPr="00105722">
        <w:rPr>
          <w:rFonts w:eastAsiaTheme="minorHAnsi" w:cs="TimesNewRoman-OneByteIdentityH"/>
          <w:lang w:val="cs-CZ" w:bidi="ar-SA"/>
        </w:rPr>
        <w:t>ř</w:t>
      </w:r>
      <w:r w:rsidRPr="00105722">
        <w:rPr>
          <w:rFonts w:eastAsiaTheme="minorHAnsi"/>
          <w:lang w:val="cs-CZ" w:bidi="ar-SA"/>
        </w:rPr>
        <w:t>eby.</w:t>
      </w:r>
    </w:p>
    <w:p w:rsidR="007B317B" w:rsidRPr="00105722" w:rsidRDefault="007B317B" w:rsidP="00B40CB9">
      <w:pPr>
        <w:pStyle w:val="Odstavecseseznamem"/>
        <w:numPr>
          <w:ilvl w:val="0"/>
          <w:numId w:val="10"/>
        </w:numPr>
        <w:jc w:val="both"/>
        <w:rPr>
          <w:rFonts w:eastAsiaTheme="minorHAnsi"/>
          <w:lang w:val="cs-CZ" w:bidi="ar-SA"/>
        </w:rPr>
      </w:pPr>
      <w:r w:rsidRPr="00105722">
        <w:rPr>
          <w:rFonts w:eastAsiaTheme="minorHAnsi"/>
          <w:lang w:val="cs-CZ" w:bidi="ar-SA"/>
        </w:rPr>
        <w:t>Podporovat evaluaci ú</w:t>
      </w:r>
      <w:r w:rsidRPr="00105722">
        <w:rPr>
          <w:rFonts w:eastAsiaTheme="minorHAnsi" w:cs="TimesNewRoman-OneByteIdentityH"/>
          <w:lang w:val="cs-CZ" w:bidi="ar-SA"/>
        </w:rPr>
        <w:t>č</w:t>
      </w:r>
      <w:r w:rsidR="00105722" w:rsidRPr="00105722">
        <w:rPr>
          <w:rFonts w:eastAsiaTheme="minorHAnsi"/>
          <w:lang w:val="cs-CZ" w:bidi="ar-SA"/>
        </w:rPr>
        <w:t xml:space="preserve">innosti </w:t>
      </w:r>
      <w:r w:rsidRPr="00105722">
        <w:rPr>
          <w:rFonts w:eastAsiaTheme="minorHAnsi"/>
          <w:lang w:val="cs-CZ" w:bidi="ar-SA"/>
        </w:rPr>
        <w:t>osv</w:t>
      </w:r>
      <w:r w:rsidRPr="00105722">
        <w:rPr>
          <w:rFonts w:eastAsiaTheme="minorHAnsi" w:cs="TimesNewRoman-OneByteIdentityH"/>
          <w:lang w:val="cs-CZ" w:bidi="ar-SA"/>
        </w:rPr>
        <w:t>ě</w:t>
      </w:r>
      <w:r w:rsidRPr="00105722">
        <w:rPr>
          <w:rFonts w:eastAsiaTheme="minorHAnsi"/>
          <w:lang w:val="cs-CZ" w:bidi="ar-SA"/>
        </w:rPr>
        <w:t>tových kampaní zam</w:t>
      </w:r>
      <w:r w:rsidRPr="00105722">
        <w:rPr>
          <w:rFonts w:eastAsiaTheme="minorHAnsi" w:cs="TimesNewRoman-OneByteIdentityH"/>
          <w:lang w:val="cs-CZ" w:bidi="ar-SA"/>
        </w:rPr>
        <w:t>ěř</w:t>
      </w:r>
      <w:r w:rsidRPr="00105722">
        <w:rPr>
          <w:rFonts w:eastAsiaTheme="minorHAnsi"/>
          <w:lang w:val="cs-CZ" w:bidi="ar-SA"/>
        </w:rPr>
        <w:t>ených na</w:t>
      </w:r>
      <w:r w:rsidR="00105722" w:rsidRPr="00105722">
        <w:rPr>
          <w:rFonts w:eastAsiaTheme="minorHAnsi"/>
          <w:lang w:val="cs-CZ" w:bidi="ar-SA"/>
        </w:rPr>
        <w:t xml:space="preserve"> </w:t>
      </w:r>
      <w:r w:rsidRPr="00105722">
        <w:rPr>
          <w:rFonts w:eastAsiaTheme="minorHAnsi"/>
          <w:lang w:val="cs-CZ" w:bidi="ar-SA"/>
        </w:rPr>
        <w:t>udržitelnou spot</w:t>
      </w:r>
      <w:r w:rsidRPr="00105722">
        <w:rPr>
          <w:rFonts w:eastAsiaTheme="minorHAnsi" w:cs="TimesNewRoman-OneByteIdentityH"/>
          <w:lang w:val="cs-CZ" w:bidi="ar-SA"/>
        </w:rPr>
        <w:t>ř</w:t>
      </w:r>
      <w:r w:rsidRPr="00105722">
        <w:rPr>
          <w:rFonts w:eastAsiaTheme="minorHAnsi"/>
          <w:lang w:val="cs-CZ" w:bidi="ar-SA"/>
        </w:rPr>
        <w:t>ebu ve</w:t>
      </w:r>
      <w:r w:rsidRPr="00105722">
        <w:rPr>
          <w:rFonts w:eastAsiaTheme="minorHAnsi" w:cs="TimesNewRoman-OneByteIdentityH"/>
          <w:lang w:val="cs-CZ" w:bidi="ar-SA"/>
        </w:rPr>
        <w:t>ř</w:t>
      </w:r>
      <w:r w:rsidRPr="00105722">
        <w:rPr>
          <w:rFonts w:eastAsiaTheme="minorHAnsi"/>
          <w:lang w:val="cs-CZ" w:bidi="ar-SA"/>
        </w:rPr>
        <w:t>ejnosti a</w:t>
      </w:r>
      <w:r w:rsidR="00105722" w:rsidRPr="00105722">
        <w:rPr>
          <w:rFonts w:eastAsiaTheme="minorHAnsi"/>
          <w:lang w:val="cs-CZ" w:bidi="ar-SA"/>
        </w:rPr>
        <w:t xml:space="preserve"> </w:t>
      </w:r>
      <w:r w:rsidRPr="00105722">
        <w:rPr>
          <w:rFonts w:eastAsiaTheme="minorHAnsi"/>
          <w:lang w:val="cs-CZ" w:bidi="ar-SA"/>
        </w:rPr>
        <w:t>analyzovat vhodné efektivní formy</w:t>
      </w:r>
      <w:r w:rsidR="00105722" w:rsidRPr="00105722">
        <w:rPr>
          <w:rFonts w:eastAsiaTheme="minorHAnsi"/>
          <w:lang w:val="cs-CZ" w:bidi="ar-SA"/>
        </w:rPr>
        <w:t xml:space="preserve"> </w:t>
      </w:r>
      <w:r w:rsidRPr="00105722">
        <w:rPr>
          <w:rFonts w:eastAsiaTheme="minorHAnsi"/>
          <w:lang w:val="cs-CZ" w:bidi="ar-SA"/>
        </w:rPr>
        <w:t>propagace a osv</w:t>
      </w:r>
      <w:r w:rsidRPr="00105722">
        <w:rPr>
          <w:rFonts w:eastAsiaTheme="minorHAnsi" w:cs="TimesNewRoman-OneByteIdentityH"/>
          <w:lang w:val="cs-CZ" w:bidi="ar-SA"/>
        </w:rPr>
        <w:t>ě</w:t>
      </w:r>
      <w:r w:rsidRPr="00105722">
        <w:rPr>
          <w:rFonts w:eastAsiaTheme="minorHAnsi"/>
          <w:lang w:val="cs-CZ" w:bidi="ar-SA"/>
        </w:rPr>
        <w:t>ty.</w:t>
      </w:r>
    </w:p>
    <w:p w:rsidR="00705690" w:rsidRDefault="00705690" w:rsidP="00B40CB9">
      <w:pPr>
        <w:jc w:val="both"/>
        <w:rPr>
          <w:lang w:val="cs-CZ"/>
        </w:rPr>
      </w:pPr>
      <w:r>
        <w:rPr>
          <w:lang w:val="cs-CZ"/>
        </w:rPr>
        <w:t>Pro splnění uvedených úkolů je zásadní role vysokých škol jako center, které jsou schopny garantovat výzkum na potřebné úrov</w:t>
      </w:r>
      <w:r w:rsidR="00295AC1">
        <w:rPr>
          <w:lang w:val="cs-CZ"/>
        </w:rPr>
        <w:t xml:space="preserve">ni kvality. </w:t>
      </w:r>
    </w:p>
    <w:p w:rsidR="00295AC1" w:rsidRDefault="00295AC1" w:rsidP="00B40CB9">
      <w:pPr>
        <w:jc w:val="both"/>
        <w:rPr>
          <w:lang w:val="cs-CZ"/>
        </w:rPr>
      </w:pPr>
      <w:r>
        <w:rPr>
          <w:lang w:val="cs-CZ"/>
        </w:rPr>
        <w:t xml:space="preserve">Většina úkolů předpokládá evaluaci různých typů výchovně-vzdělávacích programů. Přestože v zahraničí je metodologie evaluace programů poměrně podrobně rozpracována (např. </w:t>
      </w:r>
      <w:r w:rsidRPr="004F47C3">
        <w:rPr>
          <w:lang w:val="cs-CZ"/>
        </w:rPr>
        <w:t>Patton, 2002</w:t>
      </w:r>
      <w:r>
        <w:rPr>
          <w:lang w:val="cs-CZ"/>
        </w:rPr>
        <w:t xml:space="preserve">; </w:t>
      </w:r>
      <w:r w:rsidRPr="004F47C3">
        <w:rPr>
          <w:lang w:val="cs-CZ"/>
        </w:rPr>
        <w:t>Rossi, Lipsey &amp; Freeman, 2004</w:t>
      </w:r>
      <w:r>
        <w:rPr>
          <w:lang w:val="cs-CZ"/>
        </w:rPr>
        <w:t xml:space="preserve">; Fitzpatrick, Sanders </w:t>
      </w:r>
      <w:r>
        <w:t xml:space="preserve">&amp; Worthen, 2004; </w:t>
      </w:r>
      <w:r w:rsidRPr="004F47C3">
        <w:rPr>
          <w:lang w:val="cs-CZ"/>
        </w:rPr>
        <w:t>Wholey, Hatry &amp; Newcomer, 2004</w:t>
      </w:r>
      <w:r>
        <w:rPr>
          <w:lang w:val="cs-CZ"/>
        </w:rPr>
        <w:t>; Patton, 2008</w:t>
      </w:r>
      <w:r w:rsidR="00495BCD">
        <w:rPr>
          <w:lang w:val="cs-CZ"/>
        </w:rPr>
        <w:t>; Mertens, 2010</w:t>
      </w:r>
      <w:r>
        <w:rPr>
          <w:lang w:val="cs-CZ"/>
        </w:rPr>
        <w:t xml:space="preserve"> a další), v České republice dosud není tato oblast </w:t>
      </w:r>
      <w:r>
        <w:rPr>
          <w:lang w:val="cs-CZ"/>
        </w:rPr>
        <w:lastRenderedPageBreak/>
        <w:t>evaluace dostatečně známa (srv. Průcha, 1996; Miovský a kol., 2004; Hendl, 2008; Smutek, 2009; Činčera, 2011). Předpokladem pro zapojení vysokých škol do navrhovaných výzkumů je proto větší propracování a rozšíření terminologie a metodologie související s analýzou a evaluací výchovně-vzdělávacích programů.</w:t>
      </w:r>
    </w:p>
    <w:p w:rsidR="008D7E22" w:rsidRDefault="00615964" w:rsidP="00B40CB9">
      <w:pPr>
        <w:jc w:val="both"/>
        <w:rPr>
          <w:lang w:val="cs-CZ"/>
        </w:rPr>
      </w:pPr>
      <w:r>
        <w:rPr>
          <w:lang w:val="cs-CZ"/>
        </w:rPr>
      </w:r>
      <w:r>
        <w:rPr>
          <w:lang w:val="cs-CZ"/>
        </w:rPr>
        <w:pict>
          <v:shape id="_x0000_s1029" type="#_x0000_t202" style="width:457.95pt;height:176pt;mso-position-horizontal-relative:char;mso-position-vertical-relative:line;mso-width-relative:margin;mso-height-relative:margin">
            <v:textbox>
              <w:txbxContent>
                <w:p w:rsidR="00360439" w:rsidRPr="00A23468" w:rsidRDefault="00360439" w:rsidP="00A23468">
                  <w:pPr>
                    <w:jc w:val="both"/>
                    <w:rPr>
                      <w:rFonts w:cs="Times New Roman"/>
                      <w:lang w:val="cs-CZ"/>
                    </w:rPr>
                  </w:pPr>
                  <w:r w:rsidRPr="00A23468">
                    <w:rPr>
                      <w:lang w:val="cs-CZ"/>
                    </w:rPr>
                    <w:t>Příkladem evaluace programu zaměřeného na udržitelnou spotřebu je Eco-School (Ekoškola</w:t>
                  </w:r>
                  <w:r w:rsidRPr="00A23468">
                    <w:rPr>
                      <w:rFonts w:cs="Times New Roman"/>
                      <w:lang w:val="cs-CZ"/>
                    </w:rPr>
                    <w:t xml:space="preserve">). Evaluace zde vycházely z třístranné spolupráce mezi externím evaluátorem (typicky vysokou školou), neziskovou organizací (národním koordinátorem programu) a školami, na kterých program probíhá. Evaluace provedené v Irsku, Velké Británii i Jihoafrické republice prokázaly vliv programu na znalosti, postoje i chování žáků, navíc pak pozitivní vliv implementace programu na kvalitu celého školního kurikula </w:t>
                  </w:r>
                  <w:r w:rsidRPr="00A23468">
                    <w:t xml:space="preserve">(O’Mahony &amp; Fitzgerald, 2001; </w:t>
                  </w:r>
                  <w:proofErr w:type="gramStart"/>
                  <w:r w:rsidRPr="00A23468">
                    <w:t>Pirrie et al., 2006; Rosenberg, 2008).</w:t>
                  </w:r>
                  <w:proofErr w:type="gramEnd"/>
                  <w:r w:rsidRPr="00A23468">
                    <w:t xml:space="preserve"> </w:t>
                  </w:r>
                  <w:r w:rsidRPr="00A23468">
                    <w:rPr>
                      <w:lang w:val="cs-CZ"/>
                    </w:rPr>
                    <w:t>Zároveň identifikovaly i problémy, které jsou spojeny s interpretací smyslu programu na školách. Podobné výsledky pak byly zaznamenány i při evaluacích programu v Česku či na Slovensku (Činčera, 2008). V současné době se zpracovává rozsáhlá evaluace programu ve spolupráci národního koordinátora (Sdružení TEREZA), zapojených škol a externích evaluátorů z Technické univerzity v Liberci a Masarykovy univerzity v Brně.</w:t>
                  </w:r>
                </w:p>
              </w:txbxContent>
            </v:textbox>
            <w10:wrap type="none"/>
            <w10:anchorlock/>
          </v:shape>
        </w:pict>
      </w:r>
    </w:p>
    <w:p w:rsidR="000A14E2" w:rsidRDefault="00295AC1" w:rsidP="00B40CB9">
      <w:pPr>
        <w:jc w:val="both"/>
        <w:rPr>
          <w:lang w:val="cs-CZ"/>
        </w:rPr>
      </w:pPr>
      <w:r>
        <w:rPr>
          <w:lang w:val="cs-CZ"/>
        </w:rPr>
        <w:t xml:space="preserve">Navrhované úkoly dále předpokládají spolupráce externího evaluátora (tedy například vysoké školy) a realizátora programu (tedy například školy, </w:t>
      </w:r>
      <w:r w:rsidR="008E4351">
        <w:rPr>
          <w:lang w:val="cs-CZ"/>
        </w:rPr>
        <w:t xml:space="preserve">státem řízené organizace, </w:t>
      </w:r>
      <w:r>
        <w:rPr>
          <w:lang w:val="cs-CZ"/>
        </w:rPr>
        <w:t xml:space="preserve">neziskové organizace atd.). </w:t>
      </w:r>
      <w:r w:rsidR="008E4351">
        <w:rPr>
          <w:lang w:val="cs-CZ"/>
        </w:rPr>
        <w:t>Taková forma spolupráce je přínosná pro obě strany: realizátor získá zpětnou vazbu o svém programu, zatímco evaluátor může po vzájemné dohodě publikovat výsledky v</w:t>
      </w:r>
      <w:r w:rsidR="0067397C">
        <w:rPr>
          <w:lang w:val="cs-CZ"/>
        </w:rPr>
        <w:t xml:space="preserve"> zahraničních či domácích recenzovaných </w:t>
      </w:r>
      <w:r w:rsidR="008E4351">
        <w:rPr>
          <w:lang w:val="cs-CZ"/>
        </w:rPr>
        <w:t>časopisech.</w:t>
      </w:r>
      <w:r w:rsidR="000A14E2">
        <w:rPr>
          <w:lang w:val="cs-CZ"/>
        </w:rPr>
        <w:t xml:space="preserve"> Evaluace přitom může být realizována i formou studentských (bakalářských, diplomových či doktorandských) prací.</w:t>
      </w:r>
    </w:p>
    <w:p w:rsidR="008E4351" w:rsidRDefault="00615964" w:rsidP="00B40CB9">
      <w:pPr>
        <w:jc w:val="both"/>
        <w:rPr>
          <w:lang w:val="cs-CZ"/>
        </w:rPr>
      </w:pPr>
      <w:r>
        <w:rPr>
          <w:lang w:val="cs-CZ"/>
        </w:rPr>
      </w:r>
      <w:r w:rsidR="00357331">
        <w:rPr>
          <w:lang w:val="cs-CZ"/>
        </w:rPr>
        <w:pict>
          <v:shape id="_x0000_s1028" type="#_x0000_t202" style="width:458.4pt;height:229.5pt;mso-position-horizontal-relative:char;mso-position-vertical-relative:line;mso-width-relative:margin;mso-height-relative:margin">
            <v:textbox>
              <w:txbxContent>
                <w:p w:rsidR="00023F31" w:rsidRDefault="00360439" w:rsidP="00023F31">
                  <w:pPr>
                    <w:jc w:val="both"/>
                    <w:rPr>
                      <w:lang w:val="cs-CZ"/>
                    </w:rPr>
                  </w:pPr>
                  <w:r>
                    <w:rPr>
                      <w:lang w:val="cs-CZ"/>
                    </w:rPr>
                    <w:t>Poměrně málo známá je u nás například metodika tematické environmentální interpretace, která vychází z prací F. Tildena (2007) či S. Hama (1992). V České republice tuto oblast studuje např. M. Medek působící na Masarykově univerzitě v Brně.  Ve spolupráci s CHKO Moravský kras připravil plán pro interpretativní program jeho severní části.</w:t>
                  </w:r>
                  <w:r w:rsidR="00023F31">
                    <w:rPr>
                      <w:lang w:val="cs-CZ"/>
                    </w:rPr>
                    <w:t xml:space="preserve"> </w:t>
                  </w:r>
                </w:p>
                <w:p w:rsidR="00360439" w:rsidRDefault="00360439" w:rsidP="00A23468">
                  <w:pPr>
                    <w:jc w:val="both"/>
                    <w:rPr>
                      <w:lang w:val="cs-CZ"/>
                    </w:rPr>
                  </w:pPr>
                  <w:r>
                    <w:rPr>
                      <w:lang w:val="cs-CZ"/>
                    </w:rPr>
                    <w:t>Příkladem dílčího projektu zaměřeného na hodnocení účinnosti interpretativního programu může být bakalářská práce studentky Technické univerzity v Liberci V. Beňkové zaměřená na porovnávání interaktivních a neinteraktivních naučných stezek. Výsledkem práce bylo zjištění, že hodnocené interaktivní naučné stezky jsou sice pro návštěvníky přírodní oblasti atraktivnější, ale návštěvníci přírodní oblasti si z nich odnesou srovnatelné množství informací, jako z tradičně pojatých stezek (Beňková a Činčera, 2010).</w:t>
                  </w:r>
                </w:p>
                <w:p w:rsidR="00023F31" w:rsidRDefault="00023F31" w:rsidP="00023F31">
                  <w:pPr>
                    <w:jc w:val="both"/>
                    <w:rPr>
                      <w:lang w:val="cs-CZ"/>
                    </w:rPr>
                  </w:pPr>
                  <w:r>
                    <w:rPr>
                      <w:lang w:val="cs-CZ"/>
                    </w:rPr>
                    <w:t xml:space="preserve">Zajímavý projekt zaměřený na kulturní interpretaci realizovala také </w:t>
                  </w:r>
                  <w:r>
                    <w:rPr>
                      <w:lang w:val="cs-CZ"/>
                    </w:rPr>
                    <w:t>katedra dějepisu a didaktiky dějepisu Ped</w:t>
                  </w:r>
                  <w:r>
                    <w:rPr>
                      <w:lang w:val="cs-CZ"/>
                    </w:rPr>
                    <w:t xml:space="preserve">agogické fakulty Univerzity Karlovy </w:t>
                  </w:r>
                  <w:r>
                    <w:rPr>
                      <w:lang w:val="cs-CZ"/>
                    </w:rPr>
                    <w:t>v</w:t>
                  </w:r>
                  <w:r w:rsidR="00357331">
                    <w:rPr>
                      <w:lang w:val="cs-CZ"/>
                    </w:rPr>
                    <w:t> </w:t>
                  </w:r>
                  <w:r>
                    <w:rPr>
                      <w:lang w:val="cs-CZ"/>
                    </w:rPr>
                    <w:t>Praze</w:t>
                  </w:r>
                  <w:r w:rsidR="00357331">
                    <w:rPr>
                      <w:lang w:val="cs-CZ"/>
                    </w:rPr>
                    <w:t xml:space="preserve"> ve spolupráci s občanským sdružením BEZK</w:t>
                  </w:r>
                  <w:r>
                    <w:rPr>
                      <w:lang w:val="cs-CZ"/>
                    </w:rPr>
                    <w:t>.</w:t>
                  </w:r>
                </w:p>
                <w:p w:rsidR="00023F31" w:rsidRDefault="00023F31" w:rsidP="00A23468">
                  <w:pPr>
                    <w:jc w:val="both"/>
                    <w:rPr>
                      <w:lang w:val="cs-CZ"/>
                    </w:rPr>
                  </w:pPr>
                </w:p>
              </w:txbxContent>
            </v:textbox>
            <w10:wrap type="none"/>
            <w10:anchorlock/>
          </v:shape>
        </w:pict>
      </w:r>
      <w:r w:rsidR="000A14E2">
        <w:rPr>
          <w:lang w:val="cs-CZ"/>
        </w:rPr>
        <w:t xml:space="preserve"> </w:t>
      </w:r>
    </w:p>
    <w:p w:rsidR="008D7E22" w:rsidRDefault="008D7E22" w:rsidP="008D7E22">
      <w:pPr>
        <w:jc w:val="both"/>
        <w:rPr>
          <w:lang w:val="cs-CZ"/>
        </w:rPr>
      </w:pPr>
      <w:r>
        <w:rPr>
          <w:lang w:val="cs-CZ"/>
        </w:rPr>
        <w:t xml:space="preserve">Evaluace je ovšem žádoucí nejen na úrovni kurzu či programu – je zapotřebí celkové reflexe ve vzdělávacím systému, která by dokázala zhodnotit jeho proměny, (potenciální) přínos změn, umožnila by nalézat nová řešení v konkrétních okolnostech a celkově by podpořila uplatnění inovativních postupů ať již ze strany vzdělavatele, vzdělávací instituce nebo policy-makera. Metody hodnocení by pak byly prostředkem emancipace jednotlivých vzdělávacích subjektů, i </w:t>
      </w:r>
      <w:r>
        <w:rPr>
          <w:lang w:val="cs-CZ"/>
        </w:rPr>
        <w:lastRenderedPageBreak/>
        <w:t>vzájemného odborného dialogu mezi nimi. Právě tento dialog je nezbytný pro kontinuální vývoj dané oblasti – české školství totiž stále více podléhá často protichůdným politickým tendencím.</w:t>
      </w:r>
    </w:p>
    <w:p w:rsidR="00D936FE" w:rsidRDefault="007660BF" w:rsidP="00B40CB9">
      <w:pPr>
        <w:pStyle w:val="Nadpis1"/>
        <w:jc w:val="both"/>
        <w:rPr>
          <w:lang w:val="cs-CZ"/>
        </w:rPr>
      </w:pPr>
      <w:r>
        <w:rPr>
          <w:lang w:val="cs-CZ"/>
        </w:rPr>
        <w:t>Závěr</w:t>
      </w:r>
    </w:p>
    <w:p w:rsidR="007660BF" w:rsidRDefault="0000727E" w:rsidP="00B40CB9">
      <w:pPr>
        <w:jc w:val="both"/>
        <w:rPr>
          <w:lang w:val="cs-CZ"/>
        </w:rPr>
      </w:pPr>
      <w:r>
        <w:rPr>
          <w:lang w:val="cs-CZ"/>
        </w:rPr>
        <w:t>Cílem textu bylo inspirovat vysoké školy připravující pedagogické pracovníky k pedagogickým a výzkumným aktivitám korespondujícím s cíli vzdělávání pro udržitelný rozvoj. Role vysokých škol je v této oblasti nezastupitelná</w:t>
      </w:r>
      <w:r w:rsidR="00B35B90">
        <w:rPr>
          <w:lang w:val="cs-CZ"/>
        </w:rPr>
        <w:t xml:space="preserve"> a v důsledku pro </w:t>
      </w:r>
      <w:r w:rsidR="00654DB2">
        <w:rPr>
          <w:lang w:val="cs-CZ"/>
        </w:rPr>
        <w:t>cílů</w:t>
      </w:r>
      <w:r w:rsidR="00B35B90">
        <w:rPr>
          <w:lang w:val="cs-CZ"/>
        </w:rPr>
        <w:t xml:space="preserve"> AP rozhodující</w:t>
      </w:r>
      <w:r>
        <w:rPr>
          <w:lang w:val="cs-CZ"/>
        </w:rPr>
        <w:t xml:space="preserve">. </w:t>
      </w:r>
      <w:r w:rsidR="00002614">
        <w:rPr>
          <w:lang w:val="cs-CZ"/>
        </w:rPr>
        <w:t>Pro další případné zvažování metod implementace VUR do pedagogických či výzkumných aktivit odkazujeme na seznam doporučené literatury v závěrečné části práce.</w:t>
      </w:r>
    </w:p>
    <w:p w:rsidR="007660BF" w:rsidRDefault="007660BF" w:rsidP="00B40CB9">
      <w:pPr>
        <w:pStyle w:val="Nadpis1"/>
        <w:jc w:val="both"/>
        <w:rPr>
          <w:lang w:val="cs-CZ"/>
        </w:rPr>
      </w:pPr>
      <w:r>
        <w:rPr>
          <w:lang w:val="cs-CZ"/>
        </w:rPr>
        <w:t>Použitá literatura</w:t>
      </w:r>
    </w:p>
    <w:p w:rsidR="003E336F" w:rsidRDefault="009C51E1" w:rsidP="00B40CB9">
      <w:pPr>
        <w:spacing w:after="100" w:afterAutospacing="1" w:line="240" w:lineRule="auto"/>
        <w:jc w:val="both"/>
      </w:pPr>
      <w:proofErr w:type="gramStart"/>
      <w:r>
        <w:rPr>
          <w:rStyle w:val="link-external"/>
        </w:rPr>
        <w:t>BEŇKOVÁ, V.; Č</w:t>
      </w:r>
      <w:r w:rsidR="003E336F" w:rsidRPr="008E2A97">
        <w:rPr>
          <w:rStyle w:val="link-external"/>
        </w:rPr>
        <w:t>INČERA, J.</w:t>
      </w:r>
      <w:r>
        <w:rPr>
          <w:rStyle w:val="link-external"/>
        </w:rPr>
        <w:t xml:space="preserve"> (2010)</w:t>
      </w:r>
      <w:r w:rsidR="003E336F" w:rsidRPr="008E2A97">
        <w:rPr>
          <w:rStyle w:val="link-external"/>
        </w:rPr>
        <w:t xml:space="preserve"> Prožitkové naučné stezky jako prostředek environmentální interpretace krajiny.</w:t>
      </w:r>
      <w:proofErr w:type="gramEnd"/>
      <w:r w:rsidR="003E336F" w:rsidRPr="008E2A97">
        <w:rPr>
          <w:rStyle w:val="link-external"/>
        </w:rPr>
        <w:t xml:space="preserve"> </w:t>
      </w:r>
      <w:r w:rsidR="003E336F" w:rsidRPr="008E2A97">
        <w:t>[</w:t>
      </w:r>
      <w:proofErr w:type="gramStart"/>
      <w:r w:rsidR="003E336F" w:rsidRPr="008E2A97">
        <w:t>online</w:t>
      </w:r>
      <w:proofErr w:type="gramEnd"/>
      <w:r w:rsidR="003E336F" w:rsidRPr="008E2A97">
        <w:t xml:space="preserve">] </w:t>
      </w:r>
      <w:r w:rsidR="003E336F" w:rsidRPr="00495BCD">
        <w:rPr>
          <w:i/>
        </w:rPr>
        <w:t xml:space="preserve">Envigogika, </w:t>
      </w:r>
      <w:r w:rsidRPr="009C51E1">
        <w:t>R</w:t>
      </w:r>
      <w:r w:rsidR="003E336F" w:rsidRPr="008E2A97">
        <w:t xml:space="preserve">oč. </w:t>
      </w:r>
      <w:proofErr w:type="gramStart"/>
      <w:r w:rsidR="003E336F" w:rsidRPr="008E2A97">
        <w:t>5, č. 2.</w:t>
      </w:r>
      <w:proofErr w:type="gramEnd"/>
      <w:r w:rsidR="003E336F" w:rsidRPr="008E2A97">
        <w:t xml:space="preserve"> Dostupné z WWW: &lt;http://envigogika.cuni.cz&gt;. </w:t>
      </w:r>
      <w:proofErr w:type="gramStart"/>
      <w:r w:rsidR="003E336F" w:rsidRPr="008E2A97">
        <w:t>ISSN 1802-3061.</w:t>
      </w:r>
      <w:proofErr w:type="gramEnd"/>
    </w:p>
    <w:p w:rsidR="00002614" w:rsidRPr="0054576B" w:rsidRDefault="00002614" w:rsidP="00B40CB9">
      <w:pPr>
        <w:spacing w:after="100" w:afterAutospacing="1" w:line="240" w:lineRule="auto"/>
        <w:jc w:val="both"/>
        <w:rPr>
          <w:lang w:val="cs-CZ"/>
        </w:rPr>
      </w:pPr>
      <w:r>
        <w:rPr>
          <w:rFonts w:ascii="Cambria" w:eastAsia="Times New Roman" w:hAnsi="Cambria" w:cs="Times New Roman"/>
          <w:lang w:val="cs-CZ"/>
        </w:rPr>
        <w:t>ČINČERA, J. (2008).</w:t>
      </w:r>
      <w:r>
        <w:rPr>
          <w:rFonts w:ascii="Cambria" w:eastAsia="Times New Roman" w:hAnsi="Cambria" w:cs="Times New Roman"/>
        </w:rPr>
        <w:t xml:space="preserve"> </w:t>
      </w:r>
      <w:proofErr w:type="gramStart"/>
      <w:r>
        <w:rPr>
          <w:rFonts w:ascii="Cambria" w:eastAsia="Times New Roman" w:hAnsi="Cambria" w:cs="Times New Roman"/>
        </w:rPr>
        <w:t>Evaluace programu Ekoškola.</w:t>
      </w:r>
      <w:proofErr w:type="gramEnd"/>
      <w:r>
        <w:rPr>
          <w:rFonts w:ascii="Cambria" w:eastAsia="Times New Roman" w:hAnsi="Cambria" w:cs="Times New Roman"/>
        </w:rPr>
        <w:t xml:space="preserve">  </w:t>
      </w:r>
      <w:r w:rsidRPr="00D37C89">
        <w:rPr>
          <w:i/>
          <w:lang w:val="cs-CZ"/>
        </w:rPr>
        <w:t>Envigogika</w:t>
      </w:r>
      <w:r w:rsidRPr="0054576B">
        <w:rPr>
          <w:lang w:val="cs-CZ"/>
        </w:rPr>
        <w:t>. Praha: Centrum pro otázky životního prostředí Univerzity Karlovy</w:t>
      </w:r>
      <w:r>
        <w:rPr>
          <w:lang w:val="cs-CZ"/>
        </w:rPr>
        <w:t xml:space="preserve">. </w:t>
      </w:r>
      <w:proofErr w:type="gramStart"/>
      <w:r>
        <w:rPr>
          <w:lang w:val="cs-CZ"/>
        </w:rPr>
        <w:t>R</w:t>
      </w:r>
      <w:r w:rsidRPr="0054576B">
        <w:rPr>
          <w:lang w:val="cs-CZ"/>
        </w:rPr>
        <w:t xml:space="preserve">oč. </w:t>
      </w:r>
      <w:r>
        <w:rPr>
          <w:lang w:val="cs-CZ"/>
        </w:rPr>
        <w:t xml:space="preserve">3, </w:t>
      </w:r>
      <w:r w:rsidRPr="0054576B">
        <w:rPr>
          <w:lang w:val="cs-CZ"/>
        </w:rPr>
        <w:t xml:space="preserve"> č.</w:t>
      </w:r>
      <w:proofErr w:type="gramEnd"/>
      <w:r w:rsidRPr="0054576B">
        <w:rPr>
          <w:lang w:val="cs-CZ"/>
        </w:rPr>
        <w:t xml:space="preserve"> </w:t>
      </w:r>
      <w:r>
        <w:rPr>
          <w:lang w:val="cs-CZ"/>
        </w:rPr>
        <w:t>2</w:t>
      </w:r>
      <w:r w:rsidRPr="0054576B">
        <w:rPr>
          <w:lang w:val="cs-CZ"/>
        </w:rPr>
        <w:t xml:space="preserve">. ISSN 1802-3061. Dostupné z: </w:t>
      </w:r>
      <w:hyperlink r:id="rId8" w:history="1">
        <w:r w:rsidRPr="00934761">
          <w:rPr>
            <w:rStyle w:val="Hypertextovodkaz"/>
            <w:lang w:val="cs-CZ"/>
          </w:rPr>
          <w:t>http://www.czp.cuni.cz/envigogika</w:t>
        </w:r>
      </w:hyperlink>
      <w:r>
        <w:rPr>
          <w:lang w:val="cs-CZ"/>
        </w:rPr>
        <w:t xml:space="preserve">. </w:t>
      </w:r>
    </w:p>
    <w:p w:rsidR="003E336F" w:rsidRPr="008E2A97" w:rsidRDefault="009C51E1" w:rsidP="00B40CB9">
      <w:pPr>
        <w:spacing w:after="100" w:afterAutospacing="1" w:line="240" w:lineRule="auto"/>
        <w:jc w:val="both"/>
      </w:pPr>
      <w:proofErr w:type="gramStart"/>
      <w:r>
        <w:rPr>
          <w:rFonts w:cs="Arial"/>
        </w:rPr>
        <w:t>ČINČERA, J. (2010)</w:t>
      </w:r>
      <w:r w:rsidR="003E336F" w:rsidRPr="00495BCD">
        <w:rPr>
          <w:rFonts w:cs="Arial"/>
        </w:rPr>
        <w:t xml:space="preserve"> Metodika </w:t>
      </w:r>
      <w:r w:rsidR="003E336F" w:rsidRPr="00495BCD">
        <w:rPr>
          <w:rFonts w:cs="Arial"/>
          <w:lang w:val="cs-CZ"/>
        </w:rPr>
        <w:t xml:space="preserve">evaluace programů environmentální výchovy </w:t>
      </w:r>
      <w:r w:rsidR="003E336F" w:rsidRPr="00495BCD">
        <w:rPr>
          <w:rFonts w:cs="Arial"/>
        </w:rPr>
        <w:t>[online].</w:t>
      </w:r>
      <w:proofErr w:type="gramEnd"/>
      <w:r w:rsidR="003E336F" w:rsidRPr="00495BCD">
        <w:rPr>
          <w:rFonts w:cs="Arial"/>
        </w:rPr>
        <w:t xml:space="preserve"> </w:t>
      </w:r>
      <w:proofErr w:type="gramStart"/>
      <w:r w:rsidR="003E336F" w:rsidRPr="00495BCD">
        <w:rPr>
          <w:rFonts w:cs="Arial"/>
          <w:i/>
        </w:rPr>
        <w:t>Envigogika</w:t>
      </w:r>
      <w:r w:rsidR="003E336F" w:rsidRPr="00495BCD">
        <w:rPr>
          <w:rFonts w:cs="Arial"/>
        </w:rPr>
        <w:t>.</w:t>
      </w:r>
      <w:proofErr w:type="gramEnd"/>
      <w:r w:rsidR="003E336F" w:rsidRPr="00495BCD">
        <w:rPr>
          <w:rFonts w:cs="Arial"/>
        </w:rPr>
        <w:t xml:space="preserve"> Praha: Centrum pro otázky životního</w:t>
      </w:r>
      <w:r w:rsidR="003E336F" w:rsidRPr="008E2A97">
        <w:t xml:space="preserve"> prostředí Univerzity Karlovy. </w:t>
      </w:r>
      <w:proofErr w:type="gramStart"/>
      <w:r w:rsidR="003E336F" w:rsidRPr="008E2A97">
        <w:t>Roč.</w:t>
      </w:r>
      <w:proofErr w:type="gramEnd"/>
      <w:r w:rsidR="003E336F" w:rsidRPr="008E2A97">
        <w:t xml:space="preserve"> </w:t>
      </w:r>
      <w:proofErr w:type="gramStart"/>
      <w:r w:rsidR="003E336F" w:rsidRPr="008E2A97">
        <w:t>5, č. 3.</w:t>
      </w:r>
      <w:proofErr w:type="gramEnd"/>
      <w:r w:rsidR="003E336F" w:rsidRPr="008E2A97">
        <w:t xml:space="preserve"> Dostupné z WWW: &lt;http://www.czp.cuni.cz/envigogika&gt; ISSN 1802-3061.</w:t>
      </w:r>
    </w:p>
    <w:p w:rsidR="001F0AFA" w:rsidRPr="00D220DA" w:rsidRDefault="001F0AFA" w:rsidP="00B40CB9">
      <w:pPr>
        <w:jc w:val="both"/>
        <w:rPr>
          <w:lang w:val="en-GB"/>
        </w:rPr>
      </w:pPr>
      <w:proofErr w:type="gramStart"/>
      <w:r w:rsidRPr="00D220DA">
        <w:rPr>
          <w:lang w:val="en-GB"/>
        </w:rPr>
        <w:t>van</w:t>
      </w:r>
      <w:proofErr w:type="gramEnd"/>
      <w:r w:rsidRPr="00D220DA">
        <w:rPr>
          <w:lang w:val="en-GB"/>
        </w:rPr>
        <w:t xml:space="preserve"> D</w:t>
      </w:r>
      <w:r>
        <w:rPr>
          <w:lang w:val="en-GB"/>
        </w:rPr>
        <w:t>AM-</w:t>
      </w:r>
      <w:r w:rsidRPr="00D220DA">
        <w:rPr>
          <w:lang w:val="en-GB"/>
        </w:rPr>
        <w:t>M</w:t>
      </w:r>
      <w:r>
        <w:rPr>
          <w:lang w:val="en-GB"/>
        </w:rPr>
        <w:t>IERAS</w:t>
      </w:r>
      <w:r w:rsidRPr="00D220DA">
        <w:rPr>
          <w:lang w:val="en-GB"/>
        </w:rPr>
        <w:t xml:space="preserve">, M.C.E. </w:t>
      </w:r>
      <w:r w:rsidR="00B43BD5">
        <w:rPr>
          <w:lang w:val="en-GB"/>
        </w:rPr>
        <w:t xml:space="preserve">(2002). </w:t>
      </w:r>
      <w:r w:rsidRPr="00D220DA">
        <w:rPr>
          <w:lang w:val="en-GB"/>
        </w:rPr>
        <w:t xml:space="preserve">Reflections on Learning and Sustainable Development, In: Van Dam-Mieras, Michelsen, G., Winkelmann, H.P., (eds.), </w:t>
      </w:r>
      <w:r w:rsidRPr="00D220DA">
        <w:rPr>
          <w:i/>
          <w:lang w:val="en-GB"/>
        </w:rPr>
        <w:t>COPERNICUS in Lüneburg – Higher Education in the Context of Sustainable Development and Globalization</w:t>
      </w:r>
      <w:r w:rsidRPr="00D220DA">
        <w:rPr>
          <w:lang w:val="en-GB"/>
        </w:rPr>
        <w:t>, VAS; 2002. p. 58</w:t>
      </w:r>
      <w:r w:rsidRPr="00D220DA">
        <w:rPr>
          <w:lang w:val="en-GB"/>
        </w:rPr>
        <w:noBreakHyphen/>
        <w:t xml:space="preserve">70. </w:t>
      </w:r>
    </w:p>
    <w:p w:rsidR="00BB4BA8" w:rsidRPr="00D220DA" w:rsidRDefault="00BB4BA8" w:rsidP="00B40CB9">
      <w:pPr>
        <w:jc w:val="both"/>
        <w:rPr>
          <w:lang w:val="en-GB"/>
        </w:rPr>
      </w:pPr>
      <w:proofErr w:type="gramStart"/>
      <w:r w:rsidRPr="00D220DA">
        <w:rPr>
          <w:lang w:val="en-GB"/>
        </w:rPr>
        <w:t>van</w:t>
      </w:r>
      <w:proofErr w:type="gramEnd"/>
      <w:r w:rsidRPr="00D220DA">
        <w:rPr>
          <w:lang w:val="en-GB"/>
        </w:rPr>
        <w:t xml:space="preserve"> D</w:t>
      </w:r>
      <w:r>
        <w:rPr>
          <w:lang w:val="en-GB"/>
        </w:rPr>
        <w:t>AM-</w:t>
      </w:r>
      <w:r w:rsidRPr="00D220DA">
        <w:rPr>
          <w:lang w:val="en-GB"/>
        </w:rPr>
        <w:t>M</w:t>
      </w:r>
      <w:r>
        <w:rPr>
          <w:lang w:val="en-GB"/>
        </w:rPr>
        <w:t>IERAS</w:t>
      </w:r>
      <w:r w:rsidRPr="00D220DA">
        <w:rPr>
          <w:lang w:val="en-GB"/>
        </w:rPr>
        <w:t xml:space="preserve">, M. C. E., Rikers, J. (2007). RCE Rhine-Meuse: towards learning for sustainable development. </w:t>
      </w:r>
      <w:proofErr w:type="gramStart"/>
      <w:r w:rsidRPr="00D220DA">
        <w:rPr>
          <w:lang w:val="en-GB"/>
        </w:rPr>
        <w:t>Journal of Education for Sustainable Development, 1(1), 51.</w:t>
      </w:r>
      <w:proofErr w:type="gramEnd"/>
    </w:p>
    <w:p w:rsidR="00DA4295" w:rsidRPr="00D220DA" w:rsidRDefault="00DA4295" w:rsidP="00B40CB9">
      <w:pPr>
        <w:jc w:val="both"/>
        <w:rPr>
          <w:rFonts w:cs="Calibri"/>
          <w:lang w:val="en-GB"/>
        </w:rPr>
      </w:pPr>
      <w:r>
        <w:rPr>
          <w:rFonts w:cs="Calibri"/>
          <w:lang w:val="en-GB"/>
        </w:rPr>
        <w:t>FADEEVA</w:t>
      </w:r>
      <w:r w:rsidRPr="00D220DA">
        <w:rPr>
          <w:rFonts w:cs="Calibri"/>
          <w:lang w:val="en-GB"/>
        </w:rPr>
        <w:t xml:space="preserve">, Z. </w:t>
      </w:r>
      <w:r w:rsidR="00B43BD5">
        <w:rPr>
          <w:rFonts w:cs="Calibri"/>
          <w:lang w:val="en-GB"/>
        </w:rPr>
        <w:t xml:space="preserve">(2010). </w:t>
      </w:r>
      <w:proofErr w:type="gramStart"/>
      <w:r w:rsidRPr="00D220DA">
        <w:rPr>
          <w:rFonts w:cs="Calibri"/>
          <w:lang w:val="en-GB"/>
        </w:rPr>
        <w:t>Advancing agenda of Decade of Education for Sustainable Development: Role of RCEs a strategy to promote ESD.</w:t>
      </w:r>
      <w:proofErr w:type="gramEnd"/>
      <w:r w:rsidRPr="00D220DA">
        <w:rPr>
          <w:rFonts w:cs="Calibri"/>
          <w:lang w:val="en-GB"/>
        </w:rPr>
        <w:t xml:space="preserve"> </w:t>
      </w:r>
      <w:proofErr w:type="gramStart"/>
      <w:r w:rsidRPr="00D220DA">
        <w:rPr>
          <w:rFonts w:cs="Calibri"/>
          <w:i/>
          <w:lang w:val="en-GB"/>
        </w:rPr>
        <w:t>Education for Sustainable Development … research and capacity development for ESD</w:t>
      </w:r>
      <w:r w:rsidRPr="00D220DA">
        <w:rPr>
          <w:rFonts w:cs="Calibri"/>
          <w:lang w:val="en-GB"/>
        </w:rPr>
        <w:t xml:space="preserve">, </w:t>
      </w:r>
      <w:r w:rsidRPr="00D220DA">
        <w:rPr>
          <w:rFonts w:cs="Calibri"/>
          <w:bCs/>
          <w:lang w:val="en-GB"/>
        </w:rPr>
        <w:t>5th International RCE Conference,</w:t>
      </w:r>
      <w:r w:rsidRPr="00D220DA">
        <w:rPr>
          <w:rFonts w:cs="Calibri"/>
          <w:lang w:val="en-GB"/>
        </w:rPr>
        <w:t xml:space="preserve"> organised by UNU-IAS; </w:t>
      </w:r>
      <w:r w:rsidRPr="00D220DA">
        <w:rPr>
          <w:rFonts w:cs="Calibri"/>
          <w:bCs/>
          <w:lang w:val="en-GB"/>
        </w:rPr>
        <w:t>2010</w:t>
      </w:r>
      <w:r w:rsidRPr="00D220DA">
        <w:rPr>
          <w:rFonts w:cs="Calibri"/>
          <w:lang w:val="en-GB"/>
        </w:rPr>
        <w:t>.</w:t>
      </w:r>
      <w:proofErr w:type="gramEnd"/>
      <w:r w:rsidRPr="00D220DA">
        <w:rPr>
          <w:rFonts w:cs="Calibri"/>
          <w:lang w:val="en-GB"/>
        </w:rPr>
        <w:t xml:space="preserve"> </w:t>
      </w:r>
      <w:r w:rsidRPr="00D220DA">
        <w:rPr>
          <w:rFonts w:cs="Calibri"/>
          <w:bCs/>
          <w:lang w:val="en-GB"/>
        </w:rPr>
        <w:t>Curitiba, Brazil</w:t>
      </w:r>
      <w:r w:rsidRPr="00D220DA">
        <w:rPr>
          <w:rFonts w:cs="Calibri"/>
          <w:lang w:val="en-GB"/>
        </w:rPr>
        <w:t xml:space="preserve">. </w:t>
      </w:r>
    </w:p>
    <w:p w:rsidR="003E336F" w:rsidRPr="00495BCD" w:rsidRDefault="003E336F" w:rsidP="00B40CB9">
      <w:pPr>
        <w:spacing w:after="100" w:afterAutospacing="1" w:line="240" w:lineRule="auto"/>
        <w:jc w:val="both"/>
        <w:rPr>
          <w:lang w:val="de-DE"/>
        </w:rPr>
      </w:pPr>
      <w:r w:rsidRPr="008E2A97">
        <w:t>FITZPATRICK, Jody L.; SANDERS, James R.; WORTHEN, Blaine R.</w:t>
      </w:r>
      <w:r w:rsidR="009C51E1">
        <w:t xml:space="preserve"> (2004).</w:t>
      </w:r>
      <w:r w:rsidRPr="008E2A97">
        <w:t xml:space="preserve"> </w:t>
      </w:r>
      <w:proofErr w:type="gramStart"/>
      <w:r w:rsidRPr="00495BCD">
        <w:rPr>
          <w:i/>
        </w:rPr>
        <w:t>Program Evaluation.</w:t>
      </w:r>
      <w:proofErr w:type="gramEnd"/>
      <w:r w:rsidRPr="00495BCD">
        <w:rPr>
          <w:i/>
        </w:rPr>
        <w:t xml:space="preserve"> Alternative Approaches and Practical Guidelines. Boston: Pearson Education</w:t>
      </w:r>
      <w:r w:rsidR="009C51E1">
        <w:t>.</w:t>
      </w:r>
      <w:r w:rsidRPr="008E2A97">
        <w:t xml:space="preserve"> </w:t>
      </w:r>
      <w:proofErr w:type="gramStart"/>
      <w:r w:rsidRPr="008E2A97">
        <w:t>555 s. ISBN 0-321-07706-7.</w:t>
      </w:r>
      <w:proofErr w:type="gramEnd"/>
    </w:p>
    <w:p w:rsidR="003E336F" w:rsidRDefault="003E336F" w:rsidP="00B40CB9">
      <w:pPr>
        <w:tabs>
          <w:tab w:val="left" w:pos="720"/>
        </w:tabs>
        <w:suppressAutoHyphens/>
        <w:spacing w:after="100" w:afterAutospacing="1" w:line="240" w:lineRule="auto"/>
        <w:jc w:val="both"/>
        <w:rPr>
          <w:rFonts w:cs="Arial"/>
        </w:rPr>
      </w:pPr>
      <w:r w:rsidRPr="008E2A97">
        <w:rPr>
          <w:rFonts w:cs="Arial"/>
        </w:rPr>
        <w:t>HAM, Sam H.</w:t>
      </w:r>
      <w:r w:rsidR="009C51E1">
        <w:rPr>
          <w:rFonts w:cs="Arial"/>
        </w:rPr>
        <w:t xml:space="preserve"> (1992).</w:t>
      </w:r>
      <w:r w:rsidRPr="008E2A97">
        <w:rPr>
          <w:rFonts w:cs="Arial"/>
        </w:rPr>
        <w:t xml:space="preserve"> </w:t>
      </w:r>
      <w:r w:rsidRPr="008E2A97">
        <w:rPr>
          <w:rFonts w:cs="Arial"/>
          <w:i/>
        </w:rPr>
        <w:t xml:space="preserve">Environmental </w:t>
      </w:r>
      <w:proofErr w:type="gramStart"/>
      <w:r w:rsidRPr="008E2A97">
        <w:rPr>
          <w:rFonts w:cs="Arial"/>
          <w:i/>
        </w:rPr>
        <w:t>interpretation :</w:t>
      </w:r>
      <w:proofErr w:type="gramEnd"/>
      <w:r w:rsidRPr="008E2A97">
        <w:rPr>
          <w:rFonts w:cs="Arial"/>
          <w:i/>
        </w:rPr>
        <w:t xml:space="preserve"> a practical guide for people with big ideas and small budgets.</w:t>
      </w:r>
      <w:r w:rsidRPr="008E2A97">
        <w:rPr>
          <w:rFonts w:cs="Arial"/>
        </w:rPr>
        <w:t xml:space="preserve"> </w:t>
      </w:r>
      <w:proofErr w:type="gramStart"/>
      <w:r w:rsidRPr="008E2A97">
        <w:rPr>
          <w:rFonts w:cs="Arial"/>
        </w:rPr>
        <w:t>Colorado :</w:t>
      </w:r>
      <w:proofErr w:type="gramEnd"/>
      <w:r w:rsidRPr="008E2A97">
        <w:rPr>
          <w:rFonts w:cs="Arial"/>
        </w:rPr>
        <w:t xml:space="preserve"> Fulcrum Publishing. </w:t>
      </w:r>
    </w:p>
    <w:p w:rsidR="003E336F" w:rsidRPr="008E2A97" w:rsidRDefault="009C51E1" w:rsidP="00B40CB9">
      <w:pPr>
        <w:spacing w:after="100" w:afterAutospacing="1" w:line="240" w:lineRule="auto"/>
        <w:jc w:val="both"/>
      </w:pPr>
      <w:r>
        <w:t>HENDL, J</w:t>
      </w:r>
      <w:r w:rsidR="003E336F" w:rsidRPr="008E2A97">
        <w:t>.</w:t>
      </w:r>
      <w:r>
        <w:t xml:space="preserve"> (2008).</w:t>
      </w:r>
      <w:r w:rsidR="003E336F" w:rsidRPr="008E2A97">
        <w:t xml:space="preserve"> </w:t>
      </w:r>
      <w:proofErr w:type="gramStart"/>
      <w:r w:rsidR="003E336F" w:rsidRPr="003E336F">
        <w:rPr>
          <w:i/>
        </w:rPr>
        <w:t>Kvalitativní výzkum.</w:t>
      </w:r>
      <w:proofErr w:type="gramEnd"/>
      <w:r w:rsidR="003E336F" w:rsidRPr="003E336F">
        <w:rPr>
          <w:i/>
        </w:rPr>
        <w:t xml:space="preserve"> Základní teorie, metody </w:t>
      </w:r>
      <w:proofErr w:type="gramStart"/>
      <w:r w:rsidR="003E336F" w:rsidRPr="003E336F">
        <w:rPr>
          <w:i/>
        </w:rPr>
        <w:t>a</w:t>
      </w:r>
      <w:proofErr w:type="gramEnd"/>
      <w:r w:rsidR="003E336F" w:rsidRPr="003E336F">
        <w:rPr>
          <w:i/>
        </w:rPr>
        <w:t xml:space="preserve"> aplikace.</w:t>
      </w:r>
      <w:r>
        <w:t xml:space="preserve"> Praha: Portál</w:t>
      </w:r>
      <w:r w:rsidR="003E336F" w:rsidRPr="008E2A97">
        <w:t xml:space="preserve">. </w:t>
      </w:r>
      <w:proofErr w:type="gramStart"/>
      <w:r w:rsidR="003E336F" w:rsidRPr="008E2A97">
        <w:t>ISBN 978-80-7367-485-4.</w:t>
      </w:r>
      <w:proofErr w:type="gramEnd"/>
    </w:p>
    <w:p w:rsidR="003E336F" w:rsidRPr="008E2A97" w:rsidRDefault="003E336F" w:rsidP="00B40CB9">
      <w:pPr>
        <w:spacing w:after="100" w:afterAutospacing="1" w:line="240" w:lineRule="auto"/>
        <w:jc w:val="both"/>
      </w:pPr>
      <w:proofErr w:type="gramStart"/>
      <w:r w:rsidRPr="008E2A97">
        <w:t xml:space="preserve">HUNGERFORD, Harold R.; VOLK, Trudi L. </w:t>
      </w:r>
      <w:r w:rsidR="009C51E1">
        <w:t>(1990).</w:t>
      </w:r>
      <w:proofErr w:type="gramEnd"/>
      <w:r w:rsidR="009C51E1">
        <w:t xml:space="preserve"> </w:t>
      </w:r>
      <w:r w:rsidRPr="008E2A97">
        <w:t xml:space="preserve">Changing Learner Behavior </w:t>
      </w:r>
      <w:proofErr w:type="gramStart"/>
      <w:r w:rsidRPr="008E2A97">
        <w:t>Through</w:t>
      </w:r>
      <w:proofErr w:type="gramEnd"/>
      <w:r w:rsidRPr="008E2A97">
        <w:t xml:space="preserve"> Environmental Education. </w:t>
      </w:r>
      <w:r w:rsidRPr="003E336F">
        <w:rPr>
          <w:i/>
        </w:rPr>
        <w:t xml:space="preserve">The Journal of Environmental Education, </w:t>
      </w:r>
      <w:r w:rsidRPr="008E2A97">
        <w:t xml:space="preserve">vol. 21, no. 3, s. 8-21. </w:t>
      </w:r>
      <w:proofErr w:type="gramStart"/>
      <w:r w:rsidRPr="008E2A97">
        <w:t>ISSN 0095-8964.</w:t>
      </w:r>
      <w:proofErr w:type="gramEnd"/>
    </w:p>
    <w:p w:rsidR="003E336F" w:rsidRPr="008E2A97" w:rsidRDefault="003E336F" w:rsidP="00B40CB9">
      <w:pPr>
        <w:spacing w:after="100" w:afterAutospacing="1" w:line="240" w:lineRule="auto"/>
        <w:jc w:val="both"/>
      </w:pPr>
      <w:proofErr w:type="gramStart"/>
      <w:r w:rsidRPr="008E2A97">
        <w:lastRenderedPageBreak/>
        <w:t>HYNEK, A</w:t>
      </w:r>
      <w:r w:rsidR="009C51E1">
        <w:t>.</w:t>
      </w:r>
      <w:r w:rsidRPr="008E2A97">
        <w:t>; SVOZIL, B</w:t>
      </w:r>
      <w:r w:rsidR="009C51E1">
        <w:t>.</w:t>
      </w:r>
      <w:r w:rsidRPr="008E2A97">
        <w:t>; TRÁVNÍČEK, J; TROJAN, J.</w:t>
      </w:r>
      <w:r w:rsidR="009C51E1">
        <w:t xml:space="preserve"> (2009).</w:t>
      </w:r>
      <w:proofErr w:type="gramEnd"/>
      <w:r w:rsidRPr="008E2A97">
        <w:t xml:space="preserve"> </w:t>
      </w:r>
      <w:proofErr w:type="gramStart"/>
      <w:r w:rsidRPr="008E2A97">
        <w:t>Trvalá udržitelnost Deblinska.</w:t>
      </w:r>
      <w:proofErr w:type="gramEnd"/>
      <w:r w:rsidRPr="008E2A97">
        <w:t xml:space="preserve"> </w:t>
      </w:r>
      <w:proofErr w:type="gramStart"/>
      <w:r w:rsidRPr="008E2A97">
        <w:t>Vzdělávací projekt.</w:t>
      </w:r>
      <w:proofErr w:type="gramEnd"/>
      <w:r w:rsidRPr="008E2A97">
        <w:t xml:space="preserve"> </w:t>
      </w:r>
      <w:proofErr w:type="gramStart"/>
      <w:r w:rsidRPr="008E2A97">
        <w:t>online</w:t>
      </w:r>
      <w:proofErr w:type="gramEnd"/>
      <w:r w:rsidRPr="008E2A97">
        <w:t xml:space="preserve">] </w:t>
      </w:r>
      <w:r w:rsidRPr="003E336F">
        <w:rPr>
          <w:i/>
        </w:rPr>
        <w:t>Envigogika</w:t>
      </w:r>
      <w:r w:rsidR="009C51E1">
        <w:t>, r</w:t>
      </w:r>
      <w:r w:rsidRPr="008E2A97">
        <w:t xml:space="preserve">oč. </w:t>
      </w:r>
      <w:proofErr w:type="gramStart"/>
      <w:r w:rsidRPr="008E2A97">
        <w:t>4, č. 2.</w:t>
      </w:r>
      <w:proofErr w:type="gramEnd"/>
      <w:r w:rsidRPr="008E2A97">
        <w:t xml:space="preserve"> </w:t>
      </w:r>
      <w:r w:rsidRPr="003E336F">
        <w:rPr>
          <w:lang w:val="de-DE"/>
        </w:rPr>
        <w:t>Dostupné z WWW: &lt;</w:t>
      </w:r>
      <w:r w:rsidR="009C51E1">
        <w:rPr>
          <w:lang w:val="de-DE"/>
        </w:rPr>
        <w:t>http://envigogika.cu</w:t>
      </w:r>
      <w:r w:rsidRPr="003E336F">
        <w:rPr>
          <w:lang w:val="de-DE"/>
        </w:rPr>
        <w:t xml:space="preserve">ni.cz&gt;. </w:t>
      </w:r>
      <w:proofErr w:type="gramStart"/>
      <w:r w:rsidRPr="008E2A97">
        <w:t>ISSN 1802-3061.</w:t>
      </w:r>
      <w:proofErr w:type="gramEnd"/>
    </w:p>
    <w:p w:rsidR="003E336F" w:rsidRDefault="003E336F" w:rsidP="00B40CB9">
      <w:pPr>
        <w:spacing w:after="100" w:afterAutospacing="1" w:line="240" w:lineRule="auto"/>
        <w:jc w:val="both"/>
        <w:rPr>
          <w:rFonts w:cstheme="minorHAnsi"/>
        </w:rPr>
      </w:pPr>
      <w:proofErr w:type="gramStart"/>
      <w:r w:rsidRPr="00DA4178">
        <w:rPr>
          <w:rFonts w:cstheme="minorHAnsi"/>
        </w:rPr>
        <w:t xml:space="preserve">JENSEN, B.B.; SCHNACK, K. </w:t>
      </w:r>
      <w:r w:rsidR="009C51E1">
        <w:rPr>
          <w:rFonts w:cstheme="minorHAnsi"/>
        </w:rPr>
        <w:t>(2006).</w:t>
      </w:r>
      <w:proofErr w:type="gramEnd"/>
      <w:r w:rsidR="009C51E1">
        <w:rPr>
          <w:rFonts w:cstheme="minorHAnsi"/>
        </w:rPr>
        <w:t xml:space="preserve"> </w:t>
      </w:r>
      <w:proofErr w:type="gramStart"/>
      <w:r w:rsidRPr="00DA4178">
        <w:rPr>
          <w:rFonts w:cstheme="minorHAnsi"/>
        </w:rPr>
        <w:t>The action competence approach in environmental education.</w:t>
      </w:r>
      <w:proofErr w:type="gramEnd"/>
      <w:r w:rsidRPr="00DA4178">
        <w:rPr>
          <w:rFonts w:cstheme="minorHAnsi"/>
        </w:rPr>
        <w:t xml:space="preserve"> </w:t>
      </w:r>
      <w:r w:rsidRPr="00DA4178">
        <w:rPr>
          <w:rFonts w:cstheme="minorHAnsi"/>
          <w:i/>
          <w:iCs/>
        </w:rPr>
        <w:t>Environmental Education Research</w:t>
      </w:r>
      <w:r w:rsidRPr="00DA4178">
        <w:rPr>
          <w:rFonts w:cstheme="minorHAnsi"/>
        </w:rPr>
        <w:t xml:space="preserve">, vol. 12, no. 3 (2), s. 163-178. </w:t>
      </w:r>
      <w:proofErr w:type="gramStart"/>
      <w:r w:rsidRPr="00DA4178">
        <w:rPr>
          <w:rFonts w:cstheme="minorHAnsi"/>
        </w:rPr>
        <w:t>ISSN 1350-4622.</w:t>
      </w:r>
      <w:proofErr w:type="gramEnd"/>
      <w:r w:rsidRPr="00DA4178">
        <w:rPr>
          <w:rFonts w:cstheme="minorHAnsi"/>
        </w:rPr>
        <w:t xml:space="preserve"> </w:t>
      </w:r>
    </w:p>
    <w:p w:rsidR="00A13CCD" w:rsidRDefault="00A13CCD" w:rsidP="00B40CB9">
      <w:pPr>
        <w:spacing w:after="100" w:afterAutospacing="1" w:line="240" w:lineRule="auto"/>
        <w:jc w:val="both"/>
        <w:rPr>
          <w:rFonts w:ascii="Times New Roman" w:eastAsia="Times New Roman" w:hAnsi="Times New Roman" w:cs="Times New Roman"/>
          <w:i/>
          <w:iCs/>
          <w:sz w:val="24"/>
          <w:szCs w:val="24"/>
        </w:rPr>
      </w:pPr>
      <w:proofErr w:type="gramStart"/>
      <w:r w:rsidRPr="00A13CCD">
        <w:rPr>
          <w:rFonts w:cstheme="minorHAnsi"/>
        </w:rPr>
        <w:t>LOZANO, R., LUKMAN, R., LOZANO, F. J., HUISINGH, D., &amp; LAMBRECHTS, W.</w:t>
      </w:r>
      <w:r w:rsidRPr="00AE3D6E">
        <w:rPr>
          <w:rFonts w:ascii="Times New Roman" w:eastAsia="Times New Roman" w:hAnsi="Times New Roman" w:cs="Times New Roman"/>
          <w:sz w:val="24"/>
          <w:szCs w:val="24"/>
        </w:rPr>
        <w:t xml:space="preserve"> (2011).</w:t>
      </w:r>
      <w:proofErr w:type="gramEnd"/>
      <w:r w:rsidRPr="00AE3D6E">
        <w:rPr>
          <w:rFonts w:ascii="Times New Roman" w:eastAsia="Times New Roman" w:hAnsi="Times New Roman" w:cs="Times New Roman"/>
          <w:sz w:val="24"/>
          <w:szCs w:val="24"/>
        </w:rPr>
        <w:t xml:space="preserve"> Declarations for sustainability in higher education: becoming better leaders, through addressing the university system. </w:t>
      </w:r>
      <w:r w:rsidRPr="00AE3D6E">
        <w:rPr>
          <w:rFonts w:ascii="Times New Roman" w:eastAsia="Times New Roman" w:hAnsi="Times New Roman" w:cs="Times New Roman"/>
          <w:i/>
          <w:iCs/>
          <w:sz w:val="24"/>
          <w:szCs w:val="24"/>
        </w:rPr>
        <w:t>Journal of Cleaner Production</w:t>
      </w:r>
    </w:p>
    <w:p w:rsidR="00002614" w:rsidRDefault="00002614" w:rsidP="00B40CB9">
      <w:pPr>
        <w:spacing w:after="100" w:afterAutospacing="1" w:line="240" w:lineRule="auto"/>
        <w:jc w:val="both"/>
        <w:rPr>
          <w:spacing w:val="4"/>
        </w:rPr>
      </w:pPr>
      <w:proofErr w:type="gramStart"/>
      <w:r>
        <w:rPr>
          <w:rFonts w:ascii="Cambria" w:eastAsia="Times New Roman" w:hAnsi="Cambria" w:cs="Times New Roman"/>
        </w:rPr>
        <w:t xml:space="preserve">O’ </w:t>
      </w:r>
      <w:r>
        <w:rPr>
          <w:rFonts w:ascii="Cambria" w:eastAsia="Times New Roman" w:hAnsi="Cambria" w:cs="Times New Roman"/>
          <w:caps/>
        </w:rPr>
        <w:t>MAHONY</w:t>
      </w:r>
      <w:r>
        <w:rPr>
          <w:rFonts w:ascii="Cambria" w:eastAsia="Times New Roman" w:hAnsi="Cambria" w:cs="Times New Roman"/>
        </w:rPr>
        <w:t>, M.J., FITZGERALD, F. (2001).</w:t>
      </w:r>
      <w:proofErr w:type="gramEnd"/>
      <w:r>
        <w:rPr>
          <w:rFonts w:ascii="Cambria" w:eastAsia="Times New Roman" w:hAnsi="Cambria" w:cs="Times New Roman"/>
        </w:rPr>
        <w:t xml:space="preserve"> </w:t>
      </w:r>
      <w:proofErr w:type="gramStart"/>
      <w:r>
        <w:rPr>
          <w:rFonts w:ascii="Cambria" w:eastAsia="Times New Roman" w:hAnsi="Cambria" w:cs="Times New Roman"/>
          <w:i/>
        </w:rPr>
        <w:t>The Performance of the Irish Green-Schools Programme.</w:t>
      </w:r>
      <w:proofErr w:type="gramEnd"/>
      <w:r>
        <w:rPr>
          <w:rFonts w:ascii="Cambria" w:eastAsia="Times New Roman" w:hAnsi="Cambria" w:cs="Times New Roman"/>
          <w:i/>
        </w:rPr>
        <w:t xml:space="preserve"> </w:t>
      </w:r>
      <w:proofErr w:type="gramStart"/>
      <w:r>
        <w:rPr>
          <w:rFonts w:ascii="Cambria" w:eastAsia="Times New Roman" w:hAnsi="Cambria" w:cs="Times New Roman"/>
          <w:i/>
        </w:rPr>
        <w:t>Results of the Green-Schools Research Projects.</w:t>
      </w:r>
      <w:proofErr w:type="gramEnd"/>
      <w:r>
        <w:rPr>
          <w:rFonts w:ascii="Cambria" w:eastAsia="Times New Roman" w:hAnsi="Cambria" w:cs="Times New Roman"/>
        </w:rPr>
        <w:t xml:space="preserve"> </w:t>
      </w:r>
      <w:proofErr w:type="gramStart"/>
      <w:r>
        <w:rPr>
          <w:rFonts w:ascii="Cambria" w:eastAsia="Times New Roman" w:hAnsi="Cambria" w:cs="Times New Roman"/>
        </w:rPr>
        <w:t>Environmental education unit.</w:t>
      </w:r>
      <w:proofErr w:type="gramEnd"/>
      <w:r>
        <w:rPr>
          <w:rFonts w:ascii="Cambria" w:eastAsia="Times New Roman" w:hAnsi="Cambria" w:cs="Times New Roman"/>
        </w:rPr>
        <w:t xml:space="preserve"> Dostupné z: </w:t>
      </w:r>
      <w:hyperlink r:id="rId9" w:history="1">
        <w:r w:rsidRPr="00934761">
          <w:rPr>
            <w:rStyle w:val="Hypertextovodkaz"/>
            <w:rFonts w:ascii="Cambria" w:eastAsia="Times New Roman" w:hAnsi="Cambria" w:cs="Times New Roman"/>
          </w:rPr>
          <w:t>http://www.antaisce.org</w:t>
        </w:r>
      </w:hyperlink>
    </w:p>
    <w:p w:rsidR="003E336F" w:rsidRDefault="003E336F" w:rsidP="00B40CB9">
      <w:pPr>
        <w:spacing w:after="100" w:afterAutospacing="1" w:line="240" w:lineRule="auto"/>
        <w:jc w:val="both"/>
        <w:rPr>
          <w:rFonts w:cstheme="minorHAnsi"/>
        </w:rPr>
      </w:pPr>
      <w:proofErr w:type="gramStart"/>
      <w:r w:rsidRPr="008E2A97">
        <w:t>MARCINKOWSKI, T.</w:t>
      </w:r>
      <w:r w:rsidR="009C51E1">
        <w:t xml:space="preserve"> (2004).</w:t>
      </w:r>
      <w:proofErr w:type="gramEnd"/>
      <w:r w:rsidRPr="008E2A97">
        <w:t xml:space="preserve"> </w:t>
      </w:r>
      <w:r w:rsidRPr="003E336F">
        <w:rPr>
          <w:i/>
        </w:rPr>
        <w:t xml:space="preserve">Using a Logic Model to Review and Analyze an Environmental Education Program. </w:t>
      </w:r>
      <w:r w:rsidRPr="008E2A97">
        <w:t>Washington: North American Association for Environmental Education</w:t>
      </w:r>
      <w:proofErr w:type="gramStart"/>
      <w:r w:rsidRPr="008E2A97">
        <w:t>,  ISBN</w:t>
      </w:r>
      <w:proofErr w:type="gramEnd"/>
      <w:r w:rsidRPr="008E2A97">
        <w:t xml:space="preserve"> 1-884008-86-0.</w:t>
      </w:r>
    </w:p>
    <w:p w:rsidR="003E336F" w:rsidRPr="003E336F" w:rsidRDefault="009C51E1" w:rsidP="00B40CB9">
      <w:pPr>
        <w:spacing w:after="100" w:afterAutospacing="1" w:line="240" w:lineRule="auto"/>
        <w:jc w:val="both"/>
        <w:rPr>
          <w:rFonts w:cstheme="minorHAnsi"/>
        </w:rPr>
      </w:pPr>
      <w:proofErr w:type="gramStart"/>
      <w:r>
        <w:t>McKEOWN, R.</w:t>
      </w:r>
      <w:r w:rsidR="003E336F" w:rsidRPr="008E2A97">
        <w:t>; HOPKINS, C.</w:t>
      </w:r>
      <w:r>
        <w:t xml:space="preserve"> (2003).</w:t>
      </w:r>
      <w:proofErr w:type="gramEnd"/>
      <w:r w:rsidR="003E336F" w:rsidRPr="008E2A97">
        <w:t xml:space="preserve"> EE≠ESD: defusing the worry. </w:t>
      </w:r>
      <w:r w:rsidR="003E336F" w:rsidRPr="003E336F">
        <w:rPr>
          <w:i/>
        </w:rPr>
        <w:t>Environmental Education Research</w:t>
      </w:r>
      <w:r w:rsidR="003E336F" w:rsidRPr="008E2A97">
        <w:t xml:space="preserve">, vol. 9, no. 1, s. 117-128. </w:t>
      </w:r>
      <w:proofErr w:type="gramStart"/>
      <w:r w:rsidR="003E336F" w:rsidRPr="008E2A97">
        <w:t>ISSN 0095-8964.</w:t>
      </w:r>
      <w:proofErr w:type="gramEnd"/>
    </w:p>
    <w:p w:rsidR="003E336F" w:rsidRDefault="003E336F" w:rsidP="00B40CB9">
      <w:pPr>
        <w:spacing w:after="100" w:afterAutospacing="1" w:line="240" w:lineRule="auto"/>
        <w:jc w:val="both"/>
        <w:rPr>
          <w:rFonts w:cstheme="minorHAnsi"/>
        </w:rPr>
      </w:pPr>
      <w:proofErr w:type="gramStart"/>
      <w:r w:rsidRPr="00495BCD">
        <w:rPr>
          <w:rFonts w:cstheme="minorHAnsi"/>
        </w:rPr>
        <w:t>MERTENS, D.</w:t>
      </w:r>
      <w:proofErr w:type="gramEnd"/>
      <w:r w:rsidRPr="00495BCD">
        <w:rPr>
          <w:rFonts w:cstheme="minorHAnsi"/>
        </w:rPr>
        <w:t xml:space="preserve">  </w:t>
      </w:r>
      <w:proofErr w:type="gramStart"/>
      <w:r w:rsidRPr="00495BCD">
        <w:rPr>
          <w:rFonts w:cstheme="minorHAnsi"/>
        </w:rPr>
        <w:t xml:space="preserve">M.  </w:t>
      </w:r>
      <w:r w:rsidR="009C51E1">
        <w:rPr>
          <w:rFonts w:cstheme="minorHAnsi"/>
        </w:rPr>
        <w:t>(</w:t>
      </w:r>
      <w:proofErr w:type="gramEnd"/>
      <w:r w:rsidRPr="00495BCD">
        <w:rPr>
          <w:rFonts w:cstheme="minorHAnsi"/>
        </w:rPr>
        <w:t>2010</w:t>
      </w:r>
      <w:r w:rsidR="009C51E1">
        <w:rPr>
          <w:rFonts w:cstheme="minorHAnsi"/>
        </w:rPr>
        <w:t>)</w:t>
      </w:r>
      <w:r w:rsidRPr="00495BCD">
        <w:rPr>
          <w:rFonts w:cstheme="minorHAnsi"/>
        </w:rPr>
        <w:t xml:space="preserve">. </w:t>
      </w:r>
      <w:proofErr w:type="gramStart"/>
      <w:r w:rsidRPr="00495BCD">
        <w:rPr>
          <w:rFonts w:cstheme="minorHAnsi"/>
          <w:i/>
        </w:rPr>
        <w:t>Research and Evaluation in Education and Psychology.</w:t>
      </w:r>
      <w:proofErr w:type="gramEnd"/>
      <w:r w:rsidRPr="00495BCD">
        <w:rPr>
          <w:rFonts w:cstheme="minorHAnsi"/>
          <w:i/>
        </w:rPr>
        <w:t xml:space="preserve"> Integrating Diversity </w:t>
      </w:r>
      <w:proofErr w:type="gramStart"/>
      <w:r w:rsidRPr="00495BCD">
        <w:rPr>
          <w:rFonts w:cstheme="minorHAnsi"/>
          <w:i/>
        </w:rPr>
        <w:t>With</w:t>
      </w:r>
      <w:proofErr w:type="gramEnd"/>
      <w:r w:rsidRPr="00495BCD">
        <w:rPr>
          <w:rFonts w:cstheme="minorHAnsi"/>
          <w:i/>
        </w:rPr>
        <w:t xml:space="preserve"> Quantitative, Qualitative, and Mixed Methods.</w:t>
      </w:r>
      <w:r w:rsidRPr="00495BCD">
        <w:rPr>
          <w:rFonts w:cstheme="minorHAnsi"/>
        </w:rPr>
        <w:t xml:space="preserve"> Thousand Oaks: Sage.</w:t>
      </w:r>
    </w:p>
    <w:p w:rsidR="003E336F" w:rsidRPr="008E2A97" w:rsidRDefault="009C51E1" w:rsidP="00B40CB9">
      <w:pPr>
        <w:spacing w:after="100" w:afterAutospacing="1" w:line="240" w:lineRule="auto"/>
        <w:jc w:val="both"/>
      </w:pPr>
      <w:proofErr w:type="gramStart"/>
      <w:r>
        <w:rPr>
          <w:spacing w:val="4"/>
        </w:rPr>
        <w:t>MIOVSKÝ, M.</w:t>
      </w:r>
      <w:r w:rsidR="003E336F" w:rsidRPr="003E336F">
        <w:rPr>
          <w:spacing w:val="4"/>
        </w:rPr>
        <w:t>; KUBŮ, P.; MIOVSKÁ, L.</w:t>
      </w:r>
      <w:r>
        <w:rPr>
          <w:spacing w:val="4"/>
        </w:rPr>
        <w:t xml:space="preserve"> (2004).</w:t>
      </w:r>
      <w:proofErr w:type="gramEnd"/>
      <w:r w:rsidR="003E336F" w:rsidRPr="003E336F">
        <w:rPr>
          <w:spacing w:val="4"/>
        </w:rPr>
        <w:t xml:space="preserve"> Evaluace programů primární prevence užívání návykových látek v ČR: základní východiska </w:t>
      </w:r>
      <w:proofErr w:type="gramStart"/>
      <w:r w:rsidR="003E336F" w:rsidRPr="003E336F">
        <w:rPr>
          <w:spacing w:val="4"/>
        </w:rPr>
        <w:t>a</w:t>
      </w:r>
      <w:proofErr w:type="gramEnd"/>
      <w:r w:rsidR="003E336F" w:rsidRPr="003E336F">
        <w:rPr>
          <w:spacing w:val="4"/>
        </w:rPr>
        <w:t xml:space="preserve"> aplikační možnosti. </w:t>
      </w:r>
      <w:proofErr w:type="gramStart"/>
      <w:r w:rsidR="003E336F" w:rsidRPr="003E336F">
        <w:rPr>
          <w:i/>
          <w:spacing w:val="4"/>
        </w:rPr>
        <w:t>Adiktologie</w:t>
      </w:r>
      <w:r w:rsidR="003E336F" w:rsidRPr="003E336F">
        <w:rPr>
          <w:spacing w:val="4"/>
        </w:rPr>
        <w:t>, č. 3.</w:t>
      </w:r>
      <w:proofErr w:type="gramEnd"/>
      <w:r w:rsidR="003E336F" w:rsidRPr="003E336F">
        <w:rPr>
          <w:spacing w:val="4"/>
        </w:rPr>
        <w:t xml:space="preserve">  </w:t>
      </w:r>
      <w:proofErr w:type="gramStart"/>
      <w:r w:rsidR="003E336F" w:rsidRPr="003E336F">
        <w:rPr>
          <w:spacing w:val="4"/>
        </w:rPr>
        <w:t>ISSN 1213-3841.</w:t>
      </w:r>
      <w:proofErr w:type="gramEnd"/>
    </w:p>
    <w:p w:rsidR="003E336F" w:rsidRPr="00DA4178" w:rsidRDefault="003E336F" w:rsidP="00B40CB9">
      <w:pPr>
        <w:spacing w:after="100" w:afterAutospacing="1" w:line="240" w:lineRule="auto"/>
        <w:jc w:val="both"/>
        <w:rPr>
          <w:rFonts w:cstheme="minorHAnsi"/>
        </w:rPr>
      </w:pPr>
      <w:proofErr w:type="gramStart"/>
      <w:r w:rsidRPr="00DA4178">
        <w:rPr>
          <w:rFonts w:cstheme="minorHAnsi"/>
        </w:rPr>
        <w:t>MOSELY, C</w:t>
      </w:r>
      <w:r w:rsidR="009C51E1">
        <w:rPr>
          <w:rFonts w:cstheme="minorHAnsi"/>
        </w:rPr>
        <w:t>.; REINKE, K</w:t>
      </w:r>
      <w:r w:rsidRPr="00DA4178">
        <w:rPr>
          <w:rFonts w:cstheme="minorHAnsi"/>
        </w:rPr>
        <w:t>.</w:t>
      </w:r>
      <w:r w:rsidR="009C51E1">
        <w:rPr>
          <w:rFonts w:cstheme="minorHAnsi"/>
        </w:rPr>
        <w:t xml:space="preserve"> (2005).</w:t>
      </w:r>
      <w:proofErr w:type="gramEnd"/>
      <w:r w:rsidRPr="00DA4178">
        <w:rPr>
          <w:rFonts w:cstheme="minorHAnsi"/>
        </w:rPr>
        <w:t xml:space="preserve"> </w:t>
      </w:r>
      <w:proofErr w:type="gramStart"/>
      <w:r w:rsidRPr="00DA4178">
        <w:rPr>
          <w:rFonts w:cstheme="minorHAnsi"/>
        </w:rPr>
        <w:t>The Effect of Teaching in an Outdoor Environmental Education Program on Elementary Pre-service Teachers’ Environmental Education Self-Efficacy and Outcome Expectancy.</w:t>
      </w:r>
      <w:proofErr w:type="gramEnd"/>
      <w:r w:rsidRPr="00DA4178">
        <w:rPr>
          <w:rFonts w:cstheme="minorHAnsi"/>
        </w:rPr>
        <w:t xml:space="preserve"> </w:t>
      </w:r>
      <w:proofErr w:type="gramStart"/>
      <w:r w:rsidRPr="00DA4178">
        <w:rPr>
          <w:rFonts w:cstheme="minorHAnsi"/>
        </w:rPr>
        <w:t>In SIMMONS, Bora.</w:t>
      </w:r>
      <w:proofErr w:type="gramEnd"/>
      <w:r w:rsidRPr="00DA4178">
        <w:rPr>
          <w:rFonts w:cstheme="minorHAnsi"/>
        </w:rPr>
        <w:t xml:space="preserve"> </w:t>
      </w:r>
      <w:proofErr w:type="gramStart"/>
      <w:r w:rsidRPr="00DA4178">
        <w:rPr>
          <w:rFonts w:cstheme="minorHAnsi"/>
        </w:rPr>
        <w:t>Preparing Effective Environmental Ed</w:t>
      </w:r>
      <w:r w:rsidR="009C51E1">
        <w:rPr>
          <w:rFonts w:cstheme="minorHAnsi"/>
        </w:rPr>
        <w:t>ucators.</w:t>
      </w:r>
      <w:proofErr w:type="gramEnd"/>
      <w:r w:rsidR="009C51E1">
        <w:rPr>
          <w:rFonts w:cstheme="minorHAnsi"/>
        </w:rPr>
        <w:t xml:space="preserve"> Washington: NAAEE</w:t>
      </w:r>
      <w:r w:rsidRPr="00DA4178">
        <w:rPr>
          <w:rFonts w:cstheme="minorHAnsi"/>
        </w:rPr>
        <w:t>. P. 35-58.</w:t>
      </w:r>
    </w:p>
    <w:p w:rsidR="003E336F" w:rsidRPr="00495BCD" w:rsidRDefault="003E336F" w:rsidP="00B40CB9">
      <w:pPr>
        <w:tabs>
          <w:tab w:val="left" w:pos="720"/>
        </w:tabs>
        <w:suppressAutoHyphens/>
        <w:spacing w:after="100" w:afterAutospacing="1" w:line="240" w:lineRule="auto"/>
        <w:jc w:val="both"/>
        <w:rPr>
          <w:rFonts w:cs="Arial"/>
        </w:rPr>
      </w:pPr>
      <w:r w:rsidRPr="00495BCD">
        <w:rPr>
          <w:lang w:val="cs-CZ"/>
        </w:rPr>
        <w:t xml:space="preserve">PATTON, M. Q.  </w:t>
      </w:r>
      <w:r w:rsidR="009C51E1">
        <w:rPr>
          <w:lang w:val="cs-CZ"/>
        </w:rPr>
        <w:t>(</w:t>
      </w:r>
      <w:r w:rsidRPr="00495BCD">
        <w:rPr>
          <w:lang w:val="cs-CZ"/>
        </w:rPr>
        <w:t>2008</w:t>
      </w:r>
      <w:r w:rsidR="009C51E1">
        <w:rPr>
          <w:lang w:val="cs-CZ"/>
        </w:rPr>
        <w:t>)</w:t>
      </w:r>
      <w:r w:rsidRPr="00495BCD">
        <w:rPr>
          <w:lang w:val="cs-CZ"/>
        </w:rPr>
        <w:t xml:space="preserve">. </w:t>
      </w:r>
      <w:r w:rsidRPr="00495BCD">
        <w:rPr>
          <w:i/>
          <w:lang w:val="cs-CZ"/>
        </w:rPr>
        <w:t>Utilization-Focused Evaluation</w:t>
      </w:r>
      <w:r w:rsidRPr="00495BCD">
        <w:rPr>
          <w:lang w:val="cs-CZ"/>
        </w:rPr>
        <w:t>. Thousand Oaks: Sage. 667 s.</w:t>
      </w:r>
    </w:p>
    <w:p w:rsidR="003E336F" w:rsidRPr="00495BCD" w:rsidRDefault="003E336F" w:rsidP="00B40CB9">
      <w:pPr>
        <w:spacing w:after="100" w:afterAutospacing="1" w:line="240" w:lineRule="auto"/>
        <w:jc w:val="both"/>
        <w:rPr>
          <w:spacing w:val="4"/>
        </w:rPr>
      </w:pPr>
      <w:r w:rsidRPr="00495BCD">
        <w:rPr>
          <w:lang w:val="cs-CZ"/>
        </w:rPr>
        <w:t>PATTON, M. Q. </w:t>
      </w:r>
      <w:r w:rsidR="009C51E1">
        <w:rPr>
          <w:lang w:val="cs-CZ"/>
        </w:rPr>
        <w:t>(</w:t>
      </w:r>
      <w:r w:rsidRPr="00495BCD">
        <w:rPr>
          <w:lang w:val="cs-CZ"/>
        </w:rPr>
        <w:t>2002</w:t>
      </w:r>
      <w:r w:rsidR="009C51E1">
        <w:rPr>
          <w:lang w:val="cs-CZ"/>
        </w:rPr>
        <w:t>)</w:t>
      </w:r>
      <w:r w:rsidRPr="00495BCD">
        <w:rPr>
          <w:lang w:val="cs-CZ"/>
        </w:rPr>
        <w:t xml:space="preserve">. </w:t>
      </w:r>
      <w:r w:rsidRPr="00495BCD">
        <w:rPr>
          <w:i/>
          <w:lang w:val="cs-CZ"/>
        </w:rPr>
        <w:t>Qualitative Research and Evaluation Methods</w:t>
      </w:r>
      <w:r w:rsidRPr="00495BCD">
        <w:rPr>
          <w:lang w:val="cs-CZ"/>
        </w:rPr>
        <w:t>. Thousand Oaks: Sage. 700 s.</w:t>
      </w:r>
    </w:p>
    <w:p w:rsidR="003E336F" w:rsidRDefault="003E336F" w:rsidP="00B40CB9">
      <w:pPr>
        <w:spacing w:after="100" w:afterAutospacing="1" w:line="240" w:lineRule="auto"/>
        <w:jc w:val="both"/>
        <w:rPr>
          <w:lang w:val="cs-CZ"/>
        </w:rPr>
      </w:pPr>
      <w:r>
        <w:rPr>
          <w:lang w:val="cs-CZ"/>
        </w:rPr>
        <w:t xml:space="preserve">PAUL, G., VOLK, </w:t>
      </w:r>
      <w:proofErr w:type="gramStart"/>
      <w:r>
        <w:rPr>
          <w:lang w:val="cs-CZ"/>
        </w:rPr>
        <w:t>T.L.</w:t>
      </w:r>
      <w:proofErr w:type="gramEnd"/>
      <w:r>
        <w:rPr>
          <w:lang w:val="cs-CZ"/>
        </w:rPr>
        <w:t xml:space="preserve"> </w:t>
      </w:r>
      <w:r w:rsidR="009C51E1">
        <w:rPr>
          <w:lang w:val="cs-CZ"/>
        </w:rPr>
        <w:t>(</w:t>
      </w:r>
      <w:r>
        <w:rPr>
          <w:lang w:val="cs-CZ"/>
        </w:rPr>
        <w:t>2002</w:t>
      </w:r>
      <w:r w:rsidR="009C51E1">
        <w:rPr>
          <w:lang w:val="cs-CZ"/>
        </w:rPr>
        <w:t>)</w:t>
      </w:r>
      <w:r>
        <w:rPr>
          <w:lang w:val="cs-CZ"/>
        </w:rPr>
        <w:t>. Ten Years of Teacher Workshops in an Environmental Problem-Solving Model: Teacher Implementation and Perceptions. The Journal of Environmental Education, 33, 3, 10-20.</w:t>
      </w:r>
    </w:p>
    <w:p w:rsidR="00002614" w:rsidRDefault="00002614" w:rsidP="00B40CB9">
      <w:pPr>
        <w:spacing w:after="100" w:afterAutospacing="1" w:line="240" w:lineRule="auto"/>
        <w:jc w:val="both"/>
        <w:rPr>
          <w:spacing w:val="4"/>
        </w:rPr>
      </w:pPr>
      <w:proofErr w:type="gramStart"/>
      <w:r>
        <w:rPr>
          <w:rFonts w:ascii="Cambria" w:eastAsia="Times New Roman" w:hAnsi="Cambria" w:cs="Times New Roman"/>
        </w:rPr>
        <w:t>PIRRIE, A.; ELLIOT, D.; McCONNELL, F.; WILKINSON, E.J. (2006).</w:t>
      </w:r>
      <w:proofErr w:type="gramEnd"/>
      <w:r>
        <w:rPr>
          <w:rFonts w:ascii="Cambria" w:eastAsia="Times New Roman" w:hAnsi="Cambria" w:cs="Times New Roman"/>
        </w:rPr>
        <w:t xml:space="preserve"> </w:t>
      </w:r>
      <w:proofErr w:type="gramStart"/>
      <w:r>
        <w:rPr>
          <w:rFonts w:ascii="Cambria" w:eastAsia="Times New Roman" w:hAnsi="Cambria" w:cs="Times New Roman"/>
          <w:i/>
        </w:rPr>
        <w:t>Evaluation of Eco-Schools Scotland.</w:t>
      </w:r>
      <w:proofErr w:type="gramEnd"/>
      <w:r>
        <w:rPr>
          <w:rFonts w:ascii="Cambria" w:eastAsia="Times New Roman" w:hAnsi="Cambria" w:cs="Times New Roman"/>
        </w:rPr>
        <w:t xml:space="preserve"> Glasgow: University of Glasgow.</w:t>
      </w:r>
    </w:p>
    <w:p w:rsidR="003E336F" w:rsidRPr="003E336F" w:rsidRDefault="009C51E1" w:rsidP="00B40CB9">
      <w:pPr>
        <w:spacing w:after="100" w:afterAutospacing="1" w:line="240" w:lineRule="auto"/>
        <w:jc w:val="both"/>
        <w:rPr>
          <w:bCs/>
        </w:rPr>
      </w:pPr>
      <w:r>
        <w:t>PRŮCHA, J</w:t>
      </w:r>
      <w:r w:rsidR="003E336F" w:rsidRPr="008E2A97">
        <w:t>.</w:t>
      </w:r>
      <w:r>
        <w:t xml:space="preserve"> (1996).</w:t>
      </w:r>
      <w:r w:rsidR="003E336F" w:rsidRPr="008E2A97">
        <w:t xml:space="preserve"> </w:t>
      </w:r>
      <w:proofErr w:type="gramStart"/>
      <w:r w:rsidR="003E336F" w:rsidRPr="003E336F">
        <w:rPr>
          <w:i/>
        </w:rPr>
        <w:t>Pedagogická evaluace</w:t>
      </w:r>
      <w:r w:rsidR="003E336F" w:rsidRPr="008E2A97">
        <w:t>.</w:t>
      </w:r>
      <w:proofErr w:type="gramEnd"/>
      <w:r w:rsidR="003E336F" w:rsidRPr="008E2A97">
        <w:t xml:space="preserve"> Brno: Masarykova univerzita. </w:t>
      </w:r>
      <w:proofErr w:type="gramStart"/>
      <w:r w:rsidR="003E336F" w:rsidRPr="008E2A97">
        <w:t>166 s. ISBN 80-210-1333-8.</w:t>
      </w:r>
      <w:proofErr w:type="gramEnd"/>
    </w:p>
    <w:p w:rsidR="00002614" w:rsidRDefault="00002614" w:rsidP="00B40CB9">
      <w:pPr>
        <w:spacing w:after="100" w:afterAutospacing="1" w:line="240" w:lineRule="auto"/>
        <w:jc w:val="both"/>
        <w:rPr>
          <w:spacing w:val="4"/>
        </w:rPr>
      </w:pPr>
      <w:r>
        <w:rPr>
          <w:rFonts w:ascii="Cambria" w:eastAsia="Times New Roman" w:hAnsi="Cambria" w:cs="Times New Roman"/>
        </w:rPr>
        <w:t xml:space="preserve">ROSENBERG, E. (2008). Eco-Schools and the Quality of Education in South Africa: Realising the potential. </w:t>
      </w:r>
      <w:proofErr w:type="gramStart"/>
      <w:r>
        <w:rPr>
          <w:rFonts w:ascii="Cambria" w:eastAsia="Times New Roman" w:hAnsi="Cambria" w:cs="Times New Roman"/>
          <w:i/>
        </w:rPr>
        <w:t>Southern African Journal of Environmental Education</w:t>
      </w:r>
      <w:r>
        <w:rPr>
          <w:rFonts w:ascii="Cambria" w:eastAsia="Times New Roman" w:hAnsi="Cambria" w:cs="Times New Roman"/>
        </w:rPr>
        <w:t>.</w:t>
      </w:r>
      <w:proofErr w:type="gramEnd"/>
      <w:r>
        <w:rPr>
          <w:rFonts w:ascii="Cambria" w:eastAsia="Times New Roman" w:hAnsi="Cambria" w:cs="Times New Roman"/>
        </w:rPr>
        <w:t xml:space="preserve"> Vol. 25, p. 25-43.</w:t>
      </w:r>
    </w:p>
    <w:p w:rsidR="003E336F" w:rsidRPr="00495BCD" w:rsidRDefault="003E336F" w:rsidP="00B40CB9">
      <w:pPr>
        <w:spacing w:after="100" w:afterAutospacing="1" w:line="240" w:lineRule="auto"/>
        <w:jc w:val="both"/>
        <w:rPr>
          <w:rFonts w:cstheme="minorHAnsi"/>
        </w:rPr>
      </w:pPr>
      <w:r w:rsidRPr="00495BCD">
        <w:rPr>
          <w:lang w:val="cs-CZ"/>
        </w:rPr>
        <w:lastRenderedPageBreak/>
        <w:t xml:space="preserve">ROSSI, P. H., LIPSEY, </w:t>
      </w:r>
      <w:proofErr w:type="gramStart"/>
      <w:r w:rsidRPr="00495BCD">
        <w:rPr>
          <w:lang w:val="cs-CZ"/>
        </w:rPr>
        <w:t>M.W., FREEMAN</w:t>
      </w:r>
      <w:proofErr w:type="gramEnd"/>
      <w:r w:rsidRPr="00495BCD">
        <w:rPr>
          <w:lang w:val="cs-CZ"/>
        </w:rPr>
        <w:t>, H.E. </w:t>
      </w:r>
      <w:r w:rsidR="009C51E1">
        <w:rPr>
          <w:lang w:val="cs-CZ"/>
        </w:rPr>
        <w:t>(</w:t>
      </w:r>
      <w:r w:rsidRPr="00495BCD">
        <w:rPr>
          <w:lang w:val="cs-CZ"/>
        </w:rPr>
        <w:t>2004</w:t>
      </w:r>
      <w:r w:rsidR="009C51E1">
        <w:rPr>
          <w:lang w:val="cs-CZ"/>
        </w:rPr>
        <w:t>)</w:t>
      </w:r>
      <w:r w:rsidRPr="00495BCD">
        <w:rPr>
          <w:lang w:val="cs-CZ"/>
        </w:rPr>
        <w:t xml:space="preserve">. </w:t>
      </w:r>
      <w:r w:rsidRPr="00495BCD">
        <w:rPr>
          <w:i/>
          <w:lang w:val="cs-CZ"/>
        </w:rPr>
        <w:t>Evaluation. A Systemic Approach</w:t>
      </w:r>
      <w:r w:rsidRPr="00495BCD">
        <w:rPr>
          <w:lang w:val="cs-CZ"/>
        </w:rPr>
        <w:t>. Thousand Oaks: Sage.</w:t>
      </w:r>
    </w:p>
    <w:p w:rsidR="003E336F" w:rsidRDefault="003E336F" w:rsidP="00B40CB9">
      <w:pPr>
        <w:spacing w:after="100" w:afterAutospacing="1" w:line="240" w:lineRule="auto"/>
        <w:jc w:val="both"/>
      </w:pPr>
      <w:r>
        <w:rPr>
          <w:lang w:val="cs-CZ"/>
        </w:rPr>
        <w:t xml:space="preserve">SISITKA, </w:t>
      </w:r>
      <w:proofErr w:type="gramStart"/>
      <w:r>
        <w:rPr>
          <w:lang w:val="cs-CZ"/>
        </w:rPr>
        <w:t>H.L.</w:t>
      </w:r>
      <w:proofErr w:type="gramEnd"/>
      <w:r>
        <w:rPr>
          <w:lang w:val="cs-CZ"/>
        </w:rPr>
        <w:t xml:space="preserve">, SCHUDEL, I. </w:t>
      </w:r>
      <w:r w:rsidR="009C51E1">
        <w:rPr>
          <w:lang w:val="cs-CZ"/>
        </w:rPr>
        <w:t>(</w:t>
      </w:r>
      <w:r>
        <w:rPr>
          <w:lang w:val="cs-CZ"/>
        </w:rPr>
        <w:t>2003</w:t>
      </w:r>
      <w:r w:rsidR="009C51E1">
        <w:rPr>
          <w:lang w:val="cs-CZ"/>
        </w:rPr>
        <w:t>)</w:t>
      </w:r>
      <w:r>
        <w:rPr>
          <w:lang w:val="cs-CZ"/>
        </w:rPr>
        <w:t>. Exploring the practical adequacy of the normative framework guiding South Africa</w:t>
      </w:r>
      <w:r>
        <w:t>’s National Curriculum Statement. Environmental Education Research, 13, 2, 245-263.</w:t>
      </w:r>
    </w:p>
    <w:p w:rsidR="003E336F" w:rsidRPr="00495BCD" w:rsidRDefault="003E336F" w:rsidP="00B40CB9">
      <w:pPr>
        <w:spacing w:after="100" w:afterAutospacing="1" w:line="240" w:lineRule="auto"/>
        <w:jc w:val="both"/>
        <w:rPr>
          <w:rFonts w:ascii="Cambria" w:eastAsia="Times New Roman" w:hAnsi="Cambria" w:cs="Times New Roman"/>
          <w:lang w:val="cs-CZ"/>
        </w:rPr>
      </w:pPr>
      <w:proofErr w:type="gramStart"/>
      <w:r w:rsidRPr="00495BCD">
        <w:rPr>
          <w:rFonts w:ascii="Cambria" w:eastAsia="Times New Roman" w:hAnsi="Cambria" w:cs="Times New Roman"/>
        </w:rPr>
        <w:t xml:space="preserve">SMUTEK, M. </w:t>
      </w:r>
      <w:r w:rsidR="009C51E1">
        <w:rPr>
          <w:rFonts w:ascii="Cambria" w:eastAsia="Times New Roman" w:hAnsi="Cambria" w:cs="Times New Roman"/>
        </w:rPr>
        <w:t>(</w:t>
      </w:r>
      <w:r w:rsidRPr="00495BCD">
        <w:rPr>
          <w:rFonts w:ascii="Cambria" w:eastAsia="Times New Roman" w:hAnsi="Cambria" w:cs="Times New Roman"/>
        </w:rPr>
        <w:t>2009</w:t>
      </w:r>
      <w:r w:rsidR="009C51E1">
        <w:rPr>
          <w:rFonts w:ascii="Cambria" w:eastAsia="Times New Roman" w:hAnsi="Cambria" w:cs="Times New Roman"/>
        </w:rPr>
        <w:t>)</w:t>
      </w:r>
      <w:r w:rsidRPr="00495BCD">
        <w:rPr>
          <w:rFonts w:ascii="Cambria" w:eastAsia="Times New Roman" w:hAnsi="Cambria" w:cs="Times New Roman"/>
        </w:rPr>
        <w:t>.</w:t>
      </w:r>
      <w:proofErr w:type="gramEnd"/>
      <w:r w:rsidRPr="00495BCD">
        <w:rPr>
          <w:rFonts w:ascii="Cambria" w:eastAsia="Times New Roman" w:hAnsi="Cambria" w:cs="Times New Roman"/>
        </w:rPr>
        <w:t xml:space="preserve"> </w:t>
      </w:r>
      <w:proofErr w:type="gramStart"/>
      <w:r w:rsidRPr="00495BCD">
        <w:rPr>
          <w:rFonts w:ascii="Cambria" w:eastAsia="Times New Roman" w:hAnsi="Cambria" w:cs="Times New Roman"/>
          <w:i/>
        </w:rPr>
        <w:t>Evaluace soci</w:t>
      </w:r>
      <w:r w:rsidRPr="00495BCD">
        <w:rPr>
          <w:rFonts w:ascii="Cambria" w:eastAsia="Times New Roman" w:hAnsi="Cambria" w:cs="Times New Roman"/>
          <w:i/>
          <w:lang w:val="cs-CZ"/>
        </w:rPr>
        <w:t>álních programů</w:t>
      </w:r>
      <w:r w:rsidRPr="00495BCD">
        <w:rPr>
          <w:rFonts w:ascii="Cambria" w:eastAsia="Times New Roman" w:hAnsi="Cambria" w:cs="Times New Roman"/>
          <w:lang w:val="cs-CZ"/>
        </w:rPr>
        <w:t>.</w:t>
      </w:r>
      <w:proofErr w:type="gramEnd"/>
      <w:r w:rsidRPr="00495BCD">
        <w:rPr>
          <w:rFonts w:ascii="Cambria" w:eastAsia="Times New Roman" w:hAnsi="Cambria" w:cs="Times New Roman"/>
          <w:lang w:val="cs-CZ"/>
        </w:rPr>
        <w:t xml:space="preserve"> Brno: Masarykova univerzita.</w:t>
      </w:r>
    </w:p>
    <w:p w:rsidR="003E336F" w:rsidRDefault="003E336F" w:rsidP="00B40CB9">
      <w:pPr>
        <w:spacing w:after="100" w:afterAutospacing="1" w:line="240" w:lineRule="auto"/>
        <w:jc w:val="both"/>
      </w:pPr>
      <w:r w:rsidRPr="008E2A97">
        <w:t xml:space="preserve">SOBEL, David. </w:t>
      </w:r>
      <w:r w:rsidR="009C51E1">
        <w:t xml:space="preserve">(2005). </w:t>
      </w:r>
      <w:r w:rsidRPr="003E336F">
        <w:rPr>
          <w:i/>
        </w:rPr>
        <w:t>Place-Based Education: Connecting Classrooms &amp; Communities</w:t>
      </w:r>
      <w:r w:rsidRPr="008E2A97">
        <w:t>. Bar</w:t>
      </w:r>
      <w:r w:rsidR="009C51E1">
        <w:t>rington: The Orion Society</w:t>
      </w:r>
      <w:r w:rsidRPr="008E2A97">
        <w:t xml:space="preserve">. </w:t>
      </w:r>
      <w:proofErr w:type="gramStart"/>
      <w:r w:rsidRPr="008E2A97">
        <w:t>ISBN 0-913098-55-8.</w:t>
      </w:r>
      <w:proofErr w:type="gramEnd"/>
    </w:p>
    <w:p w:rsidR="001F0AFA" w:rsidRPr="00316288" w:rsidRDefault="001F0AFA" w:rsidP="00B40CB9">
      <w:pPr>
        <w:jc w:val="both"/>
        <w:rPr>
          <w:rFonts w:eastAsia="Times New Roman"/>
        </w:rPr>
      </w:pPr>
      <w:proofErr w:type="gramStart"/>
      <w:r w:rsidRPr="00316288">
        <w:rPr>
          <w:rFonts w:eastAsia="Times New Roman"/>
        </w:rPr>
        <w:t>S</w:t>
      </w:r>
      <w:r>
        <w:rPr>
          <w:rFonts w:eastAsia="Times New Roman"/>
        </w:rPr>
        <w:t>TERLING</w:t>
      </w:r>
      <w:r w:rsidRPr="00316288">
        <w:rPr>
          <w:rFonts w:eastAsia="Times New Roman"/>
        </w:rPr>
        <w:t>, S. (2004).</w:t>
      </w:r>
      <w:proofErr w:type="gramEnd"/>
      <w:r w:rsidRPr="00316288">
        <w:rPr>
          <w:rFonts w:eastAsia="Times New Roman"/>
        </w:rPr>
        <w:t xml:space="preserve"> </w:t>
      </w:r>
      <w:proofErr w:type="gramStart"/>
      <w:r w:rsidRPr="00316288">
        <w:rPr>
          <w:rFonts w:eastAsia="Times New Roman"/>
        </w:rPr>
        <w:t>Higher education, sustainability, and the role of systemic learning.</w:t>
      </w:r>
      <w:proofErr w:type="gramEnd"/>
      <w:r w:rsidRPr="00316288">
        <w:rPr>
          <w:rFonts w:eastAsia="Times New Roman"/>
        </w:rPr>
        <w:t xml:space="preserve"> </w:t>
      </w:r>
      <w:r>
        <w:rPr>
          <w:rFonts w:eastAsia="Times New Roman"/>
        </w:rPr>
        <w:t xml:space="preserve">In: </w:t>
      </w:r>
      <w:r w:rsidRPr="00316288">
        <w:rPr>
          <w:rFonts w:eastAsia="Times New Roman"/>
        </w:rPr>
        <w:t>Peter Blaze Co</w:t>
      </w:r>
      <w:r>
        <w:rPr>
          <w:rFonts w:eastAsia="Times New Roman"/>
        </w:rPr>
        <w:t>rcoran &amp; Arjen E.J. Wals (Eds.)</w:t>
      </w:r>
      <w:r w:rsidRPr="00316288">
        <w:rPr>
          <w:rFonts w:eastAsia="Times New Roman"/>
        </w:rPr>
        <w:t xml:space="preserve"> </w:t>
      </w:r>
      <w:r w:rsidRPr="00316288">
        <w:rPr>
          <w:rFonts w:eastAsia="Times New Roman"/>
          <w:i/>
          <w:iCs/>
        </w:rPr>
        <w:t xml:space="preserve">Higher education and the challenge of </w:t>
      </w:r>
      <w:proofErr w:type="gramStart"/>
      <w:r w:rsidRPr="00316288">
        <w:rPr>
          <w:rFonts w:eastAsia="Times New Roman"/>
          <w:i/>
          <w:iCs/>
        </w:rPr>
        <w:t>sustainability</w:t>
      </w:r>
      <w:r w:rsidRPr="00316288">
        <w:t xml:space="preserve"> </w:t>
      </w:r>
      <w:r w:rsidRPr="00316288">
        <w:rPr>
          <w:rFonts w:eastAsia="Times New Roman"/>
          <w:i/>
          <w:iCs/>
        </w:rPr>
        <w:t>:</w:t>
      </w:r>
      <w:proofErr w:type="gramEnd"/>
      <w:r w:rsidRPr="00316288">
        <w:rPr>
          <w:rFonts w:eastAsia="Times New Roman"/>
          <w:i/>
          <w:iCs/>
        </w:rPr>
        <w:t xml:space="preserve"> Problematics, Promise and Practice</w:t>
      </w:r>
      <w:r>
        <w:rPr>
          <w:rFonts w:eastAsia="Times New Roman"/>
          <w:i/>
          <w:iCs/>
        </w:rPr>
        <w:t>.</w:t>
      </w:r>
      <w:r w:rsidRPr="00316288">
        <w:rPr>
          <w:rFonts w:eastAsia="Times New Roman"/>
          <w:sz w:val="17"/>
          <w:szCs w:val="17"/>
        </w:rPr>
        <w:t xml:space="preserve"> </w:t>
      </w:r>
      <w:proofErr w:type="gramStart"/>
      <w:r w:rsidRPr="00316288">
        <w:rPr>
          <w:rFonts w:eastAsia="Times New Roman"/>
        </w:rPr>
        <w:t>Kluwer Academic Publishers.</w:t>
      </w:r>
      <w:proofErr w:type="gramEnd"/>
      <w:r w:rsidRPr="00316288">
        <w:rPr>
          <w:rFonts w:eastAsia="Times New Roman"/>
        </w:rPr>
        <w:t xml:space="preserve"> Netherlands, 49–70.</w:t>
      </w:r>
    </w:p>
    <w:p w:rsidR="001F0AFA" w:rsidRDefault="001F0AFA" w:rsidP="00B40CB9">
      <w:pPr>
        <w:jc w:val="both"/>
      </w:pPr>
      <w:proofErr w:type="gramStart"/>
      <w:r>
        <w:t>TILBURY, D. (2004).</w:t>
      </w:r>
      <w:proofErr w:type="gramEnd"/>
      <w:r>
        <w:t xml:space="preserve"> Environmental education for sustainability: A force for change in higher education. </w:t>
      </w:r>
      <w:r>
        <w:rPr>
          <w:rFonts w:eastAsia="Times New Roman"/>
        </w:rPr>
        <w:t xml:space="preserve">In: </w:t>
      </w:r>
      <w:r w:rsidRPr="00316288">
        <w:rPr>
          <w:rFonts w:eastAsia="Times New Roman"/>
        </w:rPr>
        <w:t>Peter Blaze Co</w:t>
      </w:r>
      <w:r>
        <w:rPr>
          <w:rFonts w:eastAsia="Times New Roman"/>
        </w:rPr>
        <w:t>rcoran &amp; Arjen E.J. Wals (Eds.)</w:t>
      </w:r>
      <w:r w:rsidRPr="00316288">
        <w:rPr>
          <w:rFonts w:eastAsia="Times New Roman"/>
        </w:rPr>
        <w:t xml:space="preserve"> </w:t>
      </w:r>
      <w:r w:rsidRPr="00316288">
        <w:rPr>
          <w:rFonts w:eastAsia="Times New Roman"/>
          <w:i/>
          <w:iCs/>
        </w:rPr>
        <w:t xml:space="preserve">Higher education and the challenge of </w:t>
      </w:r>
      <w:proofErr w:type="gramStart"/>
      <w:r w:rsidRPr="00316288">
        <w:rPr>
          <w:rFonts w:eastAsia="Times New Roman"/>
          <w:i/>
          <w:iCs/>
        </w:rPr>
        <w:t>sustainability</w:t>
      </w:r>
      <w:r w:rsidRPr="00316288">
        <w:t xml:space="preserve"> </w:t>
      </w:r>
      <w:r w:rsidRPr="00316288">
        <w:rPr>
          <w:rFonts w:eastAsia="Times New Roman"/>
          <w:i/>
          <w:iCs/>
        </w:rPr>
        <w:t>:</w:t>
      </w:r>
      <w:proofErr w:type="gramEnd"/>
      <w:r w:rsidRPr="00316288">
        <w:rPr>
          <w:rFonts w:eastAsia="Times New Roman"/>
          <w:i/>
          <w:iCs/>
        </w:rPr>
        <w:t xml:space="preserve"> Problematics, Promise and Practice</w:t>
      </w:r>
      <w:r>
        <w:rPr>
          <w:rFonts w:eastAsia="Times New Roman"/>
          <w:i/>
          <w:iCs/>
        </w:rPr>
        <w:t>.</w:t>
      </w:r>
      <w:r w:rsidRPr="00316288">
        <w:rPr>
          <w:rFonts w:eastAsia="Times New Roman"/>
          <w:sz w:val="17"/>
          <w:szCs w:val="17"/>
        </w:rPr>
        <w:t xml:space="preserve"> </w:t>
      </w:r>
      <w:proofErr w:type="gramStart"/>
      <w:r w:rsidRPr="00316288">
        <w:rPr>
          <w:rFonts w:eastAsia="Times New Roman"/>
        </w:rPr>
        <w:t>Kluwer Academic Publishers.</w:t>
      </w:r>
      <w:proofErr w:type="gramEnd"/>
      <w:r w:rsidRPr="00316288">
        <w:rPr>
          <w:rFonts w:eastAsia="Times New Roman"/>
        </w:rPr>
        <w:t xml:space="preserve"> Netherlands, </w:t>
      </w:r>
      <w:r>
        <w:t>97–112.</w:t>
      </w:r>
    </w:p>
    <w:p w:rsidR="001F0AFA" w:rsidRPr="00705C04" w:rsidRDefault="001F0AFA" w:rsidP="00B40CB9">
      <w:pPr>
        <w:jc w:val="both"/>
        <w:rPr>
          <w:lang w:val="en-GB"/>
        </w:rPr>
      </w:pPr>
      <w:proofErr w:type="gramStart"/>
      <w:r>
        <w:t>TILBURY</w:t>
      </w:r>
      <w:r w:rsidRPr="00705C04">
        <w:rPr>
          <w:lang w:val="en-GB"/>
        </w:rPr>
        <w:t xml:space="preserve">, D. </w:t>
      </w:r>
      <w:r w:rsidR="00B43BD5">
        <w:rPr>
          <w:lang w:val="en-GB"/>
        </w:rPr>
        <w:t>(2011).</w:t>
      </w:r>
      <w:proofErr w:type="gramEnd"/>
      <w:r w:rsidR="00B43BD5">
        <w:rPr>
          <w:lang w:val="en-GB"/>
        </w:rPr>
        <w:t xml:space="preserve"> </w:t>
      </w:r>
      <w:proofErr w:type="gramStart"/>
      <w:r w:rsidRPr="00705C04">
        <w:rPr>
          <w:lang w:val="en-GB"/>
        </w:rPr>
        <w:t>Education for Sustainable Development.</w:t>
      </w:r>
      <w:proofErr w:type="gramEnd"/>
      <w:r w:rsidRPr="00705C04">
        <w:rPr>
          <w:lang w:val="en-GB"/>
        </w:rPr>
        <w:t xml:space="preserve"> </w:t>
      </w:r>
      <w:proofErr w:type="gramStart"/>
      <w:r w:rsidRPr="00705C04">
        <w:rPr>
          <w:lang w:val="en-GB"/>
        </w:rPr>
        <w:t>An Expert Review of Processes and Learning.</w:t>
      </w:r>
      <w:proofErr w:type="gramEnd"/>
      <w:r w:rsidRPr="00705C04">
        <w:rPr>
          <w:lang w:val="en-GB"/>
        </w:rPr>
        <w:t xml:space="preserve"> </w:t>
      </w:r>
      <w:proofErr w:type="gramStart"/>
      <w:r w:rsidRPr="00705C04">
        <w:rPr>
          <w:lang w:val="en-GB"/>
        </w:rPr>
        <w:t>UNESCO.</w:t>
      </w:r>
      <w:proofErr w:type="gramEnd"/>
      <w:r w:rsidRPr="00705C04">
        <w:rPr>
          <w:lang w:val="en-GB"/>
        </w:rPr>
        <w:t xml:space="preserve"> Paris: Section for Education for Sustainable Development. </w:t>
      </w:r>
      <w:r>
        <w:rPr>
          <w:lang w:val="en-GB"/>
        </w:rPr>
        <w:t>Retrieved on 2012-08-1</w:t>
      </w:r>
      <w:r w:rsidRPr="00705C04">
        <w:rPr>
          <w:lang w:val="en-GB"/>
        </w:rPr>
        <w:t>4, from</w:t>
      </w:r>
      <w:r>
        <w:t xml:space="preserve"> </w:t>
      </w:r>
      <w:hyperlink r:id="rId10" w:history="1">
        <w:r w:rsidRPr="00705C04">
          <w:rPr>
            <w:rStyle w:val="Hypertextovodkaz"/>
            <w:lang w:val="en-GB"/>
          </w:rPr>
          <w:t>http://unesdoc.unesco.org/images/0019/001914/191442e.pdf</w:t>
        </w:r>
      </w:hyperlink>
      <w:r>
        <w:rPr>
          <w:rStyle w:val="Hypertextovodkaz"/>
          <w:lang w:val="en-GB"/>
        </w:rPr>
        <w:t xml:space="preserve"> </w:t>
      </w:r>
    </w:p>
    <w:p w:rsidR="00AF44B8" w:rsidRDefault="00AF44B8" w:rsidP="00B40CB9">
      <w:pPr>
        <w:spacing w:after="100" w:afterAutospacing="1" w:line="240" w:lineRule="auto"/>
        <w:jc w:val="both"/>
      </w:pPr>
      <w:proofErr w:type="gramStart"/>
      <w:r w:rsidRPr="00676867">
        <w:rPr>
          <w:caps/>
        </w:rPr>
        <w:t>Tilden</w:t>
      </w:r>
      <w:r w:rsidRPr="00E8461C">
        <w:t>, F. (2007) 4th edn ed. by Craig R. B. Interpreting Our Heritage.</w:t>
      </w:r>
      <w:proofErr w:type="gramEnd"/>
      <w:r w:rsidRPr="00E8461C">
        <w:t xml:space="preserve"> Chapel Hill: The University of North Carolina Press</w:t>
      </w:r>
    </w:p>
    <w:p w:rsidR="001B75A3" w:rsidRPr="00705C04" w:rsidRDefault="001B75A3" w:rsidP="00B40CB9">
      <w:pPr>
        <w:jc w:val="both"/>
        <w:rPr>
          <w:lang w:val="en-GB"/>
        </w:rPr>
      </w:pPr>
      <w:r w:rsidRPr="00705C04">
        <w:rPr>
          <w:lang w:val="en-GB"/>
        </w:rPr>
        <w:t>W</w:t>
      </w:r>
      <w:r>
        <w:rPr>
          <w:lang w:val="en-GB"/>
        </w:rPr>
        <w:t>ALS</w:t>
      </w:r>
      <w:r w:rsidRPr="00705C04">
        <w:rPr>
          <w:lang w:val="en-GB"/>
        </w:rPr>
        <w:t xml:space="preserve"> A. E. (</w:t>
      </w:r>
      <w:r>
        <w:rPr>
          <w:lang w:val="en-GB"/>
        </w:rPr>
        <w:t xml:space="preserve">ed.) </w:t>
      </w:r>
      <w:r w:rsidRPr="00705C04">
        <w:rPr>
          <w:lang w:val="en-GB"/>
        </w:rPr>
        <w:t xml:space="preserve">2007. </w:t>
      </w:r>
      <w:proofErr w:type="gramStart"/>
      <w:r w:rsidRPr="00705C04">
        <w:rPr>
          <w:lang w:val="en-GB"/>
        </w:rPr>
        <w:t>Social learning towards a sustainable world.</w:t>
      </w:r>
      <w:proofErr w:type="gramEnd"/>
      <w:r w:rsidRPr="00705C04">
        <w:rPr>
          <w:lang w:val="en-GB"/>
        </w:rPr>
        <w:t xml:space="preserve"> </w:t>
      </w:r>
      <w:proofErr w:type="gramStart"/>
      <w:r w:rsidRPr="00705C04">
        <w:rPr>
          <w:lang w:val="en-GB"/>
        </w:rPr>
        <w:t>Wageningen Academic Publishers.</w:t>
      </w:r>
      <w:proofErr w:type="gramEnd"/>
    </w:p>
    <w:p w:rsidR="001B75A3" w:rsidRPr="00705C04" w:rsidRDefault="001B75A3" w:rsidP="00B40CB9">
      <w:pPr>
        <w:jc w:val="both"/>
        <w:rPr>
          <w:lang w:val="en-GB"/>
        </w:rPr>
      </w:pPr>
      <w:r w:rsidRPr="00705C04">
        <w:rPr>
          <w:lang w:val="en-GB"/>
        </w:rPr>
        <w:t>W</w:t>
      </w:r>
      <w:r>
        <w:rPr>
          <w:lang w:val="en-GB"/>
        </w:rPr>
        <w:t>ALS</w:t>
      </w:r>
      <w:r w:rsidRPr="00705C04">
        <w:rPr>
          <w:lang w:val="en-GB"/>
        </w:rPr>
        <w:t>, J. (2009). </w:t>
      </w:r>
      <w:proofErr w:type="gramStart"/>
      <w:r w:rsidRPr="00705C04">
        <w:rPr>
          <w:lang w:val="en-GB"/>
        </w:rPr>
        <w:t>Review of Contexts and Structures for Education for Sustainable Development.</w:t>
      </w:r>
      <w:proofErr w:type="gramEnd"/>
      <w:r w:rsidRPr="00705C04">
        <w:rPr>
          <w:lang w:val="en-GB"/>
        </w:rPr>
        <w:t xml:space="preserve"> </w:t>
      </w:r>
      <w:proofErr w:type="gramStart"/>
      <w:r w:rsidRPr="00705C04">
        <w:rPr>
          <w:lang w:val="en-GB"/>
        </w:rPr>
        <w:t>UNESCO.</w:t>
      </w:r>
      <w:proofErr w:type="gramEnd"/>
      <w:r w:rsidRPr="00705C04">
        <w:rPr>
          <w:lang w:val="en-GB"/>
        </w:rPr>
        <w:t xml:space="preserve"> Paris: Section for DESD Coordination. </w:t>
      </w:r>
      <w:hyperlink r:id="rId11" w:history="1">
        <w:r w:rsidRPr="00705C04">
          <w:rPr>
            <w:rStyle w:val="Hypertextovodkaz"/>
            <w:lang w:val="en-GB"/>
          </w:rPr>
          <w:t>http://unesdoc.unesco.org/images/0018/001849/184944e.pdf</w:t>
        </w:r>
      </w:hyperlink>
    </w:p>
    <w:p w:rsidR="003E336F" w:rsidRPr="008E2A97" w:rsidRDefault="003E336F" w:rsidP="00B40CB9">
      <w:pPr>
        <w:spacing w:after="100" w:afterAutospacing="1" w:line="240" w:lineRule="auto"/>
        <w:jc w:val="both"/>
      </w:pPr>
      <w:proofErr w:type="gramStart"/>
      <w:r w:rsidRPr="008E2A97">
        <w:t>WHOLEY, J.S.; HATRY H.P.; NEWCOMER, K.E.</w:t>
      </w:r>
      <w:r w:rsidR="009C51E1">
        <w:t xml:space="preserve"> (2004).</w:t>
      </w:r>
      <w:proofErr w:type="gramEnd"/>
      <w:r w:rsidRPr="008E2A97">
        <w:t xml:space="preserve"> </w:t>
      </w:r>
      <w:proofErr w:type="gramStart"/>
      <w:r w:rsidRPr="003E336F">
        <w:rPr>
          <w:i/>
        </w:rPr>
        <w:t>Handbook of Practical Program Evaluation</w:t>
      </w:r>
      <w:r w:rsidRPr="008E2A97">
        <w:t>.</w:t>
      </w:r>
      <w:proofErr w:type="gramEnd"/>
      <w:r w:rsidRPr="008E2A97">
        <w:t xml:space="preserve"> </w:t>
      </w:r>
      <w:r w:rsidR="009C51E1">
        <w:t>San Francisco: Jossey-Bass</w:t>
      </w:r>
      <w:r w:rsidRPr="008E2A97">
        <w:t xml:space="preserve">. </w:t>
      </w:r>
      <w:proofErr w:type="gramStart"/>
      <w:r w:rsidRPr="008E2A97">
        <w:t>720 s. ISBN 0-7879-6713-0.</w:t>
      </w:r>
      <w:proofErr w:type="gramEnd"/>
    </w:p>
    <w:p w:rsidR="003E336F" w:rsidRPr="00DA4178" w:rsidRDefault="003E336F" w:rsidP="00B40CB9">
      <w:pPr>
        <w:spacing w:after="100" w:afterAutospacing="1" w:line="240" w:lineRule="auto"/>
        <w:jc w:val="both"/>
        <w:rPr>
          <w:rFonts w:cstheme="minorHAnsi"/>
        </w:rPr>
      </w:pPr>
      <w:proofErr w:type="gramStart"/>
      <w:r w:rsidRPr="00DA4178">
        <w:rPr>
          <w:rFonts w:cstheme="minorHAnsi"/>
        </w:rPr>
        <w:t>WINTHER, A.A.; VOLK, T.L.; SCHROCK, S.A.</w:t>
      </w:r>
      <w:r w:rsidR="009C51E1">
        <w:rPr>
          <w:rFonts w:cstheme="minorHAnsi"/>
        </w:rPr>
        <w:t xml:space="preserve"> (2002).</w:t>
      </w:r>
      <w:proofErr w:type="gramEnd"/>
      <w:r w:rsidRPr="00DA4178">
        <w:rPr>
          <w:rFonts w:cstheme="minorHAnsi"/>
        </w:rPr>
        <w:t xml:space="preserve"> Teacher Decision Making in the 1</w:t>
      </w:r>
      <w:r w:rsidRPr="00DA4178">
        <w:rPr>
          <w:rFonts w:cstheme="minorHAnsi"/>
          <w:vertAlign w:val="superscript"/>
        </w:rPr>
        <w:t>st</w:t>
      </w:r>
      <w:r w:rsidRPr="00DA4178">
        <w:rPr>
          <w:rFonts w:cstheme="minorHAnsi"/>
        </w:rPr>
        <w:t xml:space="preserve"> Year of Implementating an Issues-Based Environmental Education Program: A Qualitative Study. </w:t>
      </w:r>
      <w:r w:rsidRPr="00DA4178">
        <w:rPr>
          <w:rFonts w:cstheme="minorHAnsi"/>
          <w:i/>
        </w:rPr>
        <w:t>The Journal of Environmental Education</w:t>
      </w:r>
      <w:r w:rsidR="009C51E1">
        <w:rPr>
          <w:rFonts w:cstheme="minorHAnsi"/>
        </w:rPr>
        <w:t xml:space="preserve">, </w:t>
      </w:r>
      <w:r w:rsidRPr="00DA4178">
        <w:rPr>
          <w:rFonts w:cstheme="minorHAnsi"/>
        </w:rPr>
        <w:t>vol. 33, n. 3, s. 27-33.</w:t>
      </w:r>
    </w:p>
    <w:p w:rsidR="00C27C15" w:rsidRDefault="003E336F" w:rsidP="00B40CB9">
      <w:pPr>
        <w:spacing w:after="100" w:afterAutospacing="1" w:line="240" w:lineRule="auto"/>
        <w:jc w:val="both"/>
        <w:rPr>
          <w:rFonts w:cstheme="minorHAnsi"/>
        </w:rPr>
      </w:pPr>
      <w:r w:rsidRPr="00DA4178">
        <w:rPr>
          <w:rFonts w:cstheme="minorHAnsi"/>
        </w:rPr>
        <w:t xml:space="preserve">WINTHER, Austin A. </w:t>
      </w:r>
      <w:r w:rsidR="009C51E1">
        <w:rPr>
          <w:rFonts w:cstheme="minorHAnsi"/>
        </w:rPr>
        <w:t xml:space="preserve">(2005). </w:t>
      </w:r>
      <w:r w:rsidRPr="00DA4178">
        <w:rPr>
          <w:rFonts w:cstheme="minorHAnsi"/>
        </w:rPr>
        <w:t xml:space="preserve">Research Related to Staff Development in Environmental Education. . </w:t>
      </w:r>
      <w:proofErr w:type="gramStart"/>
      <w:r w:rsidRPr="00DA4178">
        <w:rPr>
          <w:rFonts w:cstheme="minorHAnsi"/>
        </w:rPr>
        <w:t>In SIMMONS, Bora.</w:t>
      </w:r>
      <w:proofErr w:type="gramEnd"/>
      <w:r w:rsidRPr="00DA4178">
        <w:rPr>
          <w:rFonts w:cstheme="minorHAnsi"/>
        </w:rPr>
        <w:t xml:space="preserve"> </w:t>
      </w:r>
      <w:proofErr w:type="gramStart"/>
      <w:r w:rsidRPr="00DA4178">
        <w:rPr>
          <w:rFonts w:cstheme="minorHAnsi"/>
        </w:rPr>
        <w:t xml:space="preserve">Preparing </w:t>
      </w:r>
      <w:r>
        <w:rPr>
          <w:rFonts w:cstheme="minorHAnsi"/>
        </w:rPr>
        <w:t xml:space="preserve"> </w:t>
      </w:r>
      <w:r w:rsidRPr="00DA4178">
        <w:rPr>
          <w:rFonts w:cstheme="minorHAnsi"/>
        </w:rPr>
        <w:t>Effective</w:t>
      </w:r>
      <w:proofErr w:type="gramEnd"/>
      <w:r w:rsidRPr="00DA4178">
        <w:rPr>
          <w:rFonts w:cstheme="minorHAnsi"/>
        </w:rPr>
        <w:t xml:space="preserve"> Environmental Ed</w:t>
      </w:r>
      <w:r w:rsidR="009C51E1">
        <w:rPr>
          <w:rFonts w:cstheme="minorHAnsi"/>
        </w:rPr>
        <w:t>ucators. Washington: NAAEE</w:t>
      </w:r>
      <w:r w:rsidRPr="00DA4178">
        <w:rPr>
          <w:rFonts w:cstheme="minorHAnsi"/>
        </w:rPr>
        <w:t>. P. 59-72.</w:t>
      </w:r>
    </w:p>
    <w:p w:rsidR="00C27C15" w:rsidRPr="00DA4178" w:rsidRDefault="00C27C15" w:rsidP="00B40CB9">
      <w:pPr>
        <w:spacing w:after="100" w:afterAutospacing="1" w:line="240" w:lineRule="auto"/>
        <w:jc w:val="both"/>
        <w:rPr>
          <w:rFonts w:cstheme="minorHAnsi"/>
        </w:rPr>
      </w:pPr>
      <w:proofErr w:type="gramStart"/>
      <w:r>
        <w:rPr>
          <w:rFonts w:cstheme="minorHAnsi"/>
        </w:rPr>
        <w:t>ZICHÁČEK, M. (2011).</w:t>
      </w:r>
      <w:proofErr w:type="gramEnd"/>
      <w:r>
        <w:rPr>
          <w:rFonts w:cstheme="minorHAnsi"/>
        </w:rPr>
        <w:t xml:space="preserve"> Výchova k trvale udržitelnému rozvoji </w:t>
      </w:r>
      <w:proofErr w:type="gramStart"/>
      <w:r>
        <w:rPr>
          <w:rFonts w:cstheme="minorHAnsi"/>
        </w:rPr>
        <w:t>na</w:t>
      </w:r>
      <w:proofErr w:type="gramEnd"/>
      <w:r>
        <w:rPr>
          <w:rFonts w:cstheme="minorHAnsi"/>
        </w:rPr>
        <w:t xml:space="preserve"> 2. </w:t>
      </w:r>
      <w:proofErr w:type="gramStart"/>
      <w:r>
        <w:rPr>
          <w:rFonts w:cstheme="minorHAnsi"/>
        </w:rPr>
        <w:t>st</w:t>
      </w:r>
      <w:proofErr w:type="gramEnd"/>
      <w:r>
        <w:rPr>
          <w:rFonts w:cstheme="minorHAnsi"/>
        </w:rPr>
        <w:t xml:space="preserve">. ZŠ. Liberec: Technická univerzita v Liberci. </w:t>
      </w:r>
    </w:p>
    <w:p w:rsidR="007660BF" w:rsidRDefault="007660BF" w:rsidP="00B40CB9">
      <w:pPr>
        <w:jc w:val="both"/>
        <w:rPr>
          <w:lang w:val="cs-CZ"/>
        </w:rPr>
      </w:pPr>
    </w:p>
    <w:p w:rsidR="007660BF" w:rsidRDefault="007660BF" w:rsidP="00B40CB9">
      <w:pPr>
        <w:jc w:val="both"/>
        <w:rPr>
          <w:lang w:val="cs-CZ"/>
        </w:rPr>
      </w:pPr>
    </w:p>
    <w:p w:rsidR="008D103C" w:rsidRDefault="008D103C" w:rsidP="00B40CB9">
      <w:pPr>
        <w:jc w:val="both"/>
        <w:rPr>
          <w:b/>
          <w:bCs/>
          <w:color w:val="365F91" w:themeColor="accent1" w:themeShade="BF"/>
          <w:sz w:val="28"/>
          <w:szCs w:val="28"/>
          <w:lang w:val="cs-CZ"/>
        </w:rPr>
      </w:pPr>
      <w:r>
        <w:rPr>
          <w:lang w:val="cs-CZ"/>
        </w:rPr>
        <w:lastRenderedPageBreak/>
        <w:br w:type="page"/>
      </w:r>
    </w:p>
    <w:p w:rsidR="007660BF" w:rsidRDefault="007660BF" w:rsidP="00B40CB9">
      <w:pPr>
        <w:pStyle w:val="Nadpis1"/>
        <w:jc w:val="both"/>
        <w:rPr>
          <w:lang w:val="cs-CZ"/>
        </w:rPr>
      </w:pPr>
      <w:r>
        <w:rPr>
          <w:lang w:val="cs-CZ"/>
        </w:rPr>
        <w:lastRenderedPageBreak/>
        <w:t>Doporučená literatura</w:t>
      </w:r>
    </w:p>
    <w:p w:rsidR="007660BF" w:rsidRPr="008376DB" w:rsidRDefault="007660BF" w:rsidP="00B40CB9">
      <w:pPr>
        <w:pStyle w:val="Nadpis2"/>
        <w:jc w:val="both"/>
        <w:rPr>
          <w:shd w:val="clear" w:color="auto" w:fill="FFFFFF"/>
        </w:rPr>
      </w:pPr>
      <w:r w:rsidRPr="008376DB">
        <w:rPr>
          <w:shd w:val="clear" w:color="auto" w:fill="FFFFFF"/>
        </w:rPr>
        <w:t xml:space="preserve">Literatura k VUR </w:t>
      </w:r>
      <w:proofErr w:type="gramStart"/>
      <w:r w:rsidRPr="008376DB">
        <w:rPr>
          <w:shd w:val="clear" w:color="auto" w:fill="FFFFFF"/>
        </w:rPr>
        <w:t>na</w:t>
      </w:r>
      <w:proofErr w:type="gramEnd"/>
      <w:r w:rsidRPr="008376DB">
        <w:rPr>
          <w:shd w:val="clear" w:color="auto" w:fill="FFFFFF"/>
        </w:rPr>
        <w:t xml:space="preserve"> úrovni VŠ</w:t>
      </w:r>
      <w:r>
        <w:rPr>
          <w:shd w:val="clear" w:color="auto" w:fill="FFFFFF"/>
        </w:rPr>
        <w:t xml:space="preserve"> – strategické dokumenty</w:t>
      </w:r>
    </w:p>
    <w:p w:rsidR="00E8461C" w:rsidRDefault="00E8461C" w:rsidP="00B40CB9">
      <w:pPr>
        <w:jc w:val="both"/>
        <w:rPr>
          <w:shd w:val="clear" w:color="auto" w:fill="FFFFFF"/>
        </w:rPr>
      </w:pPr>
      <w:r w:rsidRPr="004D6717">
        <w:t xml:space="preserve">Zpracovala: Jana Dlouhá, </w:t>
      </w:r>
      <w:r>
        <w:t>Centrum pro otázky životního prostředí Univerzity Karlovy v Praze</w:t>
      </w:r>
    </w:p>
    <w:p w:rsidR="007660BF" w:rsidRPr="008376DB" w:rsidRDefault="007660BF" w:rsidP="00B40CB9">
      <w:pPr>
        <w:jc w:val="both"/>
        <w:rPr>
          <w:lang w:val="en-GB"/>
        </w:rPr>
      </w:pPr>
      <w:r w:rsidRPr="008376DB">
        <w:rPr>
          <w:lang w:val="en-GB"/>
        </w:rPr>
        <w:t xml:space="preserve">Eernstman, N., Wals, </w:t>
      </w:r>
      <w:proofErr w:type="gramStart"/>
      <w:r w:rsidRPr="008376DB">
        <w:rPr>
          <w:lang w:val="en-GB"/>
        </w:rPr>
        <w:t>A</w:t>
      </w:r>
      <w:proofErr w:type="gramEnd"/>
      <w:r w:rsidRPr="008376DB">
        <w:rPr>
          <w:lang w:val="en-GB"/>
        </w:rPr>
        <w:t xml:space="preserve">.: Learning from Each Other: Achievements, Challenges and Ways forward – Second Evaluation Report of the United Nations Economic Commission for Europe Strategy for Education for Sustainable Development. </w:t>
      </w:r>
      <w:proofErr w:type="gramStart"/>
      <w:r w:rsidRPr="008376DB">
        <w:rPr>
          <w:lang w:val="en-GB"/>
        </w:rPr>
        <w:t>Geneva :</w:t>
      </w:r>
      <w:proofErr w:type="gramEnd"/>
      <w:r w:rsidRPr="008376DB">
        <w:rPr>
          <w:lang w:val="en-GB"/>
        </w:rPr>
        <w:t xml:space="preserve"> UNECE, Committee on Environmental Policy, 2011. </w:t>
      </w:r>
      <w:hyperlink r:id="rId12" w:history="1">
        <w:r w:rsidRPr="008376DB">
          <w:rPr>
            <w:rStyle w:val="Hypertextovodkaz"/>
            <w:lang w:val="en-GB"/>
          </w:rPr>
          <w:t>http://www.unece.org/fileadmin/DAM/env/esd/7thMeetSC/Official_Docs/SynthesisReport/ece.cep.ac.13.2012.3e.pdf</w:t>
        </w:r>
      </w:hyperlink>
    </w:p>
    <w:p w:rsidR="007660BF" w:rsidRPr="00D32A4B" w:rsidRDefault="007660BF" w:rsidP="00B40CB9">
      <w:pPr>
        <w:jc w:val="both"/>
        <w:rPr>
          <w:lang w:val="en-GB"/>
        </w:rPr>
      </w:pPr>
      <w:r w:rsidRPr="00D32A4B">
        <w:rPr>
          <w:lang w:val="en-GB"/>
        </w:rPr>
        <w:t xml:space="preserve">Johnston, </w:t>
      </w:r>
      <w:r>
        <w:rPr>
          <w:lang w:val="en-GB"/>
        </w:rPr>
        <w:t>A.</w:t>
      </w:r>
      <w:r w:rsidRPr="00D32A4B">
        <w:rPr>
          <w:lang w:val="en-GB"/>
        </w:rPr>
        <w:t xml:space="preserve"> </w:t>
      </w:r>
      <w:r>
        <w:rPr>
          <w:lang w:val="en-GB"/>
        </w:rPr>
        <w:t>(2007</w:t>
      </w:r>
      <w:proofErr w:type="gramStart"/>
      <w:r>
        <w:rPr>
          <w:lang w:val="en-GB"/>
        </w:rPr>
        <w:t>)</w:t>
      </w:r>
      <w:r w:rsidRPr="00D32A4B">
        <w:rPr>
          <w:lang w:val="en-GB"/>
        </w:rPr>
        <w:t>HIGHER</w:t>
      </w:r>
      <w:proofErr w:type="gramEnd"/>
      <w:r w:rsidRPr="00D32A4B">
        <w:rPr>
          <w:lang w:val="en-GB"/>
        </w:rPr>
        <w:t xml:space="preserve"> EDUCATION FOR SUSTAINABLE DEVELOPMENT</w:t>
      </w:r>
      <w:r>
        <w:rPr>
          <w:lang w:val="en-GB"/>
        </w:rPr>
        <w:t xml:space="preserve"> </w:t>
      </w:r>
      <w:r w:rsidRPr="00D32A4B">
        <w:rPr>
          <w:lang w:val="en-GB"/>
        </w:rPr>
        <w:t>Final Report of International Action Research Project</w:t>
      </w:r>
      <w:r>
        <w:rPr>
          <w:lang w:val="en-GB"/>
        </w:rPr>
        <w:t xml:space="preserve">, </w:t>
      </w:r>
      <w:r w:rsidRPr="00D32A4B">
        <w:rPr>
          <w:lang w:val="en-GB"/>
        </w:rPr>
        <w:t xml:space="preserve">OECD </w:t>
      </w:r>
      <w:r>
        <w:rPr>
          <w:lang w:val="en-GB"/>
        </w:rPr>
        <w:t xml:space="preserve">Forum for the Future </w:t>
      </w:r>
      <w:hyperlink r:id="rId13" w:history="1">
        <w:r w:rsidRPr="00D32437">
          <w:rPr>
            <w:rStyle w:val="Hypertextovodkaz"/>
            <w:lang w:val="en-GB"/>
          </w:rPr>
          <w:t>http://www.oecd.org/edu/educationeconomyandsociety/centreforeffectivelearningenvironmentscele/45575516.pdf</w:t>
        </w:r>
      </w:hyperlink>
      <w:r>
        <w:rPr>
          <w:lang w:val="en-GB"/>
        </w:rPr>
        <w:t xml:space="preserve"> </w:t>
      </w:r>
    </w:p>
    <w:p w:rsidR="007660BF" w:rsidRDefault="007660BF" w:rsidP="00B40CB9">
      <w:pPr>
        <w:jc w:val="both"/>
      </w:pPr>
      <w:proofErr w:type="gramStart"/>
      <w:r w:rsidRPr="008376DB">
        <w:rPr>
          <w:lang w:val="en-GB"/>
        </w:rPr>
        <w:t>Tilbury, D. Education for Sustainable Development.</w:t>
      </w:r>
      <w:proofErr w:type="gramEnd"/>
      <w:r w:rsidRPr="008376DB">
        <w:rPr>
          <w:lang w:val="en-GB"/>
        </w:rPr>
        <w:t xml:space="preserve"> </w:t>
      </w:r>
      <w:proofErr w:type="gramStart"/>
      <w:r w:rsidRPr="008376DB">
        <w:rPr>
          <w:lang w:val="en-GB"/>
        </w:rPr>
        <w:t>An Expert Review of Processes and Learning.</w:t>
      </w:r>
      <w:proofErr w:type="gramEnd"/>
      <w:r w:rsidRPr="008376DB">
        <w:rPr>
          <w:lang w:val="en-GB"/>
        </w:rPr>
        <w:t xml:space="preserve"> </w:t>
      </w:r>
      <w:proofErr w:type="gramStart"/>
      <w:r w:rsidRPr="008376DB">
        <w:rPr>
          <w:lang w:val="en-GB"/>
        </w:rPr>
        <w:t>UNESCO.</w:t>
      </w:r>
      <w:proofErr w:type="gramEnd"/>
      <w:r w:rsidRPr="008376DB">
        <w:rPr>
          <w:lang w:val="en-GB"/>
        </w:rPr>
        <w:t xml:space="preserve"> Paris: Section for Education for Sustainable Development. 2011. </w:t>
      </w:r>
      <w:hyperlink r:id="rId14" w:history="1">
        <w:r w:rsidRPr="008376DB">
          <w:rPr>
            <w:rStyle w:val="Hypertextovodkaz"/>
            <w:lang w:val="en-GB"/>
          </w:rPr>
          <w:t>http://unesdoc.unesco.org/images/0019/001914/191442e.pdf</w:t>
        </w:r>
      </w:hyperlink>
    </w:p>
    <w:p w:rsidR="007660BF" w:rsidRPr="008376DB" w:rsidRDefault="007660BF" w:rsidP="00B40CB9">
      <w:pPr>
        <w:jc w:val="both"/>
        <w:rPr>
          <w:lang w:val="en-GB"/>
        </w:rPr>
      </w:pPr>
      <w:proofErr w:type="gramStart"/>
      <w:r w:rsidRPr="00FB4041">
        <w:rPr>
          <w:rFonts w:cs="Calibri"/>
        </w:rPr>
        <w:t>Tilbury, D. Monitoring and Evaluation during the UN Decade of Education for Sustainable Development.</w:t>
      </w:r>
      <w:proofErr w:type="gramEnd"/>
      <w:r w:rsidRPr="00FB4041">
        <w:rPr>
          <w:rFonts w:cs="Calibri"/>
        </w:rPr>
        <w:t xml:space="preserve"> </w:t>
      </w:r>
      <w:r w:rsidRPr="00FB4041">
        <w:rPr>
          <w:rFonts w:cs="Calibri"/>
          <w:iCs/>
        </w:rPr>
        <w:t>Journal of Education for Sustainable Development 2007</w:t>
      </w:r>
      <w:r w:rsidRPr="00FB4041">
        <w:rPr>
          <w:rFonts w:cs="Calibri"/>
        </w:rPr>
        <w:t xml:space="preserve">, </w:t>
      </w:r>
      <w:r w:rsidRPr="00FB4041">
        <w:rPr>
          <w:rFonts w:cs="Calibri"/>
          <w:iCs/>
        </w:rPr>
        <w:t>1</w:t>
      </w:r>
      <w:r w:rsidRPr="00FB4041">
        <w:rPr>
          <w:rFonts w:cs="Calibri"/>
        </w:rPr>
        <w:t>(2):</w:t>
      </w:r>
    </w:p>
    <w:p w:rsidR="007660BF" w:rsidRPr="008376DB" w:rsidRDefault="007660BF" w:rsidP="00B40CB9">
      <w:pPr>
        <w:jc w:val="both"/>
        <w:rPr>
          <w:rFonts w:cs="Calibri"/>
        </w:rPr>
      </w:pPr>
      <w:proofErr w:type="gramStart"/>
      <w:r w:rsidRPr="008376DB">
        <w:rPr>
          <w:rFonts w:cs="Calibri"/>
        </w:rPr>
        <w:t>UNECE Steering Committee on Education for Sustainable Development.</w:t>
      </w:r>
      <w:proofErr w:type="gramEnd"/>
      <w:r w:rsidRPr="008376DB">
        <w:rPr>
          <w:rFonts w:cs="Calibri"/>
        </w:rPr>
        <w:t xml:space="preserve"> </w:t>
      </w:r>
      <w:proofErr w:type="gramStart"/>
      <w:r w:rsidRPr="008376DB">
        <w:rPr>
          <w:rFonts w:cs="Calibri"/>
        </w:rPr>
        <w:t>The Reporting Format (Advance copy of EC</w:t>
      </w:r>
      <w:r>
        <w:rPr>
          <w:rFonts w:cs="Calibri"/>
        </w:rPr>
        <w:t>E/CEP/AC.13/2008/2/Add.1); 2008</w:t>
      </w:r>
      <w:r w:rsidRPr="008376DB">
        <w:rPr>
          <w:rFonts w:cs="Calibri"/>
        </w:rPr>
        <w:t>.</w:t>
      </w:r>
      <w:proofErr w:type="gramEnd"/>
      <w:r w:rsidRPr="008376DB">
        <w:rPr>
          <w:rFonts w:cs="Calibri"/>
        </w:rPr>
        <w:t xml:space="preserve"> [Online] [2009-03-15] Available from &lt;</w:t>
      </w:r>
      <w:hyperlink r:id="rId15" w:history="1">
        <w:r w:rsidRPr="008376DB">
          <w:rPr>
            <w:rStyle w:val="Hypertextovodkaz"/>
            <w:rFonts w:cs="Calibri"/>
          </w:rPr>
          <w:t>http://www.unece.org/env/esd/inf.meeting.docs/SC/SC-3/ece.cep.ac.13.2008.2.add.1.e.AC.pdf</w:t>
        </w:r>
      </w:hyperlink>
      <w:r w:rsidRPr="008376DB">
        <w:rPr>
          <w:rFonts w:cs="Calibri"/>
        </w:rPr>
        <w:t xml:space="preserve">&gt; </w:t>
      </w:r>
    </w:p>
    <w:p w:rsidR="007660BF" w:rsidRPr="008376DB" w:rsidRDefault="007660BF" w:rsidP="00B40CB9">
      <w:pPr>
        <w:jc w:val="both"/>
      </w:pPr>
      <w:r w:rsidRPr="008376DB">
        <w:rPr>
          <w:bCs/>
        </w:rPr>
        <w:t xml:space="preserve">UN ECE. </w:t>
      </w:r>
      <w:proofErr w:type="gramStart"/>
      <w:r w:rsidRPr="008376DB">
        <w:t>Guidance</w:t>
      </w:r>
      <w:r w:rsidRPr="008376DB">
        <w:rPr>
          <w:bCs/>
        </w:rPr>
        <w:t xml:space="preserve"> for Reporting on the Implementation of the UNECE Strategy for Education for Sustainable Development.</w:t>
      </w:r>
      <w:proofErr w:type="gramEnd"/>
      <w:r w:rsidRPr="008376DB">
        <w:rPr>
          <w:bCs/>
        </w:rPr>
        <w:t xml:space="preserve"> </w:t>
      </w:r>
      <w:proofErr w:type="gramStart"/>
      <w:r w:rsidRPr="008376DB">
        <w:t xml:space="preserve">ECE/CEP/AC.13/2009/5; </w:t>
      </w:r>
      <w:r w:rsidRPr="008376DB">
        <w:rPr>
          <w:bCs/>
        </w:rPr>
        <w:t>2009a.</w:t>
      </w:r>
      <w:proofErr w:type="gramEnd"/>
      <w:r w:rsidRPr="008376DB">
        <w:t xml:space="preserve"> [</w:t>
      </w:r>
      <w:proofErr w:type="gramStart"/>
      <w:r w:rsidRPr="008376DB">
        <w:t>online</w:t>
      </w:r>
      <w:proofErr w:type="gramEnd"/>
      <w:r w:rsidRPr="008376DB">
        <w:t xml:space="preserve">] [Cit 04-05-2011] Available from </w:t>
      </w:r>
      <w:hyperlink r:id="rId16" w:history="1">
        <w:r w:rsidRPr="008376DB">
          <w:rPr>
            <w:rStyle w:val="Hypertextovodkaz"/>
          </w:rPr>
          <w:t>http://www.unece.org/env/documents/2009/ECE/CEP/AC.13/ece.cep.ac.13.2009.5.e.pdf</w:t>
        </w:r>
      </w:hyperlink>
      <w:r w:rsidRPr="008376DB">
        <w:t xml:space="preserve">  </w:t>
      </w:r>
    </w:p>
    <w:p w:rsidR="007660BF" w:rsidRPr="008376DB" w:rsidRDefault="007660BF" w:rsidP="00B40CB9">
      <w:pPr>
        <w:jc w:val="both"/>
      </w:pPr>
      <w:r w:rsidRPr="008376DB">
        <w:t xml:space="preserve">UN ECE. </w:t>
      </w:r>
      <w:r w:rsidRPr="008376DB">
        <w:rPr>
          <w:i/>
          <w:iCs/>
        </w:rPr>
        <w:t xml:space="preserve">Learning from each other </w:t>
      </w:r>
      <w:proofErr w:type="gramStart"/>
      <w:r w:rsidRPr="008376DB">
        <w:t>The</w:t>
      </w:r>
      <w:proofErr w:type="gramEnd"/>
      <w:r w:rsidRPr="008376DB">
        <w:t xml:space="preserve"> UNECE Strategy for Education for Sustainable Development; 2009b. [</w:t>
      </w:r>
      <w:proofErr w:type="gramStart"/>
      <w:r w:rsidRPr="008376DB">
        <w:t>online</w:t>
      </w:r>
      <w:proofErr w:type="gramEnd"/>
      <w:r w:rsidRPr="008376DB">
        <w:t xml:space="preserve">] [Cit 04-05-2011] Available from </w:t>
      </w:r>
      <w:hyperlink r:id="rId17" w:history="1">
        <w:r w:rsidRPr="008376DB">
          <w:rPr>
            <w:rStyle w:val="Hypertextovodkaz"/>
          </w:rPr>
          <w:t>http://www.unece.org/env/esd/Implementation/Publication/LearningFromEachOther.pdf</w:t>
        </w:r>
      </w:hyperlink>
      <w:r w:rsidRPr="008376DB">
        <w:t xml:space="preserve">  </w:t>
      </w:r>
    </w:p>
    <w:p w:rsidR="007660BF" w:rsidRPr="008376DB" w:rsidRDefault="007660BF" w:rsidP="00B40CB9">
      <w:pPr>
        <w:jc w:val="both"/>
        <w:rPr>
          <w:lang w:val="en-GB"/>
        </w:rPr>
      </w:pPr>
      <w:r w:rsidRPr="008376DB">
        <w:rPr>
          <w:lang w:val="en-GB"/>
        </w:rPr>
        <w:t>Wals, J. (2009). </w:t>
      </w:r>
      <w:proofErr w:type="gramStart"/>
      <w:r w:rsidRPr="008376DB">
        <w:rPr>
          <w:lang w:val="en-GB"/>
        </w:rPr>
        <w:t>Review of Contexts and Structures for Education for Sustainable Development.</w:t>
      </w:r>
      <w:proofErr w:type="gramEnd"/>
      <w:r w:rsidRPr="008376DB">
        <w:rPr>
          <w:lang w:val="en-GB"/>
        </w:rPr>
        <w:t xml:space="preserve"> </w:t>
      </w:r>
      <w:proofErr w:type="gramStart"/>
      <w:r w:rsidRPr="008376DB">
        <w:rPr>
          <w:lang w:val="en-GB"/>
        </w:rPr>
        <w:t>UNESCO.</w:t>
      </w:r>
      <w:proofErr w:type="gramEnd"/>
      <w:r w:rsidRPr="008376DB">
        <w:rPr>
          <w:lang w:val="en-GB"/>
        </w:rPr>
        <w:t xml:space="preserve"> Paris: Section for DESD Coordination. </w:t>
      </w:r>
      <w:hyperlink r:id="rId18" w:history="1">
        <w:r w:rsidRPr="008376DB">
          <w:rPr>
            <w:rStyle w:val="Hypertextovodkaz"/>
            <w:lang w:val="en-GB"/>
          </w:rPr>
          <w:t>http://unesdoc.unesco.org/images/0018/001849/184944e.pdf</w:t>
        </w:r>
      </w:hyperlink>
    </w:p>
    <w:p w:rsidR="007660BF" w:rsidRPr="008376DB" w:rsidRDefault="007660BF" w:rsidP="00B40CB9">
      <w:pPr>
        <w:pStyle w:val="Nadpis2"/>
        <w:jc w:val="both"/>
        <w:rPr>
          <w:shd w:val="clear" w:color="auto" w:fill="FFFFFF"/>
        </w:rPr>
      </w:pPr>
      <w:r w:rsidRPr="008376DB">
        <w:rPr>
          <w:shd w:val="clear" w:color="auto" w:fill="FFFFFF"/>
        </w:rPr>
        <w:t xml:space="preserve">Literatura k VUR </w:t>
      </w:r>
      <w:proofErr w:type="gramStart"/>
      <w:r w:rsidRPr="008376DB">
        <w:rPr>
          <w:shd w:val="clear" w:color="auto" w:fill="FFFFFF"/>
        </w:rPr>
        <w:t>na</w:t>
      </w:r>
      <w:proofErr w:type="gramEnd"/>
      <w:r w:rsidRPr="008376DB">
        <w:rPr>
          <w:shd w:val="clear" w:color="auto" w:fill="FFFFFF"/>
        </w:rPr>
        <w:t xml:space="preserve"> úrovni VŠ</w:t>
      </w:r>
      <w:r>
        <w:rPr>
          <w:shd w:val="clear" w:color="auto" w:fill="FFFFFF"/>
        </w:rPr>
        <w:t xml:space="preserve"> – odborné práce</w:t>
      </w:r>
    </w:p>
    <w:p w:rsidR="007660BF" w:rsidRDefault="007660BF" w:rsidP="00B40CB9">
      <w:pPr>
        <w:jc w:val="both"/>
      </w:pPr>
      <w:r w:rsidRPr="008376DB">
        <w:rPr>
          <w:lang w:val="en-GB"/>
        </w:rPr>
        <w:t>Barton, A.,</w:t>
      </w:r>
      <w:proofErr w:type="gramStart"/>
      <w:r w:rsidRPr="008376DB">
        <w:rPr>
          <w:lang w:val="en-GB"/>
        </w:rPr>
        <w:t>  Dlouhá</w:t>
      </w:r>
      <w:proofErr w:type="gramEnd"/>
      <w:r w:rsidRPr="008376DB">
        <w:rPr>
          <w:lang w:val="en-GB"/>
        </w:rPr>
        <w:t xml:space="preserve">, J., (eds). </w:t>
      </w:r>
      <w:r w:rsidRPr="008376DB">
        <w:rPr>
          <w:i/>
          <w:iCs/>
          <w:lang w:val="en-GB"/>
        </w:rPr>
        <w:t>Multi-Actor Learning for Sustainable Regional Development in Europe: A Handbook of Best Practice</w:t>
      </w:r>
      <w:r w:rsidRPr="008376DB">
        <w:rPr>
          <w:lang w:val="en-GB"/>
        </w:rPr>
        <w:t>. Guildford: Grosvenor House Publishing Ltd.; 2011. [</w:t>
      </w:r>
      <w:proofErr w:type="gramStart"/>
      <w:r w:rsidRPr="008376DB">
        <w:rPr>
          <w:lang w:val="en-GB"/>
        </w:rPr>
        <w:t>online</w:t>
      </w:r>
      <w:proofErr w:type="gramEnd"/>
      <w:r w:rsidRPr="008376DB">
        <w:rPr>
          <w:lang w:val="en-GB"/>
        </w:rPr>
        <w:t>] [</w:t>
      </w:r>
      <w:proofErr w:type="gramStart"/>
      <w:r w:rsidRPr="008376DB">
        <w:rPr>
          <w:lang w:val="en-GB"/>
        </w:rPr>
        <w:t>cit</w:t>
      </w:r>
      <w:proofErr w:type="gramEnd"/>
      <w:r w:rsidRPr="008376DB">
        <w:rPr>
          <w:lang w:val="en-GB"/>
        </w:rPr>
        <w:t xml:space="preserve">. 2011-06-18] Available from </w:t>
      </w:r>
      <w:hyperlink r:id="rId19" w:history="1">
        <w:r w:rsidRPr="008376DB">
          <w:rPr>
            <w:rStyle w:val="Hypertextovodkaz"/>
            <w:lang w:val="en-GB"/>
          </w:rPr>
          <w:t>http://www2.leuphana.de/vcse/uploads/media/Multi-Actor_Learning_FINAL.pdf</w:t>
        </w:r>
      </w:hyperlink>
    </w:p>
    <w:p w:rsidR="007660BF" w:rsidRPr="009A1B88" w:rsidRDefault="007660BF" w:rsidP="00B40CB9">
      <w:pPr>
        <w:jc w:val="both"/>
        <w:rPr>
          <w:rFonts w:eastAsia="Times New Roman"/>
          <w:lang w:eastAsia="cs-CZ"/>
        </w:rPr>
      </w:pPr>
      <w:proofErr w:type="gramStart"/>
      <w:r w:rsidRPr="009A1B88">
        <w:rPr>
          <w:rFonts w:eastAsia="Times New Roman"/>
          <w:lang w:eastAsia="cs-CZ"/>
        </w:rPr>
        <w:t>Blewitt, J., &amp; Cullingford, C. (2004).</w:t>
      </w:r>
      <w:proofErr w:type="gramEnd"/>
      <w:r w:rsidRPr="009A1B88">
        <w:rPr>
          <w:rFonts w:eastAsia="Times New Roman"/>
          <w:lang w:eastAsia="cs-CZ"/>
        </w:rPr>
        <w:t xml:space="preserve"> </w:t>
      </w:r>
      <w:r w:rsidRPr="009A1B88">
        <w:rPr>
          <w:rFonts w:eastAsia="Times New Roman"/>
          <w:i/>
          <w:iCs/>
          <w:lang w:eastAsia="cs-CZ"/>
        </w:rPr>
        <w:t>The Sustainability Curriculum: The challenge for higher education</w:t>
      </w:r>
      <w:r w:rsidRPr="009A1B88">
        <w:rPr>
          <w:rFonts w:eastAsia="Times New Roman"/>
          <w:lang w:eastAsia="cs-CZ"/>
        </w:rPr>
        <w:t xml:space="preserve">. </w:t>
      </w:r>
      <w:proofErr w:type="gramStart"/>
      <w:r w:rsidRPr="009A1B88">
        <w:rPr>
          <w:rFonts w:eastAsia="Times New Roman"/>
          <w:lang w:eastAsia="cs-CZ"/>
        </w:rPr>
        <w:t>Earthscan/James &amp; James.</w:t>
      </w:r>
      <w:proofErr w:type="gramEnd"/>
      <w:r w:rsidRPr="009A1B88">
        <w:rPr>
          <w:rFonts w:eastAsia="Times New Roman"/>
          <w:lang w:eastAsia="cs-CZ"/>
        </w:rPr>
        <w:t xml:space="preserve"> </w:t>
      </w:r>
    </w:p>
    <w:p w:rsidR="007660BF" w:rsidRDefault="007660BF" w:rsidP="00B40CB9">
      <w:pPr>
        <w:jc w:val="both"/>
        <w:rPr>
          <w:lang w:eastAsia="cs-CZ"/>
        </w:rPr>
      </w:pPr>
      <w:proofErr w:type="gramStart"/>
      <w:r>
        <w:rPr>
          <w:lang w:eastAsia="cs-CZ"/>
        </w:rPr>
        <w:lastRenderedPageBreak/>
        <w:t>Corcoran, P. B., &amp; Wals, A. E. J. (2004).</w:t>
      </w:r>
      <w:proofErr w:type="gramEnd"/>
      <w:r>
        <w:rPr>
          <w:lang w:eastAsia="cs-CZ"/>
        </w:rPr>
        <w:t xml:space="preserve"> </w:t>
      </w:r>
      <w:proofErr w:type="gramStart"/>
      <w:r>
        <w:rPr>
          <w:i/>
          <w:iCs/>
          <w:lang w:eastAsia="cs-CZ"/>
        </w:rPr>
        <w:t>Higher Education and the challenge of sustainability</w:t>
      </w:r>
      <w:r>
        <w:rPr>
          <w:lang w:eastAsia="cs-CZ"/>
        </w:rPr>
        <w:t>.</w:t>
      </w:r>
      <w:proofErr w:type="gramEnd"/>
      <w:r>
        <w:rPr>
          <w:lang w:eastAsia="cs-CZ"/>
        </w:rPr>
        <w:t xml:space="preserve"> </w:t>
      </w:r>
      <w:proofErr w:type="gramStart"/>
      <w:r>
        <w:rPr>
          <w:lang w:eastAsia="cs-CZ"/>
        </w:rPr>
        <w:t>Kluwer Academic Publishers.</w:t>
      </w:r>
      <w:proofErr w:type="gramEnd"/>
      <w:r>
        <w:rPr>
          <w:lang w:eastAsia="cs-CZ"/>
        </w:rPr>
        <w:t xml:space="preserve"> </w:t>
      </w:r>
    </w:p>
    <w:p w:rsidR="007660BF" w:rsidRPr="00E859B6" w:rsidRDefault="007660BF" w:rsidP="00B40CB9">
      <w:pPr>
        <w:jc w:val="both"/>
        <w:rPr>
          <w:rFonts w:eastAsia="Times New Roman"/>
          <w:lang w:val="cs-CZ" w:eastAsia="cs-CZ" w:bidi="ar-SA"/>
        </w:rPr>
      </w:pPr>
      <w:r w:rsidRPr="00E859B6">
        <w:rPr>
          <w:rFonts w:eastAsia="Times New Roman"/>
          <w:lang w:val="cs-CZ" w:eastAsia="cs-CZ" w:bidi="ar-SA"/>
        </w:rPr>
        <w:t xml:space="preserve">Elliott, J. (1999). Sustainable society and environmental education: future perspectives and demands for the educational system. </w:t>
      </w:r>
      <w:r w:rsidRPr="00E859B6">
        <w:rPr>
          <w:rFonts w:eastAsia="Times New Roman"/>
          <w:i/>
          <w:iCs/>
          <w:lang w:val="cs-CZ" w:eastAsia="cs-CZ" w:bidi="ar-SA"/>
        </w:rPr>
        <w:t>Cambridge Journal of Education</w:t>
      </w:r>
      <w:r w:rsidRPr="00E859B6">
        <w:rPr>
          <w:rFonts w:eastAsia="Times New Roman"/>
          <w:lang w:val="cs-CZ" w:eastAsia="cs-CZ" w:bidi="ar-SA"/>
        </w:rPr>
        <w:t xml:space="preserve">, </w:t>
      </w:r>
      <w:r w:rsidRPr="00E859B6">
        <w:rPr>
          <w:rFonts w:eastAsia="Times New Roman"/>
          <w:i/>
          <w:iCs/>
          <w:lang w:val="cs-CZ" w:eastAsia="cs-CZ" w:bidi="ar-SA"/>
        </w:rPr>
        <w:t>29</w:t>
      </w:r>
      <w:r w:rsidRPr="00E859B6">
        <w:rPr>
          <w:rFonts w:eastAsia="Times New Roman"/>
          <w:lang w:val="cs-CZ" w:eastAsia="cs-CZ" w:bidi="ar-SA"/>
        </w:rPr>
        <w:t>(3), 325–340.</w:t>
      </w:r>
    </w:p>
    <w:p w:rsidR="007660BF" w:rsidRPr="00E859B6" w:rsidRDefault="007660BF" w:rsidP="00B40CB9">
      <w:pPr>
        <w:jc w:val="both"/>
        <w:rPr>
          <w:rFonts w:eastAsia="Times New Roman"/>
          <w:lang w:val="cs-CZ" w:eastAsia="cs-CZ" w:bidi="ar-SA"/>
        </w:rPr>
      </w:pPr>
      <w:r w:rsidRPr="00E859B6">
        <w:rPr>
          <w:rFonts w:eastAsia="Times New Roman"/>
          <w:lang w:val="cs-CZ" w:eastAsia="cs-CZ" w:bidi="ar-SA"/>
        </w:rPr>
        <w:t xml:space="preserve">Gonzalez-Gaudiano, E. (2005). Education for Sustainable Development: configuration and meaning. </w:t>
      </w:r>
      <w:r w:rsidRPr="00E859B6">
        <w:rPr>
          <w:rFonts w:eastAsia="Times New Roman"/>
          <w:i/>
          <w:iCs/>
          <w:lang w:val="cs-CZ" w:eastAsia="cs-CZ" w:bidi="ar-SA"/>
        </w:rPr>
        <w:t>Policy Futures in Education</w:t>
      </w:r>
      <w:r w:rsidRPr="00E859B6">
        <w:rPr>
          <w:rFonts w:eastAsia="Times New Roman"/>
          <w:lang w:val="cs-CZ" w:eastAsia="cs-CZ" w:bidi="ar-SA"/>
        </w:rPr>
        <w:t xml:space="preserve">, </w:t>
      </w:r>
      <w:r w:rsidRPr="00E859B6">
        <w:rPr>
          <w:rFonts w:eastAsia="Times New Roman"/>
          <w:i/>
          <w:iCs/>
          <w:lang w:val="cs-CZ" w:eastAsia="cs-CZ" w:bidi="ar-SA"/>
        </w:rPr>
        <w:t>3</w:t>
      </w:r>
      <w:r w:rsidRPr="00E859B6">
        <w:rPr>
          <w:rFonts w:eastAsia="Times New Roman"/>
          <w:lang w:val="cs-CZ" w:eastAsia="cs-CZ" w:bidi="ar-SA"/>
        </w:rPr>
        <w:t>(3), 243–250.</w:t>
      </w:r>
    </w:p>
    <w:p w:rsidR="007660BF" w:rsidRPr="00E859B6" w:rsidRDefault="007660BF" w:rsidP="00B40CB9">
      <w:pPr>
        <w:jc w:val="both"/>
        <w:rPr>
          <w:rFonts w:eastAsia="Times New Roman"/>
          <w:lang w:val="cs-CZ" w:eastAsia="cs-CZ" w:bidi="ar-SA"/>
        </w:rPr>
      </w:pPr>
      <w:r w:rsidRPr="00E859B6">
        <w:rPr>
          <w:rFonts w:eastAsia="Times New Roman"/>
          <w:lang w:val="cs-CZ" w:eastAsia="cs-CZ" w:bidi="ar-SA"/>
        </w:rPr>
        <w:t xml:space="preserve">Gough, S., Walker, K., &amp; Scott, W. (2001). Lifelong learning: Towards a theory of practice for formal and non-formal environmental education and training. </w:t>
      </w:r>
      <w:r w:rsidRPr="00E859B6">
        <w:rPr>
          <w:rFonts w:eastAsia="Times New Roman"/>
          <w:i/>
          <w:iCs/>
          <w:lang w:val="cs-CZ" w:eastAsia="cs-CZ" w:bidi="ar-SA"/>
        </w:rPr>
        <w:t>Canadian Journal of Environmental Education (CJEE)</w:t>
      </w:r>
      <w:r w:rsidRPr="00E859B6">
        <w:rPr>
          <w:rFonts w:eastAsia="Times New Roman"/>
          <w:lang w:val="cs-CZ" w:eastAsia="cs-CZ" w:bidi="ar-SA"/>
        </w:rPr>
        <w:t xml:space="preserve">, </w:t>
      </w:r>
      <w:r w:rsidRPr="00E859B6">
        <w:rPr>
          <w:rFonts w:eastAsia="Times New Roman"/>
          <w:i/>
          <w:iCs/>
          <w:lang w:val="cs-CZ" w:eastAsia="cs-CZ" w:bidi="ar-SA"/>
        </w:rPr>
        <w:t>6</w:t>
      </w:r>
      <w:r w:rsidRPr="00E859B6">
        <w:rPr>
          <w:rFonts w:eastAsia="Times New Roman"/>
          <w:lang w:val="cs-CZ" w:eastAsia="cs-CZ" w:bidi="ar-SA"/>
        </w:rPr>
        <w:t xml:space="preserve">(1), </w:t>
      </w:r>
      <w:proofErr w:type="gramStart"/>
      <w:r w:rsidRPr="00E859B6">
        <w:rPr>
          <w:rFonts w:eastAsia="Times New Roman"/>
          <w:lang w:val="cs-CZ" w:eastAsia="cs-CZ" w:bidi="ar-SA"/>
        </w:rPr>
        <w:t>pp–178</w:t>
      </w:r>
      <w:proofErr w:type="gramEnd"/>
      <w:r w:rsidRPr="00E859B6">
        <w:rPr>
          <w:rFonts w:eastAsia="Times New Roman"/>
          <w:lang w:val="cs-CZ" w:eastAsia="cs-CZ" w:bidi="ar-SA"/>
        </w:rPr>
        <w:t>.</w:t>
      </w:r>
    </w:p>
    <w:p w:rsidR="007660BF" w:rsidRDefault="007660BF" w:rsidP="00B40CB9">
      <w:pPr>
        <w:jc w:val="both"/>
        <w:rPr>
          <w:lang w:val="en-GB"/>
        </w:rPr>
      </w:pPr>
      <w:r>
        <w:rPr>
          <w:rFonts w:eastAsiaTheme="minorHAnsi"/>
          <w:lang w:val="cs-CZ" w:bidi="ar-SA"/>
        </w:rPr>
        <w:t>Filho, Walter Leal ed.</w:t>
      </w:r>
      <w:r w:rsidRPr="005D5D25">
        <w:rPr>
          <w:rFonts w:eastAsiaTheme="minorHAnsi"/>
          <w:lang w:val="cs-CZ" w:bidi="ar-SA"/>
        </w:rPr>
        <w:t xml:space="preserve"> </w:t>
      </w:r>
      <w:r>
        <w:rPr>
          <w:rFonts w:eastAsiaTheme="minorHAnsi"/>
          <w:lang w:val="cs-CZ" w:bidi="ar-SA"/>
        </w:rPr>
        <w:t xml:space="preserve">(2000) </w:t>
      </w:r>
      <w:r w:rsidRPr="005D5D25">
        <w:rPr>
          <w:rFonts w:eastAsiaTheme="minorHAnsi"/>
          <w:i/>
          <w:lang w:val="cs-CZ" w:bidi="ar-SA"/>
        </w:rPr>
        <w:t>Sustainability and University Life</w:t>
      </w:r>
      <w:r>
        <w:rPr>
          <w:rFonts w:eastAsiaTheme="minorHAnsi"/>
          <w:lang w:val="cs-CZ" w:bidi="ar-SA"/>
        </w:rPr>
        <w:t xml:space="preserve">. </w:t>
      </w:r>
      <w:r w:rsidRPr="005D5D25">
        <w:rPr>
          <w:rFonts w:eastAsiaTheme="minorHAnsi"/>
          <w:lang w:val="cs-CZ" w:bidi="ar-SA"/>
        </w:rPr>
        <w:t>Environmental Education, C</w:t>
      </w:r>
      <w:r>
        <w:rPr>
          <w:rFonts w:eastAsiaTheme="minorHAnsi"/>
          <w:lang w:val="cs-CZ" w:bidi="ar-SA"/>
        </w:rPr>
        <w:t>ommunication and Sustainability series,</w:t>
      </w:r>
      <w:r w:rsidRPr="005D5D25">
        <w:rPr>
          <w:rFonts w:eastAsiaTheme="minorHAnsi"/>
          <w:lang w:val="cs-CZ" w:bidi="ar-SA"/>
        </w:rPr>
        <w:t xml:space="preserve"> Vol. 5</w:t>
      </w:r>
      <w:r>
        <w:rPr>
          <w:rFonts w:eastAsiaTheme="minorHAnsi"/>
          <w:lang w:val="cs-CZ" w:bidi="ar-SA"/>
        </w:rPr>
        <w:t xml:space="preserve">. </w:t>
      </w:r>
      <w:r w:rsidRPr="005D5D25">
        <w:t>ISBN 978-3-631-36810-7</w:t>
      </w:r>
    </w:p>
    <w:p w:rsidR="007660BF" w:rsidRPr="00E859B6" w:rsidRDefault="007660BF" w:rsidP="00B40CB9">
      <w:pPr>
        <w:jc w:val="both"/>
        <w:rPr>
          <w:rFonts w:eastAsia="Times New Roman"/>
          <w:lang w:val="cs-CZ" w:eastAsia="cs-CZ" w:bidi="ar-SA"/>
        </w:rPr>
      </w:pPr>
      <w:r w:rsidRPr="00E859B6">
        <w:rPr>
          <w:rFonts w:eastAsia="Times New Roman"/>
          <w:lang w:val="cs-CZ" w:eastAsia="cs-CZ" w:bidi="ar-SA"/>
        </w:rPr>
        <w:t xml:space="preserve">Hesselink, F., van Kempen, P. P., &amp; Wals, A. E. J. (2000). </w:t>
      </w:r>
      <w:r w:rsidRPr="00E859B6">
        <w:rPr>
          <w:rFonts w:eastAsia="Times New Roman"/>
          <w:i/>
          <w:iCs/>
          <w:lang w:val="cs-CZ" w:eastAsia="cs-CZ" w:bidi="ar-SA"/>
        </w:rPr>
        <w:t>ESDebate: International debate on education for sustainable development</w:t>
      </w:r>
      <w:r w:rsidRPr="00E859B6">
        <w:rPr>
          <w:rFonts w:eastAsia="Times New Roman"/>
          <w:lang w:val="cs-CZ" w:eastAsia="cs-CZ" w:bidi="ar-SA"/>
        </w:rPr>
        <w:t>. I</w:t>
      </w:r>
      <w:r>
        <w:rPr>
          <w:rFonts w:eastAsia="Times New Roman"/>
          <w:lang w:val="cs-CZ" w:eastAsia="cs-CZ" w:bidi="ar-SA"/>
        </w:rPr>
        <w:t>UCN</w:t>
      </w:r>
      <w:r w:rsidRPr="00E859B6">
        <w:rPr>
          <w:rFonts w:eastAsia="Times New Roman"/>
          <w:lang w:val="cs-CZ" w:eastAsia="cs-CZ" w:bidi="ar-SA"/>
        </w:rPr>
        <w:t>.</w:t>
      </w:r>
    </w:p>
    <w:p w:rsidR="007660BF" w:rsidRPr="00E859B6" w:rsidRDefault="007660BF" w:rsidP="00B40CB9">
      <w:pPr>
        <w:jc w:val="both"/>
        <w:rPr>
          <w:rFonts w:eastAsia="Times New Roman"/>
          <w:lang w:val="cs-CZ" w:eastAsia="cs-CZ" w:bidi="ar-SA"/>
        </w:rPr>
      </w:pPr>
      <w:r w:rsidRPr="00E859B6">
        <w:rPr>
          <w:rFonts w:eastAsia="Times New Roman"/>
          <w:lang w:val="cs-CZ" w:eastAsia="cs-CZ" w:bidi="ar-SA"/>
        </w:rPr>
        <w:t>Parson, E. A., &amp; Clark, W. C. (1995). Sustainable development as social learning: Theoretical Prespectives and Practical Challenges for the Design of a Research program.</w:t>
      </w:r>
    </w:p>
    <w:p w:rsidR="007660BF" w:rsidRPr="009A1B88" w:rsidRDefault="007660BF" w:rsidP="00B40CB9">
      <w:pPr>
        <w:jc w:val="both"/>
        <w:rPr>
          <w:rFonts w:eastAsia="Times New Roman"/>
          <w:lang w:eastAsia="cs-CZ"/>
        </w:rPr>
      </w:pPr>
      <w:proofErr w:type="gramStart"/>
      <w:r w:rsidRPr="009A1B88">
        <w:rPr>
          <w:rFonts w:eastAsia="Times New Roman"/>
          <w:lang w:eastAsia="cs-CZ"/>
        </w:rPr>
        <w:t>Shriberg, M. (2002).</w:t>
      </w:r>
      <w:proofErr w:type="gramEnd"/>
      <w:r w:rsidRPr="009A1B88">
        <w:rPr>
          <w:rFonts w:eastAsia="Times New Roman"/>
          <w:lang w:eastAsia="cs-CZ"/>
        </w:rPr>
        <w:t xml:space="preserve"> Institutional assessment tools for sustainability in higher education: strengths, weaknesses, and implications for practice and theory. </w:t>
      </w:r>
      <w:r w:rsidRPr="009A1B88">
        <w:rPr>
          <w:rFonts w:eastAsia="Times New Roman"/>
          <w:i/>
          <w:iCs/>
          <w:lang w:eastAsia="cs-CZ"/>
        </w:rPr>
        <w:t>International Journal of Sustainability in Higher Education</w:t>
      </w:r>
      <w:r w:rsidRPr="009A1B88">
        <w:rPr>
          <w:rFonts w:eastAsia="Times New Roman"/>
          <w:lang w:eastAsia="cs-CZ"/>
        </w:rPr>
        <w:t xml:space="preserve">, </w:t>
      </w:r>
      <w:r w:rsidRPr="009A1B88">
        <w:rPr>
          <w:rFonts w:eastAsia="Times New Roman"/>
          <w:i/>
          <w:iCs/>
          <w:lang w:eastAsia="cs-CZ"/>
        </w:rPr>
        <w:t>3</w:t>
      </w:r>
      <w:r w:rsidRPr="009A1B88">
        <w:rPr>
          <w:rFonts w:eastAsia="Times New Roman"/>
          <w:lang w:eastAsia="cs-CZ"/>
        </w:rPr>
        <w:t>(3), 254–270.</w:t>
      </w:r>
    </w:p>
    <w:p w:rsidR="007660BF" w:rsidRPr="00D32A4B" w:rsidRDefault="007660BF" w:rsidP="00B40CB9">
      <w:pPr>
        <w:jc w:val="both"/>
        <w:rPr>
          <w:rFonts w:eastAsia="Times New Roman"/>
          <w:lang w:val="cs-CZ" w:eastAsia="cs-CZ" w:bidi="ar-SA"/>
        </w:rPr>
      </w:pPr>
      <w:r w:rsidRPr="00D32A4B">
        <w:rPr>
          <w:rFonts w:eastAsia="Times New Roman"/>
          <w:lang w:val="cs-CZ" w:eastAsia="cs-CZ" w:bidi="ar-SA"/>
        </w:rPr>
        <w:t xml:space="preserve">Steiner, G., &amp; Posch, A. (2006). Higher education for sustainability by means of transdisciplinary case studies: an innovative approach for solving complex, real-world problems. </w:t>
      </w:r>
      <w:r w:rsidRPr="00D32A4B">
        <w:rPr>
          <w:rFonts w:eastAsia="Times New Roman"/>
          <w:i/>
          <w:iCs/>
          <w:lang w:val="cs-CZ" w:eastAsia="cs-CZ" w:bidi="ar-SA"/>
        </w:rPr>
        <w:t>Journal of Cleaner Production</w:t>
      </w:r>
      <w:r w:rsidRPr="00D32A4B">
        <w:rPr>
          <w:rFonts w:eastAsia="Times New Roman"/>
          <w:lang w:val="cs-CZ" w:eastAsia="cs-CZ" w:bidi="ar-SA"/>
        </w:rPr>
        <w:t xml:space="preserve">, </w:t>
      </w:r>
      <w:r w:rsidRPr="00D32A4B">
        <w:rPr>
          <w:rFonts w:eastAsia="Times New Roman"/>
          <w:i/>
          <w:iCs/>
          <w:lang w:val="cs-CZ" w:eastAsia="cs-CZ" w:bidi="ar-SA"/>
        </w:rPr>
        <w:t>14</w:t>
      </w:r>
      <w:r w:rsidRPr="00D32A4B">
        <w:rPr>
          <w:rFonts w:eastAsia="Times New Roman"/>
          <w:lang w:val="cs-CZ" w:eastAsia="cs-CZ" w:bidi="ar-SA"/>
        </w:rPr>
        <w:t>(9), 877–890.</w:t>
      </w:r>
    </w:p>
    <w:p w:rsidR="007660BF" w:rsidRPr="009A1B88" w:rsidRDefault="007660BF" w:rsidP="00B40CB9">
      <w:pPr>
        <w:jc w:val="both"/>
        <w:rPr>
          <w:rFonts w:eastAsia="Times New Roman"/>
          <w:lang w:eastAsia="cs-CZ"/>
        </w:rPr>
      </w:pPr>
      <w:proofErr w:type="gramStart"/>
      <w:r w:rsidRPr="009A1B88">
        <w:rPr>
          <w:rFonts w:eastAsia="Times New Roman"/>
          <w:lang w:eastAsia="cs-CZ"/>
        </w:rPr>
        <w:t>Sterling, S. (2001).</w:t>
      </w:r>
      <w:proofErr w:type="gramEnd"/>
      <w:r w:rsidRPr="009A1B88">
        <w:rPr>
          <w:rFonts w:eastAsia="Times New Roman"/>
          <w:lang w:eastAsia="cs-CZ"/>
        </w:rPr>
        <w:t xml:space="preserve"> </w:t>
      </w:r>
      <w:r w:rsidRPr="009A1B88">
        <w:rPr>
          <w:rFonts w:eastAsia="Times New Roman"/>
          <w:i/>
          <w:iCs/>
          <w:lang w:eastAsia="cs-CZ"/>
        </w:rPr>
        <w:t xml:space="preserve">Sustainable Education: Re-Visioning Learning and Change. </w:t>
      </w:r>
      <w:proofErr w:type="gramStart"/>
      <w:r w:rsidRPr="009A1B88">
        <w:rPr>
          <w:rFonts w:eastAsia="Times New Roman"/>
          <w:i/>
          <w:iCs/>
          <w:lang w:eastAsia="cs-CZ"/>
        </w:rPr>
        <w:t>Schumacher Briefings.</w:t>
      </w:r>
      <w:proofErr w:type="gramEnd"/>
      <w:r w:rsidRPr="009A1B88">
        <w:rPr>
          <w:rFonts w:eastAsia="Times New Roman"/>
          <w:lang w:eastAsia="cs-CZ"/>
        </w:rPr>
        <w:t xml:space="preserve"> ERIC. Získáno z http://eric.ed.gov/ERICWebPortal/recordDetail?accno=ED464791</w:t>
      </w:r>
    </w:p>
    <w:p w:rsidR="007660BF" w:rsidRPr="009A1B88" w:rsidRDefault="007660BF" w:rsidP="00B40CB9">
      <w:pPr>
        <w:jc w:val="both"/>
        <w:rPr>
          <w:rFonts w:eastAsia="Times New Roman"/>
          <w:lang w:eastAsia="cs-CZ"/>
        </w:rPr>
      </w:pPr>
      <w:proofErr w:type="gramStart"/>
      <w:r w:rsidRPr="009A1B88">
        <w:rPr>
          <w:rFonts w:eastAsia="Times New Roman"/>
          <w:lang w:eastAsia="cs-CZ"/>
        </w:rPr>
        <w:t>Sterling, S. (2004).</w:t>
      </w:r>
      <w:proofErr w:type="gramEnd"/>
      <w:r w:rsidRPr="009A1B88">
        <w:rPr>
          <w:rFonts w:eastAsia="Times New Roman"/>
          <w:lang w:eastAsia="cs-CZ"/>
        </w:rPr>
        <w:t xml:space="preserve"> </w:t>
      </w:r>
      <w:proofErr w:type="gramStart"/>
      <w:r w:rsidRPr="009A1B88">
        <w:rPr>
          <w:rFonts w:eastAsia="Times New Roman"/>
          <w:lang w:eastAsia="cs-CZ"/>
        </w:rPr>
        <w:t>Higher education, sustainability, and the role of systemic learning.</w:t>
      </w:r>
      <w:proofErr w:type="gramEnd"/>
      <w:r w:rsidRPr="009A1B88">
        <w:rPr>
          <w:rFonts w:eastAsia="Times New Roman"/>
          <w:lang w:eastAsia="cs-CZ"/>
        </w:rPr>
        <w:t xml:space="preserve"> </w:t>
      </w:r>
      <w:proofErr w:type="gramStart"/>
      <w:r w:rsidRPr="009A1B88">
        <w:rPr>
          <w:rFonts w:eastAsia="Times New Roman"/>
          <w:i/>
          <w:iCs/>
          <w:lang w:eastAsia="cs-CZ"/>
        </w:rPr>
        <w:t>Higher education and the challenge of sustainability</w:t>
      </w:r>
      <w:r w:rsidRPr="009A1B88">
        <w:rPr>
          <w:rFonts w:eastAsia="Times New Roman"/>
          <w:lang w:eastAsia="cs-CZ"/>
        </w:rPr>
        <w:t>, 49–70.</w:t>
      </w:r>
      <w:proofErr w:type="gramEnd"/>
    </w:p>
    <w:p w:rsidR="007660BF" w:rsidRPr="009A1B88" w:rsidRDefault="007660BF" w:rsidP="00B40CB9">
      <w:pPr>
        <w:jc w:val="both"/>
        <w:rPr>
          <w:rFonts w:eastAsia="Times New Roman"/>
          <w:lang w:eastAsia="cs-CZ"/>
        </w:rPr>
      </w:pPr>
      <w:proofErr w:type="gramStart"/>
      <w:r w:rsidRPr="009A1B88">
        <w:rPr>
          <w:rFonts w:eastAsia="Times New Roman"/>
          <w:lang w:eastAsia="cs-CZ"/>
        </w:rPr>
        <w:t>Tilbury, D. (2004).</w:t>
      </w:r>
      <w:proofErr w:type="gramEnd"/>
      <w:r w:rsidRPr="009A1B88">
        <w:rPr>
          <w:rFonts w:eastAsia="Times New Roman"/>
          <w:lang w:eastAsia="cs-CZ"/>
        </w:rPr>
        <w:t xml:space="preserve"> Environmental education for sustainability: A force for change in higher education. </w:t>
      </w:r>
      <w:proofErr w:type="gramStart"/>
      <w:r w:rsidRPr="009A1B88">
        <w:rPr>
          <w:rFonts w:eastAsia="Times New Roman"/>
          <w:i/>
          <w:iCs/>
          <w:lang w:eastAsia="cs-CZ"/>
        </w:rPr>
        <w:t>Higher education and the challenge of sustainability</w:t>
      </w:r>
      <w:r w:rsidRPr="009A1B88">
        <w:rPr>
          <w:rFonts w:eastAsia="Times New Roman"/>
          <w:lang w:eastAsia="cs-CZ"/>
        </w:rPr>
        <w:t>, 97–112.</w:t>
      </w:r>
      <w:proofErr w:type="gramEnd"/>
    </w:p>
    <w:p w:rsidR="007660BF" w:rsidRPr="009A1B88" w:rsidRDefault="007660BF" w:rsidP="00B40CB9">
      <w:pPr>
        <w:jc w:val="both"/>
        <w:rPr>
          <w:rFonts w:eastAsia="Times New Roman"/>
          <w:lang w:eastAsia="cs-CZ"/>
        </w:rPr>
      </w:pPr>
      <w:r w:rsidRPr="009A1B88">
        <w:rPr>
          <w:rFonts w:eastAsia="Times New Roman"/>
          <w:lang w:eastAsia="cs-CZ"/>
        </w:rPr>
        <w:t xml:space="preserve">Trowler, P. R. (1998). </w:t>
      </w:r>
      <w:proofErr w:type="gramStart"/>
      <w:r w:rsidRPr="009A1B88">
        <w:rPr>
          <w:rFonts w:eastAsia="Times New Roman"/>
          <w:i/>
          <w:iCs/>
          <w:lang w:eastAsia="cs-CZ"/>
        </w:rPr>
        <w:t>Academics Responding to Change.</w:t>
      </w:r>
      <w:proofErr w:type="gramEnd"/>
      <w:r w:rsidRPr="009A1B88">
        <w:rPr>
          <w:rFonts w:eastAsia="Times New Roman"/>
          <w:i/>
          <w:iCs/>
          <w:lang w:eastAsia="cs-CZ"/>
        </w:rPr>
        <w:t xml:space="preserve"> </w:t>
      </w:r>
      <w:proofErr w:type="gramStart"/>
      <w:r w:rsidRPr="009A1B88">
        <w:rPr>
          <w:rFonts w:eastAsia="Times New Roman"/>
          <w:i/>
          <w:iCs/>
          <w:lang w:eastAsia="cs-CZ"/>
        </w:rPr>
        <w:t>New Higher Education Frameworks and Academic Cultures.</w:t>
      </w:r>
      <w:proofErr w:type="gramEnd"/>
      <w:r w:rsidRPr="009A1B88">
        <w:rPr>
          <w:rFonts w:eastAsia="Times New Roman"/>
          <w:lang w:eastAsia="cs-CZ"/>
        </w:rPr>
        <w:t xml:space="preserve"> </w:t>
      </w:r>
      <w:r w:rsidRPr="00B97B51">
        <w:rPr>
          <w:rFonts w:eastAsia="Times New Roman"/>
          <w:lang w:eastAsia="cs-CZ"/>
        </w:rPr>
        <w:t>SRHE, Open University (</w:t>
      </w:r>
      <w:r w:rsidRPr="009A1B88">
        <w:rPr>
          <w:rFonts w:eastAsia="Times New Roman"/>
          <w:lang w:eastAsia="cs-CZ"/>
        </w:rPr>
        <w:t>ERIC</w:t>
      </w:r>
      <w:r>
        <w:rPr>
          <w:rFonts w:eastAsia="Times New Roman"/>
          <w:lang w:eastAsia="cs-CZ"/>
        </w:rPr>
        <w:t>)</w:t>
      </w:r>
      <w:r w:rsidRPr="009A1B88">
        <w:rPr>
          <w:rFonts w:eastAsia="Times New Roman"/>
          <w:lang w:eastAsia="cs-CZ"/>
        </w:rPr>
        <w:t xml:space="preserve">. </w:t>
      </w:r>
    </w:p>
    <w:p w:rsidR="007660BF" w:rsidRPr="00E859B6" w:rsidRDefault="007660BF" w:rsidP="00B40CB9">
      <w:pPr>
        <w:jc w:val="both"/>
        <w:rPr>
          <w:rFonts w:eastAsia="Times New Roman"/>
          <w:lang w:val="cs-CZ" w:eastAsia="cs-CZ" w:bidi="ar-SA"/>
        </w:rPr>
      </w:pPr>
      <w:r w:rsidRPr="00E859B6">
        <w:rPr>
          <w:rFonts w:eastAsia="Times New Roman"/>
          <w:lang w:val="cs-CZ" w:eastAsia="cs-CZ" w:bidi="ar-SA"/>
        </w:rPr>
        <w:t xml:space="preserve">Vare, P., &amp; Scott, W. (2007). Learning for a Change. </w:t>
      </w:r>
      <w:r w:rsidRPr="00E859B6">
        <w:rPr>
          <w:rFonts w:eastAsia="Times New Roman"/>
          <w:i/>
          <w:iCs/>
          <w:lang w:val="cs-CZ" w:eastAsia="cs-CZ" w:bidi="ar-SA"/>
        </w:rPr>
        <w:t>Journal of Education for Sustainable Development</w:t>
      </w:r>
      <w:r w:rsidRPr="00E859B6">
        <w:rPr>
          <w:rFonts w:eastAsia="Times New Roman"/>
          <w:lang w:val="cs-CZ" w:eastAsia="cs-CZ" w:bidi="ar-SA"/>
        </w:rPr>
        <w:t xml:space="preserve">, </w:t>
      </w:r>
      <w:r w:rsidRPr="00E859B6">
        <w:rPr>
          <w:rFonts w:eastAsia="Times New Roman"/>
          <w:i/>
          <w:iCs/>
          <w:lang w:val="cs-CZ" w:eastAsia="cs-CZ" w:bidi="ar-SA"/>
        </w:rPr>
        <w:t>1</w:t>
      </w:r>
      <w:r w:rsidRPr="00E859B6">
        <w:rPr>
          <w:rFonts w:eastAsia="Times New Roman"/>
          <w:lang w:val="cs-CZ" w:eastAsia="cs-CZ" w:bidi="ar-SA"/>
        </w:rPr>
        <w:t>(2), 191.</w:t>
      </w:r>
    </w:p>
    <w:p w:rsidR="007660BF" w:rsidRPr="00D32A4B" w:rsidRDefault="007660BF" w:rsidP="00B40CB9">
      <w:pPr>
        <w:jc w:val="both"/>
        <w:rPr>
          <w:rFonts w:eastAsia="Times New Roman"/>
          <w:lang w:val="cs-CZ" w:eastAsia="cs-CZ" w:bidi="ar-SA"/>
        </w:rPr>
      </w:pPr>
      <w:r w:rsidRPr="00D32A4B">
        <w:rPr>
          <w:rFonts w:eastAsia="Times New Roman"/>
          <w:lang w:val="cs-CZ" w:eastAsia="cs-CZ" w:bidi="ar-SA"/>
        </w:rPr>
        <w:t xml:space="preserve">Velazquez, L., Munguia, N., &amp; Sanchez, M. (2005). Deterring sustainability in higher education institutions: An appraisal of the factors which influence sustainability in higher education institutions. </w:t>
      </w:r>
      <w:r w:rsidRPr="00D32A4B">
        <w:rPr>
          <w:rFonts w:eastAsia="Times New Roman"/>
          <w:i/>
          <w:iCs/>
          <w:lang w:val="cs-CZ" w:eastAsia="cs-CZ" w:bidi="ar-SA"/>
        </w:rPr>
        <w:t>International Journal of Sustainability in Higher Education</w:t>
      </w:r>
      <w:r w:rsidRPr="00D32A4B">
        <w:rPr>
          <w:rFonts w:eastAsia="Times New Roman"/>
          <w:lang w:val="cs-CZ" w:eastAsia="cs-CZ" w:bidi="ar-SA"/>
        </w:rPr>
        <w:t xml:space="preserve">, </w:t>
      </w:r>
      <w:r w:rsidRPr="00D32A4B">
        <w:rPr>
          <w:rFonts w:eastAsia="Times New Roman"/>
          <w:i/>
          <w:iCs/>
          <w:lang w:val="cs-CZ" w:eastAsia="cs-CZ" w:bidi="ar-SA"/>
        </w:rPr>
        <w:t>6</w:t>
      </w:r>
      <w:r w:rsidRPr="00D32A4B">
        <w:rPr>
          <w:rFonts w:eastAsia="Times New Roman"/>
          <w:lang w:val="cs-CZ" w:eastAsia="cs-CZ" w:bidi="ar-SA"/>
        </w:rPr>
        <w:t>(4), 383–391.</w:t>
      </w:r>
    </w:p>
    <w:p w:rsidR="007660BF" w:rsidRDefault="007660BF" w:rsidP="00B40CB9">
      <w:pPr>
        <w:jc w:val="both"/>
        <w:rPr>
          <w:lang w:val="en-GB"/>
        </w:rPr>
      </w:pPr>
      <w:r w:rsidRPr="008376DB">
        <w:rPr>
          <w:lang w:val="en-GB"/>
        </w:rPr>
        <w:t xml:space="preserve">Wals, A. E. (2007). </w:t>
      </w:r>
      <w:proofErr w:type="gramStart"/>
      <w:r w:rsidRPr="008376DB">
        <w:rPr>
          <w:lang w:val="en-GB"/>
        </w:rPr>
        <w:t>Social learning towards a sustainable world.</w:t>
      </w:r>
      <w:proofErr w:type="gramEnd"/>
      <w:r w:rsidRPr="008376DB">
        <w:rPr>
          <w:lang w:val="en-GB"/>
        </w:rPr>
        <w:t xml:space="preserve"> </w:t>
      </w:r>
      <w:proofErr w:type="gramStart"/>
      <w:r w:rsidRPr="008376DB">
        <w:rPr>
          <w:lang w:val="en-GB"/>
        </w:rPr>
        <w:t>Wageningen Academic Publishers.</w:t>
      </w:r>
      <w:proofErr w:type="gramEnd"/>
    </w:p>
    <w:p w:rsidR="007660BF" w:rsidRPr="00E859B6" w:rsidRDefault="007660BF" w:rsidP="00B40CB9">
      <w:pPr>
        <w:jc w:val="both"/>
        <w:rPr>
          <w:rFonts w:eastAsia="Times New Roman"/>
          <w:lang w:val="cs-CZ" w:eastAsia="cs-CZ" w:bidi="ar-SA"/>
        </w:rPr>
      </w:pPr>
      <w:r w:rsidRPr="00E859B6">
        <w:rPr>
          <w:rFonts w:eastAsia="Times New Roman"/>
          <w:lang w:val="cs-CZ" w:eastAsia="cs-CZ" w:bidi="ar-SA"/>
        </w:rPr>
        <w:lastRenderedPageBreak/>
        <w:t xml:space="preserve">Wals, A. E. J., &amp; Jickling, B. (2002). “Sustainability” in higher education: from doublethink and newspeak to critical thinking and meaningful learning. </w:t>
      </w:r>
      <w:r w:rsidRPr="00E859B6">
        <w:rPr>
          <w:rFonts w:eastAsia="Times New Roman"/>
          <w:i/>
          <w:iCs/>
          <w:lang w:val="cs-CZ" w:eastAsia="cs-CZ" w:bidi="ar-SA"/>
        </w:rPr>
        <w:t>International Journal of Sustainability in Higher Education</w:t>
      </w:r>
      <w:r w:rsidRPr="00E859B6">
        <w:rPr>
          <w:rFonts w:eastAsia="Times New Roman"/>
          <w:lang w:val="cs-CZ" w:eastAsia="cs-CZ" w:bidi="ar-SA"/>
        </w:rPr>
        <w:t xml:space="preserve">, </w:t>
      </w:r>
      <w:r w:rsidRPr="00E859B6">
        <w:rPr>
          <w:rFonts w:eastAsia="Times New Roman"/>
          <w:i/>
          <w:iCs/>
          <w:lang w:val="cs-CZ" w:eastAsia="cs-CZ" w:bidi="ar-SA"/>
        </w:rPr>
        <w:t>3</w:t>
      </w:r>
      <w:r w:rsidRPr="00E859B6">
        <w:rPr>
          <w:rFonts w:eastAsia="Times New Roman"/>
          <w:lang w:val="cs-CZ" w:eastAsia="cs-CZ" w:bidi="ar-SA"/>
        </w:rPr>
        <w:t>(3), 221–232.</w:t>
      </w:r>
    </w:p>
    <w:p w:rsidR="007660BF" w:rsidRPr="00E859B6" w:rsidRDefault="007660BF" w:rsidP="00B40CB9">
      <w:pPr>
        <w:jc w:val="both"/>
        <w:rPr>
          <w:rFonts w:eastAsia="Times New Roman"/>
          <w:lang w:val="cs-CZ" w:eastAsia="cs-CZ" w:bidi="ar-SA"/>
        </w:rPr>
      </w:pPr>
      <w:r w:rsidRPr="00E859B6">
        <w:rPr>
          <w:rFonts w:eastAsia="Times New Roman"/>
          <w:lang w:val="cs-CZ" w:eastAsia="cs-CZ" w:bidi="ar-SA"/>
        </w:rPr>
        <w:t xml:space="preserve">Wright, T. S. A. (2002). Definitions and frameworks for environmental sustainability in higher education. </w:t>
      </w:r>
      <w:r w:rsidRPr="00E859B6">
        <w:rPr>
          <w:rFonts w:eastAsia="Times New Roman"/>
          <w:i/>
          <w:iCs/>
          <w:lang w:val="cs-CZ" w:eastAsia="cs-CZ" w:bidi="ar-SA"/>
        </w:rPr>
        <w:t>International Journal of Sustainability in Higher Education</w:t>
      </w:r>
      <w:r w:rsidRPr="00E859B6">
        <w:rPr>
          <w:rFonts w:eastAsia="Times New Roman"/>
          <w:lang w:val="cs-CZ" w:eastAsia="cs-CZ" w:bidi="ar-SA"/>
        </w:rPr>
        <w:t xml:space="preserve">, </w:t>
      </w:r>
      <w:r w:rsidRPr="00E859B6">
        <w:rPr>
          <w:rFonts w:eastAsia="Times New Roman"/>
          <w:i/>
          <w:iCs/>
          <w:lang w:val="cs-CZ" w:eastAsia="cs-CZ" w:bidi="ar-SA"/>
        </w:rPr>
        <w:t>3</w:t>
      </w:r>
      <w:r w:rsidRPr="00E859B6">
        <w:rPr>
          <w:rFonts w:eastAsia="Times New Roman"/>
          <w:lang w:val="cs-CZ" w:eastAsia="cs-CZ" w:bidi="ar-SA"/>
        </w:rPr>
        <w:t>(3), 203–220.</w:t>
      </w:r>
    </w:p>
    <w:p w:rsidR="007660BF" w:rsidRPr="004D6717" w:rsidRDefault="007660BF" w:rsidP="00B40CB9">
      <w:pPr>
        <w:pStyle w:val="Nadpis2"/>
        <w:jc w:val="both"/>
        <w:rPr>
          <w:sz w:val="20"/>
        </w:rPr>
      </w:pPr>
      <w:r>
        <w:t xml:space="preserve">Zvláštní čísla časopisu Journal of Cleaner </w:t>
      </w:r>
      <w:r w:rsidRPr="004D6717">
        <w:t xml:space="preserve">Production </w:t>
      </w:r>
      <w:r w:rsidRPr="004D6717">
        <w:rPr>
          <w:sz w:val="20"/>
        </w:rPr>
        <w:t>(5-Year Impact Factor: 2.713)</w:t>
      </w:r>
    </w:p>
    <w:p w:rsidR="007660BF" w:rsidRPr="004D6717" w:rsidRDefault="007660BF" w:rsidP="00B40CB9">
      <w:pPr>
        <w:pStyle w:val="Nadpis3"/>
        <w:jc w:val="both"/>
        <w:rPr>
          <w:sz w:val="14"/>
          <w:szCs w:val="14"/>
          <w:shd w:val="clear" w:color="auto" w:fill="FFFFFF"/>
        </w:rPr>
      </w:pPr>
      <w:r>
        <w:t xml:space="preserve">Č. </w:t>
      </w:r>
      <w:r w:rsidRPr="004D6717">
        <w:t>14 (</w:t>
      </w:r>
      <w:hyperlink r:id="rId20" w:history="1">
        <w:r w:rsidRPr="004D6717">
          <w:t>Volume 14, Issues 9–11</w:t>
        </w:r>
      </w:hyperlink>
      <w:r w:rsidRPr="004D6717">
        <w:t xml:space="preserve"> pp. 757-1038 (2006))</w:t>
      </w:r>
    </w:p>
    <w:p w:rsidR="007660BF" w:rsidRPr="004D6717" w:rsidRDefault="007660BF" w:rsidP="00B40CB9">
      <w:pPr>
        <w:jc w:val="both"/>
        <w:rPr>
          <w:i/>
          <w:lang w:val="en-GB"/>
        </w:rPr>
      </w:pPr>
      <w:r w:rsidRPr="004D6717">
        <w:rPr>
          <w:i/>
          <w:lang w:val="en-GB"/>
        </w:rPr>
        <w:t xml:space="preserve">Sustainability </w:t>
      </w:r>
      <w:proofErr w:type="gramStart"/>
      <w:r w:rsidRPr="004D6717">
        <w:rPr>
          <w:i/>
          <w:lang w:val="en-GB"/>
        </w:rPr>
        <w:t>In</w:t>
      </w:r>
      <w:proofErr w:type="gramEnd"/>
      <w:r w:rsidRPr="004D6717">
        <w:rPr>
          <w:i/>
          <w:lang w:val="en-GB"/>
        </w:rPr>
        <w:t xml:space="preserve"> Higher Education: What is Happening?</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Alexandra Wright, T. S. (2006). Giving „teeth“ to an environmental policy: a Delphi Study at Dalhousie University.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761–768. doi:10.1016/j.jclepro.2005.12.007</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Barratt, R. S. (2006). Meeting lifelong learning needs by distance teaching - Clean technology.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906–915. doi:10.1016/j.jclepro.2005.11.050</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Boks, C., &amp; Diehl, J. C. (2006). Integration of sustainability in regular courses: experiences in industrial design engineering.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932–939. doi:10.1016/j.jclepro.2005.11.038</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Bremer, M. H., &amp; López-Franco, R. (2006). Sustainable development: ten years of experience at ITESM’s graduate level.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952–957. doi:10.1016/j.jclepro.2005.11.039</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Cantalapiedra, I. R., Bosch, M., &amp; López, F. (2006). Involvement of final architecture diploma projects in the analysis of the UPC buildings energy performance as a way of teaching practical sustainability.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958–962. doi:10.1016/j.jclepro.2005.11.040</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Dieleman, H., &amp; Huisingh, D. (2006). Games by which to learn and teach about sustainable development: exploring the relevance of games and experiential learning for sustainability.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837–847. doi:10.1016/j.jclepro.2005.11.031</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Ferreira, A. J. D., Lopes, M. A. R., &amp; Morais, J. P. F. (2006). Environmental management and audit schemes implementation as an educational tool for sustainability.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973–982. doi:10.1016/j.jclepro.2006.01.003</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Fisk, D. J., &amp; Ahearn, A. (2006). Creating policy analysis skills in postgraduate engineering for sustainable development.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946–951. doi:10.1016/j.jclepro.2005.11.053</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Gao, C., Hou, H., Zhang, J., Zhang, H., &amp; Gong, W. (2006). Education for regional sustainable development: experiences from the education framework of HHCEPZ project.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994–1002. doi:10.1016/j.jclepro.2005.11.043</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Hansen, J. A., &amp; Lehmann, M. (2006). Agents of change: universities as development hubs.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820–829. doi:10.1016/j.jclepro.2005.11.048</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lastRenderedPageBreak/>
        <w:t xml:space="preserve">Chalker-Scott, L., &amp; Collman, S. J. (2006). Washington State’s Master Gardener Program: 30 years of leadership in university-sponsored, volunteer-coordinated, sustainable community horticulture.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988–993. doi:10.1016/j.jclepro.2005.11.052</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Juárez-Nájera, M., Dieleman, H., &amp; Turpin-Marion, S. (2006). Sustainability in Mexican Higher Education: towards a new academic and professional culture.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1028–1038. doi:10.1016/j.jclepro.2005.11.049</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Kamp, L. (2006). Engineering education in sustainable development at Delft University of Technology.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928–931. doi:10.1016/j.jclepro.2005.11.036</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Karol, E. (2006). Using campus concerns about sustainability as an educational opportunity: a case study in architectural design.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780–786. doi:10.1016/j.jclepro.2005.12.012</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Kleizen, H. H. (2006). Conceptual chemical process design in a sustainable technological world.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924–927. doi:10.1016/j.jclepro.2005.11.035</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Koester, R. J., Eflin, J., &amp; Vann, J. (2006). Greening of the campus: a whole-systems approach.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769–779. doi:10.1016/j.jclepro.2005.11.055</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Lidgren, A., Rodhe, H., &amp; Huisingh, D. (2006). A systemic approach to incorporate sustainability into university courses and curricula.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797–809. doi:10.1016/j.jclepro.2005.12.011</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Lozano García, F. J., Kevany, K., &amp; Huisingh, D. (2006). Sustainability in higher education: what is happening?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757–760. doi:10.1016/j.jclepro.2005.12.006</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Lozano, R. (2006a). A tool for a Graphical Assessment of Sustainability in Universities (GASU).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963–972. doi:10.1016/j.jclepro.2005.11.041</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Lozano, R. (2006b). Incorporation and institutionalization of SD into universities: breaking through barriers to change.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787–796. doi:10.1016/j.jclepro.2005.12.010</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Macris, A. M., &amp; Georgakellos, D. A. (2006). A new teaching tool in education for sustainable development: ontology-based knowledge networks for environmental training.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855–867. doi:10.1016/j.jclepro.2005.12.009</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Manring, S. L., &amp; Moore, S. B. (2006). Creating and managing a virtual inter-organizational learning network for greener production: a conceptual model and case study.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891–899. doi:10.1016/j.jclepro.2005.11.033</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Martinez R., L. M., Gerritsen, P. R. W., Cuevas, R., &amp; Rosales A., J. (2006). Incorporating principles of sustainable development in research and education in western Mexico.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1003–1009. doi:10.1016/j.jclepro.2005.11.044</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McDonald, C. (2006). Moving forward on educating for sustainability in Manitoba.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1010–1016. doi:10.1016/j.jclepro.2005.11.045</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lastRenderedPageBreak/>
        <w:t xml:space="preserve">Medellín-Milán, P. (2006). Two approaches for pollution prevention in the chemical engineering curriculum at UASLP.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940–945. doi:10.1016/j.jclepro.2005.11.037</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Pacheco, P., Motloch, J., &amp; Vann, J. (2006). Second Chance Game: local (university-community) partnerships for global awareness and responsibility.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848–854. doi:10.1016/j.jclepro.2005.11.047</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Quist, J., Rammelt, C., Overschie, M., &amp; de Werk, G. (2006). Backcasting for sustainability in engineering education: the case of Delft University of Technology.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868–876. doi:10.1016/j.jclepro.2005.11.032</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Stir, J. (2006). Restructuring teacher education for sustainability: student involvement through a „strengths model“.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830–836. doi:10.1016/j.jclepro.2005.11.051</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Vann, J., Pacheco, P., &amp; Motloch, J. (2006). Cross-cultural education for sustainability: development of an introduction to sustainability course.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900–905. doi:10.1016/j.jclepro.2006.01.002</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Velazquez, L., Munguia, N., Platt, A., &amp; Taddei, J. (2006). Sustainable university: what can be the matter?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810–819. doi:10.1016/j.jclepro.2005.12.008</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von Blottnitz, H. (2006). Promoting active learning in sustainable development: experiences from a 4th year chemical engineering course.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14</w:t>
      </w:r>
      <w:r w:rsidRPr="004D6717">
        <w:rPr>
          <w:rFonts w:eastAsia="Times New Roman"/>
          <w:lang w:val="cs-CZ" w:eastAsia="cs-CZ" w:bidi="ar-SA"/>
        </w:rPr>
        <w:t>(9-11), 916–923. doi:10.1016/j.jclepro.2005.11.034</w:t>
      </w:r>
    </w:p>
    <w:p w:rsidR="007660BF" w:rsidRPr="004D6717" w:rsidRDefault="007660BF" w:rsidP="00B40CB9">
      <w:pPr>
        <w:pStyle w:val="Nadpis3"/>
        <w:jc w:val="both"/>
        <w:rPr>
          <w:rFonts w:ascii="Arial" w:hAnsi="Arial" w:cs="Arial"/>
          <w:sz w:val="14"/>
          <w:szCs w:val="14"/>
          <w:shd w:val="clear" w:color="auto" w:fill="FFFFFF"/>
        </w:rPr>
      </w:pPr>
      <w:r w:rsidRPr="004D6717">
        <w:t>č. 17 (</w:t>
      </w:r>
      <w:hyperlink r:id="rId21" w:history="1">
        <w:r w:rsidRPr="004D6717">
          <w:t>Volume 17, Issue 12</w:t>
        </w:r>
      </w:hyperlink>
      <w:r w:rsidRPr="004D6717">
        <w:t xml:space="preserve"> pp. 1053-1162 (August 2009))</w:t>
      </w:r>
    </w:p>
    <w:p w:rsidR="007660BF" w:rsidRPr="004D6717" w:rsidRDefault="007660BF" w:rsidP="00B40CB9">
      <w:pPr>
        <w:jc w:val="both"/>
        <w:rPr>
          <w:i/>
        </w:rPr>
      </w:pPr>
      <w:r w:rsidRPr="004D6717">
        <w:rPr>
          <w:i/>
          <w:shd w:val="clear" w:color="auto" w:fill="FFFFFF"/>
        </w:rPr>
        <w:t>The Roles of Academia in Regional Sustainability Initiatives</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Bodorkós, B., &amp; Pataki, G. (2009). Linking academic and local knowledge: community-based research and service learning for sustainable rural development in Hungary.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1123–1131. doi:10.1016/j.jclepro.2009.02.023</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Evangelinos, K. I., Jones, N., &amp; Panoriou, E. M. (2009). Challenges and opportunities for sustainability in regional universities: a case study in Mytilene, Greece.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1154–1161. doi:10.1016/j.jclepro.2009.02.020</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Ferrer-Balas, D., Buckland, H., &amp; de Mingo, M. (2009). Explorations on the University’s role in society for sustainable development through a systems transition approach. Case-study of the Technical University of Catalonia (UPC).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1075–1085. doi:10.1016/j.jclepro.2008.11.006</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Goodnough, T., Kildegaard, A., Kuchenreuther, M., Rasmussen, L., &amp; Wyckoff, P. (2009). Leveraging assets: a case study of the sustainability initiative at the University of </w:t>
      </w:r>
      <w:proofErr w:type="gramStart"/>
      <w:r w:rsidRPr="004D6717">
        <w:rPr>
          <w:rFonts w:eastAsia="Times New Roman"/>
          <w:lang w:val="cs-CZ" w:eastAsia="cs-CZ" w:bidi="ar-SA"/>
        </w:rPr>
        <w:t>Minnesota</w:t>
      </w:r>
      <w:proofErr w:type="gramEnd"/>
      <w:r w:rsidRPr="004D6717">
        <w:rPr>
          <w:rFonts w:eastAsia="Times New Roman"/>
          <w:lang w:val="cs-CZ" w:eastAsia="cs-CZ" w:bidi="ar-SA"/>
        </w:rPr>
        <w:t xml:space="preserve">, Morris.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1138–1142. doi:10.1016/j.jclepro.2008.12.002</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Chalker-Scott, L., &amp; Tinnemore, R. (2009). Is community-based sustainability education sustainable? A general overview of organizational sustainability in outreach education.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1132–1137. doi:10.1016/j.jclepro.2009.02.022</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lastRenderedPageBreak/>
        <w:t xml:space="preserve">Lehmann, M., Christensen, P., Thrane, M., &amp; Jørgensen, T. H. (2009). University engagement and regional sustainability initiatives: some Danish experiences.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1067–1074. doi:10.1016/j.jclepro.2009.03.013</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Lozano, R. (nedatováno). Diffusion of sustainable development in universities’ curricula: an empirical example from Cardiff University.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In Press, Corrected Proof</w:t>
      </w:r>
      <w:r w:rsidRPr="004D6717">
        <w:rPr>
          <w:rFonts w:eastAsia="Times New Roman"/>
          <w:lang w:val="cs-CZ" w:eastAsia="cs-CZ" w:bidi="ar-SA"/>
        </w:rPr>
        <w:t>. doi:10.1016/j.jclepro.2009.07.005</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Lukman, R., Krajnc, D., &amp; Glavic, P. (2009). Fostering collaboration between universities regarding regional sustainability initiatives - the University of Maribor.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1143–1153. doi:10.1016/j.jclepro.2009.02.018</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Mickwitz, P., &amp; Melanen, M. (2009). The role of co-operation between academia and policymakers for the development and use of sustainability indicators - a case from the Finnish Kymenlaakso Region.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1086–1100. doi:10.1016/j.jclepro.2008.12.003</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Ramos, T. B. (2009). Development of regional sustainability indicators and the role of academia in this process: the Portuguese practice.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1101–1115. doi:10.1016/j.jclepro.2009.02.024</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Spangenberg, J. H. (nedatováno). The growth discourse, growth policy and sustainable development: two thought experiments.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In Press, Corrected Proof</w:t>
      </w:r>
      <w:r w:rsidRPr="004D6717">
        <w:rPr>
          <w:rFonts w:eastAsia="Times New Roman"/>
          <w:lang w:val="cs-CZ" w:eastAsia="cs-CZ" w:bidi="ar-SA"/>
        </w:rPr>
        <w:t>. doi:10.1016/j.jclepro.2009.07.007</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Stephens, J. C., &amp; Graham, A. C. (nedatováno). Toward an empirical research agenda for sustainability in higher education: exploring the transition management framework.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In Press, Corrected Proof</w:t>
      </w:r>
      <w:r w:rsidRPr="004D6717">
        <w:rPr>
          <w:rFonts w:eastAsia="Times New Roman"/>
          <w:lang w:val="cs-CZ" w:eastAsia="cs-CZ" w:bidi="ar-SA"/>
        </w:rPr>
        <w:t>. doi:10.1016/j.jclepro.2009.07.009</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Wells, P., Bristow, G., Nieuwenhuis, P., &amp; Christensen, T. B. (2009). The role of academia in regional sustainability initiatives: Wales.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1116–1122. doi:10.1016/j.jclepro.2008.11.008</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Zilahy, G., &amp; Huisingh, D. (2009). The roles of academia in Regional Sustainability Initiatives.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1057–1066. doi:10.1016/j.jclepro.2009.03.018</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Zilahy, G., Huisingh, D., Melanen, M., Phillips, V. D., &amp; Sheffy, J. (2009). Roles of academia in regional sustainability initiatives: outreach for a more sustainable future.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17</w:t>
      </w:r>
      <w:r w:rsidRPr="004D6717">
        <w:rPr>
          <w:rFonts w:eastAsia="Times New Roman"/>
          <w:lang w:val="cs-CZ" w:eastAsia="cs-CZ" w:bidi="ar-SA"/>
        </w:rPr>
        <w:t>(12), 1053–1056. doi:10.1016/j.jclepro.2009.03.006</w:t>
      </w:r>
    </w:p>
    <w:p w:rsidR="007660BF" w:rsidRPr="004D6717" w:rsidRDefault="007660BF" w:rsidP="00B40CB9">
      <w:pPr>
        <w:pStyle w:val="Nadpis3"/>
        <w:jc w:val="both"/>
      </w:pPr>
      <w:r w:rsidRPr="004D6717">
        <w:t>Č. 18 (</w:t>
      </w:r>
      <w:hyperlink r:id="rId22" w:history="1">
        <w:r w:rsidRPr="004D6717">
          <w:t>Volume 18, Issue 7</w:t>
        </w:r>
      </w:hyperlink>
      <w:r w:rsidRPr="004D6717">
        <w:t>) pp. 607-702 (May 2010)</w:t>
      </w:r>
    </w:p>
    <w:p w:rsidR="007660BF" w:rsidRPr="004D6717" w:rsidRDefault="007660BF" w:rsidP="00B40CB9">
      <w:pPr>
        <w:jc w:val="both"/>
        <w:rPr>
          <w:i/>
        </w:rPr>
      </w:pPr>
      <w:r w:rsidRPr="004D6717">
        <w:rPr>
          <w:i/>
          <w:shd w:val="clear" w:color="auto" w:fill="FFFFFF"/>
        </w:rPr>
        <w:t>Going beyond the rhetoric: system-wide changes in universities for sustainable societies</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Burandt, S., &amp; Barth, M. (2010). Learning settings to face climate change.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18</w:t>
      </w:r>
      <w:r w:rsidRPr="004D6717">
        <w:rPr>
          <w:rFonts w:eastAsia="Times New Roman"/>
          <w:lang w:val="cs-CZ" w:eastAsia="cs-CZ" w:bidi="ar-SA"/>
        </w:rPr>
        <w:t>(7), 659–665.</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Ceulemans, K., &amp; De Prins, M. (2010). Teacher’s manual and method for SD integration in curricula.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18</w:t>
      </w:r>
      <w:r w:rsidRPr="004D6717">
        <w:rPr>
          <w:rFonts w:eastAsia="Times New Roman"/>
          <w:lang w:val="cs-CZ" w:eastAsia="cs-CZ" w:bidi="ar-SA"/>
        </w:rPr>
        <w:t>(7), 645–651.</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lastRenderedPageBreak/>
        <w:t xml:space="preserve">Correia, P. R. ., Xavier do </w:t>
      </w:r>
      <w:proofErr w:type="gramStart"/>
      <w:r w:rsidRPr="004D6717">
        <w:rPr>
          <w:rFonts w:eastAsia="Times New Roman"/>
          <w:lang w:val="cs-CZ" w:eastAsia="cs-CZ" w:bidi="ar-SA"/>
        </w:rPr>
        <w:t>Valle</w:t>
      </w:r>
      <w:proofErr w:type="gramEnd"/>
      <w:r w:rsidRPr="004D6717">
        <w:rPr>
          <w:rFonts w:eastAsia="Times New Roman"/>
          <w:lang w:val="cs-CZ" w:eastAsia="cs-CZ" w:bidi="ar-SA"/>
        </w:rPr>
        <w:t xml:space="preserve">, B., Dazzani, M., &amp; Infante-Malachias, M. E. (2010). The importance of scientific literacy in fostering education for sustainability: Theoretical considerations and preliminary findings from a Brazilian experience.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18</w:t>
      </w:r>
      <w:r w:rsidRPr="004D6717">
        <w:rPr>
          <w:rFonts w:eastAsia="Times New Roman"/>
          <w:lang w:val="cs-CZ" w:eastAsia="cs-CZ" w:bidi="ar-SA"/>
        </w:rPr>
        <w:t>(7), 678–685.</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Ferrer-Balas, D., Lozano, R., Huisingh, D., Buckland, H., Ysern, P., &amp; Zilahy, G. (2010). Going beyond the rhetoric: system-wide changes in universities for sustainable societies.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18</w:t>
      </w:r>
      <w:r w:rsidRPr="004D6717">
        <w:rPr>
          <w:rFonts w:eastAsia="Times New Roman"/>
          <w:lang w:val="cs-CZ" w:eastAsia="cs-CZ" w:bidi="ar-SA"/>
        </w:rPr>
        <w:t>(7), 607–610.</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Lozano, R. (2010). Diffusion of sustainable development in universities’ curricula: an empirical example from Cardiff University.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18</w:t>
      </w:r>
      <w:r w:rsidRPr="004D6717">
        <w:rPr>
          <w:rFonts w:eastAsia="Times New Roman"/>
          <w:lang w:val="cs-CZ" w:eastAsia="cs-CZ" w:bidi="ar-SA"/>
        </w:rPr>
        <w:t>(7), 637–644.</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Lozano, R., Lukman, R., Lozano, F. J., Huisingh, D., &amp; Lambrechts, W. (2011). Declarations for sustainability in higher education: Becoming better leaders, through addressing the university system. </w:t>
      </w:r>
      <w:r w:rsidRPr="004D6717">
        <w:rPr>
          <w:rFonts w:eastAsia="Times New Roman"/>
          <w:i/>
          <w:iCs/>
          <w:lang w:val="cs-CZ" w:eastAsia="cs-CZ" w:bidi="ar-SA"/>
        </w:rPr>
        <w:t>Journal of Cleaner Production</w:t>
      </w:r>
      <w:r w:rsidRPr="004D6717">
        <w:rPr>
          <w:rFonts w:eastAsia="Times New Roman"/>
          <w:lang w:val="cs-CZ" w:eastAsia="cs-CZ" w:bidi="ar-SA"/>
        </w:rPr>
        <w:t>.</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Lukman, R., Krajnc, D., &amp; Glavic, P. (2010). University ranking using research, educational and environmental indicators.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18</w:t>
      </w:r>
      <w:r w:rsidRPr="004D6717">
        <w:rPr>
          <w:rFonts w:eastAsia="Times New Roman"/>
          <w:lang w:val="cs-CZ" w:eastAsia="cs-CZ" w:bidi="ar-SA"/>
        </w:rPr>
        <w:t>(7), 619–628.</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Stephens, J. C., &amp; Graham, A. C. (2010). Toward an empirical research agenda for sustainability in higher education: exploring the transition management framework.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18</w:t>
      </w:r>
      <w:r w:rsidRPr="004D6717">
        <w:rPr>
          <w:rFonts w:eastAsia="Times New Roman"/>
          <w:lang w:val="cs-CZ" w:eastAsia="cs-CZ" w:bidi="ar-SA"/>
        </w:rPr>
        <w:t>(7), 611–618.</w:t>
      </w:r>
    </w:p>
    <w:p w:rsidR="007660BF" w:rsidRPr="004D6717" w:rsidRDefault="007660BF" w:rsidP="00B40CB9">
      <w:pPr>
        <w:jc w:val="both"/>
        <w:rPr>
          <w:rFonts w:eastAsia="Times New Roman"/>
          <w:lang w:val="cs-CZ" w:eastAsia="cs-CZ" w:bidi="ar-SA"/>
        </w:rPr>
      </w:pPr>
      <w:r w:rsidRPr="004D6717">
        <w:rPr>
          <w:rFonts w:eastAsia="Times New Roman"/>
          <w:lang w:val="cs-CZ" w:eastAsia="cs-CZ" w:bidi="ar-SA"/>
        </w:rPr>
        <w:t xml:space="preserve">Waas, T., Verbruggen, A., &amp; Wright, T. (2010). University research for sustainable development: definition and characteristics explored. </w:t>
      </w:r>
      <w:r w:rsidRPr="004D6717">
        <w:rPr>
          <w:rFonts w:eastAsia="Times New Roman"/>
          <w:i/>
          <w:iCs/>
          <w:lang w:val="cs-CZ" w:eastAsia="cs-CZ" w:bidi="ar-SA"/>
        </w:rPr>
        <w:t>Journal of Cleaner Production</w:t>
      </w:r>
      <w:r w:rsidRPr="004D6717">
        <w:rPr>
          <w:rFonts w:eastAsia="Times New Roman"/>
          <w:lang w:val="cs-CZ" w:eastAsia="cs-CZ" w:bidi="ar-SA"/>
        </w:rPr>
        <w:t xml:space="preserve">, </w:t>
      </w:r>
      <w:r w:rsidRPr="004D6717">
        <w:rPr>
          <w:rFonts w:eastAsia="Times New Roman"/>
          <w:i/>
          <w:iCs/>
          <w:lang w:val="cs-CZ" w:eastAsia="cs-CZ" w:bidi="ar-SA"/>
        </w:rPr>
        <w:t>18</w:t>
      </w:r>
      <w:r w:rsidRPr="004D6717">
        <w:rPr>
          <w:rFonts w:eastAsia="Times New Roman"/>
          <w:lang w:val="cs-CZ" w:eastAsia="cs-CZ" w:bidi="ar-SA"/>
        </w:rPr>
        <w:t>(7), 629–636.</w:t>
      </w:r>
    </w:p>
    <w:p w:rsidR="007660BF" w:rsidRPr="004D6717" w:rsidRDefault="007660BF" w:rsidP="00B40CB9">
      <w:pPr>
        <w:jc w:val="both"/>
      </w:pPr>
    </w:p>
    <w:p w:rsidR="007660BF" w:rsidRDefault="007660BF" w:rsidP="00B40CB9">
      <w:pPr>
        <w:pStyle w:val="Nadpis2"/>
        <w:jc w:val="both"/>
        <w:rPr>
          <w:shd w:val="clear" w:color="auto" w:fill="FFFFFF"/>
        </w:rPr>
      </w:pPr>
      <w:r>
        <w:rPr>
          <w:shd w:val="clear" w:color="auto" w:fill="FFFFFF"/>
        </w:rPr>
        <w:t>Rozvoj občanské participace a dobrovolnictví - metodika pro zapojování studentů ZŠ do analýzy a řešení problémů UR</w:t>
      </w:r>
    </w:p>
    <w:p w:rsidR="007660BF" w:rsidRDefault="00E8461C" w:rsidP="00B40CB9">
      <w:pPr>
        <w:jc w:val="both"/>
      </w:pPr>
      <w:r>
        <w:t>Zpracoval: Jan Činčera, Technická univerzita v Liberci</w:t>
      </w:r>
    </w:p>
    <w:p w:rsidR="007660BF" w:rsidRDefault="007660BF" w:rsidP="00B40CB9">
      <w:pPr>
        <w:jc w:val="both"/>
      </w:pPr>
      <w:r w:rsidRPr="007F06D4">
        <w:t>BARDWELL, L.V.; MONROE, M.C.; TUDOR, M.T. </w:t>
      </w:r>
      <w:r w:rsidR="00E8461C">
        <w:t xml:space="preserve">(1994) </w:t>
      </w:r>
      <w:r w:rsidRPr="007F06D4">
        <w:t xml:space="preserve">Environmental Problem Solving. </w:t>
      </w:r>
      <w:proofErr w:type="gramStart"/>
      <w:r w:rsidRPr="007F06D4">
        <w:t>Theory, Practice and Possibilities in Environmental Education.</w:t>
      </w:r>
      <w:proofErr w:type="gramEnd"/>
      <w:r w:rsidRPr="007F06D4">
        <w:t xml:space="preserve"> Troy: NAAEE, 1994. </w:t>
      </w:r>
      <w:proofErr w:type="gramStart"/>
      <w:r w:rsidRPr="007F06D4">
        <w:t>ISBN 1-884-008-13-5.</w:t>
      </w:r>
      <w:proofErr w:type="gramEnd"/>
    </w:p>
    <w:p w:rsidR="007660BF" w:rsidRPr="007F06D4" w:rsidRDefault="007660BF" w:rsidP="00B40CB9">
      <w:pPr>
        <w:jc w:val="both"/>
      </w:pPr>
      <w:proofErr w:type="gramStart"/>
      <w:r w:rsidRPr="007F06D4">
        <w:t>BREITING, Sören; Hedegaard, Kristian; Mogensen, Finn; Nielsen, Kristen; Schnack, Karsten.</w:t>
      </w:r>
      <w:proofErr w:type="gramEnd"/>
      <w:r w:rsidRPr="007F06D4">
        <w:t xml:space="preserve"> </w:t>
      </w:r>
      <w:proofErr w:type="gramStart"/>
      <w:r w:rsidR="00E8461C">
        <w:t xml:space="preserve">(2009). </w:t>
      </w:r>
      <w:r w:rsidRPr="007F06D4">
        <w:t>Action Competence, Conflicting interests and Environmental Education.</w:t>
      </w:r>
      <w:proofErr w:type="gramEnd"/>
      <w:r w:rsidRPr="007F06D4">
        <w:t xml:space="preserve"> Copenhagen: Aarhus University. </w:t>
      </w:r>
      <w:r>
        <w:t xml:space="preserve">Dostupné z: </w:t>
      </w:r>
      <w:r w:rsidRPr="00676867">
        <w:t>http://dpu.dk/Everest/Publications/Forskning%5CMilj%C3%B8%20og%20sundhedsp%C3%A6dagogik/20090707140335/CurrentVersion/action-competence-muvin.pdf?RequestRepaired=true</w:t>
      </w:r>
    </w:p>
    <w:p w:rsidR="007660BF" w:rsidRDefault="007660BF" w:rsidP="00B40CB9">
      <w:pPr>
        <w:jc w:val="both"/>
      </w:pPr>
      <w:r w:rsidRPr="007F06D4">
        <w:t xml:space="preserve">HUNGERFORD, Harold R.; VOLK, Trudi L. </w:t>
      </w:r>
      <w:r w:rsidR="00E8461C">
        <w:t xml:space="preserve">(1990) </w:t>
      </w:r>
      <w:r w:rsidRPr="007F06D4">
        <w:t xml:space="preserve">Changing Learner Behavior </w:t>
      </w:r>
      <w:proofErr w:type="gramStart"/>
      <w:r w:rsidRPr="007F06D4">
        <w:t>Through</w:t>
      </w:r>
      <w:proofErr w:type="gramEnd"/>
      <w:r w:rsidRPr="007F06D4">
        <w:t xml:space="preserve"> Environmental Education. The Journal of Environmental Education,</w:t>
      </w:r>
      <w:proofErr w:type="gramStart"/>
      <w:r w:rsidRPr="007F06D4">
        <w:t>  vol</w:t>
      </w:r>
      <w:proofErr w:type="gramEnd"/>
      <w:r w:rsidRPr="007F06D4">
        <w:t xml:space="preserve">. 21, no. 3, s. 8-21. </w:t>
      </w:r>
      <w:proofErr w:type="gramStart"/>
      <w:r w:rsidRPr="007F06D4">
        <w:t>ISSN 0095-8964.</w:t>
      </w:r>
      <w:proofErr w:type="gramEnd"/>
    </w:p>
    <w:p w:rsidR="007660BF" w:rsidRDefault="007660BF" w:rsidP="00B40CB9">
      <w:pPr>
        <w:jc w:val="both"/>
      </w:pPr>
      <w:proofErr w:type="gramStart"/>
      <w:r w:rsidRPr="007F06D4">
        <w:t>LUNDEGåRD, Iann; WICKMAN, Per-Olof.</w:t>
      </w:r>
      <w:proofErr w:type="gramEnd"/>
      <w:r w:rsidRPr="007F06D4">
        <w:t xml:space="preserve"> </w:t>
      </w:r>
      <w:r w:rsidR="00E8461C">
        <w:t xml:space="preserve">(2007). </w:t>
      </w:r>
      <w:r w:rsidRPr="007F06D4">
        <w:t xml:space="preserve">Conflicts of interest: an indispensable element of education for sustainable development. Environmental Education Research, vol. 13, no. 1, s. 1-15. </w:t>
      </w:r>
      <w:proofErr w:type="gramStart"/>
      <w:r w:rsidRPr="007F06D4">
        <w:t>ISSN 0095-8964.</w:t>
      </w:r>
      <w:proofErr w:type="gramEnd"/>
    </w:p>
    <w:p w:rsidR="007660BF" w:rsidRDefault="007660BF" w:rsidP="00B40CB9">
      <w:pPr>
        <w:jc w:val="both"/>
      </w:pPr>
      <w:r w:rsidRPr="007F06D4">
        <w:lastRenderedPageBreak/>
        <w:t xml:space="preserve">MARCINKOWSKI, Thomas J. </w:t>
      </w:r>
      <w:r w:rsidR="00E8461C">
        <w:t xml:space="preserve">(2004). </w:t>
      </w:r>
      <w:r w:rsidRPr="007F06D4">
        <w:t>Using a Logic Model to Review and Analyze an Environmental Education Program. Washington: NAAEE.</w:t>
      </w:r>
    </w:p>
    <w:p w:rsidR="007660BF" w:rsidRPr="008E2A97" w:rsidRDefault="007660BF" w:rsidP="00B40CB9">
      <w:pPr>
        <w:spacing w:before="100" w:beforeAutospacing="1" w:after="0" w:line="240" w:lineRule="auto"/>
        <w:jc w:val="both"/>
      </w:pPr>
      <w:r w:rsidRPr="008E2A97">
        <w:t>MARCINKOWSKI, Thomas.</w:t>
      </w:r>
      <w:r w:rsidR="00E8461C">
        <w:t xml:space="preserve"> (2011)</w:t>
      </w:r>
      <w:proofErr w:type="gramStart"/>
      <w:r w:rsidR="00E8461C">
        <w:t xml:space="preserve">. </w:t>
      </w:r>
      <w:r w:rsidRPr="008E2A97">
        <w:t xml:space="preserve"> An</w:t>
      </w:r>
      <w:proofErr w:type="gramEnd"/>
      <w:r w:rsidRPr="008E2A97">
        <w:t xml:space="preserve"> Overview of an Issue and Action Training Instruction Program for Steardship Education. </w:t>
      </w:r>
      <w:r w:rsidRPr="00A827CA">
        <w:rPr>
          <w:i/>
        </w:rPr>
        <w:t>Defining Best Practices in Boating, Fishing, and Steardship Education.</w:t>
      </w:r>
      <w:r w:rsidRPr="008E2A97">
        <w:t xml:space="preserve"> </w:t>
      </w:r>
      <w:proofErr w:type="gramStart"/>
      <w:r w:rsidRPr="008E2A97">
        <w:t>ED 463 933.</w:t>
      </w:r>
      <w:proofErr w:type="gramEnd"/>
      <w:r w:rsidRPr="008E2A97">
        <w:t xml:space="preserve"> </w:t>
      </w:r>
      <w:proofErr w:type="gramStart"/>
      <w:r w:rsidRPr="008E2A97">
        <w:t>&lt;2001-07-00&gt;.</w:t>
      </w:r>
      <w:proofErr w:type="gramEnd"/>
      <w:r w:rsidRPr="008E2A97">
        <w:t xml:space="preserve"> </w:t>
      </w:r>
      <w:proofErr w:type="gramStart"/>
      <w:r w:rsidRPr="008E2A97">
        <w:t>&lt;Cit. 2011-03-20&gt;.</w:t>
      </w:r>
      <w:proofErr w:type="gramEnd"/>
      <w:r w:rsidRPr="008E2A97">
        <w:t xml:space="preserve">  Dostupné z WWW:  &lt;http://www.rbff.org/educational/BPE8.pdf&gt;</w:t>
      </w:r>
    </w:p>
    <w:p w:rsidR="007660BF" w:rsidRDefault="007660BF" w:rsidP="00B40CB9">
      <w:pPr>
        <w:jc w:val="both"/>
      </w:pPr>
    </w:p>
    <w:p w:rsidR="007660BF" w:rsidRDefault="007660BF" w:rsidP="00B40CB9">
      <w:pPr>
        <w:jc w:val="both"/>
      </w:pPr>
      <w:r w:rsidRPr="007F06D4">
        <w:t xml:space="preserve">RAMSEY, John. </w:t>
      </w:r>
      <w:r w:rsidR="00E8461C">
        <w:t xml:space="preserve">(2005). </w:t>
      </w:r>
      <w:r w:rsidRPr="007F06D4">
        <w:t xml:space="preserve">Comparing Four Environmental Problem Solving Models: Additional Comments. InHUNGERFORD, Harold H.; BLUHM, William J.; VOLK, Trudi L.; RAMSEY, John M. Essential Readings in Environmental Education. Champaign: Stipes. </w:t>
      </w:r>
      <w:proofErr w:type="gramStart"/>
      <w:r w:rsidRPr="007F06D4">
        <w:t>ISBN 1-58874-469-8.</w:t>
      </w:r>
      <w:proofErr w:type="gramEnd"/>
      <w:r w:rsidRPr="007F06D4">
        <w:t xml:space="preserve"> P. 161-172.</w:t>
      </w:r>
    </w:p>
    <w:p w:rsidR="007660BF" w:rsidRDefault="007660BF" w:rsidP="00B40CB9">
      <w:pPr>
        <w:pStyle w:val="Nadpis2"/>
        <w:jc w:val="both"/>
        <w:rPr>
          <w:shd w:val="clear" w:color="auto" w:fill="FFFFFF"/>
        </w:rPr>
      </w:pPr>
      <w:r>
        <w:rPr>
          <w:shd w:val="clear" w:color="auto" w:fill="FFFFFF"/>
        </w:rPr>
        <w:t>Metodiky pro formování vztahu k místu, k okolnímu prostředí a pro interpretaci přírodního a kulturního dědictví</w:t>
      </w:r>
    </w:p>
    <w:p w:rsidR="00E8461C" w:rsidRPr="00E8461C" w:rsidRDefault="00E8461C" w:rsidP="00B40CB9">
      <w:pPr>
        <w:jc w:val="both"/>
        <w:rPr>
          <w:lang w:val="cs-CZ"/>
        </w:rPr>
      </w:pPr>
      <w:r>
        <w:t>Zpracoval: Jan Činčera, Technická univerzita v Liberci &amp; Michal Medek, Masar</w:t>
      </w:r>
      <w:r>
        <w:rPr>
          <w:lang w:val="cs-CZ"/>
        </w:rPr>
        <w:t>ykova univerzita v Brně</w:t>
      </w:r>
    </w:p>
    <w:p w:rsidR="003E336F" w:rsidRDefault="003E336F" w:rsidP="00B40CB9">
      <w:pPr>
        <w:spacing w:after="0" w:line="240" w:lineRule="auto"/>
        <w:jc w:val="both"/>
      </w:pPr>
    </w:p>
    <w:p w:rsidR="003E336F" w:rsidRPr="00E8461C" w:rsidRDefault="003E336F" w:rsidP="00B40CB9">
      <w:pPr>
        <w:spacing w:after="100" w:afterAutospacing="1"/>
        <w:jc w:val="both"/>
      </w:pPr>
      <w:r w:rsidRPr="00676867">
        <w:rPr>
          <w:caps/>
        </w:rPr>
        <w:t>Beck</w:t>
      </w:r>
      <w:r w:rsidRPr="00E8461C">
        <w:t xml:space="preserve">, L., </w:t>
      </w:r>
      <w:r w:rsidRPr="00676867">
        <w:rPr>
          <w:caps/>
        </w:rPr>
        <w:t>Cable</w:t>
      </w:r>
      <w:r w:rsidRPr="00E8461C">
        <w:t>, T. (2002) </w:t>
      </w:r>
      <w:r w:rsidRPr="00676867">
        <w:t>Interpretation for the 21st Century: Fifteen Guiding Principles for Interpreting Nature and Culture</w:t>
      </w:r>
      <w:r w:rsidRPr="00E8461C">
        <w:t>.Champaign IL: Sagamore Publishing</w:t>
      </w:r>
    </w:p>
    <w:p w:rsidR="003E336F" w:rsidRPr="00E8461C" w:rsidRDefault="003E336F" w:rsidP="00B40CB9">
      <w:pPr>
        <w:spacing w:after="100" w:afterAutospacing="1"/>
        <w:jc w:val="both"/>
      </w:pPr>
      <w:r w:rsidRPr="00676867">
        <w:rPr>
          <w:caps/>
        </w:rPr>
        <w:t>Black</w:t>
      </w:r>
      <w:r w:rsidRPr="00E8461C">
        <w:t>, G. (2005) </w:t>
      </w:r>
      <w:proofErr w:type="gramStart"/>
      <w:r w:rsidRPr="00676867">
        <w:t>The</w:t>
      </w:r>
      <w:proofErr w:type="gramEnd"/>
      <w:r w:rsidRPr="00676867">
        <w:t xml:space="preserve"> Engaging Museum: Developing Museums for Visitor Involvement</w:t>
      </w:r>
      <w:r w:rsidRPr="00E8461C">
        <w:t>. London: Routledge</w:t>
      </w:r>
    </w:p>
    <w:p w:rsidR="003E336F" w:rsidRPr="00E8461C" w:rsidRDefault="003E336F" w:rsidP="00B40CB9">
      <w:pPr>
        <w:spacing w:after="100" w:afterAutospacing="1"/>
        <w:jc w:val="both"/>
      </w:pPr>
      <w:proofErr w:type="gramStart"/>
      <w:r w:rsidRPr="00676867">
        <w:rPr>
          <w:caps/>
        </w:rPr>
        <w:t>Brochu</w:t>
      </w:r>
      <w:r w:rsidRPr="00E8461C">
        <w:t>, L. (2003) Interpretative Planning: The 5-M Model for Successful Planning Projects.</w:t>
      </w:r>
      <w:proofErr w:type="gramEnd"/>
      <w:r w:rsidRPr="00E8461C">
        <w:t xml:space="preserve"> Fort Collins: National Association for Interpretation</w:t>
      </w:r>
    </w:p>
    <w:p w:rsidR="003E336F" w:rsidRPr="00E8461C" w:rsidRDefault="003E336F" w:rsidP="00B40CB9">
      <w:pPr>
        <w:spacing w:after="100" w:afterAutospacing="1"/>
        <w:jc w:val="both"/>
      </w:pPr>
      <w:r w:rsidRPr="00E8461C">
        <w:t xml:space="preserve">CAPRA, Fritjof. </w:t>
      </w:r>
      <w:proofErr w:type="gramStart"/>
      <w:r w:rsidRPr="00E8461C">
        <w:t>(2007). Sustainable Living.</w:t>
      </w:r>
      <w:proofErr w:type="gramEnd"/>
      <w:r w:rsidRPr="00E8461C">
        <w:t xml:space="preserve"> Ecological </w:t>
      </w:r>
      <w:proofErr w:type="gramStart"/>
      <w:r w:rsidRPr="00E8461C">
        <w:t>Literacy,</w:t>
      </w:r>
      <w:proofErr w:type="gramEnd"/>
      <w:r w:rsidRPr="00E8461C">
        <w:t xml:space="preserve"> and the Breath of Life. </w:t>
      </w:r>
      <w:proofErr w:type="gramStart"/>
      <w:r w:rsidRPr="00E8461C">
        <w:t>Canadian Journal of Environmental Education.</w:t>
      </w:r>
      <w:proofErr w:type="gramEnd"/>
      <w:r w:rsidRPr="00E8461C">
        <w:t xml:space="preserve"> 2007, no. 12, s. 9-18. </w:t>
      </w:r>
      <w:proofErr w:type="gramStart"/>
      <w:r w:rsidRPr="00E8461C">
        <w:t>ISSN 1205-5352.</w:t>
      </w:r>
      <w:proofErr w:type="gramEnd"/>
    </w:p>
    <w:p w:rsidR="003E336F" w:rsidRPr="00E8461C" w:rsidRDefault="003E336F" w:rsidP="00B40CB9">
      <w:pPr>
        <w:spacing w:after="100" w:afterAutospacing="1"/>
        <w:jc w:val="both"/>
      </w:pPr>
      <w:r w:rsidRPr="00676867">
        <w:rPr>
          <w:caps/>
        </w:rPr>
        <w:t>Ham</w:t>
      </w:r>
      <w:r w:rsidRPr="00E8461C">
        <w:t>, S. (1992): </w:t>
      </w:r>
      <w:r w:rsidRPr="00676867">
        <w:t>Environmental Interpretation</w:t>
      </w:r>
      <w:r w:rsidRPr="00E8461C">
        <w:t>. Colorado: Fulcrum Publishing</w:t>
      </w:r>
    </w:p>
    <w:p w:rsidR="003E336F" w:rsidRPr="00E8461C" w:rsidRDefault="003E336F" w:rsidP="00B40CB9">
      <w:pPr>
        <w:spacing w:after="100" w:afterAutospacing="1"/>
        <w:jc w:val="both"/>
      </w:pPr>
      <w:r w:rsidRPr="00676867">
        <w:rPr>
          <w:caps/>
        </w:rPr>
        <w:t>Hems</w:t>
      </w:r>
      <w:r w:rsidRPr="00E8461C">
        <w:t>, A., Blockley, M., ed. (2006) </w:t>
      </w:r>
      <w:r w:rsidRPr="00676867">
        <w:t>Heritage Interpretation: Theory and Practice (Issues in Heritage Management)</w:t>
      </w:r>
      <w:r w:rsidRPr="00E8461C">
        <w:t>. London: Routledge</w:t>
      </w:r>
    </w:p>
    <w:p w:rsidR="003E336F" w:rsidRPr="00E8461C" w:rsidRDefault="003E336F" w:rsidP="00B40CB9">
      <w:pPr>
        <w:spacing w:after="100" w:afterAutospacing="1"/>
        <w:jc w:val="both"/>
      </w:pPr>
      <w:r w:rsidRPr="00676867">
        <w:rPr>
          <w:caps/>
        </w:rPr>
        <w:t>Howard</w:t>
      </w:r>
      <w:r w:rsidRPr="00E8461C">
        <w:t>, P. (2003) </w:t>
      </w:r>
      <w:r w:rsidRPr="00676867">
        <w:t>Heritage: Management, Interpretation, Identity</w:t>
      </w:r>
      <w:r w:rsidRPr="00E8461C">
        <w:t>. London, New York: Continuum</w:t>
      </w:r>
    </w:p>
    <w:p w:rsidR="003E336F" w:rsidRPr="008E2A97" w:rsidRDefault="003E336F" w:rsidP="00B40CB9">
      <w:pPr>
        <w:spacing w:after="100" w:afterAutospacing="1" w:line="240" w:lineRule="auto"/>
        <w:jc w:val="both"/>
      </w:pPr>
      <w:r w:rsidRPr="008E2A97">
        <w:t xml:space="preserve">KNAPP, Doug. </w:t>
      </w:r>
      <w:r>
        <w:t xml:space="preserve">(1996) </w:t>
      </w:r>
      <w:r w:rsidRPr="008E2A97">
        <w:t xml:space="preserve">Evaluating the Impact of Environmental Interpretation: A Review of Three Research Studies. </w:t>
      </w:r>
      <w:proofErr w:type="gramStart"/>
      <w:r w:rsidRPr="003E336F">
        <w:rPr>
          <w:i/>
        </w:rPr>
        <w:t>In</w:t>
      </w:r>
      <w:r w:rsidRPr="008E2A97">
        <w:t xml:space="preserve"> </w:t>
      </w:r>
      <w:r w:rsidRPr="003E336F">
        <w:rPr>
          <w:i/>
        </w:rPr>
        <w:t>Coalition for Education in the Outdoors Research Symposium Proceedings</w:t>
      </w:r>
      <w:r w:rsidRPr="008E2A97">
        <w:t>.</w:t>
      </w:r>
      <w:proofErr w:type="gramEnd"/>
      <w:r w:rsidRPr="008E2A97">
        <w:t xml:space="preserve"> 3rd Bradford Woods</w:t>
      </w:r>
      <w:r>
        <w:t>, Indiana, Janury 12-14</w:t>
      </w:r>
      <w:r w:rsidRPr="008E2A97">
        <w:t>.</w:t>
      </w:r>
    </w:p>
    <w:p w:rsidR="003E336F" w:rsidRPr="008E2A97" w:rsidRDefault="003E336F" w:rsidP="00B40CB9">
      <w:pPr>
        <w:spacing w:after="100" w:afterAutospacing="1" w:line="240" w:lineRule="auto"/>
        <w:jc w:val="both"/>
      </w:pPr>
      <w:r w:rsidRPr="003E336F">
        <w:rPr>
          <w:rFonts w:cs="Arial"/>
        </w:rPr>
        <w:t>KNAPP, Douglas</w:t>
      </w:r>
      <w:r>
        <w:rPr>
          <w:rFonts w:cs="Arial"/>
        </w:rPr>
        <w:t xml:space="preserve"> (1997)</w:t>
      </w:r>
      <w:r w:rsidRPr="003E336F">
        <w:rPr>
          <w:rFonts w:cs="Arial"/>
        </w:rPr>
        <w:t>. Environmental Education and Environmental Interpretation: The Relationships. </w:t>
      </w:r>
      <w:proofErr w:type="gramStart"/>
      <w:r w:rsidRPr="003E336F">
        <w:rPr>
          <w:rFonts w:cs="Arial"/>
          <w:i/>
        </w:rPr>
        <w:t>National Association for Interpretation</w:t>
      </w:r>
      <w:r w:rsidRPr="003E336F">
        <w:rPr>
          <w:rFonts w:cs="Arial"/>
        </w:rPr>
        <w:t>.</w:t>
      </w:r>
      <w:proofErr w:type="gramEnd"/>
      <w:r w:rsidRPr="003E336F">
        <w:rPr>
          <w:rFonts w:cs="Arial"/>
        </w:rPr>
        <w:t xml:space="preserve"> </w:t>
      </w:r>
      <w:proofErr w:type="gramStart"/>
      <w:r w:rsidRPr="003E336F">
        <w:rPr>
          <w:rFonts w:cs="Arial"/>
        </w:rPr>
        <w:t>no</w:t>
      </w:r>
      <w:proofErr w:type="gramEnd"/>
      <w:r w:rsidRPr="003E336F">
        <w:rPr>
          <w:rFonts w:cs="Arial"/>
        </w:rPr>
        <w:t xml:space="preserve">. 3, s. 349-356. </w:t>
      </w:r>
      <w:proofErr w:type="gramStart"/>
      <w:r w:rsidRPr="003E336F">
        <w:rPr>
          <w:rFonts w:cs="Arial"/>
        </w:rPr>
        <w:t>ISSN 1932-4847.</w:t>
      </w:r>
      <w:proofErr w:type="gramEnd"/>
    </w:p>
    <w:p w:rsidR="003E336F" w:rsidRPr="008E2A97" w:rsidRDefault="003E336F" w:rsidP="00B40CB9">
      <w:pPr>
        <w:spacing w:after="100" w:afterAutospacing="1" w:line="240" w:lineRule="auto"/>
        <w:jc w:val="both"/>
      </w:pPr>
      <w:proofErr w:type="gramStart"/>
      <w:r w:rsidRPr="008E2A97">
        <w:t xml:space="preserve">KNAPP, Douglas; VOLK, Trudi L.; HUNGERFORD, Herold R. </w:t>
      </w:r>
      <w:r>
        <w:t>(1997).</w:t>
      </w:r>
      <w:proofErr w:type="gramEnd"/>
      <w:r>
        <w:t xml:space="preserve"> </w:t>
      </w:r>
      <w:proofErr w:type="gramStart"/>
      <w:r w:rsidRPr="008E2A97">
        <w:t>The Identification of Empirically Derrived Goals for Program Development in Environmental Interpretation.</w:t>
      </w:r>
      <w:proofErr w:type="gramEnd"/>
      <w:r w:rsidRPr="008E2A97">
        <w:t xml:space="preserve"> </w:t>
      </w:r>
      <w:r w:rsidRPr="003E336F">
        <w:rPr>
          <w:i/>
        </w:rPr>
        <w:t xml:space="preserve">Journal of Environmental Education, </w:t>
      </w:r>
      <w:r w:rsidRPr="008E2A97">
        <w:t xml:space="preserve">vol. 28, no. 3, s. 24-34. </w:t>
      </w:r>
      <w:proofErr w:type="gramStart"/>
      <w:r w:rsidRPr="008E2A97">
        <w:t>ISSN 0095-8964.</w:t>
      </w:r>
      <w:proofErr w:type="gramEnd"/>
    </w:p>
    <w:p w:rsidR="003E336F" w:rsidRPr="00E8461C" w:rsidRDefault="003E336F" w:rsidP="00B40CB9">
      <w:pPr>
        <w:spacing w:after="100" w:afterAutospacing="1"/>
        <w:jc w:val="both"/>
      </w:pPr>
      <w:r w:rsidRPr="00E8461C">
        <w:lastRenderedPageBreak/>
        <w:t xml:space="preserve">SOBEL, David. (2005) Place-Based Education: Connecting Classrooms &amp; Communities. Barrington: The Orion Society. </w:t>
      </w:r>
      <w:proofErr w:type="gramStart"/>
      <w:r w:rsidRPr="00E8461C">
        <w:t>ISBN 0-913098-55-8.</w:t>
      </w:r>
      <w:proofErr w:type="gramEnd"/>
    </w:p>
    <w:p w:rsidR="003E336F" w:rsidRPr="00E8461C" w:rsidRDefault="003E336F" w:rsidP="00B40CB9">
      <w:pPr>
        <w:spacing w:after="100" w:afterAutospacing="1"/>
        <w:jc w:val="both"/>
      </w:pPr>
      <w:proofErr w:type="gramStart"/>
      <w:r w:rsidRPr="00E8461C">
        <w:t>STONE, Michael K.; BARLOW, Zenobia.</w:t>
      </w:r>
      <w:proofErr w:type="gramEnd"/>
      <w:r w:rsidRPr="00E8461C">
        <w:t xml:space="preserve"> </w:t>
      </w:r>
      <w:proofErr w:type="gramStart"/>
      <w:r w:rsidRPr="00E8461C">
        <w:t>(2005). Ecological Literacy.</w:t>
      </w:r>
      <w:proofErr w:type="gramEnd"/>
      <w:r w:rsidRPr="00E8461C">
        <w:t xml:space="preserve"> </w:t>
      </w:r>
      <w:proofErr w:type="gramStart"/>
      <w:r w:rsidRPr="00E8461C">
        <w:t>Educating Our Children for a Sustainable World.</w:t>
      </w:r>
      <w:proofErr w:type="gramEnd"/>
      <w:r w:rsidRPr="00E8461C">
        <w:t xml:space="preserve"> San Francisco: Sierra Club Books. </w:t>
      </w:r>
      <w:proofErr w:type="gramStart"/>
      <w:r w:rsidRPr="00E8461C">
        <w:t>ISBN 1-57805-153-3.</w:t>
      </w:r>
      <w:proofErr w:type="gramEnd"/>
    </w:p>
    <w:p w:rsidR="003E336F" w:rsidRDefault="003E336F" w:rsidP="00B40CB9">
      <w:pPr>
        <w:spacing w:after="100" w:afterAutospacing="1"/>
        <w:jc w:val="both"/>
      </w:pPr>
      <w:proofErr w:type="gramStart"/>
      <w:r w:rsidRPr="00676867">
        <w:rPr>
          <w:caps/>
        </w:rPr>
        <w:t>Tilden</w:t>
      </w:r>
      <w:r w:rsidRPr="00E8461C">
        <w:t>, F. (2007) 4th edn ed. by Craig R. B. Interpreting Our Heritage.</w:t>
      </w:r>
      <w:proofErr w:type="gramEnd"/>
      <w:r w:rsidRPr="00E8461C">
        <w:t xml:space="preserve"> Chapel Hill: The University of North Carolina Press</w:t>
      </w:r>
    </w:p>
    <w:p w:rsidR="003E336F" w:rsidRPr="00E8461C" w:rsidRDefault="003E336F" w:rsidP="00B40CB9">
      <w:pPr>
        <w:jc w:val="both"/>
      </w:pPr>
    </w:p>
    <w:p w:rsidR="007660BF" w:rsidRDefault="00E8461C" w:rsidP="00B40CB9">
      <w:pPr>
        <w:pStyle w:val="Nadpis1"/>
        <w:jc w:val="both"/>
        <w:rPr>
          <w:rFonts w:eastAsia="Times New Roman"/>
          <w:lang w:eastAsia="cs-CZ"/>
        </w:rPr>
      </w:pPr>
      <w:r w:rsidRPr="00E8461C">
        <w:rPr>
          <w:rFonts w:eastAsia="Times New Roman"/>
          <w:lang w:eastAsia="cs-CZ"/>
        </w:rPr>
        <w:t>Snižování sociálního napětí</w:t>
      </w:r>
    </w:p>
    <w:p w:rsidR="00E8461C" w:rsidRPr="00E8461C" w:rsidRDefault="00E8461C" w:rsidP="00B40CB9">
      <w:pPr>
        <w:jc w:val="both"/>
        <w:rPr>
          <w:lang w:eastAsia="cs-CZ"/>
        </w:rPr>
      </w:pPr>
      <w:r>
        <w:rPr>
          <w:lang w:eastAsia="cs-CZ"/>
        </w:rPr>
        <w:t>Zpracoval: Jan Krajhanzl, Masarykova univerzita v Brně</w:t>
      </w:r>
    </w:p>
    <w:p w:rsidR="00E8461C" w:rsidRPr="00E8461C" w:rsidRDefault="00E8461C" w:rsidP="00B40CB9">
      <w:pPr>
        <w:pStyle w:val="Nadpis3"/>
        <w:jc w:val="both"/>
        <w:rPr>
          <w:rStyle w:val="Siln"/>
          <w:b/>
          <w:bCs/>
        </w:rPr>
      </w:pPr>
      <w:r w:rsidRPr="00E8461C">
        <w:rPr>
          <w:rStyle w:val="Siln"/>
          <w:b/>
          <w:bCs/>
        </w:rPr>
        <w:t>Odborné texty</w:t>
      </w:r>
    </w:p>
    <w:p w:rsidR="007660BF" w:rsidRPr="00E8461C" w:rsidRDefault="007660BF" w:rsidP="00B40CB9">
      <w:pPr>
        <w:pStyle w:val="Nadpis1"/>
        <w:spacing w:before="0" w:after="120"/>
        <w:jc w:val="both"/>
        <w:rPr>
          <w:rStyle w:val="commentbody"/>
          <w:b w:val="0"/>
          <w:color w:val="auto"/>
          <w:sz w:val="22"/>
          <w:szCs w:val="22"/>
        </w:rPr>
      </w:pPr>
      <w:r w:rsidRPr="00E8461C">
        <w:rPr>
          <w:rStyle w:val="Siln"/>
          <w:color w:val="auto"/>
          <w:sz w:val="22"/>
          <w:szCs w:val="22"/>
        </w:rPr>
        <w:t>DILLARD,</w:t>
      </w:r>
      <w:r w:rsidRPr="00E8461C">
        <w:rPr>
          <w:b w:val="0"/>
          <w:color w:val="auto"/>
          <w:sz w:val="22"/>
          <w:szCs w:val="22"/>
        </w:rPr>
        <w:t xml:space="preserve"> </w:t>
      </w:r>
      <w:r w:rsidRPr="00E8461C">
        <w:rPr>
          <w:rStyle w:val="Siln"/>
          <w:color w:val="auto"/>
          <w:sz w:val="22"/>
          <w:szCs w:val="22"/>
        </w:rPr>
        <w:t>Jesse</w:t>
      </w:r>
      <w:r w:rsidRPr="00E8461C">
        <w:rPr>
          <w:b w:val="0"/>
          <w:color w:val="auto"/>
          <w:sz w:val="22"/>
          <w:szCs w:val="22"/>
        </w:rPr>
        <w:t xml:space="preserve">, </w:t>
      </w:r>
      <w:r w:rsidRPr="00E8461C">
        <w:rPr>
          <w:rStyle w:val="Siln"/>
          <w:color w:val="auto"/>
          <w:sz w:val="22"/>
          <w:szCs w:val="22"/>
        </w:rPr>
        <w:t>DUJON, Veronica</w:t>
      </w:r>
      <w:r w:rsidRPr="00E8461C">
        <w:rPr>
          <w:b w:val="0"/>
          <w:color w:val="auto"/>
          <w:sz w:val="22"/>
          <w:szCs w:val="22"/>
        </w:rPr>
        <w:t xml:space="preserve">, </w:t>
      </w:r>
      <w:r w:rsidRPr="00E8461C">
        <w:rPr>
          <w:rStyle w:val="Siln"/>
          <w:color w:val="auto"/>
          <w:sz w:val="22"/>
          <w:szCs w:val="22"/>
        </w:rPr>
        <w:t xml:space="preserve">KING, Mary C. </w:t>
      </w:r>
      <w:r w:rsidRPr="00E8461C">
        <w:rPr>
          <w:b w:val="0"/>
          <w:i/>
          <w:color w:val="auto"/>
          <w:sz w:val="22"/>
          <w:szCs w:val="22"/>
        </w:rPr>
        <w:t xml:space="preserve">Understanding the Social Dimension of Sustainability. </w:t>
      </w:r>
      <w:proofErr w:type="gramStart"/>
      <w:r w:rsidRPr="00E8461C">
        <w:rPr>
          <w:b w:val="0"/>
          <w:color w:val="auto"/>
          <w:sz w:val="22"/>
          <w:szCs w:val="22"/>
        </w:rPr>
        <w:t>Taylor &amp; Francis, 2008.</w:t>
      </w:r>
      <w:proofErr w:type="gramEnd"/>
    </w:p>
    <w:p w:rsidR="007660BF" w:rsidRPr="00E8461C" w:rsidRDefault="007660BF" w:rsidP="00B40CB9">
      <w:pPr>
        <w:autoSpaceDE w:val="0"/>
        <w:autoSpaceDN w:val="0"/>
        <w:adjustRightInd w:val="0"/>
        <w:spacing w:after="120" w:line="240" w:lineRule="auto"/>
        <w:jc w:val="both"/>
      </w:pPr>
      <w:r w:rsidRPr="00E8461C">
        <w:rPr>
          <w:rStyle w:val="contributornametrigger"/>
        </w:rPr>
        <w:t>HOPKINS,</w:t>
      </w:r>
      <w:r w:rsidRPr="00E8461C">
        <w:t xml:space="preserve"> </w:t>
      </w:r>
      <w:r w:rsidRPr="00E8461C">
        <w:rPr>
          <w:rStyle w:val="contributornametrigger"/>
        </w:rPr>
        <w:t xml:space="preserve">Rob. </w:t>
      </w:r>
      <w:hyperlink r:id="rId23" w:history="1"/>
      <w:r w:rsidRPr="00E8461C">
        <w:rPr>
          <w:i/>
        </w:rPr>
        <w:t xml:space="preserve">The Transition Companion: Making Your Community More Resilient in Uncertain Times. </w:t>
      </w:r>
      <w:r w:rsidRPr="00E8461C">
        <w:t>Devon (UK</w:t>
      </w:r>
      <w:proofErr w:type="gramStart"/>
      <w:r w:rsidRPr="00E8461C">
        <w:t>) :</w:t>
      </w:r>
      <w:proofErr w:type="gramEnd"/>
      <w:r w:rsidRPr="00E8461C">
        <w:t xml:space="preserve"> Chelsea Green Publishing, 2011.</w:t>
      </w:r>
    </w:p>
    <w:p w:rsidR="007660BF" w:rsidRPr="00E8461C" w:rsidRDefault="007660BF" w:rsidP="00B40CB9">
      <w:pPr>
        <w:spacing w:after="120" w:line="240" w:lineRule="auto"/>
        <w:jc w:val="both"/>
        <w:rPr>
          <w:rFonts w:eastAsia="Times New Roman" w:cs="Times New Roman"/>
          <w:lang w:eastAsia="cs-CZ"/>
        </w:rPr>
      </w:pPr>
      <w:r w:rsidRPr="00E8461C">
        <w:rPr>
          <w:rFonts w:eastAsia="Times New Roman" w:cs="Times New Roman"/>
          <w:lang w:eastAsia="cs-CZ"/>
        </w:rPr>
        <w:t xml:space="preserve">JANSKÁ, Iva, HABART, Tomáš. </w:t>
      </w:r>
      <w:proofErr w:type="gramStart"/>
      <w:r w:rsidRPr="00E8461C">
        <w:rPr>
          <w:rFonts w:eastAsia="Times New Roman" w:cs="Times New Roman"/>
          <w:i/>
          <w:lang w:eastAsia="cs-CZ"/>
        </w:rPr>
        <w:t>Krok za krokem k inkluzi.</w:t>
      </w:r>
      <w:proofErr w:type="gramEnd"/>
      <w:r w:rsidRPr="00E8461C">
        <w:rPr>
          <w:rFonts w:eastAsia="Times New Roman" w:cs="Times New Roman"/>
          <w:i/>
          <w:lang w:eastAsia="cs-CZ"/>
        </w:rPr>
        <w:t xml:space="preserve"> </w:t>
      </w:r>
      <w:proofErr w:type="gramStart"/>
      <w:r w:rsidRPr="00E8461C">
        <w:rPr>
          <w:rFonts w:eastAsia="Times New Roman" w:cs="Times New Roman"/>
          <w:lang w:eastAsia="cs-CZ"/>
        </w:rPr>
        <w:t>Praha :</w:t>
      </w:r>
      <w:proofErr w:type="gramEnd"/>
      <w:r w:rsidRPr="00E8461C">
        <w:rPr>
          <w:rFonts w:eastAsia="Times New Roman" w:cs="Times New Roman"/>
          <w:lang w:eastAsia="cs-CZ"/>
        </w:rPr>
        <w:t xml:space="preserve"> Varianty, Člověk v tísni, 2010. Dostupné z WWW: </w:t>
      </w:r>
      <w:r w:rsidRPr="00E8461C">
        <w:rPr>
          <w:rFonts w:cs="Book Antiqua"/>
        </w:rPr>
        <w:t>&lt;http://varianty.cz/download/pdf/pdfs_49.pdf&gt;.</w:t>
      </w:r>
      <w:r w:rsidRPr="00E8461C">
        <w:rPr>
          <w:rFonts w:eastAsia="Times New Roman" w:cs="Times New Roman"/>
          <w:lang w:eastAsia="cs-CZ"/>
        </w:rPr>
        <w:t>http://www.varianty.cz/download/pdf/pdfs_84.pdf</w:t>
      </w:r>
      <w:r w:rsidRPr="00E8461C">
        <w:rPr>
          <w:rFonts w:cs="Book Antiqua"/>
        </w:rPr>
        <w:t>&gt;.</w:t>
      </w:r>
    </w:p>
    <w:p w:rsidR="007660BF" w:rsidRPr="00E8461C" w:rsidRDefault="007660BF" w:rsidP="00B40CB9">
      <w:pPr>
        <w:spacing w:after="120" w:line="240" w:lineRule="auto"/>
        <w:jc w:val="both"/>
        <w:rPr>
          <w:rFonts w:eastAsia="Times New Roman" w:cs="Times New Roman"/>
          <w:lang w:eastAsia="cs-CZ"/>
        </w:rPr>
      </w:pPr>
      <w:proofErr w:type="gramStart"/>
      <w:r w:rsidRPr="00E8461C">
        <w:rPr>
          <w:rFonts w:eastAsia="Times New Roman" w:cs="Times New Roman"/>
          <w:lang w:eastAsia="cs-CZ"/>
        </w:rPr>
        <w:t xml:space="preserve">KLÍMA, Petr (ed.) </w:t>
      </w:r>
      <w:r w:rsidRPr="00E8461C">
        <w:rPr>
          <w:rFonts w:eastAsia="Times New Roman" w:cs="Times New Roman"/>
          <w:i/>
          <w:lang w:eastAsia="cs-CZ"/>
        </w:rPr>
        <w:t>Kontaktní práce.</w:t>
      </w:r>
      <w:proofErr w:type="gramEnd"/>
      <w:r w:rsidRPr="00E8461C">
        <w:rPr>
          <w:rFonts w:eastAsia="Times New Roman" w:cs="Times New Roman"/>
          <w:lang w:eastAsia="cs-CZ"/>
        </w:rPr>
        <w:t xml:space="preserve"> </w:t>
      </w:r>
      <w:proofErr w:type="gramStart"/>
      <w:r w:rsidRPr="00E8461C">
        <w:rPr>
          <w:rFonts w:eastAsia="Times New Roman" w:cs="Times New Roman"/>
          <w:lang w:eastAsia="cs-CZ"/>
        </w:rPr>
        <w:t>Praha :</w:t>
      </w:r>
      <w:proofErr w:type="gramEnd"/>
      <w:r w:rsidRPr="00E8461C">
        <w:rPr>
          <w:rFonts w:eastAsia="Times New Roman" w:cs="Times New Roman"/>
          <w:lang w:eastAsia="cs-CZ"/>
        </w:rPr>
        <w:t xml:space="preserve"> Česká asociace streetwork a Národní vzdělávací fond - CEKAS, 2007. </w:t>
      </w:r>
    </w:p>
    <w:p w:rsidR="007660BF" w:rsidRPr="00E8461C" w:rsidRDefault="007660BF" w:rsidP="00B40CB9">
      <w:pPr>
        <w:spacing w:after="120" w:line="240" w:lineRule="auto"/>
        <w:jc w:val="both"/>
        <w:rPr>
          <w:rStyle w:val="commentbody"/>
          <w:rFonts w:eastAsia="Times New Roman" w:cs="Times New Roman"/>
          <w:lang w:eastAsia="cs-CZ"/>
        </w:rPr>
      </w:pPr>
      <w:r w:rsidRPr="00E8461C">
        <w:rPr>
          <w:rStyle w:val="commentbody"/>
          <w:rFonts w:eastAsia="Times New Roman" w:cs="Times New Roman"/>
          <w:lang w:eastAsia="cs-CZ"/>
        </w:rPr>
        <w:t xml:space="preserve">MANZI, Tony, LUCAS, Karen, JONES, Tony Lloyd, ALLEN, Judith (eds.) </w:t>
      </w:r>
      <w:r w:rsidRPr="00E8461C">
        <w:rPr>
          <w:rStyle w:val="commentbody"/>
          <w:rFonts w:eastAsia="Times New Roman" w:cs="Times New Roman"/>
          <w:i/>
          <w:lang w:eastAsia="cs-CZ"/>
        </w:rPr>
        <w:t>Social Sustainability in Urban Areas: Communities, Connectivity and the Urban Fabric.</w:t>
      </w:r>
      <w:r w:rsidRPr="00E8461C">
        <w:rPr>
          <w:rStyle w:val="commentbody"/>
          <w:rFonts w:eastAsia="Times New Roman" w:cs="Times New Roman"/>
          <w:lang w:eastAsia="cs-CZ"/>
        </w:rPr>
        <w:t xml:space="preserve"> </w:t>
      </w:r>
      <w:proofErr w:type="gramStart"/>
      <w:r w:rsidRPr="00E8461C">
        <w:rPr>
          <w:rStyle w:val="commentbody"/>
          <w:rFonts w:eastAsia="Times New Roman" w:cs="Times New Roman"/>
          <w:lang w:eastAsia="cs-CZ"/>
        </w:rPr>
        <w:t>Routledge, 2010.</w:t>
      </w:r>
      <w:proofErr w:type="gramEnd"/>
    </w:p>
    <w:p w:rsidR="007660BF" w:rsidRPr="00E8461C" w:rsidRDefault="007660BF" w:rsidP="00B40CB9">
      <w:pPr>
        <w:spacing w:after="120" w:line="240" w:lineRule="auto"/>
        <w:jc w:val="both"/>
        <w:rPr>
          <w:rFonts w:cs="Book Antiqua"/>
        </w:rPr>
      </w:pPr>
      <w:proofErr w:type="gramStart"/>
      <w:r w:rsidRPr="00E8461C">
        <w:rPr>
          <w:rFonts w:eastAsia="Times New Roman" w:cs="Times New Roman"/>
          <w:lang w:eastAsia="cs-CZ"/>
        </w:rPr>
        <w:t xml:space="preserve">NIKOLAI, Tomáš (ed.) </w:t>
      </w:r>
      <w:r w:rsidRPr="00E8461C">
        <w:rPr>
          <w:rFonts w:eastAsia="Times New Roman" w:cs="Times New Roman"/>
          <w:i/>
          <w:lang w:eastAsia="cs-CZ"/>
        </w:rPr>
        <w:t>Příběhy ze špatné čtvrti aneb jak pracovat s tématem segregace nejen ve školství.</w:t>
      </w:r>
      <w:proofErr w:type="gramEnd"/>
      <w:r w:rsidRPr="00E8461C">
        <w:rPr>
          <w:rFonts w:eastAsia="Times New Roman" w:cs="Times New Roman"/>
          <w:i/>
          <w:lang w:eastAsia="cs-CZ"/>
        </w:rPr>
        <w:t xml:space="preserve"> </w:t>
      </w:r>
      <w:proofErr w:type="gramStart"/>
      <w:r w:rsidRPr="00E8461C">
        <w:rPr>
          <w:rFonts w:eastAsia="Times New Roman" w:cs="Times New Roman"/>
          <w:lang w:eastAsia="cs-CZ"/>
        </w:rPr>
        <w:t>Praha :</w:t>
      </w:r>
      <w:proofErr w:type="gramEnd"/>
      <w:r w:rsidRPr="00E8461C">
        <w:rPr>
          <w:rFonts w:eastAsia="Times New Roman" w:cs="Times New Roman"/>
          <w:lang w:eastAsia="cs-CZ"/>
        </w:rPr>
        <w:t xml:space="preserve"> Člověk v tísni, 2007. Dostupné z WWW: </w:t>
      </w:r>
      <w:r w:rsidRPr="00E8461C">
        <w:rPr>
          <w:rFonts w:cs="Book Antiqua"/>
        </w:rPr>
        <w:t>&lt;http://varianty.cz/download/pdf/pdfs_49.pdf&gt;.</w:t>
      </w:r>
    </w:p>
    <w:p w:rsidR="007660BF" w:rsidRPr="00E8461C" w:rsidRDefault="007660BF" w:rsidP="00B40CB9">
      <w:pPr>
        <w:autoSpaceDE w:val="0"/>
        <w:autoSpaceDN w:val="0"/>
        <w:adjustRightInd w:val="0"/>
        <w:spacing w:after="120" w:line="240" w:lineRule="auto"/>
        <w:jc w:val="both"/>
        <w:rPr>
          <w:rStyle w:val="commentbody"/>
        </w:rPr>
      </w:pPr>
      <w:r w:rsidRPr="00E8461C">
        <w:rPr>
          <w:rStyle w:val="commentbody"/>
        </w:rPr>
        <w:t>RATCLIFFE, Peter, NEWMAN, Ines (</w:t>
      </w:r>
      <w:proofErr w:type="gramStart"/>
      <w:r w:rsidRPr="00E8461C">
        <w:rPr>
          <w:rStyle w:val="commentbody"/>
        </w:rPr>
        <w:t>ed</w:t>
      </w:r>
      <w:proofErr w:type="gramEnd"/>
      <w:r w:rsidRPr="00E8461C">
        <w:rPr>
          <w:rStyle w:val="commentbody"/>
        </w:rPr>
        <w:t xml:space="preserve">.). </w:t>
      </w:r>
      <w:proofErr w:type="gramStart"/>
      <w:r w:rsidRPr="00E8461C">
        <w:rPr>
          <w:rStyle w:val="commentbody"/>
          <w:i/>
        </w:rPr>
        <w:t>Promoting social cohesion: Implications for policy and evaluation.</w:t>
      </w:r>
      <w:proofErr w:type="gramEnd"/>
      <w:r w:rsidRPr="00E8461C">
        <w:rPr>
          <w:rStyle w:val="commentbody"/>
        </w:rPr>
        <w:t xml:space="preserve"> Bristol (UK): </w:t>
      </w:r>
      <w:r w:rsidRPr="00E8461C">
        <w:t>Policy Press, 2011.</w:t>
      </w:r>
    </w:p>
    <w:p w:rsidR="007660BF" w:rsidRPr="00E8461C" w:rsidRDefault="007660BF" w:rsidP="00B40CB9">
      <w:pPr>
        <w:autoSpaceDE w:val="0"/>
        <w:autoSpaceDN w:val="0"/>
        <w:adjustRightInd w:val="0"/>
        <w:spacing w:after="120" w:line="240" w:lineRule="auto"/>
        <w:jc w:val="both"/>
        <w:rPr>
          <w:rStyle w:val="commentbody"/>
        </w:rPr>
      </w:pPr>
      <w:proofErr w:type="gramStart"/>
      <w:r w:rsidRPr="00E8461C">
        <w:rPr>
          <w:rFonts w:eastAsia="TimesNewRomanPSMT" w:cs="TimesNewRomanPSMT"/>
        </w:rPr>
        <w:t>TUNA, Aija, HAYDEN, Jacqueline.</w:t>
      </w:r>
      <w:proofErr w:type="gramEnd"/>
      <w:r w:rsidRPr="00E8461C">
        <w:rPr>
          <w:rFonts w:eastAsia="TimesNewRomanPSMT" w:cs="TimesNewRomanPSMT"/>
        </w:rPr>
        <w:t xml:space="preserve"> </w:t>
      </w:r>
      <w:r w:rsidRPr="00E8461C">
        <w:rPr>
          <w:rStyle w:val="commentbody"/>
          <w:i/>
        </w:rPr>
        <w:t>Early Childhood Programs as the Doorway to Social Cohesion: Application of Vygotsky’s Ideas from an East–West Perspective.</w:t>
      </w:r>
      <w:r w:rsidRPr="00E8461C">
        <w:rPr>
          <w:rStyle w:val="commentbody"/>
        </w:rPr>
        <w:t xml:space="preserve"> </w:t>
      </w:r>
      <w:r w:rsidRPr="00E8461C">
        <w:rPr>
          <w:rFonts w:eastAsia="TimesNewRomanPSMT" w:cs="TimesNewRomanPSMT"/>
        </w:rPr>
        <w:t xml:space="preserve">Newcastle upon Tyne: </w:t>
      </w:r>
      <w:r w:rsidRPr="00E8461C">
        <w:rPr>
          <w:rStyle w:val="commentbody"/>
        </w:rPr>
        <w:t>Cambridge Scholars Publishing, 2010.</w:t>
      </w:r>
    </w:p>
    <w:p w:rsidR="007660BF" w:rsidRPr="00E8461C" w:rsidRDefault="007660BF" w:rsidP="00B40CB9">
      <w:pPr>
        <w:spacing w:after="120" w:line="240" w:lineRule="auto"/>
        <w:jc w:val="both"/>
        <w:rPr>
          <w:rStyle w:val="commentbody"/>
          <w:rFonts w:eastAsia="Times New Roman" w:cs="Times New Roman"/>
          <w:lang w:eastAsia="cs-CZ"/>
        </w:rPr>
      </w:pPr>
      <w:r w:rsidRPr="00E8461C">
        <w:rPr>
          <w:rStyle w:val="commentbody"/>
          <w:rFonts w:eastAsia="Times New Roman" w:cs="Times New Roman"/>
          <w:lang w:eastAsia="cs-CZ"/>
        </w:rPr>
        <w:t xml:space="preserve">VYKOPALOVÁ, Hana. </w:t>
      </w:r>
      <w:proofErr w:type="gramStart"/>
      <w:r w:rsidRPr="00E8461C">
        <w:rPr>
          <w:rStyle w:val="commentbody"/>
          <w:rFonts w:eastAsia="Times New Roman" w:cs="Times New Roman"/>
          <w:i/>
          <w:lang w:eastAsia="cs-CZ"/>
        </w:rPr>
        <w:t>Sociálně patologické jevy v současné společnosti.</w:t>
      </w:r>
      <w:proofErr w:type="gramEnd"/>
      <w:r w:rsidRPr="00E8461C">
        <w:rPr>
          <w:rStyle w:val="commentbody"/>
          <w:rFonts w:eastAsia="Times New Roman" w:cs="Times New Roman"/>
          <w:lang w:eastAsia="cs-CZ"/>
        </w:rPr>
        <w:t xml:space="preserve"> </w:t>
      </w:r>
      <w:proofErr w:type="gramStart"/>
      <w:r w:rsidRPr="00E8461C">
        <w:rPr>
          <w:rStyle w:val="commentbody"/>
          <w:rFonts w:eastAsia="Times New Roman" w:cs="Times New Roman"/>
          <w:lang w:eastAsia="cs-CZ"/>
        </w:rPr>
        <w:t>Olomouc :</w:t>
      </w:r>
      <w:proofErr w:type="gramEnd"/>
      <w:r w:rsidRPr="00E8461C">
        <w:rPr>
          <w:rStyle w:val="commentbody"/>
          <w:rFonts w:eastAsia="Times New Roman" w:cs="Times New Roman"/>
          <w:lang w:eastAsia="cs-CZ"/>
        </w:rPr>
        <w:t xml:space="preserve"> Univerzita Palackého, 2001.</w:t>
      </w:r>
    </w:p>
    <w:p w:rsidR="007660BF" w:rsidRPr="00E8461C" w:rsidRDefault="007660BF" w:rsidP="00B40CB9">
      <w:pPr>
        <w:spacing w:after="120" w:line="240" w:lineRule="auto"/>
        <w:jc w:val="both"/>
        <w:rPr>
          <w:rStyle w:val="commentbody"/>
          <w:rFonts w:eastAsia="Times New Roman" w:cs="Times New Roman"/>
          <w:lang w:eastAsia="cs-CZ"/>
        </w:rPr>
      </w:pPr>
    </w:p>
    <w:p w:rsidR="007660BF" w:rsidRPr="00E8461C" w:rsidRDefault="007660BF" w:rsidP="00B40CB9">
      <w:pPr>
        <w:pStyle w:val="Nadpis3"/>
        <w:jc w:val="both"/>
        <w:rPr>
          <w:rStyle w:val="commentbody"/>
        </w:rPr>
      </w:pPr>
      <w:r w:rsidRPr="00E8461C">
        <w:rPr>
          <w:rStyle w:val="commentbody"/>
        </w:rPr>
        <w:t xml:space="preserve">Metodické náměty </w:t>
      </w:r>
    </w:p>
    <w:p w:rsidR="007660BF" w:rsidRPr="00E8461C" w:rsidRDefault="007660BF" w:rsidP="00B40CB9">
      <w:pPr>
        <w:autoSpaceDE w:val="0"/>
        <w:autoSpaceDN w:val="0"/>
        <w:adjustRightInd w:val="0"/>
        <w:spacing w:after="120" w:line="240" w:lineRule="auto"/>
        <w:jc w:val="both"/>
        <w:rPr>
          <w:rStyle w:val="commentbody"/>
        </w:rPr>
      </w:pPr>
      <w:proofErr w:type="gramStart"/>
      <w:r w:rsidRPr="00E8461C">
        <w:rPr>
          <w:rStyle w:val="commentbody"/>
        </w:rPr>
        <w:t>ČERMÁKOVÁ, Jarmila H., RABIŇÁKOVÁ, Dana, STÖHROVÁ, Helena, ŠIŠKOVÁ, Tatjana.</w:t>
      </w:r>
      <w:proofErr w:type="gramEnd"/>
      <w:r w:rsidRPr="00E8461C">
        <w:rPr>
          <w:rStyle w:val="commentbody"/>
        </w:rPr>
        <w:t xml:space="preserve"> </w:t>
      </w:r>
      <w:r w:rsidRPr="00E8461C">
        <w:rPr>
          <w:rStyle w:val="commentbody"/>
          <w:i/>
        </w:rPr>
        <w:t xml:space="preserve">Ty + já = kamarádi. </w:t>
      </w:r>
      <w:r w:rsidRPr="00E8461C">
        <w:rPr>
          <w:rStyle w:val="commentbody"/>
        </w:rPr>
        <w:t xml:space="preserve">Praha: </w:t>
      </w:r>
      <w:r w:rsidRPr="00E8461C">
        <w:t>ISV nakladatelství, 2000.</w:t>
      </w:r>
    </w:p>
    <w:p w:rsidR="007660BF" w:rsidRPr="00E8461C" w:rsidRDefault="007660BF" w:rsidP="00B40CB9">
      <w:pPr>
        <w:autoSpaceDE w:val="0"/>
        <w:autoSpaceDN w:val="0"/>
        <w:adjustRightInd w:val="0"/>
        <w:spacing w:after="120" w:line="240" w:lineRule="auto"/>
        <w:jc w:val="both"/>
        <w:rPr>
          <w:rFonts w:cs="Book Antiqua"/>
        </w:rPr>
      </w:pPr>
      <w:r w:rsidRPr="00E8461C">
        <w:rPr>
          <w:rStyle w:val="commentbody"/>
        </w:rPr>
        <w:t xml:space="preserve">DOBIÁŠOVÁ, Klára, HORŇÁKOVÁ, Lucie. </w:t>
      </w:r>
      <w:r w:rsidRPr="00E8461C">
        <w:rPr>
          <w:rStyle w:val="commentbody"/>
          <w:i/>
        </w:rPr>
        <w:t xml:space="preserve">Exran: Aktivity zaměřené </w:t>
      </w:r>
      <w:proofErr w:type="gramStart"/>
      <w:r w:rsidRPr="00E8461C">
        <w:rPr>
          <w:rStyle w:val="commentbody"/>
          <w:i/>
        </w:rPr>
        <w:t>na</w:t>
      </w:r>
      <w:proofErr w:type="gramEnd"/>
      <w:r w:rsidRPr="00E8461C">
        <w:rPr>
          <w:rStyle w:val="commentbody"/>
          <w:i/>
        </w:rPr>
        <w:t xml:space="preserve"> témata xenofobie, rasismu, extremismu, neonacismu a antisemitismu.</w:t>
      </w:r>
      <w:r w:rsidRPr="00E8461C">
        <w:rPr>
          <w:rStyle w:val="commentbody"/>
        </w:rPr>
        <w:t xml:space="preserve"> </w:t>
      </w:r>
      <w:proofErr w:type="gramStart"/>
      <w:r w:rsidRPr="00E8461C">
        <w:rPr>
          <w:rStyle w:val="commentbody"/>
        </w:rPr>
        <w:t>Brno :</w:t>
      </w:r>
      <w:proofErr w:type="gramEnd"/>
      <w:r w:rsidRPr="00E8461C">
        <w:rPr>
          <w:rStyle w:val="commentbody"/>
        </w:rPr>
        <w:t xml:space="preserve"> Diecézní charita Brno, 2011. Dostupné z WWW: </w:t>
      </w:r>
      <w:r w:rsidRPr="00E8461C">
        <w:rPr>
          <w:rFonts w:cs="Book Antiqua"/>
        </w:rPr>
        <w:t>&lt;</w:t>
      </w:r>
      <w:r w:rsidRPr="00E8461C">
        <w:t>http://celsuz.cz/res/data/002/000395.pdf?seek=1327676721</w:t>
      </w:r>
      <w:r w:rsidRPr="00E8461C">
        <w:rPr>
          <w:rFonts w:cs="Book Antiqua"/>
        </w:rPr>
        <w:t>&gt;.</w:t>
      </w:r>
    </w:p>
    <w:p w:rsidR="007660BF" w:rsidRPr="00E8461C" w:rsidRDefault="007660BF" w:rsidP="00B40CB9">
      <w:pPr>
        <w:spacing w:after="120" w:line="240" w:lineRule="auto"/>
        <w:jc w:val="both"/>
        <w:rPr>
          <w:rFonts w:eastAsia="Times New Roman" w:cs="Times New Roman"/>
          <w:lang w:eastAsia="cs-CZ"/>
        </w:rPr>
      </w:pPr>
      <w:r w:rsidRPr="00E8461C">
        <w:rPr>
          <w:rFonts w:eastAsia="Times New Roman" w:cs="Times New Roman"/>
          <w:lang w:eastAsia="cs-CZ"/>
        </w:rPr>
        <w:lastRenderedPageBreak/>
        <w:t xml:space="preserve">GOLLOB, Rolf, KRAPF, Peter, WEIDINGER, Wiltrud. </w:t>
      </w:r>
      <w:r w:rsidRPr="00E8461C">
        <w:rPr>
          <w:rFonts w:eastAsia="Times New Roman" w:cs="Times New Roman"/>
          <w:i/>
          <w:lang w:eastAsia="cs-CZ"/>
        </w:rPr>
        <w:t>EDC/HRE Volume II: Growing up in democracy - Lesson plans for primary level on democratic citizenship and human rights.</w:t>
      </w:r>
      <w:r w:rsidRPr="00E8461C">
        <w:rPr>
          <w:rFonts w:eastAsia="Times New Roman" w:cs="Times New Roman"/>
          <w:lang w:eastAsia="cs-CZ"/>
        </w:rPr>
        <w:t xml:space="preserve"> </w:t>
      </w:r>
      <w:proofErr w:type="gramStart"/>
      <w:r w:rsidRPr="00E8461C">
        <w:rPr>
          <w:rFonts w:eastAsia="Times New Roman" w:cs="Times New Roman"/>
          <w:lang w:eastAsia="cs-CZ"/>
        </w:rPr>
        <w:t>Council of Europe, 2010.</w:t>
      </w:r>
      <w:proofErr w:type="gramEnd"/>
      <w:r w:rsidRPr="00E8461C">
        <w:rPr>
          <w:rFonts w:eastAsia="Times New Roman" w:cs="Times New Roman"/>
          <w:lang w:eastAsia="cs-CZ"/>
        </w:rPr>
        <w:t xml:space="preserve"> </w:t>
      </w:r>
    </w:p>
    <w:p w:rsidR="007660BF" w:rsidRPr="00E8461C" w:rsidRDefault="007660BF" w:rsidP="00B40CB9">
      <w:pPr>
        <w:spacing w:after="120" w:line="240" w:lineRule="auto"/>
        <w:jc w:val="both"/>
      </w:pPr>
      <w:r w:rsidRPr="00E8461C">
        <w:t>HRADEČNÁ, Blanka, TOLLAROVÁ, Marie (</w:t>
      </w:r>
      <w:proofErr w:type="gramStart"/>
      <w:r w:rsidRPr="00E8461C">
        <w:t>ed</w:t>
      </w:r>
      <w:proofErr w:type="gramEnd"/>
      <w:r w:rsidRPr="00E8461C">
        <w:t xml:space="preserve">.). </w:t>
      </w:r>
      <w:r w:rsidRPr="00E8461C">
        <w:rPr>
          <w:i/>
        </w:rPr>
        <w:t xml:space="preserve">Jsme lidé jedné Země: Metodika k projektu prevence rasismu a xenofobie. </w:t>
      </w:r>
      <w:proofErr w:type="gramStart"/>
      <w:r w:rsidRPr="00E8461C">
        <w:t>Organizace pro pomoc uprchlíkům, 2011.</w:t>
      </w:r>
      <w:proofErr w:type="gramEnd"/>
      <w:r w:rsidRPr="00E8461C">
        <w:t xml:space="preserve"> </w:t>
      </w:r>
      <w:r w:rsidRPr="00E8461C">
        <w:rPr>
          <w:rStyle w:val="commentbody"/>
        </w:rPr>
        <w:t xml:space="preserve">Dostupné z WWW: </w:t>
      </w:r>
      <w:r w:rsidRPr="00E8461C">
        <w:rPr>
          <w:rFonts w:cs="Book Antiqua"/>
        </w:rPr>
        <w:t>&lt;</w:t>
      </w:r>
      <w:r w:rsidRPr="00E8461C">
        <w:t>https://docs.google.com/file/d/0B3sxipBcnOlDZjExOWZmY2YtNzFkNS00OWI5LWI0NjUtYWUwNzBhODE2ODRl/edit</w:t>
      </w:r>
      <w:r w:rsidRPr="00E8461C">
        <w:rPr>
          <w:rFonts w:cs="Book Antiqua"/>
        </w:rPr>
        <w:t>&gt;.</w:t>
      </w:r>
    </w:p>
    <w:p w:rsidR="007660BF" w:rsidRPr="00E8461C" w:rsidRDefault="007660BF" w:rsidP="00B40CB9">
      <w:pPr>
        <w:autoSpaceDE w:val="0"/>
        <w:autoSpaceDN w:val="0"/>
        <w:adjustRightInd w:val="0"/>
        <w:spacing w:after="120" w:line="240" w:lineRule="auto"/>
        <w:jc w:val="both"/>
        <w:rPr>
          <w:rFonts w:cs="Book Antiqua"/>
        </w:rPr>
      </w:pPr>
      <w:r w:rsidRPr="00E8461C">
        <w:t xml:space="preserve">KREJSOVÁ, Hana, REJŠKOVÁ, Tereza. </w:t>
      </w:r>
      <w:r w:rsidRPr="00E8461C">
        <w:rPr>
          <w:i/>
        </w:rPr>
        <w:t>Stereotýpek v nás: Interkulturní seminář (metodika).</w:t>
      </w:r>
      <w:r w:rsidRPr="00E8461C">
        <w:t xml:space="preserve"> </w:t>
      </w:r>
      <w:r w:rsidRPr="00E8461C">
        <w:rPr>
          <w:rStyle w:val="commentbody"/>
        </w:rPr>
        <w:t xml:space="preserve">Dostupné z WWW: </w:t>
      </w:r>
      <w:r w:rsidRPr="00E8461C">
        <w:rPr>
          <w:rFonts w:cs="Book Antiqua"/>
        </w:rPr>
        <w:t>&lt;</w:t>
      </w:r>
      <w:r w:rsidRPr="00E8461C">
        <w:t>http://stereotypek.mkc.cz/ckfinder/userfiles/files/metodika%20IKS%20new.pdf</w:t>
      </w:r>
      <w:r w:rsidRPr="00E8461C">
        <w:rPr>
          <w:rFonts w:cs="Book Antiqua"/>
        </w:rPr>
        <w:t>&gt;.</w:t>
      </w:r>
    </w:p>
    <w:p w:rsidR="007660BF" w:rsidRPr="00E8461C" w:rsidRDefault="007660BF" w:rsidP="00B40CB9">
      <w:pPr>
        <w:spacing w:after="120" w:line="240" w:lineRule="auto"/>
        <w:jc w:val="both"/>
        <w:rPr>
          <w:rFonts w:eastAsia="Times New Roman" w:cs="Times New Roman"/>
          <w:lang w:eastAsia="cs-CZ"/>
        </w:rPr>
      </w:pPr>
      <w:proofErr w:type="gramStart"/>
      <w:r w:rsidRPr="00E8461C">
        <w:rPr>
          <w:rFonts w:eastAsia="Times New Roman" w:cs="Times New Roman"/>
          <w:lang w:eastAsia="cs-CZ"/>
        </w:rPr>
        <w:t xml:space="preserve">MOREE, Dana (ed.) </w:t>
      </w:r>
      <w:r w:rsidRPr="00E8461C">
        <w:rPr>
          <w:rFonts w:eastAsia="Times New Roman" w:cs="Times New Roman"/>
          <w:i/>
          <w:lang w:eastAsia="cs-CZ"/>
        </w:rPr>
        <w:t>CzechKid.</w:t>
      </w:r>
      <w:proofErr w:type="gramEnd"/>
      <w:r w:rsidRPr="00E8461C">
        <w:rPr>
          <w:rStyle w:val="commentbody"/>
        </w:rPr>
        <w:t xml:space="preserve"> Dostupné z WWW: </w:t>
      </w:r>
      <w:r w:rsidRPr="00E8461C">
        <w:rPr>
          <w:rFonts w:cs="Book Antiqua"/>
        </w:rPr>
        <w:t>&lt;</w:t>
      </w:r>
      <w:r w:rsidRPr="00E8461C">
        <w:rPr>
          <w:rFonts w:eastAsia="Times New Roman" w:cs="Times New Roman"/>
          <w:lang w:eastAsia="cs-CZ"/>
        </w:rPr>
        <w:t xml:space="preserve">. </w:t>
      </w:r>
      <w:proofErr w:type="gramStart"/>
      <w:r w:rsidRPr="00E8461C">
        <w:rPr>
          <w:rFonts w:eastAsia="Times New Roman" w:cs="Times New Roman"/>
          <w:lang w:eastAsia="cs-CZ"/>
        </w:rPr>
        <w:t>http://www.czechkid.cz</w:t>
      </w:r>
      <w:r w:rsidRPr="00E8461C">
        <w:rPr>
          <w:rFonts w:cs="Book Antiqua"/>
        </w:rPr>
        <w:t>&gt;.</w:t>
      </w:r>
      <w:proofErr w:type="gramEnd"/>
    </w:p>
    <w:p w:rsidR="007660BF" w:rsidRPr="00E8461C" w:rsidRDefault="007660BF" w:rsidP="00B40CB9">
      <w:pPr>
        <w:spacing w:after="120" w:line="240" w:lineRule="auto"/>
        <w:jc w:val="both"/>
        <w:rPr>
          <w:rFonts w:eastAsia="Times New Roman" w:cs="Times New Roman"/>
          <w:lang w:eastAsia="cs-CZ"/>
        </w:rPr>
      </w:pPr>
      <w:r w:rsidRPr="00E8461C">
        <w:rPr>
          <w:rFonts w:eastAsia="Times New Roman" w:cs="Times New Roman"/>
          <w:lang w:eastAsia="cs-CZ"/>
        </w:rPr>
        <w:t xml:space="preserve">MIČENKA, Marek et al. </w:t>
      </w:r>
      <w:r w:rsidRPr="00E8461C">
        <w:rPr>
          <w:rFonts w:eastAsia="Times New Roman" w:cs="Times New Roman"/>
          <w:i/>
          <w:lang w:eastAsia="cs-CZ"/>
        </w:rPr>
        <w:t>Naši sousedé: manuál a DVD pro učitele.</w:t>
      </w:r>
      <w:r w:rsidRPr="00E8461C">
        <w:rPr>
          <w:rFonts w:eastAsia="Times New Roman" w:cs="Times New Roman"/>
          <w:lang w:eastAsia="cs-CZ"/>
        </w:rPr>
        <w:t xml:space="preserve"> </w:t>
      </w:r>
      <w:proofErr w:type="gramStart"/>
      <w:r w:rsidRPr="00E8461C">
        <w:rPr>
          <w:rFonts w:eastAsia="Times New Roman" w:cs="Times New Roman"/>
          <w:lang w:eastAsia="cs-CZ"/>
        </w:rPr>
        <w:t>Praha :</w:t>
      </w:r>
      <w:proofErr w:type="gramEnd"/>
      <w:r w:rsidRPr="00E8461C">
        <w:rPr>
          <w:rFonts w:eastAsia="Times New Roman" w:cs="Times New Roman"/>
          <w:lang w:eastAsia="cs-CZ"/>
        </w:rPr>
        <w:t xml:space="preserve"> Partners Czech, 2007.</w:t>
      </w:r>
    </w:p>
    <w:p w:rsidR="007660BF" w:rsidRPr="00E8461C" w:rsidRDefault="007660BF" w:rsidP="00B40CB9">
      <w:pPr>
        <w:spacing w:after="120" w:line="240" w:lineRule="auto"/>
        <w:jc w:val="both"/>
        <w:rPr>
          <w:rStyle w:val="commentbody"/>
        </w:rPr>
      </w:pPr>
      <w:r w:rsidRPr="00E8461C">
        <w:t xml:space="preserve">NÁDVORNÍK, Ondřej, CHÁRA, Petr. </w:t>
      </w:r>
      <w:r w:rsidRPr="00E8461C">
        <w:rPr>
          <w:i/>
        </w:rPr>
        <w:t>Bohouš a Dáša proti chudobě.</w:t>
      </w:r>
      <w:r w:rsidRPr="00E8461C">
        <w:t xml:space="preserve"> </w:t>
      </w:r>
      <w:proofErr w:type="gramStart"/>
      <w:r w:rsidRPr="00E8461C">
        <w:t>Praha :</w:t>
      </w:r>
      <w:proofErr w:type="gramEnd"/>
      <w:r w:rsidRPr="00E8461C">
        <w:t xml:space="preserve"> Varianty, Člověk v tísni, o.p.s., 2006. Příručka dostupná z www: &lt;http://www.varianty.cz/download/pdf/pdfs_1.pdf&gt;.</w:t>
      </w:r>
    </w:p>
    <w:p w:rsidR="007660BF" w:rsidRPr="00E8461C" w:rsidRDefault="007660BF" w:rsidP="00B40CB9">
      <w:pPr>
        <w:spacing w:after="120" w:line="240" w:lineRule="auto"/>
        <w:jc w:val="both"/>
        <w:rPr>
          <w:rStyle w:val="commentbody"/>
        </w:rPr>
      </w:pPr>
      <w:r w:rsidRPr="00E8461C">
        <w:rPr>
          <w:rStyle w:val="commentbody"/>
        </w:rPr>
        <w:t xml:space="preserve">PIKE, Graham, SELBY, David. </w:t>
      </w:r>
      <w:proofErr w:type="gramStart"/>
      <w:r w:rsidRPr="00E8461C">
        <w:rPr>
          <w:rStyle w:val="commentbody"/>
          <w:i/>
        </w:rPr>
        <w:t>Cvičení a hry pro globální výchovu 1.</w:t>
      </w:r>
      <w:proofErr w:type="gramEnd"/>
      <w:r w:rsidRPr="00E8461C">
        <w:rPr>
          <w:rStyle w:val="commentbody"/>
        </w:rPr>
        <w:t xml:space="preserve"> </w:t>
      </w:r>
      <w:proofErr w:type="gramStart"/>
      <w:r w:rsidRPr="00E8461C">
        <w:rPr>
          <w:rStyle w:val="commentbody"/>
        </w:rPr>
        <w:t>Praha :</w:t>
      </w:r>
      <w:proofErr w:type="gramEnd"/>
      <w:r w:rsidRPr="00E8461C">
        <w:rPr>
          <w:rStyle w:val="commentbody"/>
        </w:rPr>
        <w:t xml:space="preserve"> Portál, 2009.</w:t>
      </w:r>
    </w:p>
    <w:p w:rsidR="007660BF" w:rsidRPr="00E8461C" w:rsidRDefault="007660BF" w:rsidP="00B40CB9">
      <w:pPr>
        <w:spacing w:after="120" w:line="240" w:lineRule="auto"/>
        <w:jc w:val="both"/>
        <w:rPr>
          <w:rFonts w:eastAsia="Times New Roman" w:cs="Times New Roman"/>
          <w:lang w:eastAsia="cs-CZ"/>
        </w:rPr>
      </w:pPr>
      <w:r w:rsidRPr="00E8461C">
        <w:rPr>
          <w:rStyle w:val="commentbody"/>
        </w:rPr>
        <w:t xml:space="preserve">ZEMAN, Václav (ed.) </w:t>
      </w:r>
      <w:r w:rsidRPr="00E8461C">
        <w:rPr>
          <w:rStyle w:val="commentbody"/>
          <w:i/>
        </w:rPr>
        <w:t>Hrozby neonacismu: Příležitosti demokracie.</w:t>
      </w:r>
      <w:r w:rsidRPr="00E8461C">
        <w:rPr>
          <w:rStyle w:val="commentbody"/>
        </w:rPr>
        <w:t xml:space="preserve"> </w:t>
      </w:r>
      <w:proofErr w:type="gramStart"/>
      <w:r w:rsidRPr="00E8461C">
        <w:rPr>
          <w:rStyle w:val="commentbody"/>
        </w:rPr>
        <w:t>ASI-MILOVANÍ, 2009.</w:t>
      </w:r>
      <w:proofErr w:type="gramEnd"/>
      <w:r w:rsidRPr="00E8461C">
        <w:rPr>
          <w:rStyle w:val="commentbody"/>
        </w:rPr>
        <w:t xml:space="preserve"> Dostupné z WWW: </w:t>
      </w:r>
      <w:r w:rsidRPr="00E8461C">
        <w:rPr>
          <w:rFonts w:cs="Book Antiqua"/>
        </w:rPr>
        <w:t>&lt;</w:t>
      </w:r>
      <w:r w:rsidRPr="00E8461C">
        <w:t>http://www.asi-milovani.cz/hrozby-extremismu/13/publikace-a-texty</w:t>
      </w:r>
      <w:r w:rsidRPr="00E8461C">
        <w:rPr>
          <w:rFonts w:cs="Book Antiqua"/>
        </w:rPr>
        <w:t>&gt;.</w:t>
      </w:r>
    </w:p>
    <w:p w:rsidR="007660BF" w:rsidRPr="007660BF" w:rsidRDefault="007660BF" w:rsidP="00B40CB9">
      <w:pPr>
        <w:jc w:val="both"/>
        <w:rPr>
          <w:lang w:val="cs-CZ"/>
        </w:rPr>
      </w:pPr>
    </w:p>
    <w:sectPr w:rsidR="007660BF" w:rsidRPr="007660BF" w:rsidSect="007C170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7A3" w:rsidRDefault="003137A3" w:rsidP="00E41DFA">
      <w:pPr>
        <w:spacing w:after="0" w:line="240" w:lineRule="auto"/>
      </w:pPr>
      <w:r>
        <w:separator/>
      </w:r>
    </w:p>
  </w:endnote>
  <w:endnote w:type="continuationSeparator" w:id="0">
    <w:p w:rsidR="003137A3" w:rsidRDefault="003137A3" w:rsidP="00E41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OneByteIdentityH">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7A3" w:rsidRDefault="003137A3" w:rsidP="00E41DFA">
      <w:pPr>
        <w:spacing w:after="0" w:line="240" w:lineRule="auto"/>
      </w:pPr>
      <w:r>
        <w:separator/>
      </w:r>
    </w:p>
  </w:footnote>
  <w:footnote w:type="continuationSeparator" w:id="0">
    <w:p w:rsidR="003137A3" w:rsidRDefault="003137A3" w:rsidP="00E41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867"/>
    <w:multiLevelType w:val="hybridMultilevel"/>
    <w:tmpl w:val="07C42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101308"/>
    <w:multiLevelType w:val="hybridMultilevel"/>
    <w:tmpl w:val="980C8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FB44FF0"/>
    <w:multiLevelType w:val="hybridMultilevel"/>
    <w:tmpl w:val="E2347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C28085E"/>
    <w:multiLevelType w:val="hybridMultilevel"/>
    <w:tmpl w:val="980C8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3E732E"/>
    <w:multiLevelType w:val="hybridMultilevel"/>
    <w:tmpl w:val="0B10A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E215672"/>
    <w:multiLevelType w:val="hybridMultilevel"/>
    <w:tmpl w:val="5E82216A"/>
    <w:lvl w:ilvl="0" w:tplc="A20E8694">
      <w:start w:val="1"/>
      <w:numFmt w:val="decimal"/>
      <w:lvlText w:val="[%1]"/>
      <w:lvlJc w:val="left"/>
      <w:pPr>
        <w:ind w:left="786" w:hanging="360"/>
      </w:pPr>
      <w:rPr>
        <w:rFonts w:hint="default"/>
        <w:caps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88917BC"/>
    <w:multiLevelType w:val="hybridMultilevel"/>
    <w:tmpl w:val="5E82216A"/>
    <w:lvl w:ilvl="0" w:tplc="A20E8694">
      <w:start w:val="1"/>
      <w:numFmt w:val="decimal"/>
      <w:lvlText w:val="[%1]"/>
      <w:lvlJc w:val="left"/>
      <w:pPr>
        <w:ind w:left="786" w:hanging="360"/>
      </w:pPr>
      <w:rPr>
        <w:rFonts w:hint="default"/>
        <w:caps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7D5D7C"/>
    <w:multiLevelType w:val="hybridMultilevel"/>
    <w:tmpl w:val="41467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62B26CB"/>
    <w:multiLevelType w:val="hybridMultilevel"/>
    <w:tmpl w:val="41467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92C5FDB"/>
    <w:multiLevelType w:val="hybridMultilevel"/>
    <w:tmpl w:val="2CD2C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92E2BB3"/>
    <w:multiLevelType w:val="hybridMultilevel"/>
    <w:tmpl w:val="41467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7C1244"/>
    <w:multiLevelType w:val="hybridMultilevel"/>
    <w:tmpl w:val="980C8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11"/>
  </w:num>
  <w:num w:numId="6">
    <w:abstractNumId w:val="7"/>
  </w:num>
  <w:num w:numId="7">
    <w:abstractNumId w:val="4"/>
  </w:num>
  <w:num w:numId="8">
    <w:abstractNumId w:val="8"/>
  </w:num>
  <w:num w:numId="9">
    <w:abstractNumId w:val="10"/>
  </w:num>
  <w:num w:numId="10">
    <w:abstractNumId w:val="2"/>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footnotePr>
    <w:footnote w:id="-1"/>
    <w:footnote w:id="0"/>
  </w:footnotePr>
  <w:endnotePr>
    <w:endnote w:id="-1"/>
    <w:endnote w:id="0"/>
  </w:endnotePr>
  <w:compat/>
  <w:rsids>
    <w:rsidRoot w:val="00250D9B"/>
    <w:rsid w:val="00000CD2"/>
    <w:rsid w:val="00002614"/>
    <w:rsid w:val="000037CC"/>
    <w:rsid w:val="0000727E"/>
    <w:rsid w:val="000117ED"/>
    <w:rsid w:val="00015BFB"/>
    <w:rsid w:val="00017C21"/>
    <w:rsid w:val="00023F31"/>
    <w:rsid w:val="000308BE"/>
    <w:rsid w:val="00032EFF"/>
    <w:rsid w:val="00042D09"/>
    <w:rsid w:val="00043D63"/>
    <w:rsid w:val="0004489F"/>
    <w:rsid w:val="00047B52"/>
    <w:rsid w:val="000528FC"/>
    <w:rsid w:val="00055A66"/>
    <w:rsid w:val="00055A7D"/>
    <w:rsid w:val="00057D04"/>
    <w:rsid w:val="000600AA"/>
    <w:rsid w:val="0006172B"/>
    <w:rsid w:val="00063984"/>
    <w:rsid w:val="000676AD"/>
    <w:rsid w:val="00072ECB"/>
    <w:rsid w:val="00073FC5"/>
    <w:rsid w:val="00084540"/>
    <w:rsid w:val="00086713"/>
    <w:rsid w:val="00087046"/>
    <w:rsid w:val="00090E8E"/>
    <w:rsid w:val="00092F7A"/>
    <w:rsid w:val="0009476D"/>
    <w:rsid w:val="00095777"/>
    <w:rsid w:val="0009591E"/>
    <w:rsid w:val="00096016"/>
    <w:rsid w:val="000961EF"/>
    <w:rsid w:val="000A14E2"/>
    <w:rsid w:val="000A36EA"/>
    <w:rsid w:val="000A6B80"/>
    <w:rsid w:val="000A6B8C"/>
    <w:rsid w:val="000A6ECF"/>
    <w:rsid w:val="000A7DCB"/>
    <w:rsid w:val="000B0755"/>
    <w:rsid w:val="000B0962"/>
    <w:rsid w:val="000B0DDF"/>
    <w:rsid w:val="000B353C"/>
    <w:rsid w:val="000C18C8"/>
    <w:rsid w:val="000C2642"/>
    <w:rsid w:val="000C6AB4"/>
    <w:rsid w:val="000D0C92"/>
    <w:rsid w:val="000D17DE"/>
    <w:rsid w:val="000D48F0"/>
    <w:rsid w:val="000D4A75"/>
    <w:rsid w:val="000D6F20"/>
    <w:rsid w:val="000E1CDD"/>
    <w:rsid w:val="000E2E99"/>
    <w:rsid w:val="000E319A"/>
    <w:rsid w:val="000E37B4"/>
    <w:rsid w:val="000E6CDC"/>
    <w:rsid w:val="000F018F"/>
    <w:rsid w:val="000F5153"/>
    <w:rsid w:val="000F6D17"/>
    <w:rsid w:val="001022AC"/>
    <w:rsid w:val="00103816"/>
    <w:rsid w:val="00104977"/>
    <w:rsid w:val="00105722"/>
    <w:rsid w:val="001074AD"/>
    <w:rsid w:val="001102C8"/>
    <w:rsid w:val="00112510"/>
    <w:rsid w:val="00114E4F"/>
    <w:rsid w:val="00115F09"/>
    <w:rsid w:val="00120DF5"/>
    <w:rsid w:val="0012394A"/>
    <w:rsid w:val="00124264"/>
    <w:rsid w:val="00124C61"/>
    <w:rsid w:val="00125602"/>
    <w:rsid w:val="00125650"/>
    <w:rsid w:val="00126F0A"/>
    <w:rsid w:val="00130464"/>
    <w:rsid w:val="001417E3"/>
    <w:rsid w:val="001423D4"/>
    <w:rsid w:val="00144BFD"/>
    <w:rsid w:val="0014541F"/>
    <w:rsid w:val="001475F7"/>
    <w:rsid w:val="0015450F"/>
    <w:rsid w:val="00156560"/>
    <w:rsid w:val="001647D7"/>
    <w:rsid w:val="0016524F"/>
    <w:rsid w:val="001658B0"/>
    <w:rsid w:val="0016613F"/>
    <w:rsid w:val="0017117B"/>
    <w:rsid w:val="00176E2F"/>
    <w:rsid w:val="0018190E"/>
    <w:rsid w:val="0018497E"/>
    <w:rsid w:val="00184AAB"/>
    <w:rsid w:val="00185313"/>
    <w:rsid w:val="00190937"/>
    <w:rsid w:val="00193909"/>
    <w:rsid w:val="00194B13"/>
    <w:rsid w:val="00196747"/>
    <w:rsid w:val="001A165F"/>
    <w:rsid w:val="001A543E"/>
    <w:rsid w:val="001A69B5"/>
    <w:rsid w:val="001A6D61"/>
    <w:rsid w:val="001B02DD"/>
    <w:rsid w:val="001B09EE"/>
    <w:rsid w:val="001B27F7"/>
    <w:rsid w:val="001B5D1F"/>
    <w:rsid w:val="001B68AA"/>
    <w:rsid w:val="001B75A3"/>
    <w:rsid w:val="001C2FE5"/>
    <w:rsid w:val="001C35E4"/>
    <w:rsid w:val="001C7586"/>
    <w:rsid w:val="001D1429"/>
    <w:rsid w:val="001D3239"/>
    <w:rsid w:val="001D54F3"/>
    <w:rsid w:val="001D634A"/>
    <w:rsid w:val="001D69CA"/>
    <w:rsid w:val="001D77FB"/>
    <w:rsid w:val="001D7FFC"/>
    <w:rsid w:val="001E1A29"/>
    <w:rsid w:val="001E35EA"/>
    <w:rsid w:val="001E5EFB"/>
    <w:rsid w:val="001F0AFA"/>
    <w:rsid w:val="001F1528"/>
    <w:rsid w:val="001F204C"/>
    <w:rsid w:val="001F205A"/>
    <w:rsid w:val="001F3627"/>
    <w:rsid w:val="001F3A39"/>
    <w:rsid w:val="001F62F0"/>
    <w:rsid w:val="001F7926"/>
    <w:rsid w:val="0020070C"/>
    <w:rsid w:val="00202A73"/>
    <w:rsid w:val="00203839"/>
    <w:rsid w:val="0020441F"/>
    <w:rsid w:val="00204DC7"/>
    <w:rsid w:val="0020561F"/>
    <w:rsid w:val="0020740E"/>
    <w:rsid w:val="002113ED"/>
    <w:rsid w:val="00214365"/>
    <w:rsid w:val="00214C28"/>
    <w:rsid w:val="00221629"/>
    <w:rsid w:val="002279D5"/>
    <w:rsid w:val="00227B7C"/>
    <w:rsid w:val="00227EA8"/>
    <w:rsid w:val="00227F7F"/>
    <w:rsid w:val="0023152A"/>
    <w:rsid w:val="0023170F"/>
    <w:rsid w:val="00233018"/>
    <w:rsid w:val="00244252"/>
    <w:rsid w:val="00250D9B"/>
    <w:rsid w:val="002524A7"/>
    <w:rsid w:val="00252ADD"/>
    <w:rsid w:val="00257F48"/>
    <w:rsid w:val="00262FE8"/>
    <w:rsid w:val="002637A6"/>
    <w:rsid w:val="00271893"/>
    <w:rsid w:val="0027291D"/>
    <w:rsid w:val="0027427C"/>
    <w:rsid w:val="00275E9B"/>
    <w:rsid w:val="00281A07"/>
    <w:rsid w:val="00281E6C"/>
    <w:rsid w:val="00282A5C"/>
    <w:rsid w:val="002851E0"/>
    <w:rsid w:val="00295099"/>
    <w:rsid w:val="002954A6"/>
    <w:rsid w:val="00295AC1"/>
    <w:rsid w:val="002977DB"/>
    <w:rsid w:val="002A15E7"/>
    <w:rsid w:val="002A24BC"/>
    <w:rsid w:val="002A317F"/>
    <w:rsid w:val="002A6430"/>
    <w:rsid w:val="002A65A7"/>
    <w:rsid w:val="002B14D4"/>
    <w:rsid w:val="002B1D90"/>
    <w:rsid w:val="002B342F"/>
    <w:rsid w:val="002B4FF5"/>
    <w:rsid w:val="002C102B"/>
    <w:rsid w:val="002C2C52"/>
    <w:rsid w:val="002C3F34"/>
    <w:rsid w:val="002C59EB"/>
    <w:rsid w:val="002C61D9"/>
    <w:rsid w:val="002C7852"/>
    <w:rsid w:val="002D05BE"/>
    <w:rsid w:val="002D28A6"/>
    <w:rsid w:val="002D2B99"/>
    <w:rsid w:val="002D2EB8"/>
    <w:rsid w:val="002D53D5"/>
    <w:rsid w:val="002D7B81"/>
    <w:rsid w:val="002E08AC"/>
    <w:rsid w:val="002E10BE"/>
    <w:rsid w:val="002E234D"/>
    <w:rsid w:val="002E25D0"/>
    <w:rsid w:val="002E303B"/>
    <w:rsid w:val="002E3860"/>
    <w:rsid w:val="002F087F"/>
    <w:rsid w:val="002F2FD1"/>
    <w:rsid w:val="002F7670"/>
    <w:rsid w:val="00300C7E"/>
    <w:rsid w:val="00302404"/>
    <w:rsid w:val="00305889"/>
    <w:rsid w:val="0030711B"/>
    <w:rsid w:val="00307713"/>
    <w:rsid w:val="003137A3"/>
    <w:rsid w:val="00313B49"/>
    <w:rsid w:val="00314A3B"/>
    <w:rsid w:val="00314B59"/>
    <w:rsid w:val="00314BCE"/>
    <w:rsid w:val="003158EA"/>
    <w:rsid w:val="00324135"/>
    <w:rsid w:val="0032453A"/>
    <w:rsid w:val="003259A5"/>
    <w:rsid w:val="003279D4"/>
    <w:rsid w:val="0033272B"/>
    <w:rsid w:val="003412FC"/>
    <w:rsid w:val="00343AD9"/>
    <w:rsid w:val="0034561F"/>
    <w:rsid w:val="003457E0"/>
    <w:rsid w:val="003531D4"/>
    <w:rsid w:val="003532B5"/>
    <w:rsid w:val="00354078"/>
    <w:rsid w:val="0035531A"/>
    <w:rsid w:val="00355728"/>
    <w:rsid w:val="00357331"/>
    <w:rsid w:val="00360439"/>
    <w:rsid w:val="00360CFA"/>
    <w:rsid w:val="0036171C"/>
    <w:rsid w:val="00362EF7"/>
    <w:rsid w:val="00364BEA"/>
    <w:rsid w:val="00366C43"/>
    <w:rsid w:val="0037204E"/>
    <w:rsid w:val="003742A1"/>
    <w:rsid w:val="00377B13"/>
    <w:rsid w:val="00377F6A"/>
    <w:rsid w:val="00384EBC"/>
    <w:rsid w:val="00384ED3"/>
    <w:rsid w:val="0038511D"/>
    <w:rsid w:val="00391B52"/>
    <w:rsid w:val="00393F14"/>
    <w:rsid w:val="003953CD"/>
    <w:rsid w:val="003A010F"/>
    <w:rsid w:val="003A2E51"/>
    <w:rsid w:val="003A38FA"/>
    <w:rsid w:val="003B21C1"/>
    <w:rsid w:val="003B4FDC"/>
    <w:rsid w:val="003B5A08"/>
    <w:rsid w:val="003B77AE"/>
    <w:rsid w:val="003C05BA"/>
    <w:rsid w:val="003C07B8"/>
    <w:rsid w:val="003C0B06"/>
    <w:rsid w:val="003C0F21"/>
    <w:rsid w:val="003C1458"/>
    <w:rsid w:val="003C2FD5"/>
    <w:rsid w:val="003C5CD3"/>
    <w:rsid w:val="003D0BD1"/>
    <w:rsid w:val="003D252F"/>
    <w:rsid w:val="003D4E3A"/>
    <w:rsid w:val="003D57A9"/>
    <w:rsid w:val="003D7393"/>
    <w:rsid w:val="003E0DA4"/>
    <w:rsid w:val="003E1E64"/>
    <w:rsid w:val="003E3293"/>
    <w:rsid w:val="003E336F"/>
    <w:rsid w:val="00400F0A"/>
    <w:rsid w:val="00403C97"/>
    <w:rsid w:val="00403D9C"/>
    <w:rsid w:val="00404269"/>
    <w:rsid w:val="0040459D"/>
    <w:rsid w:val="0040734C"/>
    <w:rsid w:val="00410F6C"/>
    <w:rsid w:val="004151B2"/>
    <w:rsid w:val="004163A6"/>
    <w:rsid w:val="00416D75"/>
    <w:rsid w:val="00417C22"/>
    <w:rsid w:val="00420BC8"/>
    <w:rsid w:val="00423641"/>
    <w:rsid w:val="004258BE"/>
    <w:rsid w:val="00431907"/>
    <w:rsid w:val="004347F3"/>
    <w:rsid w:val="0043558B"/>
    <w:rsid w:val="0044019D"/>
    <w:rsid w:val="004425A1"/>
    <w:rsid w:val="00443761"/>
    <w:rsid w:val="00445AFE"/>
    <w:rsid w:val="00451560"/>
    <w:rsid w:val="00452869"/>
    <w:rsid w:val="0045322D"/>
    <w:rsid w:val="0045541A"/>
    <w:rsid w:val="0045550C"/>
    <w:rsid w:val="00456247"/>
    <w:rsid w:val="00463D92"/>
    <w:rsid w:val="00464456"/>
    <w:rsid w:val="00464509"/>
    <w:rsid w:val="0046484B"/>
    <w:rsid w:val="00465D99"/>
    <w:rsid w:val="004716F9"/>
    <w:rsid w:val="00473470"/>
    <w:rsid w:val="00480352"/>
    <w:rsid w:val="00487095"/>
    <w:rsid w:val="0048797E"/>
    <w:rsid w:val="00492479"/>
    <w:rsid w:val="00492516"/>
    <w:rsid w:val="00492C3B"/>
    <w:rsid w:val="00494A45"/>
    <w:rsid w:val="00495BCD"/>
    <w:rsid w:val="004A1775"/>
    <w:rsid w:val="004A2DC9"/>
    <w:rsid w:val="004A6247"/>
    <w:rsid w:val="004B008A"/>
    <w:rsid w:val="004B1B11"/>
    <w:rsid w:val="004B295A"/>
    <w:rsid w:val="004B7C1C"/>
    <w:rsid w:val="004C0BC6"/>
    <w:rsid w:val="004C13E0"/>
    <w:rsid w:val="004C2C8B"/>
    <w:rsid w:val="004C5070"/>
    <w:rsid w:val="004C62ED"/>
    <w:rsid w:val="004D0D67"/>
    <w:rsid w:val="004E0A27"/>
    <w:rsid w:val="004E1562"/>
    <w:rsid w:val="004E2BD5"/>
    <w:rsid w:val="004E3FA7"/>
    <w:rsid w:val="004E4D42"/>
    <w:rsid w:val="004F0816"/>
    <w:rsid w:val="004F2224"/>
    <w:rsid w:val="004F426E"/>
    <w:rsid w:val="004F452F"/>
    <w:rsid w:val="004F5308"/>
    <w:rsid w:val="005015E9"/>
    <w:rsid w:val="005050D3"/>
    <w:rsid w:val="00505724"/>
    <w:rsid w:val="00507202"/>
    <w:rsid w:val="00507E40"/>
    <w:rsid w:val="0051075D"/>
    <w:rsid w:val="005119CA"/>
    <w:rsid w:val="00511E91"/>
    <w:rsid w:val="00511EFA"/>
    <w:rsid w:val="00511F03"/>
    <w:rsid w:val="0051386F"/>
    <w:rsid w:val="00517310"/>
    <w:rsid w:val="005223FE"/>
    <w:rsid w:val="005236B3"/>
    <w:rsid w:val="005243FA"/>
    <w:rsid w:val="00527B08"/>
    <w:rsid w:val="00530FF7"/>
    <w:rsid w:val="00532891"/>
    <w:rsid w:val="00533D3C"/>
    <w:rsid w:val="00533D66"/>
    <w:rsid w:val="0053400F"/>
    <w:rsid w:val="005349B9"/>
    <w:rsid w:val="00537A73"/>
    <w:rsid w:val="00541080"/>
    <w:rsid w:val="00551860"/>
    <w:rsid w:val="005526BF"/>
    <w:rsid w:val="005620D8"/>
    <w:rsid w:val="0056383F"/>
    <w:rsid w:val="005644EF"/>
    <w:rsid w:val="00566907"/>
    <w:rsid w:val="00566F7A"/>
    <w:rsid w:val="00570BEB"/>
    <w:rsid w:val="0057113F"/>
    <w:rsid w:val="0057400B"/>
    <w:rsid w:val="005806B4"/>
    <w:rsid w:val="00580A6B"/>
    <w:rsid w:val="0058236D"/>
    <w:rsid w:val="00582496"/>
    <w:rsid w:val="005838DB"/>
    <w:rsid w:val="00583BFD"/>
    <w:rsid w:val="005861CA"/>
    <w:rsid w:val="00587559"/>
    <w:rsid w:val="00590A50"/>
    <w:rsid w:val="005912B8"/>
    <w:rsid w:val="0059199B"/>
    <w:rsid w:val="00592F64"/>
    <w:rsid w:val="005A01E9"/>
    <w:rsid w:val="005A27FF"/>
    <w:rsid w:val="005A4F6E"/>
    <w:rsid w:val="005A53BA"/>
    <w:rsid w:val="005A6D46"/>
    <w:rsid w:val="005B095F"/>
    <w:rsid w:val="005B11DE"/>
    <w:rsid w:val="005B1C17"/>
    <w:rsid w:val="005B3DC8"/>
    <w:rsid w:val="005B55C4"/>
    <w:rsid w:val="005B778E"/>
    <w:rsid w:val="005C01C3"/>
    <w:rsid w:val="005C103B"/>
    <w:rsid w:val="005C346B"/>
    <w:rsid w:val="005C3907"/>
    <w:rsid w:val="005C3BB3"/>
    <w:rsid w:val="005C3C19"/>
    <w:rsid w:val="005C7148"/>
    <w:rsid w:val="005D4AE4"/>
    <w:rsid w:val="005D69C1"/>
    <w:rsid w:val="005D7929"/>
    <w:rsid w:val="005E0A8B"/>
    <w:rsid w:val="005E147B"/>
    <w:rsid w:val="005E26A4"/>
    <w:rsid w:val="005E4282"/>
    <w:rsid w:val="005E7B46"/>
    <w:rsid w:val="005F0D81"/>
    <w:rsid w:val="005F1C94"/>
    <w:rsid w:val="005F3CF3"/>
    <w:rsid w:val="005F3D99"/>
    <w:rsid w:val="005F4662"/>
    <w:rsid w:val="005F6FFD"/>
    <w:rsid w:val="005F730C"/>
    <w:rsid w:val="006003DF"/>
    <w:rsid w:val="00601C5C"/>
    <w:rsid w:val="00602767"/>
    <w:rsid w:val="006031CD"/>
    <w:rsid w:val="00603A50"/>
    <w:rsid w:val="00604EC3"/>
    <w:rsid w:val="00610FA7"/>
    <w:rsid w:val="00611B58"/>
    <w:rsid w:val="006135A8"/>
    <w:rsid w:val="00615964"/>
    <w:rsid w:val="00615969"/>
    <w:rsid w:val="00615E2D"/>
    <w:rsid w:val="00617D70"/>
    <w:rsid w:val="006212D1"/>
    <w:rsid w:val="0062573A"/>
    <w:rsid w:val="00626D88"/>
    <w:rsid w:val="0063300D"/>
    <w:rsid w:val="00633171"/>
    <w:rsid w:val="00633882"/>
    <w:rsid w:val="00635356"/>
    <w:rsid w:val="00640369"/>
    <w:rsid w:val="00641B4E"/>
    <w:rsid w:val="00643F9B"/>
    <w:rsid w:val="006449EF"/>
    <w:rsid w:val="006465FA"/>
    <w:rsid w:val="00646D31"/>
    <w:rsid w:val="006504FF"/>
    <w:rsid w:val="00651257"/>
    <w:rsid w:val="00652311"/>
    <w:rsid w:val="00652801"/>
    <w:rsid w:val="00653BC9"/>
    <w:rsid w:val="006542C8"/>
    <w:rsid w:val="00654DB2"/>
    <w:rsid w:val="006566D7"/>
    <w:rsid w:val="00661339"/>
    <w:rsid w:val="006648E8"/>
    <w:rsid w:val="006653FC"/>
    <w:rsid w:val="006660D3"/>
    <w:rsid w:val="0066624E"/>
    <w:rsid w:val="006666E8"/>
    <w:rsid w:val="006730FF"/>
    <w:rsid w:val="0067310B"/>
    <w:rsid w:val="0067397C"/>
    <w:rsid w:val="006742E6"/>
    <w:rsid w:val="00676867"/>
    <w:rsid w:val="00677713"/>
    <w:rsid w:val="00680D3B"/>
    <w:rsid w:val="0068148A"/>
    <w:rsid w:val="00681F90"/>
    <w:rsid w:val="0068259A"/>
    <w:rsid w:val="00683919"/>
    <w:rsid w:val="006839BD"/>
    <w:rsid w:val="00686137"/>
    <w:rsid w:val="006A6D35"/>
    <w:rsid w:val="006B0249"/>
    <w:rsid w:val="006B315F"/>
    <w:rsid w:val="006C1131"/>
    <w:rsid w:val="006C312F"/>
    <w:rsid w:val="006D42DD"/>
    <w:rsid w:val="006D4CF4"/>
    <w:rsid w:val="006D6D85"/>
    <w:rsid w:val="006E0792"/>
    <w:rsid w:val="006E097A"/>
    <w:rsid w:val="006E0D74"/>
    <w:rsid w:val="006E0E3D"/>
    <w:rsid w:val="006E3736"/>
    <w:rsid w:val="006E4BF3"/>
    <w:rsid w:val="006F095E"/>
    <w:rsid w:val="006F2039"/>
    <w:rsid w:val="006F3709"/>
    <w:rsid w:val="006F6836"/>
    <w:rsid w:val="006F79E2"/>
    <w:rsid w:val="007001CC"/>
    <w:rsid w:val="007041B2"/>
    <w:rsid w:val="007052D7"/>
    <w:rsid w:val="00705690"/>
    <w:rsid w:val="007056AD"/>
    <w:rsid w:val="00707511"/>
    <w:rsid w:val="007233B0"/>
    <w:rsid w:val="00724D2B"/>
    <w:rsid w:val="00731485"/>
    <w:rsid w:val="00734587"/>
    <w:rsid w:val="00736971"/>
    <w:rsid w:val="00736D69"/>
    <w:rsid w:val="0073728D"/>
    <w:rsid w:val="00737B79"/>
    <w:rsid w:val="00742076"/>
    <w:rsid w:val="007468C6"/>
    <w:rsid w:val="00753547"/>
    <w:rsid w:val="00755E82"/>
    <w:rsid w:val="00756913"/>
    <w:rsid w:val="007608E4"/>
    <w:rsid w:val="007653CD"/>
    <w:rsid w:val="007660BF"/>
    <w:rsid w:val="00770094"/>
    <w:rsid w:val="00771445"/>
    <w:rsid w:val="00772DC2"/>
    <w:rsid w:val="007756E8"/>
    <w:rsid w:val="0077661B"/>
    <w:rsid w:val="0078092B"/>
    <w:rsid w:val="00781A52"/>
    <w:rsid w:val="00782B86"/>
    <w:rsid w:val="00785021"/>
    <w:rsid w:val="0078647F"/>
    <w:rsid w:val="00786DD0"/>
    <w:rsid w:val="007952CC"/>
    <w:rsid w:val="00796CD6"/>
    <w:rsid w:val="00797D1B"/>
    <w:rsid w:val="007A0CAE"/>
    <w:rsid w:val="007A2405"/>
    <w:rsid w:val="007A245F"/>
    <w:rsid w:val="007A58AE"/>
    <w:rsid w:val="007B0C9A"/>
    <w:rsid w:val="007B2337"/>
    <w:rsid w:val="007B23AA"/>
    <w:rsid w:val="007B317B"/>
    <w:rsid w:val="007B3BAA"/>
    <w:rsid w:val="007B3E14"/>
    <w:rsid w:val="007B7CFD"/>
    <w:rsid w:val="007C12AD"/>
    <w:rsid w:val="007C1708"/>
    <w:rsid w:val="007C6504"/>
    <w:rsid w:val="007C770D"/>
    <w:rsid w:val="007D1771"/>
    <w:rsid w:val="007D237D"/>
    <w:rsid w:val="007D37EA"/>
    <w:rsid w:val="007D3D43"/>
    <w:rsid w:val="007D4CC7"/>
    <w:rsid w:val="007D5BA1"/>
    <w:rsid w:val="007D7752"/>
    <w:rsid w:val="007E01D3"/>
    <w:rsid w:val="007E061E"/>
    <w:rsid w:val="007E5919"/>
    <w:rsid w:val="007E699C"/>
    <w:rsid w:val="007E70E3"/>
    <w:rsid w:val="007E7DB7"/>
    <w:rsid w:val="007F2950"/>
    <w:rsid w:val="007F599B"/>
    <w:rsid w:val="007F7151"/>
    <w:rsid w:val="007F7822"/>
    <w:rsid w:val="007F7DB3"/>
    <w:rsid w:val="00801062"/>
    <w:rsid w:val="0080346F"/>
    <w:rsid w:val="00803710"/>
    <w:rsid w:val="00806ECE"/>
    <w:rsid w:val="00812769"/>
    <w:rsid w:val="008136FF"/>
    <w:rsid w:val="0081441A"/>
    <w:rsid w:val="008145AC"/>
    <w:rsid w:val="00814E37"/>
    <w:rsid w:val="008214F7"/>
    <w:rsid w:val="008220E9"/>
    <w:rsid w:val="00825C15"/>
    <w:rsid w:val="00827EED"/>
    <w:rsid w:val="00831AB1"/>
    <w:rsid w:val="00832576"/>
    <w:rsid w:val="00836269"/>
    <w:rsid w:val="00837388"/>
    <w:rsid w:val="0084198A"/>
    <w:rsid w:val="00841A6A"/>
    <w:rsid w:val="00842C43"/>
    <w:rsid w:val="00843896"/>
    <w:rsid w:val="00845629"/>
    <w:rsid w:val="00846A3F"/>
    <w:rsid w:val="00850AB4"/>
    <w:rsid w:val="008526F1"/>
    <w:rsid w:val="00852764"/>
    <w:rsid w:val="00852A09"/>
    <w:rsid w:val="00853D2B"/>
    <w:rsid w:val="008541A8"/>
    <w:rsid w:val="00854CAB"/>
    <w:rsid w:val="00855CB2"/>
    <w:rsid w:val="00860174"/>
    <w:rsid w:val="008607FC"/>
    <w:rsid w:val="0086524D"/>
    <w:rsid w:val="00865DDA"/>
    <w:rsid w:val="00865F2A"/>
    <w:rsid w:val="00871A39"/>
    <w:rsid w:val="008721D4"/>
    <w:rsid w:val="00872C4E"/>
    <w:rsid w:val="00875D89"/>
    <w:rsid w:val="0087705F"/>
    <w:rsid w:val="008772C3"/>
    <w:rsid w:val="00883C51"/>
    <w:rsid w:val="00884D7B"/>
    <w:rsid w:val="00886DFB"/>
    <w:rsid w:val="00890258"/>
    <w:rsid w:val="00891722"/>
    <w:rsid w:val="00891D3F"/>
    <w:rsid w:val="00892CD4"/>
    <w:rsid w:val="00894A68"/>
    <w:rsid w:val="00894BC6"/>
    <w:rsid w:val="008977D6"/>
    <w:rsid w:val="008A04AF"/>
    <w:rsid w:val="008A08EC"/>
    <w:rsid w:val="008A725E"/>
    <w:rsid w:val="008B0B32"/>
    <w:rsid w:val="008B48F5"/>
    <w:rsid w:val="008B5F01"/>
    <w:rsid w:val="008B67A0"/>
    <w:rsid w:val="008B6AC2"/>
    <w:rsid w:val="008C20D7"/>
    <w:rsid w:val="008C2CC1"/>
    <w:rsid w:val="008C677E"/>
    <w:rsid w:val="008C6F11"/>
    <w:rsid w:val="008C77F1"/>
    <w:rsid w:val="008C7DF3"/>
    <w:rsid w:val="008D103C"/>
    <w:rsid w:val="008D2BA9"/>
    <w:rsid w:val="008D49A0"/>
    <w:rsid w:val="008D5827"/>
    <w:rsid w:val="008D66F3"/>
    <w:rsid w:val="008D6AF0"/>
    <w:rsid w:val="008D7E22"/>
    <w:rsid w:val="008E421E"/>
    <w:rsid w:val="008E4351"/>
    <w:rsid w:val="008E6DBF"/>
    <w:rsid w:val="008F0451"/>
    <w:rsid w:val="008F16B2"/>
    <w:rsid w:val="008F1A36"/>
    <w:rsid w:val="008F2F1A"/>
    <w:rsid w:val="008F7BFA"/>
    <w:rsid w:val="00900F91"/>
    <w:rsid w:val="009022F6"/>
    <w:rsid w:val="00902B72"/>
    <w:rsid w:val="009049DD"/>
    <w:rsid w:val="00904C92"/>
    <w:rsid w:val="00905DFC"/>
    <w:rsid w:val="0090695B"/>
    <w:rsid w:val="00907087"/>
    <w:rsid w:val="009129AC"/>
    <w:rsid w:val="00913BC9"/>
    <w:rsid w:val="009163EC"/>
    <w:rsid w:val="009207C6"/>
    <w:rsid w:val="009218D7"/>
    <w:rsid w:val="00923097"/>
    <w:rsid w:val="009265B8"/>
    <w:rsid w:val="00926B13"/>
    <w:rsid w:val="00935E0C"/>
    <w:rsid w:val="00935F29"/>
    <w:rsid w:val="0093789C"/>
    <w:rsid w:val="00941858"/>
    <w:rsid w:val="009450B1"/>
    <w:rsid w:val="00950D62"/>
    <w:rsid w:val="00954294"/>
    <w:rsid w:val="0096020E"/>
    <w:rsid w:val="00960436"/>
    <w:rsid w:val="00960A92"/>
    <w:rsid w:val="00963ABB"/>
    <w:rsid w:val="00964E52"/>
    <w:rsid w:val="009705B8"/>
    <w:rsid w:val="00971422"/>
    <w:rsid w:val="0097366A"/>
    <w:rsid w:val="009765D8"/>
    <w:rsid w:val="009766C1"/>
    <w:rsid w:val="00980DE6"/>
    <w:rsid w:val="00981D75"/>
    <w:rsid w:val="0098619D"/>
    <w:rsid w:val="00987B1F"/>
    <w:rsid w:val="009942BF"/>
    <w:rsid w:val="00995469"/>
    <w:rsid w:val="00995EBB"/>
    <w:rsid w:val="009A2812"/>
    <w:rsid w:val="009B116A"/>
    <w:rsid w:val="009B5BCB"/>
    <w:rsid w:val="009B5D04"/>
    <w:rsid w:val="009B6021"/>
    <w:rsid w:val="009C03B2"/>
    <w:rsid w:val="009C03E3"/>
    <w:rsid w:val="009C2678"/>
    <w:rsid w:val="009C367B"/>
    <w:rsid w:val="009C51E1"/>
    <w:rsid w:val="009C6511"/>
    <w:rsid w:val="009D12F1"/>
    <w:rsid w:val="009D3358"/>
    <w:rsid w:val="009D3AE4"/>
    <w:rsid w:val="009E2BC0"/>
    <w:rsid w:val="009E5F6E"/>
    <w:rsid w:val="009E6426"/>
    <w:rsid w:val="009F14D8"/>
    <w:rsid w:val="009F48D2"/>
    <w:rsid w:val="009F65B8"/>
    <w:rsid w:val="009F680D"/>
    <w:rsid w:val="009F787B"/>
    <w:rsid w:val="00A04523"/>
    <w:rsid w:val="00A04F69"/>
    <w:rsid w:val="00A075D5"/>
    <w:rsid w:val="00A07F2D"/>
    <w:rsid w:val="00A10697"/>
    <w:rsid w:val="00A11238"/>
    <w:rsid w:val="00A12613"/>
    <w:rsid w:val="00A13CCD"/>
    <w:rsid w:val="00A1640A"/>
    <w:rsid w:val="00A172A0"/>
    <w:rsid w:val="00A23468"/>
    <w:rsid w:val="00A247C6"/>
    <w:rsid w:val="00A25026"/>
    <w:rsid w:val="00A2644B"/>
    <w:rsid w:val="00A275B2"/>
    <w:rsid w:val="00A31BB0"/>
    <w:rsid w:val="00A3349F"/>
    <w:rsid w:val="00A37E85"/>
    <w:rsid w:val="00A40DCE"/>
    <w:rsid w:val="00A41D1F"/>
    <w:rsid w:val="00A430EA"/>
    <w:rsid w:val="00A434C7"/>
    <w:rsid w:val="00A445F0"/>
    <w:rsid w:val="00A45620"/>
    <w:rsid w:val="00A50D9E"/>
    <w:rsid w:val="00A50F12"/>
    <w:rsid w:val="00A50FEB"/>
    <w:rsid w:val="00A5229A"/>
    <w:rsid w:val="00A569DE"/>
    <w:rsid w:val="00A60FC7"/>
    <w:rsid w:val="00A61066"/>
    <w:rsid w:val="00A6151B"/>
    <w:rsid w:val="00A62F83"/>
    <w:rsid w:val="00A65137"/>
    <w:rsid w:val="00A7088F"/>
    <w:rsid w:val="00A72DD8"/>
    <w:rsid w:val="00A8175A"/>
    <w:rsid w:val="00A8398E"/>
    <w:rsid w:val="00A84D58"/>
    <w:rsid w:val="00A90BE0"/>
    <w:rsid w:val="00A93155"/>
    <w:rsid w:val="00A97A08"/>
    <w:rsid w:val="00A97B6B"/>
    <w:rsid w:val="00AA44A2"/>
    <w:rsid w:val="00AA672F"/>
    <w:rsid w:val="00AB121F"/>
    <w:rsid w:val="00AB3705"/>
    <w:rsid w:val="00AB51B2"/>
    <w:rsid w:val="00AB5C43"/>
    <w:rsid w:val="00AC03DA"/>
    <w:rsid w:val="00AC6106"/>
    <w:rsid w:val="00AC7BAD"/>
    <w:rsid w:val="00AD3F1B"/>
    <w:rsid w:val="00AD45A8"/>
    <w:rsid w:val="00AD4F04"/>
    <w:rsid w:val="00AD600D"/>
    <w:rsid w:val="00AE169C"/>
    <w:rsid w:val="00AE2F5C"/>
    <w:rsid w:val="00AE4F51"/>
    <w:rsid w:val="00AF3A33"/>
    <w:rsid w:val="00AF44B8"/>
    <w:rsid w:val="00AF4C33"/>
    <w:rsid w:val="00AF718F"/>
    <w:rsid w:val="00AF76F1"/>
    <w:rsid w:val="00B05684"/>
    <w:rsid w:val="00B0580F"/>
    <w:rsid w:val="00B062F6"/>
    <w:rsid w:val="00B10D5C"/>
    <w:rsid w:val="00B152AD"/>
    <w:rsid w:val="00B23310"/>
    <w:rsid w:val="00B30EF0"/>
    <w:rsid w:val="00B3378B"/>
    <w:rsid w:val="00B3518B"/>
    <w:rsid w:val="00B3552C"/>
    <w:rsid w:val="00B35A46"/>
    <w:rsid w:val="00B35B2D"/>
    <w:rsid w:val="00B35B90"/>
    <w:rsid w:val="00B40958"/>
    <w:rsid w:val="00B40CB9"/>
    <w:rsid w:val="00B42C71"/>
    <w:rsid w:val="00B4336D"/>
    <w:rsid w:val="00B43BD5"/>
    <w:rsid w:val="00B450E9"/>
    <w:rsid w:val="00B51F97"/>
    <w:rsid w:val="00B52FFF"/>
    <w:rsid w:val="00B5334A"/>
    <w:rsid w:val="00B60642"/>
    <w:rsid w:val="00B63402"/>
    <w:rsid w:val="00B659E0"/>
    <w:rsid w:val="00B65A3E"/>
    <w:rsid w:val="00B678E1"/>
    <w:rsid w:val="00B72858"/>
    <w:rsid w:val="00B74C7F"/>
    <w:rsid w:val="00B75855"/>
    <w:rsid w:val="00B75861"/>
    <w:rsid w:val="00B75DC0"/>
    <w:rsid w:val="00B80999"/>
    <w:rsid w:val="00B83E90"/>
    <w:rsid w:val="00B84A62"/>
    <w:rsid w:val="00B85166"/>
    <w:rsid w:val="00B9362A"/>
    <w:rsid w:val="00BA2F6D"/>
    <w:rsid w:val="00BA3626"/>
    <w:rsid w:val="00BB37ED"/>
    <w:rsid w:val="00BB4BA8"/>
    <w:rsid w:val="00BB51C2"/>
    <w:rsid w:val="00BC2BD9"/>
    <w:rsid w:val="00BC4194"/>
    <w:rsid w:val="00BC6975"/>
    <w:rsid w:val="00BD04EC"/>
    <w:rsid w:val="00BD15E9"/>
    <w:rsid w:val="00BD331C"/>
    <w:rsid w:val="00BD5C52"/>
    <w:rsid w:val="00BD64B2"/>
    <w:rsid w:val="00BE3B0D"/>
    <w:rsid w:val="00BE3C61"/>
    <w:rsid w:val="00BE6546"/>
    <w:rsid w:val="00BE6BB5"/>
    <w:rsid w:val="00BF0874"/>
    <w:rsid w:val="00BF1895"/>
    <w:rsid w:val="00BF478F"/>
    <w:rsid w:val="00BF4DEB"/>
    <w:rsid w:val="00BF5623"/>
    <w:rsid w:val="00C04E75"/>
    <w:rsid w:val="00C05E8C"/>
    <w:rsid w:val="00C10956"/>
    <w:rsid w:val="00C117BD"/>
    <w:rsid w:val="00C15F6B"/>
    <w:rsid w:val="00C174D4"/>
    <w:rsid w:val="00C1755F"/>
    <w:rsid w:val="00C201A0"/>
    <w:rsid w:val="00C21A21"/>
    <w:rsid w:val="00C225A2"/>
    <w:rsid w:val="00C23C89"/>
    <w:rsid w:val="00C26EF9"/>
    <w:rsid w:val="00C272FD"/>
    <w:rsid w:val="00C27C15"/>
    <w:rsid w:val="00C30AFC"/>
    <w:rsid w:val="00C31261"/>
    <w:rsid w:val="00C31D72"/>
    <w:rsid w:val="00C401EC"/>
    <w:rsid w:val="00C40526"/>
    <w:rsid w:val="00C408AD"/>
    <w:rsid w:val="00C42C95"/>
    <w:rsid w:val="00C45E8B"/>
    <w:rsid w:val="00C45FDE"/>
    <w:rsid w:val="00C5096B"/>
    <w:rsid w:val="00C50DE9"/>
    <w:rsid w:val="00C5322B"/>
    <w:rsid w:val="00C566AF"/>
    <w:rsid w:val="00C63B97"/>
    <w:rsid w:val="00C64054"/>
    <w:rsid w:val="00C64EED"/>
    <w:rsid w:val="00C70A26"/>
    <w:rsid w:val="00C73C69"/>
    <w:rsid w:val="00C75C7D"/>
    <w:rsid w:val="00C7687A"/>
    <w:rsid w:val="00C800F8"/>
    <w:rsid w:val="00C8128B"/>
    <w:rsid w:val="00C820B1"/>
    <w:rsid w:val="00C8310B"/>
    <w:rsid w:val="00C87E2C"/>
    <w:rsid w:val="00C9187D"/>
    <w:rsid w:val="00C92406"/>
    <w:rsid w:val="00C925AA"/>
    <w:rsid w:val="00C93CF2"/>
    <w:rsid w:val="00C94958"/>
    <w:rsid w:val="00CA1BDA"/>
    <w:rsid w:val="00CA5523"/>
    <w:rsid w:val="00CA6096"/>
    <w:rsid w:val="00CB038D"/>
    <w:rsid w:val="00CB459D"/>
    <w:rsid w:val="00CB6C37"/>
    <w:rsid w:val="00CC09CD"/>
    <w:rsid w:val="00CC4AC7"/>
    <w:rsid w:val="00CC6DAD"/>
    <w:rsid w:val="00CC722F"/>
    <w:rsid w:val="00CD0F44"/>
    <w:rsid w:val="00CD1761"/>
    <w:rsid w:val="00CD497A"/>
    <w:rsid w:val="00CD5D63"/>
    <w:rsid w:val="00CD7855"/>
    <w:rsid w:val="00CE0153"/>
    <w:rsid w:val="00CE16E5"/>
    <w:rsid w:val="00CE339F"/>
    <w:rsid w:val="00CE34AC"/>
    <w:rsid w:val="00CE4736"/>
    <w:rsid w:val="00CE4B7B"/>
    <w:rsid w:val="00CE4EE3"/>
    <w:rsid w:val="00CE766A"/>
    <w:rsid w:val="00CF4CC5"/>
    <w:rsid w:val="00CF4DC3"/>
    <w:rsid w:val="00CF6BD7"/>
    <w:rsid w:val="00D01C39"/>
    <w:rsid w:val="00D1021F"/>
    <w:rsid w:val="00D10D3C"/>
    <w:rsid w:val="00D110E4"/>
    <w:rsid w:val="00D11510"/>
    <w:rsid w:val="00D11C0B"/>
    <w:rsid w:val="00D11F22"/>
    <w:rsid w:val="00D12EB3"/>
    <w:rsid w:val="00D15253"/>
    <w:rsid w:val="00D155DE"/>
    <w:rsid w:val="00D170EB"/>
    <w:rsid w:val="00D2218E"/>
    <w:rsid w:val="00D225E6"/>
    <w:rsid w:val="00D24862"/>
    <w:rsid w:val="00D24F00"/>
    <w:rsid w:val="00D25B4E"/>
    <w:rsid w:val="00D30B4B"/>
    <w:rsid w:val="00D31688"/>
    <w:rsid w:val="00D3508D"/>
    <w:rsid w:val="00D350B5"/>
    <w:rsid w:val="00D3634C"/>
    <w:rsid w:val="00D40CBB"/>
    <w:rsid w:val="00D41F0F"/>
    <w:rsid w:val="00D461E4"/>
    <w:rsid w:val="00D46C20"/>
    <w:rsid w:val="00D4726E"/>
    <w:rsid w:val="00D47B2B"/>
    <w:rsid w:val="00D51F6E"/>
    <w:rsid w:val="00D53DC2"/>
    <w:rsid w:val="00D55FA7"/>
    <w:rsid w:val="00D5763A"/>
    <w:rsid w:val="00D6095C"/>
    <w:rsid w:val="00D6190A"/>
    <w:rsid w:val="00D646C2"/>
    <w:rsid w:val="00D72560"/>
    <w:rsid w:val="00D73B21"/>
    <w:rsid w:val="00D744A7"/>
    <w:rsid w:val="00D77C36"/>
    <w:rsid w:val="00D83E1B"/>
    <w:rsid w:val="00D840D3"/>
    <w:rsid w:val="00D936FE"/>
    <w:rsid w:val="00D938B8"/>
    <w:rsid w:val="00D95322"/>
    <w:rsid w:val="00D9641B"/>
    <w:rsid w:val="00DA1FCB"/>
    <w:rsid w:val="00DA4295"/>
    <w:rsid w:val="00DA5914"/>
    <w:rsid w:val="00DB1D78"/>
    <w:rsid w:val="00DB414E"/>
    <w:rsid w:val="00DB69C5"/>
    <w:rsid w:val="00DC3FC3"/>
    <w:rsid w:val="00DC7A9A"/>
    <w:rsid w:val="00DD23D9"/>
    <w:rsid w:val="00DD51A5"/>
    <w:rsid w:val="00DD63E3"/>
    <w:rsid w:val="00DD7156"/>
    <w:rsid w:val="00DD7CE9"/>
    <w:rsid w:val="00DE161E"/>
    <w:rsid w:val="00DE1638"/>
    <w:rsid w:val="00DE1E33"/>
    <w:rsid w:val="00DE50DF"/>
    <w:rsid w:val="00DE5D64"/>
    <w:rsid w:val="00DE6E07"/>
    <w:rsid w:val="00E0195C"/>
    <w:rsid w:val="00E041AA"/>
    <w:rsid w:val="00E06732"/>
    <w:rsid w:val="00E10485"/>
    <w:rsid w:val="00E12926"/>
    <w:rsid w:val="00E134A8"/>
    <w:rsid w:val="00E13E37"/>
    <w:rsid w:val="00E1458F"/>
    <w:rsid w:val="00E20D29"/>
    <w:rsid w:val="00E2276D"/>
    <w:rsid w:val="00E228B8"/>
    <w:rsid w:val="00E2362E"/>
    <w:rsid w:val="00E27AAD"/>
    <w:rsid w:val="00E27FD8"/>
    <w:rsid w:val="00E31862"/>
    <w:rsid w:val="00E3263D"/>
    <w:rsid w:val="00E35E54"/>
    <w:rsid w:val="00E41DFA"/>
    <w:rsid w:val="00E52294"/>
    <w:rsid w:val="00E52A12"/>
    <w:rsid w:val="00E542C1"/>
    <w:rsid w:val="00E54ABE"/>
    <w:rsid w:val="00E6488E"/>
    <w:rsid w:val="00E66DDC"/>
    <w:rsid w:val="00E6723B"/>
    <w:rsid w:val="00E673B4"/>
    <w:rsid w:val="00E7172B"/>
    <w:rsid w:val="00E727C4"/>
    <w:rsid w:val="00E72D3A"/>
    <w:rsid w:val="00E73B67"/>
    <w:rsid w:val="00E76012"/>
    <w:rsid w:val="00E77D33"/>
    <w:rsid w:val="00E80714"/>
    <w:rsid w:val="00E82178"/>
    <w:rsid w:val="00E8461C"/>
    <w:rsid w:val="00E8632E"/>
    <w:rsid w:val="00E90029"/>
    <w:rsid w:val="00E9175A"/>
    <w:rsid w:val="00E947C1"/>
    <w:rsid w:val="00E974A6"/>
    <w:rsid w:val="00E978AE"/>
    <w:rsid w:val="00EA14A7"/>
    <w:rsid w:val="00EA3C71"/>
    <w:rsid w:val="00EB09B6"/>
    <w:rsid w:val="00EB2473"/>
    <w:rsid w:val="00EB28D9"/>
    <w:rsid w:val="00EB39A8"/>
    <w:rsid w:val="00EB4386"/>
    <w:rsid w:val="00EC0D15"/>
    <w:rsid w:val="00EC3476"/>
    <w:rsid w:val="00EC61A1"/>
    <w:rsid w:val="00ED091B"/>
    <w:rsid w:val="00ED3B79"/>
    <w:rsid w:val="00ED54EF"/>
    <w:rsid w:val="00ED5AF1"/>
    <w:rsid w:val="00ED6ECE"/>
    <w:rsid w:val="00ED6F4B"/>
    <w:rsid w:val="00EE03E4"/>
    <w:rsid w:val="00EE10B3"/>
    <w:rsid w:val="00EE1513"/>
    <w:rsid w:val="00EE6B86"/>
    <w:rsid w:val="00EF0175"/>
    <w:rsid w:val="00EF3A9D"/>
    <w:rsid w:val="00EF6EAD"/>
    <w:rsid w:val="00F0121D"/>
    <w:rsid w:val="00F06024"/>
    <w:rsid w:val="00F13648"/>
    <w:rsid w:val="00F14955"/>
    <w:rsid w:val="00F15464"/>
    <w:rsid w:val="00F17274"/>
    <w:rsid w:val="00F20F30"/>
    <w:rsid w:val="00F24969"/>
    <w:rsid w:val="00F24C5E"/>
    <w:rsid w:val="00F25E43"/>
    <w:rsid w:val="00F33D15"/>
    <w:rsid w:val="00F43940"/>
    <w:rsid w:val="00F46CF2"/>
    <w:rsid w:val="00F527AF"/>
    <w:rsid w:val="00F52B1A"/>
    <w:rsid w:val="00F52B3E"/>
    <w:rsid w:val="00F5380B"/>
    <w:rsid w:val="00F57AEC"/>
    <w:rsid w:val="00F57BB5"/>
    <w:rsid w:val="00F60CEC"/>
    <w:rsid w:val="00F6198B"/>
    <w:rsid w:val="00F61EDF"/>
    <w:rsid w:val="00F62798"/>
    <w:rsid w:val="00F62C92"/>
    <w:rsid w:val="00F6489C"/>
    <w:rsid w:val="00F70CBF"/>
    <w:rsid w:val="00F71F5F"/>
    <w:rsid w:val="00F7296E"/>
    <w:rsid w:val="00F753D6"/>
    <w:rsid w:val="00F77854"/>
    <w:rsid w:val="00F83179"/>
    <w:rsid w:val="00F83C5A"/>
    <w:rsid w:val="00F861E5"/>
    <w:rsid w:val="00F865DF"/>
    <w:rsid w:val="00F93166"/>
    <w:rsid w:val="00F950EC"/>
    <w:rsid w:val="00F97958"/>
    <w:rsid w:val="00FA05FF"/>
    <w:rsid w:val="00FA1358"/>
    <w:rsid w:val="00FA277E"/>
    <w:rsid w:val="00FA374D"/>
    <w:rsid w:val="00FA486E"/>
    <w:rsid w:val="00FA4F38"/>
    <w:rsid w:val="00FA66C4"/>
    <w:rsid w:val="00FA6E6A"/>
    <w:rsid w:val="00FA76BC"/>
    <w:rsid w:val="00FB27D0"/>
    <w:rsid w:val="00FB4468"/>
    <w:rsid w:val="00FB5C61"/>
    <w:rsid w:val="00FB67E4"/>
    <w:rsid w:val="00FB6D27"/>
    <w:rsid w:val="00FC0018"/>
    <w:rsid w:val="00FC2E76"/>
    <w:rsid w:val="00FC3553"/>
    <w:rsid w:val="00FC75F0"/>
    <w:rsid w:val="00FD1C7D"/>
    <w:rsid w:val="00FD2600"/>
    <w:rsid w:val="00FD3FAE"/>
    <w:rsid w:val="00FD4825"/>
    <w:rsid w:val="00FD587A"/>
    <w:rsid w:val="00FE2C17"/>
    <w:rsid w:val="00FE35C1"/>
    <w:rsid w:val="00FE3F5F"/>
    <w:rsid w:val="00FE3FF0"/>
    <w:rsid w:val="00FE4405"/>
    <w:rsid w:val="00FF01A6"/>
    <w:rsid w:val="00FF1BB4"/>
    <w:rsid w:val="00FF3D04"/>
    <w:rsid w:val="00FF51E7"/>
    <w:rsid w:val="00FF5265"/>
    <w:rsid w:val="00FF6F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12D1"/>
    <w:rPr>
      <w:rFonts w:asciiTheme="majorHAnsi" w:eastAsiaTheme="majorEastAsia" w:hAnsiTheme="majorHAnsi" w:cstheme="majorBidi"/>
      <w:lang w:val="en-US" w:bidi="en-US"/>
    </w:rPr>
  </w:style>
  <w:style w:type="paragraph" w:styleId="Nadpis1">
    <w:name w:val="heading 1"/>
    <w:basedOn w:val="Normln"/>
    <w:next w:val="Normln"/>
    <w:link w:val="Nadpis1Char"/>
    <w:uiPriority w:val="9"/>
    <w:qFormat/>
    <w:rsid w:val="002B14D4"/>
    <w:pPr>
      <w:keepNext/>
      <w:keepLines/>
      <w:spacing w:before="480" w:after="0"/>
      <w:outlineLvl w:val="0"/>
    </w:pPr>
    <w:rPr>
      <w:b/>
      <w:bCs/>
      <w:color w:val="365F91" w:themeColor="accent1" w:themeShade="BF"/>
      <w:sz w:val="28"/>
      <w:szCs w:val="28"/>
    </w:rPr>
  </w:style>
  <w:style w:type="paragraph" w:styleId="Nadpis2">
    <w:name w:val="heading 2"/>
    <w:basedOn w:val="Normln"/>
    <w:next w:val="Normln"/>
    <w:link w:val="Nadpis2Char"/>
    <w:uiPriority w:val="9"/>
    <w:unhideWhenUsed/>
    <w:qFormat/>
    <w:rsid w:val="00D2218E"/>
    <w:pPr>
      <w:keepNext/>
      <w:keepLines/>
      <w:spacing w:before="200" w:after="0"/>
      <w:outlineLvl w:val="1"/>
    </w:pPr>
    <w:rPr>
      <w:b/>
      <w:bCs/>
      <w:color w:val="4F81BD" w:themeColor="accent1"/>
      <w:sz w:val="26"/>
      <w:szCs w:val="26"/>
    </w:rPr>
  </w:style>
  <w:style w:type="paragraph" w:styleId="Nadpis3">
    <w:name w:val="heading 3"/>
    <w:basedOn w:val="Normln"/>
    <w:next w:val="Normln"/>
    <w:link w:val="Nadpis3Char"/>
    <w:uiPriority w:val="9"/>
    <w:unhideWhenUsed/>
    <w:qFormat/>
    <w:rsid w:val="007660BF"/>
    <w:pPr>
      <w:keepNext/>
      <w:keepLines/>
      <w:spacing w:before="200" w:after="0"/>
      <w:outlineLvl w:val="2"/>
    </w:pPr>
    <w:rPr>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378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789C"/>
    <w:rPr>
      <w:rFonts w:ascii="Tahoma" w:eastAsiaTheme="majorEastAsia" w:hAnsi="Tahoma" w:cs="Tahoma"/>
      <w:sz w:val="16"/>
      <w:szCs w:val="16"/>
      <w:lang w:val="en-US" w:bidi="en-US"/>
    </w:rPr>
  </w:style>
  <w:style w:type="paragraph" w:styleId="Odstavecseseznamem">
    <w:name w:val="List Paragraph"/>
    <w:basedOn w:val="Normln"/>
    <w:uiPriority w:val="34"/>
    <w:qFormat/>
    <w:rsid w:val="00E80714"/>
    <w:pPr>
      <w:ind w:left="720"/>
      <w:contextualSpacing/>
    </w:pPr>
  </w:style>
  <w:style w:type="paragraph" w:styleId="Nzev">
    <w:name w:val="Title"/>
    <w:basedOn w:val="Normln"/>
    <w:next w:val="Normln"/>
    <w:link w:val="NzevChar"/>
    <w:uiPriority w:val="10"/>
    <w:qFormat/>
    <w:rsid w:val="002B14D4"/>
    <w:pPr>
      <w:pBdr>
        <w:bottom w:val="single" w:sz="8" w:space="4" w:color="4F81BD" w:themeColor="accent1"/>
      </w:pBdr>
      <w:spacing w:after="300" w:line="240" w:lineRule="auto"/>
      <w:contextualSpacing/>
    </w:pPr>
    <w:rPr>
      <w:color w:val="17365D" w:themeColor="text2" w:themeShade="BF"/>
      <w:spacing w:val="5"/>
      <w:kern w:val="28"/>
      <w:sz w:val="52"/>
      <w:szCs w:val="52"/>
    </w:rPr>
  </w:style>
  <w:style w:type="character" w:customStyle="1" w:styleId="NzevChar">
    <w:name w:val="Název Char"/>
    <w:basedOn w:val="Standardnpsmoodstavce"/>
    <w:link w:val="Nzev"/>
    <w:uiPriority w:val="10"/>
    <w:rsid w:val="002B14D4"/>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Nadpis1Char">
    <w:name w:val="Nadpis 1 Char"/>
    <w:basedOn w:val="Standardnpsmoodstavce"/>
    <w:link w:val="Nadpis1"/>
    <w:uiPriority w:val="9"/>
    <w:rsid w:val="002B14D4"/>
    <w:rPr>
      <w:rFonts w:asciiTheme="majorHAnsi" w:eastAsiaTheme="majorEastAsia" w:hAnsiTheme="majorHAnsi" w:cstheme="majorBidi"/>
      <w:b/>
      <w:bCs/>
      <w:color w:val="365F91" w:themeColor="accent1" w:themeShade="BF"/>
      <w:sz w:val="28"/>
      <w:szCs w:val="28"/>
      <w:lang w:val="en-US" w:bidi="en-US"/>
    </w:rPr>
  </w:style>
  <w:style w:type="character" w:customStyle="1" w:styleId="Nadpis2Char">
    <w:name w:val="Nadpis 2 Char"/>
    <w:basedOn w:val="Standardnpsmoodstavce"/>
    <w:link w:val="Nadpis2"/>
    <w:uiPriority w:val="9"/>
    <w:rsid w:val="00D2218E"/>
    <w:rPr>
      <w:rFonts w:asciiTheme="majorHAnsi" w:eastAsiaTheme="majorEastAsia" w:hAnsiTheme="majorHAnsi" w:cstheme="majorBidi"/>
      <w:b/>
      <w:bCs/>
      <w:color w:val="4F81BD" w:themeColor="accent1"/>
      <w:sz w:val="26"/>
      <w:szCs w:val="26"/>
      <w:lang w:val="en-US" w:bidi="en-US"/>
    </w:rPr>
  </w:style>
  <w:style w:type="paragraph" w:styleId="Zhlav">
    <w:name w:val="header"/>
    <w:basedOn w:val="Normln"/>
    <w:link w:val="ZhlavChar"/>
    <w:uiPriority w:val="99"/>
    <w:semiHidden/>
    <w:unhideWhenUsed/>
    <w:rsid w:val="00E41DF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41DFA"/>
    <w:rPr>
      <w:rFonts w:asciiTheme="majorHAnsi" w:eastAsiaTheme="majorEastAsia" w:hAnsiTheme="majorHAnsi" w:cstheme="majorBidi"/>
      <w:lang w:val="en-US" w:bidi="en-US"/>
    </w:rPr>
  </w:style>
  <w:style w:type="paragraph" w:styleId="Zpat">
    <w:name w:val="footer"/>
    <w:basedOn w:val="Normln"/>
    <w:link w:val="ZpatChar"/>
    <w:uiPriority w:val="99"/>
    <w:semiHidden/>
    <w:unhideWhenUsed/>
    <w:rsid w:val="00E41DF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41DFA"/>
    <w:rPr>
      <w:rFonts w:asciiTheme="majorHAnsi" w:eastAsiaTheme="majorEastAsia" w:hAnsiTheme="majorHAnsi" w:cstheme="majorBidi"/>
      <w:lang w:val="en-US" w:bidi="en-US"/>
    </w:rPr>
  </w:style>
  <w:style w:type="character" w:customStyle="1" w:styleId="Nadpis3Char">
    <w:name w:val="Nadpis 3 Char"/>
    <w:basedOn w:val="Standardnpsmoodstavce"/>
    <w:link w:val="Nadpis3"/>
    <w:uiPriority w:val="9"/>
    <w:rsid w:val="007660BF"/>
    <w:rPr>
      <w:rFonts w:asciiTheme="majorHAnsi" w:eastAsiaTheme="majorEastAsia" w:hAnsiTheme="majorHAnsi" w:cstheme="majorBidi"/>
      <w:b/>
      <w:bCs/>
      <w:color w:val="4F81BD" w:themeColor="accent1"/>
      <w:lang w:val="en-US" w:bidi="en-US"/>
    </w:rPr>
  </w:style>
  <w:style w:type="character" w:styleId="Hypertextovodkaz">
    <w:name w:val="Hyperlink"/>
    <w:basedOn w:val="Standardnpsmoodstavce"/>
    <w:uiPriority w:val="99"/>
    <w:unhideWhenUsed/>
    <w:rsid w:val="007660BF"/>
    <w:rPr>
      <w:color w:val="0000FF" w:themeColor="hyperlink"/>
      <w:u w:val="single"/>
    </w:rPr>
  </w:style>
  <w:style w:type="character" w:customStyle="1" w:styleId="commentbody">
    <w:name w:val="commentbody"/>
    <w:basedOn w:val="Standardnpsmoodstavce"/>
    <w:rsid w:val="007660BF"/>
  </w:style>
  <w:style w:type="character" w:customStyle="1" w:styleId="contributornametrigger">
    <w:name w:val="contributornametrigger"/>
    <w:basedOn w:val="Standardnpsmoodstavce"/>
    <w:rsid w:val="007660BF"/>
  </w:style>
  <w:style w:type="character" w:styleId="Siln">
    <w:name w:val="Strong"/>
    <w:basedOn w:val="Standardnpsmoodstavce"/>
    <w:uiPriority w:val="22"/>
    <w:qFormat/>
    <w:rsid w:val="007660BF"/>
    <w:rPr>
      <w:b/>
      <w:bCs/>
    </w:rPr>
  </w:style>
  <w:style w:type="character" w:customStyle="1" w:styleId="apple-converted-space">
    <w:name w:val="apple-converted-space"/>
    <w:basedOn w:val="Standardnpsmoodstavce"/>
    <w:rsid w:val="00E8461C"/>
  </w:style>
  <w:style w:type="character" w:styleId="Zvraznn">
    <w:name w:val="Emphasis"/>
    <w:basedOn w:val="Standardnpsmoodstavce"/>
    <w:uiPriority w:val="20"/>
    <w:qFormat/>
    <w:rsid w:val="00E8461C"/>
    <w:rPr>
      <w:i/>
      <w:iCs/>
    </w:rPr>
  </w:style>
  <w:style w:type="character" w:customStyle="1" w:styleId="link-external">
    <w:name w:val="link-external"/>
    <w:basedOn w:val="Standardnpsmoodstavce"/>
    <w:rsid w:val="009163EC"/>
  </w:style>
  <w:style w:type="character" w:styleId="Odkaznakoment">
    <w:name w:val="annotation reference"/>
    <w:basedOn w:val="Standardnpsmoodstavce"/>
    <w:uiPriority w:val="99"/>
    <w:semiHidden/>
    <w:unhideWhenUsed/>
    <w:rsid w:val="000D17DE"/>
    <w:rPr>
      <w:sz w:val="16"/>
      <w:szCs w:val="16"/>
    </w:rPr>
  </w:style>
  <w:style w:type="paragraph" w:styleId="Textkomente">
    <w:name w:val="annotation text"/>
    <w:basedOn w:val="Normln"/>
    <w:link w:val="TextkomenteChar"/>
    <w:uiPriority w:val="99"/>
    <w:semiHidden/>
    <w:unhideWhenUsed/>
    <w:rsid w:val="000D17DE"/>
    <w:pPr>
      <w:spacing w:line="240" w:lineRule="auto"/>
    </w:pPr>
    <w:rPr>
      <w:sz w:val="20"/>
      <w:szCs w:val="20"/>
    </w:rPr>
  </w:style>
  <w:style w:type="character" w:customStyle="1" w:styleId="TextkomenteChar">
    <w:name w:val="Text komentáře Char"/>
    <w:basedOn w:val="Standardnpsmoodstavce"/>
    <w:link w:val="Textkomente"/>
    <w:uiPriority w:val="99"/>
    <w:semiHidden/>
    <w:rsid w:val="000D17DE"/>
    <w:rPr>
      <w:rFonts w:asciiTheme="majorHAnsi" w:eastAsiaTheme="majorEastAsia" w:hAnsiTheme="majorHAnsi" w:cstheme="majorBidi"/>
      <w:sz w:val="20"/>
      <w:szCs w:val="20"/>
      <w:lang w:val="en-US" w:bidi="en-US"/>
    </w:rPr>
  </w:style>
  <w:style w:type="paragraph" w:styleId="Pedmtkomente">
    <w:name w:val="annotation subject"/>
    <w:basedOn w:val="Textkomente"/>
    <w:next w:val="Textkomente"/>
    <w:link w:val="PedmtkomenteChar"/>
    <w:uiPriority w:val="99"/>
    <w:semiHidden/>
    <w:unhideWhenUsed/>
    <w:rsid w:val="000D17DE"/>
    <w:rPr>
      <w:b/>
      <w:bCs/>
    </w:rPr>
  </w:style>
  <w:style w:type="character" w:customStyle="1" w:styleId="PedmtkomenteChar">
    <w:name w:val="Předmět komentáře Char"/>
    <w:basedOn w:val="TextkomenteChar"/>
    <w:link w:val="Pedmtkomente"/>
    <w:uiPriority w:val="99"/>
    <w:semiHidden/>
    <w:rsid w:val="000D17DE"/>
    <w:rPr>
      <w:b/>
      <w:bCs/>
    </w:rPr>
  </w:style>
  <w:style w:type="character" w:styleId="Sledovanodkaz">
    <w:name w:val="FollowedHyperlink"/>
    <w:basedOn w:val="Standardnpsmoodstavce"/>
    <w:uiPriority w:val="99"/>
    <w:semiHidden/>
    <w:unhideWhenUsed/>
    <w:rsid w:val="001B75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p.cuni.cz/envigogika" TargetMode="External"/><Relationship Id="rId13" Type="http://schemas.openxmlformats.org/officeDocument/2006/relationships/hyperlink" Target="http://www.oecd.org/edu/educationeconomyandsociety/centreforeffectivelearningenvironmentscele/45575516.pdf" TargetMode="External"/><Relationship Id="rId18" Type="http://schemas.openxmlformats.org/officeDocument/2006/relationships/hyperlink" Target="http://unesdoc.unesco.org/images/0018/001849/184944e.pdf" TargetMode="External"/><Relationship Id="rId3" Type="http://schemas.openxmlformats.org/officeDocument/2006/relationships/styles" Target="styles.xml"/><Relationship Id="rId21" Type="http://schemas.openxmlformats.org/officeDocument/2006/relationships/hyperlink" Target="http://www.sciencedirect.com/science/journal/09596526/17/12" TargetMode="External"/><Relationship Id="rId7" Type="http://schemas.openxmlformats.org/officeDocument/2006/relationships/endnotes" Target="endnotes.xml"/><Relationship Id="rId12" Type="http://schemas.openxmlformats.org/officeDocument/2006/relationships/hyperlink" Target="http://www.unece.org/fileadmin/DAM/env/esd/7thMeetSC/Official_Docs/SynthesisReport/ece.cep.ac.13.2012.3e.pdf" TargetMode="External"/><Relationship Id="rId17" Type="http://schemas.openxmlformats.org/officeDocument/2006/relationships/hyperlink" Target="http://www.unece.org/env/esd/Implementation/Publication/LearningFromEachOthe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ece.org/env/documents/2009/ECE/CEP/AC.13/ece.cep.ac.13.2009.5.e.pdf" TargetMode="External"/><Relationship Id="rId20" Type="http://schemas.openxmlformats.org/officeDocument/2006/relationships/hyperlink" Target="http://www.sciencedirect.com/science/journal/09596526/14/9-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18/001849/184944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ece.org/env/esd/inf.meeting.docs/SC/SC-3/ece.cep.ac.13.2008.2.add.1.e.AC.pdf" TargetMode="External"/><Relationship Id="rId23" Type="http://schemas.openxmlformats.org/officeDocument/2006/relationships/hyperlink" Target="http://www.amazon.com/s/ref=ntt_athr_dp_sr_2?_encoding=UTF8&amp;field-author=Hugh%20Fearnley-Whittingstall&amp;ie=UTF8&amp;search-alias=books&amp;sort=relevancerank" TargetMode="External"/><Relationship Id="rId10" Type="http://schemas.openxmlformats.org/officeDocument/2006/relationships/hyperlink" Target="http://unesdoc.unesco.org/images/0019/001914/191442e.pdf" TargetMode="External"/><Relationship Id="rId19" Type="http://schemas.openxmlformats.org/officeDocument/2006/relationships/hyperlink" Target="http://www2.leuphana.de/vcse/uploads/media/Multi-Actor_Learning_FINAL.pdf" TargetMode="External"/><Relationship Id="rId4" Type="http://schemas.openxmlformats.org/officeDocument/2006/relationships/settings" Target="settings.xml"/><Relationship Id="rId9" Type="http://schemas.openxmlformats.org/officeDocument/2006/relationships/hyperlink" Target="http://www.antaisce.org" TargetMode="External"/><Relationship Id="rId14" Type="http://schemas.openxmlformats.org/officeDocument/2006/relationships/hyperlink" Target="http://unesdoc.unesco.org/images/0019/001914/191442e.pdf" TargetMode="External"/><Relationship Id="rId22" Type="http://schemas.openxmlformats.org/officeDocument/2006/relationships/hyperlink" Target="http://www.sciencedirect.com/science/journal/09596526/18/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D42A0-5ECA-4F77-9458-BE8978D6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7656</Words>
  <Characters>45173</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52724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2012-10-04T19:43:00Z</dcterms:created>
  <dcterms:modified xsi:type="dcterms:W3CDTF">2012-10-04T19:43:00Z</dcterms:modified>
</cp:coreProperties>
</file>