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094" w:rsidRDefault="00694094" w:rsidP="006B00CA">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i1025" type="#_x0000_t75" alt="OPVK_hor_zakladni_logolink_CB_cz" style="width:403.5pt;height:89.25pt;visibility:visible">
            <v:imagedata r:id="rId7" o:title=""/>
          </v:shape>
        </w:pict>
      </w:r>
    </w:p>
    <w:p w:rsidR="00694094" w:rsidRDefault="00694094" w:rsidP="006B00CA">
      <w:pPr>
        <w:jc w:val="center"/>
      </w:pPr>
    </w:p>
    <w:p w:rsidR="00694094" w:rsidRPr="006B00CA" w:rsidRDefault="00694094" w:rsidP="006B00CA">
      <w:pPr>
        <w:jc w:val="center"/>
        <w:rPr>
          <w:rFonts w:ascii="Arial" w:hAnsi="Arial" w:cs="Arial"/>
          <w:b/>
          <w:bCs/>
          <w:caps/>
          <w:spacing w:val="60"/>
          <w:sz w:val="28"/>
          <w:szCs w:val="28"/>
        </w:rPr>
      </w:pPr>
      <w:r w:rsidRPr="006B00CA">
        <w:rPr>
          <w:rFonts w:ascii="Arial" w:hAnsi="Arial" w:cs="Arial"/>
          <w:b/>
          <w:bCs/>
          <w:caps/>
          <w:spacing w:val="60"/>
          <w:sz w:val="28"/>
          <w:szCs w:val="28"/>
        </w:rPr>
        <w:t>Odůvodnění veřejné zakázky</w:t>
      </w:r>
    </w:p>
    <w:p w:rsidR="00694094" w:rsidRPr="006B00CA" w:rsidRDefault="00694094" w:rsidP="006B00CA">
      <w:pPr>
        <w:spacing w:before="360" w:after="360"/>
        <w:jc w:val="both"/>
        <w:rPr>
          <w:rFonts w:ascii="Arial" w:hAnsi="Arial" w:cs="Arial"/>
          <w:sz w:val="22"/>
          <w:szCs w:val="22"/>
        </w:rPr>
      </w:pPr>
      <w:r w:rsidRPr="006B00CA">
        <w:rPr>
          <w:rFonts w:ascii="Arial" w:hAnsi="Arial" w:cs="Arial"/>
          <w:sz w:val="22"/>
          <w:szCs w:val="22"/>
        </w:rPr>
        <w:t xml:space="preserve">Dokument slouží ke správnému zpracování odůvodnění veřejné zakázky podle ustanovení § 86 odst. 2 a § 156 ZVZ, ve smyslu vyhlášky Ministerstva pro místní rozvoj ČR č. 232/2012 Sb., o podrobnostech rozsahu odůvodnění účelnosti veřejné zakázky a odůvodnění veřejné zakázky, v platném znění. </w:t>
      </w: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Předkládající:</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C369A9">
            <w:pPr>
              <w:jc w:val="both"/>
              <w:rPr>
                <w:rFonts w:ascii="Arial" w:hAnsi="Arial" w:cs="Arial"/>
              </w:rPr>
            </w:pPr>
            <w:r>
              <w:t>Ing. et. Bc. Venuše Heřmanová, projektový manažer</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Identifikace zadavatele:</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FE4C61" w:rsidRDefault="00694094" w:rsidP="00FE4C61">
            <w:r w:rsidRPr="00FE4C61">
              <w:t xml:space="preserve">České vysoké učení technické v Praze, </w:t>
            </w:r>
          </w:p>
          <w:p w:rsidR="00694094" w:rsidRDefault="00694094" w:rsidP="00FE4C61">
            <w:r w:rsidRPr="00FE4C61">
              <w:t>Fakulta biomedicínského inženýrství</w:t>
            </w:r>
          </w:p>
          <w:p w:rsidR="00694094" w:rsidRPr="00FE4C61" w:rsidRDefault="00694094" w:rsidP="00FE4C61">
            <w:r>
              <w:t xml:space="preserve">se sídlem </w:t>
            </w:r>
            <w:r w:rsidRPr="00FE4C61">
              <w:t xml:space="preserve">Praha 6 – Dejvice, Zikova 4, PSČ: 166 34, </w:t>
            </w:r>
          </w:p>
          <w:p w:rsidR="00694094" w:rsidRDefault="00694094" w:rsidP="00FE4C61">
            <w:pPr>
              <w:jc w:val="both"/>
            </w:pPr>
            <w:r w:rsidRPr="00FE4C61">
              <w:t>sídlo fakulty: Kladno, Nám. Sítná 3105, PSČ: 272 01</w:t>
            </w:r>
          </w:p>
          <w:p w:rsidR="00694094" w:rsidRDefault="00694094" w:rsidP="00FE4C61">
            <w:pPr>
              <w:jc w:val="both"/>
            </w:pPr>
          </w:p>
          <w:p w:rsidR="00694094" w:rsidRPr="00FE4C61" w:rsidRDefault="00694094" w:rsidP="00FE4C61">
            <w:r>
              <w:t xml:space="preserve">osoba oprávněná jednat za zadavatele: </w:t>
            </w:r>
            <w:r w:rsidRPr="00FE4C61">
              <w:t>prof. MUDr. Jozef Rosina, Ph.D., děkan fakulty</w:t>
            </w:r>
          </w:p>
          <w:p w:rsidR="00694094" w:rsidRPr="006B00CA" w:rsidRDefault="00694094" w:rsidP="00534B5C">
            <w:pPr>
              <w:rPr>
                <w:rFonts w:ascii="Arial" w:hAnsi="Arial" w:cs="Arial"/>
                <w:b/>
                <w:bCs/>
              </w:rPr>
            </w:pP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Název veřejné zakázky: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b/>
                <w:bCs/>
              </w:rPr>
            </w:pPr>
            <w:r>
              <w:t xml:space="preserve">Dodávka ICT a ostatního zařízení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Název a číslo projektu:</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Default="00694094" w:rsidP="00FE4C61"/>
          <w:p w:rsidR="00694094" w:rsidRPr="00FE4C61" w:rsidRDefault="00694094" w:rsidP="00FE4C61">
            <w:r w:rsidRPr="00FE4C61">
              <w:t>POPULARIZACE VĚDY A VÝZKUMU ČVUT</w:t>
            </w:r>
            <w:r>
              <w:t xml:space="preserve">; </w:t>
            </w:r>
            <w:r w:rsidRPr="00FE4C61">
              <w:t>CZ.1.07/2.3.00/35.0021</w:t>
            </w:r>
          </w:p>
          <w:p w:rsidR="00694094" w:rsidRPr="006B00CA" w:rsidRDefault="00694094" w:rsidP="006B00CA">
            <w:pPr>
              <w:jc w:val="both"/>
              <w:rPr>
                <w:rFonts w:ascii="Arial" w:hAnsi="Arial" w:cs="Arial"/>
                <w:b/>
                <w:bCs/>
              </w:rPr>
            </w:pP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Druh veřejné zakázky: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6B00CA">
              <w:rPr>
                <w:rFonts w:ascii="Arial" w:hAnsi="Arial" w:cs="Arial"/>
                <w:sz w:val="22"/>
                <w:szCs w:val="22"/>
              </w:rPr>
              <w:t xml:space="preserve">Veřejná zakázka na:  </w:t>
            </w:r>
            <w:r>
              <w:t xml:space="preserve">DODÁVKY  </w:t>
            </w:r>
          </w:p>
        </w:tc>
      </w:tr>
    </w:tbl>
    <w:p w:rsidR="00694094" w:rsidRPr="006B00CA" w:rsidRDefault="00694094" w:rsidP="006B00CA">
      <w:pPr>
        <w:numPr>
          <w:ilvl w:val="0"/>
          <w:numId w:val="1"/>
        </w:numPr>
        <w:tabs>
          <w:tab w:val="clear" w:pos="1080"/>
          <w:tab w:val="num" w:pos="720"/>
        </w:tabs>
        <w:spacing w:before="600"/>
        <w:ind w:left="720"/>
        <w:jc w:val="both"/>
        <w:rPr>
          <w:rFonts w:ascii="Arial" w:hAnsi="Arial" w:cs="Arial"/>
          <w:b/>
          <w:bCs/>
          <w:sz w:val="22"/>
          <w:szCs w:val="22"/>
        </w:rPr>
      </w:pPr>
      <w:r w:rsidRPr="006B00CA">
        <w:rPr>
          <w:rFonts w:ascii="Arial" w:hAnsi="Arial" w:cs="Arial"/>
          <w:b/>
          <w:bCs/>
          <w:sz w:val="22"/>
          <w:szCs w:val="22"/>
        </w:rPr>
        <w:t xml:space="preserve">Odůvodnění </w:t>
      </w:r>
      <w:r w:rsidRPr="006B00CA">
        <w:rPr>
          <w:rFonts w:ascii="Arial" w:hAnsi="Arial" w:cs="Arial"/>
          <w:b/>
          <w:bCs/>
          <w:sz w:val="22"/>
          <w:szCs w:val="22"/>
          <w:u w:val="single"/>
        </w:rPr>
        <w:t>účelnosti</w:t>
      </w:r>
      <w:r w:rsidRPr="006B00CA">
        <w:rPr>
          <w:rFonts w:ascii="Arial" w:hAnsi="Arial" w:cs="Arial"/>
          <w:b/>
          <w:bCs/>
          <w:sz w:val="22"/>
          <w:szCs w:val="22"/>
        </w:rPr>
        <w:t xml:space="preserve"> veřejné zakázky dle ust. § 86 odst. 2  a § 156 odst. 1 písm. a) ZVZ</w:t>
      </w:r>
    </w:p>
    <w:p w:rsidR="00694094" w:rsidRDefault="00694094" w:rsidP="006B00CA">
      <w:pPr>
        <w:spacing w:before="240"/>
        <w:jc w:val="both"/>
      </w:pPr>
      <w:r w:rsidRPr="006B00CA">
        <w:rPr>
          <w:rFonts w:ascii="Arial" w:hAnsi="Arial" w:cs="Arial"/>
          <w:sz w:val="22"/>
          <w:szCs w:val="22"/>
        </w:rPr>
        <w:t>Veřejný zadavatel má povinnost uveřejnit ve Věstníku veřejných zakázek formou předběžného oznámení a na profilu zadavatele odůvodnění účelnosti veřejné zakázky u nadlimitní a podlimitní veřejné zakázky. Řešitel projektu zpracuje odůvodnění účelnosti veřejné zakázky v rozsahu dle následujícího formuláře.</w:t>
      </w:r>
    </w:p>
    <w:p w:rsidR="00694094" w:rsidRDefault="00694094" w:rsidP="006B00CA">
      <w:pPr>
        <w:spacing w:before="240"/>
        <w:jc w:val="both"/>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Popis potřeb, které mají být splněním veřejné zakázky naplněny: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534B5C" w:rsidRDefault="00694094" w:rsidP="00534B5C">
            <w:r w:rsidRPr="00534B5C">
              <w:t>Veřejná zakázka je realizována v rámci projektu</w:t>
            </w:r>
            <w:r>
              <w:t xml:space="preserve">: </w:t>
            </w:r>
            <w:r w:rsidRPr="00534B5C">
              <w:t xml:space="preserve"> POPULARIZACE VĚDY A VÝZKUMU ČVUT</w:t>
            </w:r>
            <w:r>
              <w:t xml:space="preserve">; </w:t>
            </w:r>
            <w:r w:rsidRPr="00534B5C">
              <w:t>CZ.1.07/2.3.00/35.0021</w:t>
            </w:r>
            <w:r>
              <w:t xml:space="preserve">, což je projekt financovaný prostřednictvím Operačního programu Vzdělávání pro konkurenceschopnost. </w:t>
            </w:r>
          </w:p>
          <w:p w:rsidR="00694094" w:rsidRPr="00534B5C" w:rsidRDefault="00694094" w:rsidP="00534B5C"/>
          <w:p w:rsidR="00694094" w:rsidRPr="00534B5C" w:rsidRDefault="00694094" w:rsidP="00534B5C">
            <w:r w:rsidRPr="00534B5C">
              <w:t>Hlavní</w:t>
            </w:r>
            <w:r>
              <w:t xml:space="preserve">m strategickým cílem projektu a rovněž této veřejné zakázky zadávané   v rámci tohoto projektu je vytvořit systémové nástroje pro popularizaci výsledků výzkumu a vývoje pro studenty a žáky. Pomocí přednáškových cyklů, systémových propagačních aktivit VaV a popularizačních cyklů, dnů otevřených dveří, audiovizuální tvorby, e-learningových kurzů a interaktivních webových stránek budou vyhledáváni žáci a studenti se zájmem o výzkumnou a vývojovou činnost. Pro splnění cílů projektu bude realizován interaktivní web portál pro ověření technických vědomostí, pilotně ověřený koncept kroužků, vědecko-technických táborů, webové stránky, interaktivní modul, publikační portál na bázi MediaWiki, aktivity na dnech otevřených dveří. K těmto aktivitám a k realizaci uvedených cílu je zapotřebí technické vybavení poptávané veřejné zakázky.   </w:t>
            </w:r>
          </w:p>
          <w:p w:rsidR="00694094" w:rsidRPr="006B00CA" w:rsidRDefault="00694094" w:rsidP="00534B5C">
            <w:pPr>
              <w:jc w:val="both"/>
              <w:rPr>
                <w:rFonts w:ascii="Arial" w:hAnsi="Arial" w:cs="Arial"/>
              </w:rPr>
            </w:pP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Popis předmětu veřejné zakázky: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106555" w:rsidRDefault="00694094" w:rsidP="00106555">
            <w:r>
              <w:t xml:space="preserve">Předmětem veřejné zakázky jsou následující dodávky: </w:t>
            </w:r>
            <w:r w:rsidRPr="00106555">
              <w:t xml:space="preserve">(i) dodávka notebooků; (ii) dodávka dataprojektoru; (iii) dodávka vývojových a demonstračních tabletů pro studenty (TIC); (iv) dodávka projektoru; (v) dodávka přenosného projektoru a (vi) dodávka </w:t>
            </w:r>
            <w:r>
              <w:t>sestavy</w:t>
            </w:r>
            <w:r w:rsidRPr="00106555">
              <w:t xml:space="preserve"> PC.    </w:t>
            </w:r>
          </w:p>
          <w:p w:rsidR="00694094" w:rsidRPr="006B00CA" w:rsidRDefault="00694094" w:rsidP="00723AA7">
            <w:pPr>
              <w:jc w:val="both"/>
              <w:rPr>
                <w:rFonts w:ascii="Arial" w:hAnsi="Arial" w:cs="Arial"/>
              </w:rPr>
            </w:pP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Popis vzájemného vztahu předmětu veřejné zakázky a potřeb zadavatele:</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9F142F">
            <w:pPr>
              <w:jc w:val="both"/>
              <w:rPr>
                <w:rFonts w:ascii="Arial" w:hAnsi="Arial" w:cs="Arial"/>
              </w:rPr>
            </w:pPr>
            <w:r>
              <w:t>Realizace veřejné zakázky umožní úspěšné zrealizování klíčových aktivit napříč celým projektem. Předmět veřejné zakázky přímo souvisí s plněním klíčových aktivit a bez něj by bylo prakticky nemožné dané aktivity uskutečnit a dojít k naplnění výstupů projektu.</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Popis rizik souvisejících s plněním veřejné zakázky, která zadavatel zohlednil při stanovení zadávacích podmínek:</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5C752F" w:rsidRDefault="00694094" w:rsidP="005C752F">
            <w:pPr>
              <w:jc w:val="both"/>
            </w:pPr>
            <w:r>
              <w:t>Pokud by veřejná zakázka nebyla realizovaná byl by ohrožen celý projekt a většina jeho plánovaných výstupů. Klíčové aktivity 1, 2, 3, 4, 6 a 7 jsou závislé na tomto předmětu plnění a bez uskutečnění veřejné zakázky hrozí nesplnění vytyčených cílů projektu.</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Předpokládaný termín splnění veřejné zakázky: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EE4895">
            <w:pPr>
              <w:jc w:val="both"/>
              <w:rPr>
                <w:rFonts w:ascii="Arial" w:hAnsi="Arial" w:cs="Arial"/>
              </w:rPr>
            </w:pPr>
            <w:r>
              <w:t xml:space="preserve">Předpokládaný termín splnění veřejné zakázky: dodávka zboží bude realizována do jednoho (1) kalendářního měsíce od uzavření kupní smlouvy s vybraným uchazečem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 xml:space="preserve">Popis alternativ </w:t>
            </w:r>
          </w:p>
          <w:p w:rsidR="00694094" w:rsidRPr="006B00CA" w:rsidRDefault="00694094" w:rsidP="006B00CA">
            <w:pPr>
              <w:jc w:val="both"/>
              <w:rPr>
                <w:rFonts w:ascii="Arial" w:hAnsi="Arial" w:cs="Arial"/>
                <w:b/>
                <w:bCs/>
              </w:rPr>
            </w:pPr>
            <w:r w:rsidRPr="006B00CA">
              <w:rPr>
                <w:rFonts w:ascii="Arial" w:hAnsi="Arial" w:cs="Arial"/>
                <w:b/>
                <w:bCs/>
                <w:sz w:val="22"/>
                <w:szCs w:val="22"/>
              </w:rPr>
              <w:t>naplnění plánovaného</w:t>
            </w:r>
          </w:p>
          <w:p w:rsidR="00694094" w:rsidRPr="006B00CA" w:rsidRDefault="00694094" w:rsidP="006B00CA">
            <w:pPr>
              <w:jc w:val="both"/>
              <w:rPr>
                <w:rFonts w:ascii="Arial" w:hAnsi="Arial" w:cs="Arial"/>
                <w:b/>
                <w:bCs/>
              </w:rPr>
            </w:pPr>
            <w:r w:rsidRPr="006B00CA">
              <w:rPr>
                <w:rFonts w:ascii="Arial" w:hAnsi="Arial" w:cs="Arial"/>
                <w:b/>
                <w:bCs/>
                <w:sz w:val="22"/>
                <w:szCs w:val="22"/>
              </w:rPr>
              <w:t xml:space="preserve">cíle a zdůvodnění </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4B276A" w:rsidRDefault="00694094" w:rsidP="006B00CA">
            <w:pPr>
              <w:jc w:val="both"/>
              <w:rPr>
                <w:rFonts w:ascii="Arial" w:hAnsi="Arial" w:cs="Arial"/>
              </w:rPr>
            </w:pPr>
            <w:r w:rsidRPr="00BC2CF3">
              <w:t xml:space="preserve">Realizace části projektu </w:t>
            </w:r>
            <w:r>
              <w:t xml:space="preserve">"Dodávka ICT a ostatního zařízení" nemůže být řešena jiným způsobem, nežli plněním </w:t>
            </w:r>
            <w:r w:rsidRPr="00BC2CF3">
              <w:t>této veřejné zakázky.</w:t>
            </w:r>
          </w:p>
        </w:tc>
      </w:tr>
      <w:tr w:rsidR="00694094" w:rsidRPr="006B00CA">
        <w:trPr>
          <w:trHeight w:val="283"/>
        </w:trPr>
        <w:tc>
          <w:tcPr>
            <w:tcW w:w="2628" w:type="dxa"/>
            <w:vAlign w:val="center"/>
          </w:tcPr>
          <w:p w:rsidR="00694094" w:rsidRPr="006B00CA" w:rsidRDefault="00694094" w:rsidP="006B00CA">
            <w:pPr>
              <w:spacing w:line="140" w:lineRule="atLeast"/>
              <w:jc w:val="both"/>
              <w:rPr>
                <w:rFonts w:ascii="Arial" w:hAnsi="Arial" w:cs="Arial"/>
                <w:b/>
                <w:bCs/>
              </w:rPr>
            </w:pPr>
          </w:p>
        </w:tc>
        <w:tc>
          <w:tcPr>
            <w:tcW w:w="7740" w:type="dxa"/>
            <w:tcBorders>
              <w:top w:val="single" w:sz="4" w:space="0" w:color="auto"/>
              <w:bottom w:val="single" w:sz="4" w:space="0" w:color="auto"/>
            </w:tcBorders>
            <w:vAlign w:val="center"/>
          </w:tcPr>
          <w:p w:rsidR="00694094" w:rsidRPr="006B00CA" w:rsidRDefault="00694094" w:rsidP="006B00CA">
            <w:pPr>
              <w:spacing w:line="140" w:lineRule="atLeast"/>
              <w:jc w:val="both"/>
              <w:rPr>
                <w:rFonts w:ascii="Arial" w:hAnsi="Arial" w:cs="Arial"/>
                <w:b/>
                <w:bCs/>
              </w:rPr>
            </w:pPr>
          </w:p>
        </w:tc>
      </w:tr>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Popis toho, do jaké míry ovlivní veřejná zakázka plnění plánovaného cíle:</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DB17B4" w:rsidRDefault="00694094" w:rsidP="006B00CA">
            <w:pPr>
              <w:jc w:val="both"/>
              <w:rPr>
                <w:rFonts w:ascii="Arial" w:hAnsi="Arial" w:cs="Arial"/>
              </w:rPr>
            </w:pPr>
            <w:r>
              <w:t xml:space="preserve">Cílem projektu je vytipovat, podpořit a dát možnost talentovaným žákům a studentům v čas poznat vědeckovýzkumnou činnost, zapojit se do reálných vědeckovýzkumných projektů a připravit je na další působení v oblasti vědy a výzkumu. Vytvořit funkční infrastrukturu pro práci na vědeckovýzkumných projektech formou kvalitního laboratorního a experimentálního zázemí. Předmět veřejné zakázky umožní studentům podílet se na řešení reálných vědeckovýzkumných aktivitách, zatraktivní vědeckou kariéru mladým lidem, zvýší vědeckotechnologickou gramotnost a podpoří chápání vědy, rozvine schopnost a tvořivé myšlení. Cílem veřejné zakázky je pak získat relevantní techniku, která bude sloužit k naplnění cílů projektu.  </w:t>
            </w:r>
          </w:p>
        </w:tc>
      </w:tr>
    </w:tbl>
    <w:p w:rsidR="00694094" w:rsidRPr="006B00CA" w:rsidRDefault="00694094" w:rsidP="006B00CA">
      <w:pPr>
        <w:jc w:val="both"/>
        <w:rPr>
          <w:rFonts w:ascii="Arial" w:hAnsi="Arial" w:cs="Arial"/>
          <w:b/>
          <w:bCs/>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rPr>
                <w:rFonts w:ascii="Arial" w:hAnsi="Arial" w:cs="Arial"/>
                <w:b/>
                <w:bCs/>
              </w:rPr>
            </w:pPr>
            <w:r w:rsidRPr="006B00CA">
              <w:rPr>
                <w:rFonts w:ascii="Arial" w:hAnsi="Arial" w:cs="Arial"/>
                <w:b/>
                <w:bCs/>
                <w:sz w:val="22"/>
                <w:szCs w:val="22"/>
              </w:rPr>
              <w:t>Další nepovinné informace odůvodňující veřejnou zakázku:</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AE73E9">
            <w:pPr>
              <w:jc w:val="both"/>
              <w:rPr>
                <w:rFonts w:ascii="Arial" w:hAnsi="Arial" w:cs="Arial"/>
              </w:rPr>
            </w:pPr>
            <w:r w:rsidRPr="00BC2CF3">
              <w:t>Plnění této veřejné zakázky je jednou z</w:t>
            </w:r>
            <w:r>
              <w:t xml:space="preserve"> podmínek plnohodnotné činnosti několika pracovišť.</w:t>
            </w:r>
          </w:p>
        </w:tc>
      </w:tr>
    </w:tbl>
    <w:p w:rsidR="00694094" w:rsidRPr="006B00CA" w:rsidRDefault="00694094" w:rsidP="006B00CA">
      <w:pPr>
        <w:numPr>
          <w:ilvl w:val="0"/>
          <w:numId w:val="1"/>
        </w:numPr>
        <w:tabs>
          <w:tab w:val="clear" w:pos="1080"/>
          <w:tab w:val="num" w:pos="720"/>
        </w:tabs>
        <w:spacing w:before="600"/>
        <w:ind w:left="720"/>
        <w:jc w:val="both"/>
        <w:rPr>
          <w:rFonts w:ascii="Arial" w:hAnsi="Arial" w:cs="Arial"/>
          <w:b/>
          <w:bCs/>
          <w:sz w:val="22"/>
          <w:szCs w:val="22"/>
        </w:rPr>
      </w:pPr>
      <w:r w:rsidRPr="006B00CA">
        <w:rPr>
          <w:rFonts w:ascii="Arial" w:hAnsi="Arial" w:cs="Arial"/>
          <w:b/>
          <w:bCs/>
          <w:sz w:val="22"/>
          <w:szCs w:val="22"/>
        </w:rPr>
        <w:t xml:space="preserve">Odůvodnění přiměřenosti požadavků na </w:t>
      </w:r>
      <w:r w:rsidRPr="006B00CA">
        <w:rPr>
          <w:rFonts w:ascii="Arial" w:hAnsi="Arial" w:cs="Arial"/>
          <w:b/>
          <w:bCs/>
          <w:sz w:val="22"/>
          <w:szCs w:val="22"/>
          <w:u w:val="single"/>
        </w:rPr>
        <w:t>technické kvalifikační předpoklady</w:t>
      </w:r>
      <w:r w:rsidRPr="006B00CA">
        <w:rPr>
          <w:rFonts w:ascii="Arial" w:hAnsi="Arial" w:cs="Arial"/>
          <w:b/>
          <w:bCs/>
          <w:sz w:val="22"/>
          <w:szCs w:val="22"/>
        </w:rPr>
        <w:t xml:space="preserve"> pro plnění veřejné zakázky podle § 156 odst. 1 písm. b) ZVZ</w:t>
      </w:r>
    </w:p>
    <w:p w:rsidR="00694094" w:rsidRPr="006B00CA" w:rsidRDefault="00694094" w:rsidP="006B00CA">
      <w:pPr>
        <w:spacing w:before="240" w:after="240"/>
        <w:jc w:val="both"/>
        <w:rPr>
          <w:rFonts w:ascii="Arial" w:hAnsi="Arial" w:cs="Arial"/>
          <w:b/>
          <w:bCs/>
          <w:sz w:val="22"/>
          <w:szCs w:val="22"/>
        </w:rPr>
      </w:pPr>
      <w:r w:rsidRPr="006B00CA">
        <w:rPr>
          <w:rFonts w:ascii="Arial" w:hAnsi="Arial" w:cs="Arial"/>
          <w:sz w:val="22"/>
          <w:szCs w:val="22"/>
        </w:rPr>
        <w:t xml:space="preserve">Veřejný zadavatel má povinnost uveřejnit na profilu zadavatele odůvodnění </w:t>
      </w:r>
      <w:r w:rsidRPr="006B00CA">
        <w:rPr>
          <w:rFonts w:ascii="Arial" w:hAnsi="Arial" w:cs="Arial"/>
          <w:b/>
          <w:bCs/>
          <w:sz w:val="22"/>
          <w:szCs w:val="22"/>
        </w:rPr>
        <w:t>přiměřenosti</w:t>
      </w:r>
      <w:r w:rsidRPr="006B00CA">
        <w:rPr>
          <w:rFonts w:ascii="Arial" w:hAnsi="Arial" w:cs="Arial"/>
          <w:sz w:val="22"/>
          <w:szCs w:val="22"/>
        </w:rPr>
        <w:t xml:space="preserve"> požadavků na technické kvalifikační předpoklady. Předmětem je </w:t>
      </w:r>
      <w:r w:rsidRPr="006B00CA">
        <w:rPr>
          <w:rFonts w:ascii="Arial" w:hAnsi="Arial" w:cs="Arial"/>
          <w:b/>
          <w:bCs/>
          <w:sz w:val="22"/>
          <w:szCs w:val="22"/>
        </w:rPr>
        <w:t xml:space="preserve">odůvodnění přiměřenosti </w:t>
      </w:r>
      <w:r w:rsidRPr="006B00CA">
        <w:rPr>
          <w:rFonts w:ascii="Arial" w:hAnsi="Arial" w:cs="Arial"/>
          <w:sz w:val="22"/>
          <w:szCs w:val="22"/>
        </w:rPr>
        <w:t xml:space="preserve">technických kvalifikačních předpokladů, nikoli pouze jejich popis. Řešitel projektu zpracuje toto odůvodnění v rozsahu dle následujícího formuláře. Do příslušného pole formuláře uvede zejména, proč považuje daný způsob prokázání technické kvalifikace za vhodný, odůvodní přiměřenost daného požadavku ve vztahu k předmětu veřejné zakázky a k rizikům souvisejícím s plněním veřejné zakázky. Vhodné je též uvést, jaký bude mít požadavek význam pro řádné plnění veřejné zakázky, popř. je možné odkázat na předchozí zkušenosti řešitele projektu s obdobným plněním veřejné zakázky a požadavkem na technickou kvalifikaci dodavatelů. </w:t>
      </w:r>
      <w:r w:rsidRPr="006B00CA">
        <w:rPr>
          <w:rFonts w:ascii="Arial" w:hAnsi="Arial" w:cs="Arial"/>
          <w:b/>
          <w:bCs/>
          <w:sz w:val="22"/>
          <w:szCs w:val="22"/>
        </w:rPr>
        <w:t xml:space="preserve">Pokud zadavatel nebude některý z požadavků na technické kvalifikační předpoklady v rámci kvalifikační dokumentace požadovat, </w:t>
      </w:r>
      <w:r w:rsidRPr="006B00CA">
        <w:rPr>
          <w:rFonts w:ascii="Arial" w:hAnsi="Arial" w:cs="Arial"/>
          <w:b/>
          <w:bCs/>
          <w:sz w:val="22"/>
          <w:szCs w:val="22"/>
          <w:u w:val="single"/>
        </w:rPr>
        <w:t>ponechá pole formuláře prázdné</w:t>
      </w:r>
      <w:r w:rsidRPr="006B00CA">
        <w:rPr>
          <w:rFonts w:ascii="Arial" w:hAnsi="Arial" w:cs="Arial"/>
          <w:b/>
          <w:bCs/>
          <w:sz w:val="22"/>
          <w:szCs w:val="22"/>
        </w:rPr>
        <w:t>.</w:t>
      </w: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spacing w:before="240"/>
              <w:jc w:val="both"/>
              <w:rPr>
                <w:rFonts w:ascii="Arial" w:hAnsi="Arial" w:cs="Arial"/>
                <w:b/>
                <w:bCs/>
              </w:rPr>
            </w:pPr>
            <w:r w:rsidRPr="006B00CA">
              <w:rPr>
                <w:rFonts w:ascii="Arial" w:hAnsi="Arial" w:cs="Arial"/>
                <w:b/>
                <w:bCs/>
                <w:sz w:val="22"/>
                <w:szCs w:val="22"/>
              </w:rPr>
              <w:t>Přiměřenost požadavku na seznam významných dodávek/služeb/</w:t>
            </w:r>
          </w:p>
          <w:p w:rsidR="00694094" w:rsidRPr="006B00CA" w:rsidRDefault="00694094" w:rsidP="006B00CA">
            <w:pPr>
              <w:tabs>
                <w:tab w:val="left" w:pos="2880"/>
              </w:tabs>
              <w:jc w:val="both"/>
              <w:rPr>
                <w:rFonts w:ascii="Arial" w:hAnsi="Arial" w:cs="Arial"/>
                <w:b/>
                <w:bCs/>
              </w:rPr>
            </w:pPr>
            <w:r w:rsidRPr="006B00CA">
              <w:rPr>
                <w:rFonts w:ascii="Arial" w:hAnsi="Arial" w:cs="Arial"/>
                <w:b/>
                <w:bCs/>
                <w:sz w:val="22"/>
                <w:szCs w:val="22"/>
              </w:rPr>
              <w:t>stavebních prací:</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Default="00694094" w:rsidP="00BC2CF3">
            <w:r w:rsidRPr="00BC2CF3">
              <w:t>V souladu s ust. § 56 odst. 1 písm. a) zákona č. 137/2006 Sb., o veřejných zakázkách, v platném znění, požaduje zadavatel k prokázání technické části kvalifikace uchazeče předložení</w:t>
            </w:r>
            <w:r>
              <w:t xml:space="preserve">: </w:t>
            </w:r>
          </w:p>
          <w:p w:rsidR="00694094" w:rsidRPr="00474316" w:rsidRDefault="00694094" w:rsidP="00474316">
            <w:r>
              <w:t xml:space="preserve">- seznamu </w:t>
            </w:r>
            <w:r w:rsidRPr="00474316">
              <w:t>významných dodávek realizovaných dodavatelem v posledních třech (3) letech v oblasti, která je totožného či obdobného charakteru jako je předmět této veřejné zakázky; tj. v oblasti dodávek výpočetní techniky, s uvedením jejich rozsahu a doby plnění, tj. zejména popis předmětných dodávek, identifikační údaje subjektu, pro nějž byla výpočetní technika dodávána, celková úplata uchazeče za realizaci uvedených dodávek a doba jejich realizace. Pro účely tohoto ustanovení je uvedené období posledních 3 let počítáno zpětně od posledního dne lhůty pro podání nabídek.</w:t>
            </w:r>
          </w:p>
          <w:p w:rsidR="00694094" w:rsidRPr="00474316" w:rsidRDefault="00694094" w:rsidP="00474316"/>
          <w:p w:rsidR="00694094" w:rsidRPr="00474316" w:rsidRDefault="00694094" w:rsidP="00474316">
            <w:r w:rsidRPr="00474316">
              <w:t>Tento kvalifikační předpoklad splní uchazeč, který doloží výše uvedeným způsobem za rozhodné období (tj. období 3 let), že realizoval během rozhodného období alespoň pět (5) významných dodávek výpočetní techniky, každá v objemu (tj. finanční úplatě za realizované dodávky) minimálně</w:t>
            </w:r>
            <w:r>
              <w:t xml:space="preserve"> 50.000,-Kč bez DPH.</w:t>
            </w:r>
            <w:r w:rsidRPr="00474316">
              <w:t xml:space="preserve"> </w:t>
            </w:r>
          </w:p>
          <w:p w:rsidR="00694094" w:rsidRPr="00474316" w:rsidRDefault="00694094" w:rsidP="00474316"/>
          <w:p w:rsidR="00694094" w:rsidRPr="006B00CA" w:rsidRDefault="00694094" w:rsidP="003A6AE5">
            <w:pPr>
              <w:rPr>
                <w:rFonts w:ascii="Arial" w:hAnsi="Arial" w:cs="Arial"/>
              </w:rPr>
            </w:pP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Přiměřenost požadavku na předložení seznamu techniků či technických útvarů:</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002F78">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Přiměřenost požadavku na předložení popisu technického vybavení a opatření používaných dodavatelem k zajištění jakosti a popisu zařízení či vybavení dodavatele určeného k provádění výzkumu:</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Přiměřenost požadavku na provedení kontroly výrobní/technické kapacity veřejným zadavatelem nebo jinou osobou jeho jménem, případně provedení kontroly opatření týkajících se zabezpečení jakosti a výzkumu:</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Přiměřenost požadavku na předložení vzorků, popisů nebo fotografií zboží určeného k dodání:</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EF255C">
              <w:t xml:space="preserve">Zadavatel požaduje v souladu s ust. § 56 odst. 1 písm. e) zákona č. 137/2006 Sb., o veřejných zakázkách, v platném znění, předložení popisu </w:t>
            </w:r>
            <w:r>
              <w:t>jednotlivých dodávek (zařízení)</w:t>
            </w:r>
            <w:r w:rsidRPr="00EF255C">
              <w:t xml:space="preserve"> určeného k dodání, ze kterého musí být patrné splnění všech technických podmínek</w:t>
            </w:r>
            <w:r>
              <w:t xml:space="preserve"> </w:t>
            </w:r>
            <w:r w:rsidRPr="00EF255C">
              <w:t>požadovaných zadavatelem v zadávací dokumentaci.</w:t>
            </w:r>
            <w:r w:rsidRPr="00EF255C">
              <w:br/>
            </w:r>
            <w:r w:rsidRPr="00EF255C">
              <w:br/>
              <w:t>Zadavatel požaduje předložení tohoto dokumentu, neboť popis zadavateli umožní posoudit, zda je uchazeč dostatečně technicky způsobilý dodat zadavatelem požadovaný předmět plnění za splnění dalších zadávacích podmínek.</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Přiměřenost požadavku na předložení dokladu prokazujícího shodu požadovaného výrobku vydaného příslušným orgánem:</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 xml:space="preserve">Přiměřenost požadavku na předložení osvědčení </w:t>
            </w:r>
          </w:p>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o vzdělání a odborné kvalifikaci dodavatele nebo vedoucích zaměstnanců dodavatele nebo osob v obdobném postavení a osob odpovědných za poskytování příslušných služeb/za vedení realizace stavebních prací:</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 xml:space="preserve">Přiměřenost požadavku </w:t>
            </w:r>
          </w:p>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na předložení přehledu průměrného ročního počtu zaměstnanců dodavatele či jiných osob podílejících se na plnění zakázek podobného charakteru a počtu vedoucích zaměstnanců dodavatele nebo osob v obdobném postavení:</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tabs>
                <w:tab w:val="left" w:pos="2880"/>
              </w:tabs>
              <w:rPr>
                <w:rFonts w:ascii="Arial" w:hAnsi="Arial" w:cs="Arial"/>
                <w:b/>
                <w:bCs/>
              </w:rPr>
            </w:pPr>
            <w:r w:rsidRPr="006B00CA">
              <w:rPr>
                <w:rFonts w:ascii="Arial" w:hAnsi="Arial" w:cs="Arial"/>
                <w:b/>
                <w:bCs/>
                <w:sz w:val="22"/>
                <w:szCs w:val="22"/>
              </w:rPr>
              <w:t xml:space="preserve">Přiměřenost požadavku </w:t>
            </w:r>
          </w:p>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na předložení přehledu nástrojů či pomůcek, provozních a technických zařízení, které bude mít dodavatel při plnění veřejné zakázky k dispozici:</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numPr>
          <w:ilvl w:val="0"/>
          <w:numId w:val="1"/>
        </w:numPr>
        <w:tabs>
          <w:tab w:val="clear" w:pos="1080"/>
          <w:tab w:val="num" w:pos="720"/>
        </w:tabs>
        <w:spacing w:before="480" w:after="240"/>
        <w:ind w:left="720"/>
        <w:jc w:val="both"/>
        <w:rPr>
          <w:rFonts w:ascii="Arial" w:hAnsi="Arial" w:cs="Arial"/>
          <w:b/>
          <w:bCs/>
          <w:sz w:val="22"/>
          <w:szCs w:val="22"/>
        </w:rPr>
      </w:pPr>
      <w:r w:rsidRPr="006B00CA">
        <w:rPr>
          <w:rFonts w:ascii="Arial" w:hAnsi="Arial" w:cs="Arial"/>
          <w:b/>
          <w:bCs/>
          <w:sz w:val="22"/>
          <w:szCs w:val="22"/>
        </w:rPr>
        <w:t xml:space="preserve">Odůvodnění vymezení </w:t>
      </w:r>
      <w:r w:rsidRPr="006B00CA">
        <w:rPr>
          <w:rFonts w:ascii="Arial" w:hAnsi="Arial" w:cs="Arial"/>
          <w:b/>
          <w:bCs/>
          <w:sz w:val="22"/>
          <w:szCs w:val="22"/>
          <w:u w:val="single"/>
        </w:rPr>
        <w:t>obchodních podmínek</w:t>
      </w:r>
      <w:r w:rsidRPr="006B00CA">
        <w:rPr>
          <w:rFonts w:ascii="Arial" w:hAnsi="Arial" w:cs="Arial"/>
          <w:b/>
          <w:bCs/>
          <w:sz w:val="22"/>
          <w:szCs w:val="22"/>
        </w:rPr>
        <w:t xml:space="preserve"> podle § 156 odst. 1 písm. c) ZVZ</w:t>
      </w:r>
    </w:p>
    <w:p w:rsidR="00694094" w:rsidRPr="006B00CA" w:rsidRDefault="00694094" w:rsidP="006B00CA">
      <w:pPr>
        <w:spacing w:before="240" w:after="240"/>
        <w:jc w:val="both"/>
        <w:rPr>
          <w:rFonts w:ascii="Arial" w:hAnsi="Arial" w:cs="Arial"/>
          <w:sz w:val="22"/>
          <w:szCs w:val="22"/>
        </w:rPr>
      </w:pPr>
      <w:r w:rsidRPr="006B00CA">
        <w:rPr>
          <w:rFonts w:ascii="Arial" w:hAnsi="Arial" w:cs="Arial"/>
          <w:sz w:val="22"/>
          <w:szCs w:val="22"/>
        </w:rPr>
        <w:t xml:space="preserve">Veřejný zadavatel má povinnost uveřejnit na profilu zadavatele odůvodnění vymezení obchodních podmínek. Předmětem je </w:t>
      </w:r>
      <w:r w:rsidRPr="006B00CA">
        <w:rPr>
          <w:rFonts w:ascii="Arial" w:hAnsi="Arial" w:cs="Arial"/>
          <w:b/>
          <w:bCs/>
          <w:sz w:val="22"/>
          <w:szCs w:val="22"/>
        </w:rPr>
        <w:t xml:space="preserve">odůvodnění </w:t>
      </w:r>
      <w:r w:rsidRPr="006B00CA">
        <w:rPr>
          <w:rFonts w:ascii="Arial" w:hAnsi="Arial" w:cs="Arial"/>
          <w:sz w:val="22"/>
          <w:szCs w:val="22"/>
        </w:rPr>
        <w:t xml:space="preserve">vymezení obchodních podmínek, nikoli pouze jejich popis.  Řešitel projektu zpracuje toto odůvodnění v rozsahu dle následujícího formuláře. Do příslušného pole formuláře uvede, proč stanovuje danou obchodní podmínku a proč ji formuluje v daném rozsahu. Uvede odůvodnění přiměřenosti obchodní podmínky ve vztahu k předmětu veřejné zakázky, k její předpokládané hodnotě, k rizikům souvisejícím s plněním veřejné zakázky a s ohledem na potřeby zadavatele. Vhodné je též uvést, jaký bude mít požadavek význam, pro řádné plnění veřejné zakázky. Popřípadě může řešitel odkázat na své předchozí zkušenosti s obdobným plněním veřejné zakázky za stanovených obchodních podmínek. </w:t>
      </w:r>
      <w:r w:rsidRPr="006B00CA">
        <w:rPr>
          <w:rFonts w:ascii="Arial" w:hAnsi="Arial" w:cs="Arial"/>
          <w:b/>
          <w:bCs/>
          <w:sz w:val="22"/>
          <w:szCs w:val="22"/>
        </w:rPr>
        <w:t xml:space="preserve">Pokud zadavatel nebude některou z podmínek požadovat (např. bankovní záruku), </w:t>
      </w:r>
      <w:r w:rsidRPr="006B00CA">
        <w:rPr>
          <w:rFonts w:ascii="Arial" w:hAnsi="Arial" w:cs="Arial"/>
          <w:b/>
          <w:bCs/>
          <w:sz w:val="22"/>
          <w:szCs w:val="22"/>
          <w:u w:val="single"/>
        </w:rPr>
        <w:t>ponechá pole formuláře prázdné.</w:t>
      </w: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Požadavek na splatnost faktur:</w:t>
            </w:r>
          </w:p>
          <w:p w:rsidR="00694094" w:rsidRPr="006B00CA" w:rsidRDefault="00694094" w:rsidP="006B00CA">
            <w:pPr>
              <w:jc w:val="both"/>
              <w:rPr>
                <w:rFonts w:ascii="Arial" w:hAnsi="Arial" w:cs="Arial"/>
                <w:b/>
                <w:bCs/>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Pr>
                <w:rStyle w:val="PlaceholderText"/>
              </w:rPr>
              <w:t xml:space="preserve">V daném případě není relevantní, neboť délka splatnosti faktury nepřesáhne 30 dnů. </w:t>
            </w:r>
          </w:p>
        </w:tc>
      </w:tr>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t xml:space="preserve">Obchodní podmínky: </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EF255C" w:rsidRDefault="00694094" w:rsidP="00EF255C">
            <w:r w:rsidRPr="00EF255C">
              <w:t xml:space="preserve">Zadavatel předpokládá, že poptávaný předmět této veřejné zakázky bude financován z Operačního programu </w:t>
            </w:r>
            <w:r>
              <w:t>Vzdělávání pro konkurenceschopnost</w:t>
            </w:r>
            <w:r w:rsidRPr="00EF255C">
              <w:t xml:space="preserve">. S ohledem na </w:t>
            </w:r>
            <w:r>
              <w:t>fakt</w:t>
            </w:r>
            <w:r w:rsidRPr="00EF255C">
              <w:t xml:space="preserve">, že projekt je financován z prostředků EU, je zadavatel povinen dodržovat a v obchodních podmínkách ustanovit zvláštní pravidla pro ochranu nakládání s dotačními prostředky. </w:t>
            </w:r>
            <w:r>
              <w:t xml:space="preserve">Navíc </w:t>
            </w:r>
            <w:r w:rsidRPr="00EF255C">
              <w:t xml:space="preserve">je </w:t>
            </w:r>
            <w:r>
              <w:t>zadavatel</w:t>
            </w:r>
            <w:r w:rsidRPr="00EF255C">
              <w:t xml:space="preserve"> veřejnoprávním subjektem, který musí i v rámci soukromoprávních vztahů, jako je smlouva na dodávku předmětu plnění této veřejné zakázky dodržovat, kromě pravidel stanovených poskytovatelem dotace, i pravidla ochrany hospodaření s veřejnými prostředky stanovená </w:t>
            </w:r>
            <w:r>
              <w:t>platnými</w:t>
            </w:r>
            <w:r w:rsidRPr="00EF255C">
              <w:t xml:space="preserve"> právními předpisy. Na základě uvedených skutečností je povinností zadavatele stanovit takové obchodní a platební podmínky, které povedou k ochraně veřejných financí určených na tento projekt. Uvedený smluvní vztah je tedy zasažen vyšší mírou veřejnoprávní regulace a nelze tedy aplikovat standardní obchodně</w:t>
            </w:r>
            <w:r>
              <w:t>-</w:t>
            </w:r>
            <w:r w:rsidRPr="00EF255C">
              <w:t>právní smluvní volnost.</w:t>
            </w:r>
          </w:p>
          <w:p w:rsidR="00694094" w:rsidRDefault="00694094" w:rsidP="00EF255C"/>
          <w:p w:rsidR="00694094" w:rsidRPr="00EF255C" w:rsidRDefault="00694094" w:rsidP="00EF255C">
            <w:r w:rsidRPr="00EF255C">
              <w:t xml:space="preserve">Na základě </w:t>
            </w:r>
            <w:r>
              <w:t xml:space="preserve">shora uvedeného je </w:t>
            </w:r>
            <w:r w:rsidRPr="00EF255C">
              <w:t xml:space="preserve">zadavatel povinen realizovat veškeré právní úkony v rámci projektu způsobem, který zajistí, že výdaje budou vynakládány přiměřeně, budou minimalizovány další nepředvídatelné náklady (hospodárnost) a za minimálních nákladů bude dosažen cíl projektu (efektivnost). Pakliže by uvedené principy v rámci financování předmětu veřejné zakázky nebyly naplněny, popř. vzniknul-li by jiný důvod pro nemožnost výplaty prostředků dotace, je zadavatel povinen hradit veškeré smluvní závazky z vlastních zdrojů, čímž mu vznikne značná škody. </w:t>
            </w:r>
          </w:p>
          <w:p w:rsidR="00694094" w:rsidRDefault="00694094" w:rsidP="00EF255C">
            <w:pPr>
              <w:jc w:val="both"/>
            </w:pPr>
          </w:p>
          <w:p w:rsidR="00694094" w:rsidRPr="006B00CA" w:rsidRDefault="00694094" w:rsidP="00EF255C">
            <w:pPr>
              <w:jc w:val="both"/>
              <w:rPr>
                <w:rStyle w:val="PlaceholderText"/>
                <w:rFonts w:ascii="Arial" w:hAnsi="Arial" w:cs="Arial"/>
                <w:color w:val="auto"/>
              </w:rPr>
            </w:pPr>
            <w:r w:rsidRPr="00EF255C">
              <w:t xml:space="preserve">Na základě uvedených povinností zadavatele jakožto subjektu hospodařícího s veřejnými finančními zdroji, je povinností zadavatele aplikovat do všech smluvních vztahů ujednání, která dostatečně naplní zmíněnou prevenci proti nehospodárnému financování. V důsledku zmíněných povinností uložených zadavateli veřejnoprávní regulací, nelze od dotčených smluvních vztahů očekávat naprostou soukromoprávní vyváženost povinností stran a je nezbytné uvedená </w:t>
            </w:r>
            <w:r>
              <w:t>restriktiva akceptovat.</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Požadavek na pojištění odpovědnosti za škodu způsobenou dodavatelem třetím osobám:</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Požadavek na bankovní záruku:</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t xml:space="preserve">V daném případě není relevantní.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Vymezení záruční lhůty: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E3CA4" w:rsidRDefault="00694094" w:rsidP="006E3CA4">
            <w:pPr>
              <w:pStyle w:val="Default"/>
            </w:pPr>
            <w:r>
              <w:t xml:space="preserve">Zadavatel požaduje u jednotlivých dodávek (zařízení) zákonnou záruku 24 měsíců.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Stanovení smluvní pokuty za prodlení dodavatele:</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3A6AE5">
              <w:t>V případě prodlení prodávajícího se splněním jeho závazků uvedených v</w:t>
            </w:r>
            <w:r>
              <w:t xml:space="preserve">e smlouvě </w:t>
            </w:r>
            <w:r w:rsidRPr="003A6AE5">
              <w:t>je kupující oprávněn požadovat na prodávajícím zaplacení smluvní pokuty ve výši 2.500,- Kč za každý, byť i započatý den prodlení</w:t>
            </w:r>
            <w:r>
              <w:t xml:space="preserve">. </w:t>
            </w:r>
            <w:r w:rsidRPr="007121D8">
              <w:t xml:space="preserve">Výši smluvní pokuty </w:t>
            </w:r>
            <w:r>
              <w:t xml:space="preserve">v uvedeném rozsahu </w:t>
            </w:r>
            <w:r w:rsidRPr="007121D8">
              <w:t xml:space="preserve">stanovil zadavatel s ohledem na rozsah plnění a s ohledem na skutečnost, že </w:t>
            </w:r>
            <w:r>
              <w:t xml:space="preserve">jednotlivé dodávky jsou součástí </w:t>
            </w:r>
            <w:r w:rsidRPr="007121D8">
              <w:t xml:space="preserve">komplexního projektu a prodlení s plněním může mít zásadní negativní vliv na realizaci celého projektu. Zadavatel, v rámci této veřejné zakázky, poptává </w:t>
            </w:r>
            <w:r>
              <w:t xml:space="preserve">relevantní </w:t>
            </w:r>
            <w:r w:rsidRPr="007121D8">
              <w:t>vybavení, jehož pořízení bude financováno z evropských dotačních prostředků, a je tedy povinností zadavatele zajistit, aby byl účel dotčené veřejné zakázky efektivně naplněn a nevznikaly finanční ztráty</w:t>
            </w:r>
            <w:r>
              <w:t xml:space="preserve"> na straně zadavatele.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color w:val="auto"/>
                <w:sz w:val="22"/>
                <w:szCs w:val="22"/>
              </w:rPr>
            </w:pPr>
            <w:r w:rsidRPr="006B00CA">
              <w:rPr>
                <w:rFonts w:ascii="Arial" w:hAnsi="Arial" w:cs="Arial"/>
                <w:b/>
                <w:bCs/>
                <w:color w:val="auto"/>
                <w:sz w:val="22"/>
                <w:szCs w:val="22"/>
              </w:rPr>
              <w:t xml:space="preserve">Stanovení </w:t>
            </w:r>
            <w:r>
              <w:t xml:space="preserve">úroků z prodlení </w:t>
            </w:r>
            <w:r w:rsidRPr="006B00CA">
              <w:rPr>
                <w:rFonts w:ascii="Arial" w:hAnsi="Arial" w:cs="Arial"/>
                <w:b/>
                <w:bCs/>
                <w:color w:val="auto"/>
                <w:sz w:val="22"/>
                <w:szCs w:val="22"/>
              </w:rPr>
              <w:t>za prodlení zadavatele s úhradou faktur:</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7121D8">
              <w:t xml:space="preserve">Výši </w:t>
            </w:r>
            <w:r>
              <w:t>úroků z prodlení</w:t>
            </w:r>
            <w:r w:rsidRPr="007121D8">
              <w:t xml:space="preserve"> 0,05% z dlužné částky za každý započatý den prodlení  stanovil zadavatel s ohledem na to, že je subjektem hospodařícím s veřejnými finančními zdroji, přičemž je povinen dodržovat striktní pravidla hospodárnosti, efektivnosti a účelnosti vynakládání těchto finančních zdrojů.</w:t>
            </w:r>
            <w:r>
              <w:t xml:space="preserve"> Výši úroku z prodlení l</w:t>
            </w:r>
            <w:r w:rsidRPr="007121D8">
              <w:t>ze tedy považovat za adekvátní k charakteru plnění veřejné zakázky a k postavení zadavatele jako veřejnoprávní instituce.</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b/>
                <w:bCs/>
                <w:i/>
                <w:iCs/>
                <w:color w:val="auto"/>
                <w:sz w:val="22"/>
                <w:szCs w:val="22"/>
              </w:rPr>
            </w:pPr>
            <w:r w:rsidRPr="006B00CA">
              <w:rPr>
                <w:rFonts w:ascii="Arial" w:hAnsi="Arial" w:cs="Arial"/>
                <w:b/>
                <w:bCs/>
                <w:color w:val="auto"/>
                <w:sz w:val="22"/>
                <w:szCs w:val="22"/>
              </w:rPr>
              <w:t>Odůvodnění vymezení dalších obchodních podmínek:</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C369A9">
            <w:pPr>
              <w:jc w:val="both"/>
              <w:rPr>
                <w:rFonts w:ascii="Arial" w:hAnsi="Arial" w:cs="Arial"/>
              </w:rPr>
            </w:pPr>
            <w:r>
              <w:t xml:space="preserve">Ze zadávací dokumentace a obchodních podmínek vyplývají podmínky archivace dokumentů a součinnost zadavatele a vybraného uchazeče orgánům kontroly, resp. povinnost </w:t>
            </w:r>
            <w:r w:rsidRPr="007121D8">
              <w:t xml:space="preserve">dodavatele spolupůsobit při realizaci finanční kontroly v souladu se zákonem č. 320/2001 Sb., o finanční kontrole. Jmenovaná povinnost se vztahuje prvotně na zadavatele, avšak k tomu, aby mohl zadavatel tuto povinnost realizovat, je nezbytné zajistit, aby uchazeč, s nímž bude uzavřena smlouva na plnění této veřejné zakázky, příslušné dokumenty po tuto nezbytnou dobu archivoval. </w:t>
            </w:r>
          </w:p>
        </w:tc>
      </w:tr>
      <w:tr w:rsidR="00694094" w:rsidRPr="006B00CA">
        <w:trPr>
          <w:trHeight w:val="567"/>
        </w:trPr>
        <w:tc>
          <w:tcPr>
            <w:tcW w:w="2628" w:type="dxa"/>
            <w:tcBorders>
              <w:right w:val="single" w:sz="4" w:space="0" w:color="auto"/>
            </w:tcBorders>
            <w:vAlign w:val="center"/>
          </w:tcPr>
          <w:p w:rsidR="00694094" w:rsidRPr="006512B4" w:rsidRDefault="00694094" w:rsidP="00F3134E">
            <w:pPr>
              <w:pStyle w:val="Default"/>
            </w:pPr>
            <w:r>
              <w:t xml:space="preserve">Podmínky odstoupení od smlouvy: </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512B4" w:rsidRDefault="00694094" w:rsidP="006512B4">
            <w:r w:rsidRPr="006512B4">
              <w:t xml:space="preserve">Zadavatel ve smluvních podmínkách formuluje </w:t>
            </w:r>
            <w:r>
              <w:t>některé důvody</w:t>
            </w:r>
            <w:r w:rsidRPr="006512B4">
              <w:t xml:space="preserve"> odstoupení od smlouvy </w:t>
            </w:r>
            <w:r>
              <w:t xml:space="preserve">ze strany </w:t>
            </w:r>
            <w:r w:rsidRPr="006512B4">
              <w:t xml:space="preserve">zadavatele. Cílem takových smluvních ujednání není diskriminace a porušení soukromoprávních zásad rovnosti smluvních stran, ale jak již bylo opakovaně uvedeno výše, předmět této veřejné zakázky bude financován z dotačních prostředků a zadavatel je tedy povinen postupovat tak, aby byla zajištěna maximální efektivita a hospodárnost nakládání s veřejnými prostředky, vč. povinnosti předcházení vzniku škod. </w:t>
            </w:r>
          </w:p>
        </w:tc>
      </w:tr>
    </w:tbl>
    <w:p w:rsidR="00694094" w:rsidRPr="006B00CA" w:rsidRDefault="00694094" w:rsidP="006B00CA">
      <w:pPr>
        <w:numPr>
          <w:ilvl w:val="0"/>
          <w:numId w:val="1"/>
        </w:numPr>
        <w:tabs>
          <w:tab w:val="clear" w:pos="1080"/>
          <w:tab w:val="num" w:pos="720"/>
        </w:tabs>
        <w:spacing w:before="480"/>
        <w:ind w:left="720"/>
        <w:jc w:val="both"/>
        <w:rPr>
          <w:rFonts w:ascii="Arial" w:hAnsi="Arial" w:cs="Arial"/>
          <w:b/>
          <w:bCs/>
          <w:sz w:val="22"/>
          <w:szCs w:val="22"/>
        </w:rPr>
      </w:pPr>
      <w:r w:rsidRPr="006B00CA">
        <w:rPr>
          <w:rFonts w:ascii="Arial" w:hAnsi="Arial" w:cs="Arial"/>
          <w:b/>
          <w:bCs/>
          <w:sz w:val="22"/>
          <w:szCs w:val="22"/>
        </w:rPr>
        <w:t xml:space="preserve">Odůvodnění vymezení </w:t>
      </w:r>
      <w:r w:rsidRPr="006B00CA">
        <w:rPr>
          <w:rFonts w:ascii="Arial" w:hAnsi="Arial" w:cs="Arial"/>
          <w:b/>
          <w:bCs/>
          <w:sz w:val="22"/>
          <w:szCs w:val="22"/>
          <w:u w:val="single"/>
        </w:rPr>
        <w:t>technických podmínek</w:t>
      </w:r>
      <w:r w:rsidRPr="006B00CA">
        <w:rPr>
          <w:rFonts w:ascii="Arial" w:hAnsi="Arial" w:cs="Arial"/>
          <w:b/>
          <w:bCs/>
          <w:sz w:val="22"/>
          <w:szCs w:val="22"/>
        </w:rPr>
        <w:t xml:space="preserve"> podle § 156 odst. 1 písm. c) ZVZ</w:t>
      </w:r>
    </w:p>
    <w:p w:rsidR="00694094" w:rsidRPr="006B00CA" w:rsidRDefault="00694094" w:rsidP="006B00CA">
      <w:pPr>
        <w:spacing w:before="240" w:after="360"/>
        <w:jc w:val="both"/>
        <w:rPr>
          <w:rFonts w:ascii="Arial" w:hAnsi="Arial" w:cs="Arial"/>
          <w:sz w:val="22"/>
          <w:szCs w:val="22"/>
        </w:rPr>
      </w:pPr>
      <w:r w:rsidRPr="006B00CA">
        <w:rPr>
          <w:rFonts w:ascii="Arial" w:hAnsi="Arial" w:cs="Arial"/>
          <w:sz w:val="22"/>
          <w:szCs w:val="22"/>
        </w:rPr>
        <w:t xml:space="preserve">Veřejný zadavatel má povinnost uveřejnit na profilu zadavatele odůvodnění vymezení technických podmínek. Řešitel projektu zpracuje toto odůvodnění v rozsahu dle následujícího formuláře. Předmětem je </w:t>
      </w:r>
      <w:r w:rsidRPr="006B00CA">
        <w:rPr>
          <w:rFonts w:ascii="Arial" w:hAnsi="Arial" w:cs="Arial"/>
          <w:b/>
          <w:bCs/>
          <w:sz w:val="22"/>
          <w:szCs w:val="22"/>
        </w:rPr>
        <w:t xml:space="preserve">odůvodnění </w:t>
      </w:r>
      <w:r w:rsidRPr="006B00CA">
        <w:rPr>
          <w:rFonts w:ascii="Arial" w:hAnsi="Arial" w:cs="Arial"/>
          <w:sz w:val="22"/>
          <w:szCs w:val="22"/>
        </w:rPr>
        <w:t>vymezení</w:t>
      </w:r>
      <w:r>
        <w:t xml:space="preserve"> </w:t>
      </w:r>
      <w:r w:rsidRPr="006B00CA">
        <w:rPr>
          <w:rFonts w:ascii="Arial" w:hAnsi="Arial" w:cs="Arial"/>
          <w:sz w:val="22"/>
          <w:szCs w:val="22"/>
        </w:rPr>
        <w:t xml:space="preserve">technických podmínek, nikoli pouze jejich popis. Do příslušného pole formuláře uvede, proč požaduje danou technickou podmínku. Uvede odůvodnění přiměřenosti technické podmínky ve vztahu k potřebám zadavatele a k rizikům souvisejícím s plněním veřejné zakázky a též ve vztahu k dosažení plánovaného cíle veřejné zakázky. Popřípadě může řešitel odkázat na své předchozí zkušenosti s obdobným plněním veřejné zakázky za stanovených technických podmínek. </w:t>
      </w: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rsidRPr="006B00CA">
              <w:rPr>
                <w:rFonts w:ascii="Arial" w:hAnsi="Arial" w:cs="Arial"/>
                <w:b/>
                <w:bCs/>
                <w:color w:val="auto"/>
                <w:sz w:val="22"/>
                <w:szCs w:val="22"/>
              </w:rPr>
              <w:t>Technická podmínka:</w:t>
            </w:r>
          </w:p>
          <w:p w:rsidR="00694094" w:rsidRPr="006B00CA" w:rsidRDefault="00694094" w:rsidP="006B00CA">
            <w:pPr>
              <w:pStyle w:val="Default"/>
              <w:jc w:val="both"/>
              <w:rPr>
                <w:rFonts w:ascii="Arial" w:hAnsi="Arial" w:cs="Arial"/>
                <w:i/>
                <w:iCs/>
                <w:color w:val="auto"/>
                <w:sz w:val="22"/>
                <w:szCs w:val="22"/>
              </w:rPr>
            </w:pP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b/>
                <w:bCs/>
              </w:rPr>
            </w:pPr>
            <w:r w:rsidRPr="006B00CA">
              <w:rPr>
                <w:rFonts w:ascii="Arial" w:hAnsi="Arial" w:cs="Arial"/>
                <w:b/>
                <w:bCs/>
                <w:sz w:val="22"/>
                <w:szCs w:val="22"/>
              </w:rPr>
              <w:t>Odůvodnění</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t>Přenosný projektor</w:t>
            </w:r>
          </w:p>
          <w:p w:rsidR="00694094" w:rsidRPr="006B00CA" w:rsidRDefault="00694094" w:rsidP="006B00CA">
            <w:pPr>
              <w:pStyle w:val="Default"/>
              <w:jc w:val="both"/>
              <w:rPr>
                <w:rFonts w:ascii="Arial" w:hAnsi="Arial" w:cs="Arial"/>
                <w:i/>
                <w:iCs/>
                <w:color w:val="auto"/>
                <w:sz w:val="22"/>
                <w:szCs w:val="22"/>
              </w:rPr>
            </w:pPr>
            <w:r>
              <w:t>(položka 3.3.3)</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D24BF6">
              <w:t>Nejedná se o kompaktní přístroj, ale o přístroj, který umožňuje přesun mezi kroužky. Naše klíčová aktivita má dvě místa, kde se kroužky pro děti konají, a to Jičín a Pardubice. Proto naši přednášející velice ocení přenosný dataprojektor. Dataprojektor bude využíván jak vedoucími kroužků, tak mentory. Vedoucí kroužku má vždy připravenou krátkou prezentaci k danému kroužku, kterou dětem promítá a mentor zase díky projektoru promítá dětem zadání projektu, který je pravidelně na kroužcích vyhlašován. Dataprojektor dále naše využití při exkurzích pro děti. Projektor zároveň disponuje lepšími světelnými vlastnostmi, kdy je možné využití v nezatemněné místnosti běžné velikosti (laboratoř s běžnými žaluziemi) v podobě stacionárního projektoru.</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t xml:space="preserve">Sestava PC </w:t>
            </w:r>
          </w:p>
          <w:p w:rsidR="00694094" w:rsidRPr="006B00CA" w:rsidRDefault="00694094" w:rsidP="006B00CA">
            <w:pPr>
              <w:pStyle w:val="Default"/>
              <w:jc w:val="both"/>
              <w:rPr>
                <w:rFonts w:ascii="Arial" w:hAnsi="Arial" w:cs="Arial"/>
                <w:i/>
                <w:iCs/>
                <w:color w:val="auto"/>
                <w:sz w:val="22"/>
                <w:szCs w:val="22"/>
              </w:rPr>
            </w:pPr>
            <w:r>
              <w:t>(položka 3.3.3)</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D24BF6" w:rsidRDefault="00694094" w:rsidP="00D24BF6">
            <w:r w:rsidRPr="00D24BF6">
              <w:t xml:space="preserve">Pevný počítač bude k dispozici dětem pro práci na zadaných projektech, které budou moci zpracovávat po vyučování, před pauzou na odpolední výuku, budou zde moci sledovat webové stránky naší klíčové aktivity – </w:t>
            </w:r>
            <w:hyperlink r:id="rId8" w:history="1">
              <w:r w:rsidRPr="00D24BF6">
                <w:rPr>
                  <w:rStyle w:val="Hyperlink"/>
                </w:rPr>
                <w:t>www.juniorakademie.cz</w:t>
              </w:r>
            </w:hyperlink>
            <w:r w:rsidRPr="00D24BF6">
              <w:t>, přihlašovat se na soutěže, komunikovat s mentory.</w:t>
            </w:r>
          </w:p>
          <w:p w:rsidR="00694094" w:rsidRPr="006B00CA" w:rsidRDefault="00694094" w:rsidP="00D24BF6">
            <w:pPr>
              <w:jc w:val="both"/>
              <w:rPr>
                <w:rFonts w:ascii="Arial" w:hAnsi="Arial" w:cs="Arial"/>
              </w:rPr>
            </w:pPr>
            <w:r w:rsidRPr="00D24BF6">
              <w:t>Tento počítač bude umístěn na jedné vybrané škole. Bude se jednat o školu v Jičíně, jelikož zde kroužek navštěvují děti ze tří základních škol. Děti budou mít k počítači přístup denně do předem domluvené hodiny. Počítač je určen pro potřeby dětí, které JA navštěvují.</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t>Notebook 9 ks</w:t>
            </w:r>
          </w:p>
          <w:p w:rsidR="00694094" w:rsidRPr="006B00CA" w:rsidRDefault="00694094" w:rsidP="006B00CA">
            <w:pPr>
              <w:pStyle w:val="Default"/>
              <w:jc w:val="both"/>
              <w:rPr>
                <w:rFonts w:ascii="Arial" w:hAnsi="Arial" w:cs="Arial"/>
                <w:i/>
                <w:iCs/>
                <w:color w:val="auto"/>
                <w:sz w:val="22"/>
                <w:szCs w:val="22"/>
              </w:rPr>
            </w:pPr>
            <w:r>
              <w:t>(položka 3.3.3)</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725D35" w:rsidRDefault="00694094" w:rsidP="00725D35">
            <w:r>
              <w:t xml:space="preserve">Notebooky </w:t>
            </w:r>
            <w:r w:rsidRPr="00FE519A">
              <w:t xml:space="preserve">se budou využívat v rámci kroužků, pro práci na vědeckých projektech a dalších dílčích úkolech, které budou vyplývat během celoroční práce.Chceme dětem umožnit, aby na svých projektech a úkolech v rámci aktivity JA mohly pracovat ve škole, ve svém volném čase po vyučování, během přestávek, či pauz před odpolední výukou. Děti tak mohou komunikovat se svými mentory, radit se nad vědeckými projekty, zpracovat projekty, sledovat webové stránky </w:t>
            </w:r>
            <w:hyperlink r:id="rId9" w:history="1">
              <w:r w:rsidRPr="00FE519A">
                <w:rPr>
                  <w:rStyle w:val="Hyperlink"/>
                </w:rPr>
                <w:t>www.juniorakademie.cz</w:t>
              </w:r>
            </w:hyperlink>
            <w:r>
              <w:t xml:space="preserve"> a další aktivity.</w:t>
            </w:r>
          </w:p>
        </w:tc>
      </w:tr>
    </w:tbl>
    <w:p w:rsidR="00694094" w:rsidRPr="006B00CA" w:rsidRDefault="00694094" w:rsidP="006B00CA">
      <w:pPr>
        <w:jc w:val="both"/>
        <w:rPr>
          <w:rFonts w:ascii="Arial" w:hAnsi="Arial" w:cs="Arial"/>
          <w:sz w:val="22"/>
          <w:szCs w:val="22"/>
        </w:rPr>
      </w:pPr>
    </w:p>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jc w:val="both"/>
              <w:rPr>
                <w:rFonts w:ascii="Arial" w:hAnsi="Arial" w:cs="Arial"/>
                <w:i/>
                <w:iCs/>
                <w:color w:val="auto"/>
                <w:sz w:val="22"/>
                <w:szCs w:val="22"/>
              </w:rPr>
            </w:pPr>
            <w:r>
              <w:t>Notebook 10 ks (položka 3.3.12)</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353F73" w:rsidRDefault="00694094" w:rsidP="00353F73">
            <w:r w:rsidRPr="00353F73">
              <w:t xml:space="preserve">Pro potřeby instruktorů publikační činnosti, kteří budou provázet talentované studenty během jejich publikační činnosti a propagaci výsledků jejich prací, a pro potřeby lektorů zimních seminářů, kteří budou tyto semináře vést, a na kterých bude cílová skupina seznámena s pravidly vědecké práce, publikování a propagace VaV jsou nutné přenosné počítače, proto byly do podmínek výběrového řízení zařazeny notebooky.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t xml:space="preserve">Dataprojektor </w:t>
            </w:r>
          </w:p>
          <w:p w:rsidR="00694094" w:rsidRPr="006B00CA" w:rsidRDefault="00694094" w:rsidP="006B00CA">
            <w:pPr>
              <w:pStyle w:val="Default"/>
              <w:jc w:val="both"/>
              <w:rPr>
                <w:rFonts w:ascii="Arial" w:hAnsi="Arial" w:cs="Arial"/>
                <w:b/>
                <w:bCs/>
                <w:i/>
                <w:iCs/>
                <w:color w:val="auto"/>
                <w:sz w:val="22"/>
                <w:szCs w:val="22"/>
              </w:rPr>
            </w:pPr>
            <w:r>
              <w:t>(položka 3.3.13)</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353F73" w:rsidRDefault="00694094" w:rsidP="00353F73">
            <w:r w:rsidRPr="00353F73">
              <w:t>Pro potřeby prezentac</w:t>
            </w:r>
            <w:r>
              <w:t>í</w:t>
            </w:r>
            <w:r w:rsidRPr="00353F73">
              <w:t xml:space="preserve"> samostatných prací </w:t>
            </w:r>
            <w:r>
              <w:t xml:space="preserve">cílových skupin při obhajobě svých prací/projektů a pro aktivity zimní školy </w:t>
            </w:r>
            <w:r w:rsidRPr="00353F73">
              <w:t>je nutná projekční technika schopná zobrazení grafické informace v potřebné kvalitě, proto byl do podmínek výběrového řízení zařazen dataprojektor, který počítá se stropní montáží a jsou na něj kladeny vyšší nároky než na běžné přenosné datové projektory.</w:t>
            </w:r>
          </w:p>
        </w:tc>
      </w:tr>
    </w:tbl>
    <w:p w:rsidR="00694094" w:rsidRPr="006B00CA" w:rsidRDefault="00694094" w:rsidP="006B00CA">
      <w:pPr>
        <w:jc w:val="both"/>
        <w:rPr>
          <w:rFonts w:ascii="Arial" w:hAnsi="Arial" w:cs="Arial"/>
          <w:sz w:val="22"/>
          <w:szCs w:val="22"/>
        </w:rPr>
      </w:pPr>
    </w:p>
    <w:p w:rsidR="00694094" w:rsidRPr="00FE519A" w:rsidRDefault="00694094" w:rsidP="008B177D"/>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8B177D">
            <w:pPr>
              <w:pStyle w:val="Default"/>
            </w:pPr>
            <w:r w:rsidRPr="008B177D">
              <w:t xml:space="preserve">Vývojové a demonstrační tablety pro studenty (TIC) </w:t>
            </w:r>
          </w:p>
          <w:p w:rsidR="00694094" w:rsidRPr="008B177D" w:rsidRDefault="00694094" w:rsidP="008B177D">
            <w:pPr>
              <w:pStyle w:val="Default"/>
            </w:pPr>
            <w:r w:rsidRPr="008B177D">
              <w:t>(položka 3.3.6)</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Default="00694094" w:rsidP="008B177D">
            <w:r w:rsidRPr="00C41491">
              <w:t>Výukové tablety musí být dostatečně velké, aby prezentované materiály byly dobře čitelné a viditelné. Musí být zajištěno hladké a plynulé přehrávání videí včetně zvuku ve vysokém rozlišení. Systém tabletu musí plynule reagovat na požadavky uživatele (např. vyplňování interaktivních dotazníků).</w:t>
            </w:r>
          </w:p>
          <w:p w:rsidR="00694094" w:rsidRPr="008B177D" w:rsidRDefault="00694094" w:rsidP="008B177D"/>
        </w:tc>
      </w:tr>
    </w:tbl>
    <w:p w:rsidR="00694094" w:rsidRPr="008B177D" w:rsidRDefault="00694094" w:rsidP="008B177D"/>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0C278C" w:rsidRDefault="00694094" w:rsidP="000C278C">
            <w:pPr>
              <w:pStyle w:val="Default"/>
            </w:pPr>
            <w:bookmarkStart w:id="0" w:name="_GoBack"/>
            <w:r w:rsidRPr="000C278C">
              <w:t xml:space="preserve">Notebook 8 ks </w:t>
            </w:r>
          </w:p>
          <w:p w:rsidR="00694094" w:rsidRPr="006B00CA" w:rsidRDefault="00694094" w:rsidP="000C278C">
            <w:pPr>
              <w:pStyle w:val="Default"/>
              <w:jc w:val="both"/>
              <w:rPr>
                <w:rFonts w:ascii="Arial" w:hAnsi="Arial" w:cs="Arial"/>
                <w:i/>
                <w:iCs/>
                <w:color w:val="auto"/>
                <w:sz w:val="22"/>
                <w:szCs w:val="22"/>
              </w:rPr>
            </w:pPr>
            <w:r w:rsidRPr="000C278C">
              <w:t>(položka 3.3.8)</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57A6C">
            <w:pPr>
              <w:jc w:val="both"/>
              <w:rPr>
                <w:rFonts w:ascii="Arial" w:hAnsi="Arial" w:cs="Arial"/>
              </w:rPr>
            </w:pPr>
            <w:r w:rsidRPr="000C278C">
              <w:t>Jedná se o měřicí notebook pro studenty cílové skupiny projektu, kteří se budou aktivně účastnit řady experimentů v rámci řešení jejich individuálních projektů. Navržené notebooky nejsou klasické kancelářské přístroje, ale musí umožňovat zejména plynulý chod instalovaných software (např. program Matlab či Labview</w:t>
            </w:r>
            <w:r>
              <w:t xml:space="preserve"> apod. náročné SW</w:t>
            </w:r>
            <w:r w:rsidRPr="000C278C">
              <w:t>) a také záznam a zpracování měřených dat v reálném čase. Rovněž je požadován plynulý chod simulačních programů, např. ComsolMupltiphysics</w:t>
            </w:r>
            <w:r>
              <w:t xml:space="preserve"> apod. náročný SW</w:t>
            </w:r>
            <w:r w:rsidRPr="000C278C">
              <w:t>. Z těchto důvodů jsou kladeny vyšší nároky na rychlost počítače. Proto je poptáván procesor s </w:t>
            </w:r>
            <w:r>
              <w:t>odpovídající</w:t>
            </w:r>
            <w:r w:rsidRPr="000C278C">
              <w:t xml:space="preserve"> taktovací frekvencí, případně SSD disk pro operační systém a připojení USB 3.0 (většina měření probíhá pomocí externích modulů připojených přes rozhraní USB). V rámci samostatné práce se předpokládá i měření v nemocnicích u pacientů, kde není možné připojení notebooku do zásuvky, pokud je notebook součástí měřicího řetězce, proto je vyžadována minimální výdrž na baterii 6 h. Z důvodu manipulovatelnosti na nemocničních odděleních či laboratorních experimentech, kde je často stísněný prostor díky velkému množství měřicí aparatury je u notebooků požadována menší úhlopříčka displeje z min. požadovaným rozlišením 1366x768 bodů.  Z důvodu lepší přenositelnosti (předpokládá se přenos mezi Fakultou v Kladně nemocnicemi a laboratořemi v Praze apod.) je požadována i maximální hmotnost notebooku 2,2 kg.</w:t>
            </w:r>
          </w:p>
        </w:tc>
      </w:tr>
      <w:bookmarkEnd w:id="0"/>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0C278C" w:rsidRDefault="00694094" w:rsidP="000C278C">
            <w:pPr>
              <w:pStyle w:val="Default"/>
            </w:pPr>
            <w:r w:rsidRPr="000C278C">
              <w:t>Notebook 2 ks – pro práci ve speciálních grafických programech</w:t>
            </w:r>
          </w:p>
          <w:p w:rsidR="00694094" w:rsidRPr="006B00CA" w:rsidRDefault="00694094" w:rsidP="000C278C">
            <w:pPr>
              <w:pStyle w:val="Default"/>
              <w:jc w:val="both"/>
              <w:rPr>
                <w:rFonts w:ascii="Arial" w:hAnsi="Arial" w:cs="Arial"/>
                <w:i/>
                <w:iCs/>
                <w:color w:val="auto"/>
                <w:sz w:val="22"/>
                <w:szCs w:val="22"/>
              </w:rPr>
            </w:pPr>
            <w:r w:rsidRPr="000C278C">
              <w:t>(položka 3.3.8)</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0C278C">
              <w:t>Jedná se o notebook pro studenty cílové skupiny projektu, u kterých se předpokládá práce pro návrh a design součástek ve 3D, které se po otestování budou tisknout na 3D tiskárně. Součástí návrhu těchto dílů je i simulace jejich vlastností v simulačních softwarech typu ComsolMultuphysics</w:t>
            </w:r>
            <w:r>
              <w:t xml:space="preserve"> apod. náročných SW</w:t>
            </w:r>
            <w:r w:rsidRPr="000C278C">
              <w:t xml:space="preserve">. U těchto notebooků je proto požadováno velké rozlišení displeje Full HD, které umožní práci na detailech navrhovaných součástek s dílů s minimální velikostí displeje 15 palců. Notebooky mají být vybaveny externí grafickou kartou s min, pamětí 2 GB pro práci a zpracování nakreslených výkresů. Z důvodů velké náročnosti na paměť je požadováno 8 GB RAM </w:t>
            </w:r>
            <w:r w:rsidRPr="000C278C">
              <w:br/>
              <w:t xml:space="preserve">a také SSD disk minimálně pro operační systém. </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0C278C" w:rsidRDefault="00694094" w:rsidP="000C278C">
            <w:pPr>
              <w:pStyle w:val="Default"/>
            </w:pPr>
            <w:r w:rsidRPr="000C278C">
              <w:t>Notebook 2 ks – mobilní notebook pro měření na více externích pracovištích</w:t>
            </w:r>
          </w:p>
          <w:p w:rsidR="00694094" w:rsidRPr="006B00CA" w:rsidRDefault="00694094" w:rsidP="000C278C">
            <w:pPr>
              <w:pStyle w:val="Default"/>
              <w:jc w:val="both"/>
              <w:rPr>
                <w:rFonts w:ascii="Arial" w:hAnsi="Arial" w:cs="Arial"/>
                <w:i/>
                <w:iCs/>
                <w:color w:val="auto"/>
                <w:sz w:val="22"/>
                <w:szCs w:val="22"/>
              </w:rPr>
            </w:pPr>
            <w:r w:rsidRPr="000C278C">
              <w:t>(položka 3.3.8)</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0C278C">
              <w:t xml:space="preserve">Jedná se o vysoce přenosný notebook. U některých plánovaných měření je předpoklad více měření na různých pracovištích během jednoho dne. Notebook musí být vybaven, aby zvládl záznam dat </w:t>
            </w:r>
            <w:r w:rsidRPr="000C278C">
              <w:br/>
              <w:t xml:space="preserve">a jejich zpracování v reálném čase. Hlavním požadovaným parametrem </w:t>
            </w:r>
            <w:r w:rsidRPr="000C278C">
              <w:br/>
              <w:t>u těchto notebooků je malá hmotnost, max. 1,4 kg a minimální výdrž na baterii 5 h, protože notebook nesmí být připojen k elektrické síti, pokud je součástí měřicího okruhu na pacientech. Z důvodů hmotnosti je požadován malý displej (11 až 13,3 palců) s min. rozlišením 1366x768 bodů.</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Default="00694094" w:rsidP="006B00CA">
            <w:pPr>
              <w:pStyle w:val="Default"/>
              <w:jc w:val="both"/>
            </w:pPr>
            <w:r w:rsidRPr="000C278C">
              <w:t xml:space="preserve">Projektor </w:t>
            </w:r>
          </w:p>
          <w:p w:rsidR="00694094" w:rsidRPr="006B00CA" w:rsidRDefault="00694094" w:rsidP="006B00CA">
            <w:pPr>
              <w:pStyle w:val="Default"/>
              <w:jc w:val="both"/>
              <w:rPr>
                <w:rFonts w:ascii="Arial" w:hAnsi="Arial" w:cs="Arial"/>
                <w:i/>
                <w:iCs/>
                <w:color w:val="auto"/>
                <w:sz w:val="22"/>
                <w:szCs w:val="22"/>
              </w:rPr>
            </w:pPr>
            <w:r w:rsidRPr="000C278C">
              <w:t>(položka 3.3.10)</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rPr>
            </w:pPr>
            <w:r w:rsidRPr="000C278C">
              <w:t xml:space="preserve">Požadovaný přístroj bude umístěný především v laboratořích na Kladně (z časových důvodů není možné pravidelné zapůjčování projektoru, který bude umístěn v Praze), kde bude sloužit k prezentaci </w:t>
            </w:r>
            <w:r w:rsidRPr="000C278C">
              <w:br/>
              <w:t>a diskuzím výsledků samostatných prací podpořených studentů. Nejedná se o kompaktní přístroj, ale variantu, která umožňuje převoz na jiné místo, např. přípravné kurzy studentů před zahájením studia, kde studenti rovněž řeší samostatné projekty a prezentují své výsledky. Kurz se koná každý rok v Krkonoších a účastníci kurzu jsou přímo podpořeni projektem. Projektor zároveň disponuje lepšími světelnými vlastnostmi, kdy je možné využití v nezatemněné místnosti běžné velikosti (laboratoř s běžnými žaluziemi) v podobě stacionárního projektoru. Předpokládá se prezentace prací řadu studentů, a proto je poptáván projektor s přímým vstupem s připojením přes USB, pro možnost prezentovat přímo z flash paměti. Protože se zároveň předpokládá prezentace návrhu součástek připravených k tisku je požadováno vysoké rozlišení projektoru Full HD, aby bylo možné zobrazení detailů.</w:t>
            </w:r>
          </w:p>
        </w:tc>
      </w:tr>
    </w:tbl>
    <w:p w:rsidR="00694094" w:rsidRPr="006B00CA" w:rsidRDefault="00694094" w:rsidP="006B00CA">
      <w:pPr>
        <w:jc w:val="both"/>
        <w:rPr>
          <w:rFonts w:ascii="Arial" w:hAnsi="Arial" w:cs="Arial"/>
          <w:sz w:val="22"/>
          <w:szCs w:val="22"/>
        </w:rPr>
      </w:pPr>
    </w:p>
    <w:p w:rsidR="00694094" w:rsidRPr="006B00CA" w:rsidRDefault="00694094" w:rsidP="006B00CA">
      <w:pPr>
        <w:numPr>
          <w:ilvl w:val="0"/>
          <w:numId w:val="1"/>
        </w:numPr>
        <w:tabs>
          <w:tab w:val="clear" w:pos="1080"/>
          <w:tab w:val="num" w:pos="720"/>
        </w:tabs>
        <w:spacing w:before="480"/>
        <w:ind w:left="720"/>
        <w:jc w:val="both"/>
        <w:rPr>
          <w:rFonts w:ascii="Arial" w:hAnsi="Arial" w:cs="Arial"/>
          <w:b/>
          <w:bCs/>
          <w:sz w:val="22"/>
          <w:szCs w:val="22"/>
        </w:rPr>
      </w:pPr>
      <w:r w:rsidRPr="006B00CA">
        <w:rPr>
          <w:rFonts w:ascii="Arial" w:hAnsi="Arial" w:cs="Arial"/>
          <w:b/>
          <w:bCs/>
          <w:sz w:val="22"/>
          <w:szCs w:val="22"/>
        </w:rPr>
        <w:t xml:space="preserve">Odůvodnění stanovení </w:t>
      </w:r>
      <w:r w:rsidRPr="006B00CA">
        <w:rPr>
          <w:rFonts w:ascii="Arial" w:hAnsi="Arial" w:cs="Arial"/>
          <w:b/>
          <w:bCs/>
          <w:sz w:val="22"/>
          <w:szCs w:val="22"/>
          <w:u w:val="single"/>
        </w:rPr>
        <w:t>základních a dílčích hodnotících kritérií</w:t>
      </w:r>
      <w:r w:rsidRPr="006B00CA">
        <w:rPr>
          <w:rFonts w:ascii="Arial" w:hAnsi="Arial" w:cs="Arial"/>
          <w:b/>
          <w:bCs/>
          <w:sz w:val="22"/>
          <w:szCs w:val="22"/>
        </w:rPr>
        <w:t xml:space="preserve"> a </w:t>
      </w:r>
      <w:r w:rsidRPr="006B00CA">
        <w:rPr>
          <w:rFonts w:ascii="Arial" w:hAnsi="Arial" w:cs="Arial"/>
          <w:b/>
          <w:bCs/>
          <w:sz w:val="22"/>
          <w:szCs w:val="22"/>
          <w:u w:val="single"/>
        </w:rPr>
        <w:t xml:space="preserve">způsobu hodnocení nabídek </w:t>
      </w:r>
      <w:r w:rsidRPr="006B00CA">
        <w:rPr>
          <w:rFonts w:ascii="Arial" w:hAnsi="Arial" w:cs="Arial"/>
          <w:b/>
          <w:bCs/>
          <w:sz w:val="22"/>
          <w:szCs w:val="22"/>
        </w:rPr>
        <w:t>podle § 156 odst. 1 písm. d) ZVZ</w:t>
      </w:r>
    </w:p>
    <w:p w:rsidR="00694094" w:rsidRPr="006B00CA" w:rsidRDefault="00694094" w:rsidP="006B00CA">
      <w:pPr>
        <w:tabs>
          <w:tab w:val="left" w:pos="0"/>
        </w:tabs>
        <w:spacing w:before="120"/>
        <w:jc w:val="both"/>
        <w:rPr>
          <w:rFonts w:ascii="Arial" w:hAnsi="Arial" w:cs="Arial"/>
          <w:b/>
          <w:bCs/>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rPr>
                <w:rFonts w:ascii="Arial" w:hAnsi="Arial" w:cs="Arial"/>
                <w:i/>
                <w:iCs/>
                <w:color w:val="auto"/>
                <w:sz w:val="22"/>
                <w:szCs w:val="22"/>
              </w:rPr>
            </w:pPr>
            <w:r w:rsidRPr="006B00CA">
              <w:rPr>
                <w:rFonts w:ascii="Arial" w:hAnsi="Arial" w:cs="Arial"/>
                <w:b/>
                <w:bCs/>
                <w:color w:val="auto"/>
                <w:sz w:val="22"/>
                <w:szCs w:val="22"/>
              </w:rPr>
              <w:t>Nejnižší nabídková cena:</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b/>
                <w:bCs/>
              </w:rPr>
            </w:pPr>
            <w:r w:rsidRPr="006512B4">
              <w:t>Nabídková cena je dostatečným hodnotícím kritériem, protože předmět veřejné zakázky je dostatečně specifikován pomocí požadovaných technických charakteristik a popisů a jednoznačně vyjadřuje účel použití předmětu zakázky. Hodnocením na základě kritéria nejnižší nabídkové ceny dosáhne zadavatel nejtransparentněji maximální možné míry užitné hodnoty ve vztahu k předmětu plnění veřejné zakázky a k jeho ceně.</w:t>
            </w:r>
          </w:p>
        </w:tc>
      </w:tr>
    </w:tbl>
    <w:p w:rsidR="00694094" w:rsidRPr="006B00CA" w:rsidRDefault="00694094" w:rsidP="006B00CA">
      <w:pPr>
        <w:jc w:val="both"/>
        <w:rPr>
          <w:rFonts w:ascii="Arial" w:hAnsi="Arial" w:cs="Arial"/>
          <w:sz w:val="22"/>
          <w:szCs w:val="22"/>
        </w:rPr>
      </w:pPr>
    </w:p>
    <w:tbl>
      <w:tblPr>
        <w:tblW w:w="10368" w:type="dxa"/>
        <w:tblInd w:w="-106" w:type="dxa"/>
        <w:tblLook w:val="01E0"/>
      </w:tblPr>
      <w:tblGrid>
        <w:gridCol w:w="2628"/>
        <w:gridCol w:w="7740"/>
      </w:tblGrid>
      <w:tr w:rsidR="00694094" w:rsidRPr="006B00CA">
        <w:trPr>
          <w:trHeight w:val="567"/>
        </w:trPr>
        <w:tc>
          <w:tcPr>
            <w:tcW w:w="2628" w:type="dxa"/>
            <w:tcBorders>
              <w:right w:val="single" w:sz="4" w:space="0" w:color="auto"/>
            </w:tcBorders>
            <w:vAlign w:val="center"/>
          </w:tcPr>
          <w:p w:rsidR="00694094" w:rsidRPr="006B00CA" w:rsidRDefault="00694094" w:rsidP="006B00CA">
            <w:pPr>
              <w:pStyle w:val="Default"/>
              <w:jc w:val="both"/>
              <w:rPr>
                <w:rFonts w:ascii="Arial" w:hAnsi="Arial" w:cs="Arial"/>
                <w:i/>
                <w:iCs/>
                <w:color w:val="auto"/>
                <w:sz w:val="22"/>
                <w:szCs w:val="22"/>
              </w:rPr>
            </w:pPr>
            <w:r w:rsidRPr="006B00CA">
              <w:rPr>
                <w:rFonts w:ascii="Arial" w:hAnsi="Arial" w:cs="Arial"/>
                <w:b/>
                <w:bCs/>
                <w:color w:val="auto"/>
                <w:sz w:val="22"/>
                <w:szCs w:val="22"/>
              </w:rPr>
              <w:t>Ekonomická výhodnost nabídky:</w:t>
            </w:r>
          </w:p>
        </w:tc>
        <w:tc>
          <w:tcPr>
            <w:tcW w:w="7740" w:type="dxa"/>
            <w:tcBorders>
              <w:top w:val="single" w:sz="4" w:space="0" w:color="auto"/>
              <w:left w:val="single" w:sz="4" w:space="0" w:color="auto"/>
              <w:bottom w:val="single" w:sz="4" w:space="0" w:color="auto"/>
              <w:right w:val="single" w:sz="4" w:space="0" w:color="auto"/>
            </w:tcBorders>
            <w:vAlign w:val="center"/>
          </w:tcPr>
          <w:p w:rsidR="00694094" w:rsidRPr="006B00CA" w:rsidRDefault="00694094" w:rsidP="006B00CA">
            <w:pPr>
              <w:jc w:val="both"/>
              <w:rPr>
                <w:rFonts w:ascii="Arial" w:hAnsi="Arial" w:cs="Arial"/>
                <w:b/>
                <w:bCs/>
              </w:rPr>
            </w:pPr>
            <w:r>
              <w:t xml:space="preserve">V daném případě není relevantní. </w:t>
            </w:r>
          </w:p>
        </w:tc>
      </w:tr>
    </w:tbl>
    <w:p w:rsidR="00694094" w:rsidRDefault="00694094" w:rsidP="006B00CA">
      <w:pPr>
        <w:jc w:val="both"/>
      </w:pPr>
    </w:p>
    <w:p w:rsidR="00694094" w:rsidRDefault="00694094" w:rsidP="006B00CA">
      <w:pPr>
        <w:jc w:val="both"/>
      </w:pPr>
    </w:p>
    <w:p w:rsidR="00694094" w:rsidRPr="006B00CA" w:rsidRDefault="00694094" w:rsidP="006B00CA">
      <w:pPr>
        <w:jc w:val="both"/>
        <w:rPr>
          <w:rFonts w:ascii="Arial" w:hAnsi="Arial" w:cs="Arial"/>
          <w:sz w:val="22"/>
          <w:szCs w:val="22"/>
        </w:rPr>
      </w:pPr>
    </w:p>
    <w:p w:rsidR="00694094" w:rsidRDefault="00694094" w:rsidP="006B00CA">
      <w:pPr>
        <w:spacing w:before="480"/>
        <w:jc w:val="both"/>
      </w:pPr>
      <w:r>
        <w:rPr>
          <w:rFonts w:ascii="Arial" w:hAnsi="Arial" w:cs="Arial"/>
          <w:sz w:val="22"/>
          <w:szCs w:val="22"/>
        </w:rPr>
        <w:t xml:space="preserve">V </w:t>
      </w:r>
      <w:r>
        <w:t xml:space="preserve">Kladně </w:t>
      </w:r>
      <w:r>
        <w:rPr>
          <w:rFonts w:ascii="Arial" w:hAnsi="Arial" w:cs="Arial"/>
          <w:sz w:val="22"/>
          <w:szCs w:val="22"/>
        </w:rPr>
        <w:t xml:space="preserve">dne </w:t>
      </w:r>
      <w: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694094" w:rsidRDefault="00694094" w:rsidP="006B00CA">
      <w:pPr>
        <w:spacing w:before="480"/>
        <w:jc w:val="both"/>
        <w:rPr>
          <w:rFonts w:ascii="Arial" w:hAnsi="Arial" w:cs="Arial"/>
          <w:sz w:val="22"/>
          <w:szCs w:val="22"/>
        </w:rPr>
      </w:pPr>
      <w:r>
        <w:t xml:space="preserve">                                                                                                            Ing. et. Bc. Venuše Heřmanová</w:t>
      </w:r>
    </w:p>
    <w:p w:rsidR="00694094" w:rsidRPr="00CC60C0" w:rsidRDefault="00694094" w:rsidP="00CC60C0">
      <w:pPr>
        <w:tabs>
          <w:tab w:val="left" w:pos="6521"/>
        </w:tabs>
        <w:spacing w:before="120"/>
        <w:jc w:val="both"/>
        <w:rPr>
          <w:rFonts w:ascii="Arial" w:hAnsi="Arial" w:cs="Arial"/>
          <w:sz w:val="20"/>
          <w:szCs w:val="20"/>
        </w:rPr>
      </w:pPr>
      <w:r>
        <w:rPr>
          <w:rFonts w:ascii="Arial" w:hAnsi="Arial" w:cs="Arial"/>
          <w:sz w:val="22"/>
          <w:szCs w:val="22"/>
        </w:rPr>
        <w:tab/>
        <w:t xml:space="preserve"> Jméno a příjmení řešitele</w:t>
      </w:r>
    </w:p>
    <w:sectPr w:rsidR="00694094" w:rsidRPr="00CC60C0" w:rsidSect="003B6DB3">
      <w:footerReference w:type="default" r:id="rId10"/>
      <w:pgSz w:w="11906" w:h="16838"/>
      <w:pgMar w:top="85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094" w:rsidRDefault="00694094">
      <w:r>
        <w:separator/>
      </w:r>
    </w:p>
  </w:endnote>
  <w:endnote w:type="continuationSeparator" w:id="1">
    <w:p w:rsidR="00694094" w:rsidRDefault="006940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094" w:rsidRDefault="00694094" w:rsidP="005525ED">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694094" w:rsidRDefault="006940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094" w:rsidRDefault="00694094">
      <w:r>
        <w:separator/>
      </w:r>
    </w:p>
  </w:footnote>
  <w:footnote w:type="continuationSeparator" w:id="1">
    <w:p w:rsidR="00694094" w:rsidRDefault="00694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C5DDD"/>
    <w:multiLevelType w:val="hybridMultilevel"/>
    <w:tmpl w:val="3ED6035C"/>
    <w:lvl w:ilvl="0" w:tplc="0405000B">
      <w:start w:val="1"/>
      <w:numFmt w:val="bullet"/>
      <w:lvlText w:val=""/>
      <w:lvlJc w:val="left"/>
      <w:pPr>
        <w:tabs>
          <w:tab w:val="num" w:pos="1065"/>
        </w:tabs>
        <w:ind w:left="1065" w:hanging="360"/>
      </w:pPr>
      <w:rPr>
        <w:rFonts w:ascii="Wingdings" w:hAnsi="Wingdings" w:hint="default"/>
      </w:rPr>
    </w:lvl>
    <w:lvl w:ilvl="1" w:tplc="04050003">
      <w:start w:val="1"/>
      <w:numFmt w:val="bullet"/>
      <w:lvlText w:val="o"/>
      <w:lvlJc w:val="left"/>
      <w:pPr>
        <w:tabs>
          <w:tab w:val="num" w:pos="1785"/>
        </w:tabs>
        <w:ind w:left="1785" w:hanging="360"/>
      </w:pPr>
      <w:rPr>
        <w:rFonts w:ascii="Courier New" w:hAnsi="Courier New" w:cs="Courier New" w:hint="default"/>
      </w:rPr>
    </w:lvl>
    <w:lvl w:ilvl="2" w:tplc="04050005">
      <w:start w:val="1"/>
      <w:numFmt w:val="bullet"/>
      <w:lvlText w:val=""/>
      <w:lvlJc w:val="left"/>
      <w:pPr>
        <w:tabs>
          <w:tab w:val="num" w:pos="2505"/>
        </w:tabs>
        <w:ind w:left="2505" w:hanging="360"/>
      </w:pPr>
      <w:rPr>
        <w:rFonts w:ascii="Wingdings" w:hAnsi="Wingdings" w:cs="Wingdings" w:hint="default"/>
      </w:rPr>
    </w:lvl>
    <w:lvl w:ilvl="3" w:tplc="04050001">
      <w:start w:val="1"/>
      <w:numFmt w:val="bullet"/>
      <w:lvlText w:val=""/>
      <w:lvlJc w:val="left"/>
      <w:pPr>
        <w:tabs>
          <w:tab w:val="num" w:pos="3225"/>
        </w:tabs>
        <w:ind w:left="3225" w:hanging="360"/>
      </w:pPr>
      <w:rPr>
        <w:rFonts w:ascii="Symbol" w:hAnsi="Symbol" w:cs="Symbol" w:hint="default"/>
      </w:rPr>
    </w:lvl>
    <w:lvl w:ilvl="4" w:tplc="04050003">
      <w:start w:val="1"/>
      <w:numFmt w:val="bullet"/>
      <w:lvlText w:val="o"/>
      <w:lvlJc w:val="left"/>
      <w:pPr>
        <w:tabs>
          <w:tab w:val="num" w:pos="3945"/>
        </w:tabs>
        <w:ind w:left="3945" w:hanging="360"/>
      </w:pPr>
      <w:rPr>
        <w:rFonts w:ascii="Courier New" w:hAnsi="Courier New" w:cs="Courier New" w:hint="default"/>
      </w:rPr>
    </w:lvl>
    <w:lvl w:ilvl="5" w:tplc="04050005">
      <w:start w:val="1"/>
      <w:numFmt w:val="bullet"/>
      <w:lvlText w:val=""/>
      <w:lvlJc w:val="left"/>
      <w:pPr>
        <w:tabs>
          <w:tab w:val="num" w:pos="4665"/>
        </w:tabs>
        <w:ind w:left="4665" w:hanging="360"/>
      </w:pPr>
      <w:rPr>
        <w:rFonts w:ascii="Wingdings" w:hAnsi="Wingdings" w:cs="Wingdings" w:hint="default"/>
      </w:rPr>
    </w:lvl>
    <w:lvl w:ilvl="6" w:tplc="04050001">
      <w:start w:val="1"/>
      <w:numFmt w:val="bullet"/>
      <w:lvlText w:val=""/>
      <w:lvlJc w:val="left"/>
      <w:pPr>
        <w:tabs>
          <w:tab w:val="num" w:pos="5385"/>
        </w:tabs>
        <w:ind w:left="5385" w:hanging="360"/>
      </w:pPr>
      <w:rPr>
        <w:rFonts w:ascii="Symbol" w:hAnsi="Symbol" w:cs="Symbol" w:hint="default"/>
      </w:rPr>
    </w:lvl>
    <w:lvl w:ilvl="7" w:tplc="04050003">
      <w:start w:val="1"/>
      <w:numFmt w:val="bullet"/>
      <w:lvlText w:val="o"/>
      <w:lvlJc w:val="left"/>
      <w:pPr>
        <w:tabs>
          <w:tab w:val="num" w:pos="6105"/>
        </w:tabs>
        <w:ind w:left="6105" w:hanging="360"/>
      </w:pPr>
      <w:rPr>
        <w:rFonts w:ascii="Courier New" w:hAnsi="Courier New" w:cs="Courier New" w:hint="default"/>
      </w:rPr>
    </w:lvl>
    <w:lvl w:ilvl="8" w:tplc="04050005">
      <w:start w:val="1"/>
      <w:numFmt w:val="bullet"/>
      <w:lvlText w:val=""/>
      <w:lvlJc w:val="left"/>
      <w:pPr>
        <w:tabs>
          <w:tab w:val="num" w:pos="6825"/>
        </w:tabs>
        <w:ind w:left="6825" w:hanging="360"/>
      </w:pPr>
      <w:rPr>
        <w:rFonts w:ascii="Wingdings" w:hAnsi="Wingdings" w:cs="Wingdings" w:hint="default"/>
      </w:rPr>
    </w:lvl>
  </w:abstractNum>
  <w:abstractNum w:abstractNumId="1">
    <w:nsid w:val="2F0807A6"/>
    <w:multiLevelType w:val="hybridMultilevel"/>
    <w:tmpl w:val="D31A3408"/>
    <w:lvl w:ilvl="0" w:tplc="277296E2">
      <w:start w:val="1"/>
      <w:numFmt w:val="upperRoman"/>
      <w:lvlText w:val="%1."/>
      <w:lvlJc w:val="left"/>
      <w:pPr>
        <w:tabs>
          <w:tab w:val="num" w:pos="1080"/>
        </w:tabs>
        <w:ind w:left="1080" w:hanging="72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75452776"/>
    <w:multiLevelType w:val="hybridMultilevel"/>
    <w:tmpl w:val="9A38DB50"/>
    <w:lvl w:ilvl="0" w:tplc="AE4C1F42">
      <w:start w:val="1"/>
      <w:numFmt w:val="lowerLetter"/>
      <w:lvlText w:val="%1)"/>
      <w:lvlJc w:val="left"/>
      <w:pPr>
        <w:tabs>
          <w:tab w:val="num" w:pos="720"/>
        </w:tabs>
        <w:ind w:left="720" w:hanging="360"/>
      </w:pPr>
      <w:rPr>
        <w:rFonts w:hint="default"/>
        <w:b/>
        <w:bCs/>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formatting="1" w:enforcement="1"/>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390"/>
    <w:rsid w:val="00002F78"/>
    <w:rsid w:val="0000313C"/>
    <w:rsid w:val="000101F0"/>
    <w:rsid w:val="00010ECB"/>
    <w:rsid w:val="000465A6"/>
    <w:rsid w:val="00052FB4"/>
    <w:rsid w:val="00062545"/>
    <w:rsid w:val="0006308D"/>
    <w:rsid w:val="00064F7A"/>
    <w:rsid w:val="0006710C"/>
    <w:rsid w:val="00092130"/>
    <w:rsid w:val="00095CF6"/>
    <w:rsid w:val="000C109B"/>
    <w:rsid w:val="000C278C"/>
    <w:rsid w:val="000C653A"/>
    <w:rsid w:val="000E5C54"/>
    <w:rsid w:val="000F35B7"/>
    <w:rsid w:val="00106555"/>
    <w:rsid w:val="00135A6C"/>
    <w:rsid w:val="001456E3"/>
    <w:rsid w:val="00193831"/>
    <w:rsid w:val="001973FD"/>
    <w:rsid w:val="001A30F1"/>
    <w:rsid w:val="001A334F"/>
    <w:rsid w:val="001B0169"/>
    <w:rsid w:val="001C35A7"/>
    <w:rsid w:val="00206EA8"/>
    <w:rsid w:val="00230C16"/>
    <w:rsid w:val="002503D3"/>
    <w:rsid w:val="00256065"/>
    <w:rsid w:val="00260C84"/>
    <w:rsid w:val="00285A0C"/>
    <w:rsid w:val="002B198B"/>
    <w:rsid w:val="002B5F33"/>
    <w:rsid w:val="002B67DD"/>
    <w:rsid w:val="002F1A2F"/>
    <w:rsid w:val="00321FAA"/>
    <w:rsid w:val="003245F5"/>
    <w:rsid w:val="00326424"/>
    <w:rsid w:val="00345909"/>
    <w:rsid w:val="0034637A"/>
    <w:rsid w:val="00353F73"/>
    <w:rsid w:val="0038341D"/>
    <w:rsid w:val="003949B0"/>
    <w:rsid w:val="003A3EEB"/>
    <w:rsid w:val="003A6AE5"/>
    <w:rsid w:val="003B6DB3"/>
    <w:rsid w:val="003C18C6"/>
    <w:rsid w:val="004022D9"/>
    <w:rsid w:val="00430A9D"/>
    <w:rsid w:val="00447112"/>
    <w:rsid w:val="00474316"/>
    <w:rsid w:val="00476BA0"/>
    <w:rsid w:val="00477390"/>
    <w:rsid w:val="004873BE"/>
    <w:rsid w:val="004921FA"/>
    <w:rsid w:val="004A14D5"/>
    <w:rsid w:val="004B276A"/>
    <w:rsid w:val="00506D16"/>
    <w:rsid w:val="00514ACC"/>
    <w:rsid w:val="0051555E"/>
    <w:rsid w:val="005227F3"/>
    <w:rsid w:val="00532F70"/>
    <w:rsid w:val="00534B5C"/>
    <w:rsid w:val="005525ED"/>
    <w:rsid w:val="005850BC"/>
    <w:rsid w:val="005A1B43"/>
    <w:rsid w:val="005C752F"/>
    <w:rsid w:val="005D4428"/>
    <w:rsid w:val="005E3772"/>
    <w:rsid w:val="006250DB"/>
    <w:rsid w:val="006463D8"/>
    <w:rsid w:val="006512B4"/>
    <w:rsid w:val="00657A6C"/>
    <w:rsid w:val="006740C1"/>
    <w:rsid w:val="00694094"/>
    <w:rsid w:val="00697A47"/>
    <w:rsid w:val="006A00C3"/>
    <w:rsid w:val="006B00CA"/>
    <w:rsid w:val="006B1BF6"/>
    <w:rsid w:val="006B453F"/>
    <w:rsid w:val="006D460D"/>
    <w:rsid w:val="006E3CA4"/>
    <w:rsid w:val="006E6815"/>
    <w:rsid w:val="006F4AD2"/>
    <w:rsid w:val="00710FE9"/>
    <w:rsid w:val="007121D8"/>
    <w:rsid w:val="0071665D"/>
    <w:rsid w:val="00723AA7"/>
    <w:rsid w:val="00725D35"/>
    <w:rsid w:val="007361E0"/>
    <w:rsid w:val="007C2C60"/>
    <w:rsid w:val="007C4F57"/>
    <w:rsid w:val="007C63AC"/>
    <w:rsid w:val="00823A3C"/>
    <w:rsid w:val="00832C22"/>
    <w:rsid w:val="00866DCC"/>
    <w:rsid w:val="0089054A"/>
    <w:rsid w:val="008B177D"/>
    <w:rsid w:val="008E6D74"/>
    <w:rsid w:val="00903C32"/>
    <w:rsid w:val="00907F2D"/>
    <w:rsid w:val="00917A1D"/>
    <w:rsid w:val="0093423D"/>
    <w:rsid w:val="00941D43"/>
    <w:rsid w:val="00951DEF"/>
    <w:rsid w:val="00953449"/>
    <w:rsid w:val="00985E9B"/>
    <w:rsid w:val="009C306D"/>
    <w:rsid w:val="009D1431"/>
    <w:rsid w:val="009E2153"/>
    <w:rsid w:val="009F1318"/>
    <w:rsid w:val="009F142F"/>
    <w:rsid w:val="00A02533"/>
    <w:rsid w:val="00A07D6C"/>
    <w:rsid w:val="00A134A9"/>
    <w:rsid w:val="00A2727E"/>
    <w:rsid w:val="00A77D12"/>
    <w:rsid w:val="00AC14D7"/>
    <w:rsid w:val="00AD7AAF"/>
    <w:rsid w:val="00AE73E9"/>
    <w:rsid w:val="00B116C9"/>
    <w:rsid w:val="00B21562"/>
    <w:rsid w:val="00B31DC7"/>
    <w:rsid w:val="00B40ECE"/>
    <w:rsid w:val="00B66F02"/>
    <w:rsid w:val="00B70018"/>
    <w:rsid w:val="00B73872"/>
    <w:rsid w:val="00B90CAD"/>
    <w:rsid w:val="00BA4224"/>
    <w:rsid w:val="00BB1700"/>
    <w:rsid w:val="00BB5370"/>
    <w:rsid w:val="00BB6340"/>
    <w:rsid w:val="00BC2CF3"/>
    <w:rsid w:val="00BC2FE8"/>
    <w:rsid w:val="00BC35B8"/>
    <w:rsid w:val="00BD5C9D"/>
    <w:rsid w:val="00BD6674"/>
    <w:rsid w:val="00C04EA2"/>
    <w:rsid w:val="00C13AA3"/>
    <w:rsid w:val="00C165FD"/>
    <w:rsid w:val="00C31391"/>
    <w:rsid w:val="00C369A9"/>
    <w:rsid w:val="00C41491"/>
    <w:rsid w:val="00C41F9F"/>
    <w:rsid w:val="00C61A16"/>
    <w:rsid w:val="00C6477C"/>
    <w:rsid w:val="00C6558E"/>
    <w:rsid w:val="00C84E83"/>
    <w:rsid w:val="00C925BA"/>
    <w:rsid w:val="00CB5E5D"/>
    <w:rsid w:val="00CC60C0"/>
    <w:rsid w:val="00CD20DF"/>
    <w:rsid w:val="00CD74A4"/>
    <w:rsid w:val="00CF53B7"/>
    <w:rsid w:val="00D01F66"/>
    <w:rsid w:val="00D24BF6"/>
    <w:rsid w:val="00D449A4"/>
    <w:rsid w:val="00D44CEE"/>
    <w:rsid w:val="00D51EA6"/>
    <w:rsid w:val="00D53DE3"/>
    <w:rsid w:val="00D6388E"/>
    <w:rsid w:val="00D73827"/>
    <w:rsid w:val="00D82DBB"/>
    <w:rsid w:val="00D83D22"/>
    <w:rsid w:val="00DB037B"/>
    <w:rsid w:val="00DB16C4"/>
    <w:rsid w:val="00DB17B4"/>
    <w:rsid w:val="00DB27F0"/>
    <w:rsid w:val="00DB3B9E"/>
    <w:rsid w:val="00DC3ED3"/>
    <w:rsid w:val="00DD7FFE"/>
    <w:rsid w:val="00DF63F6"/>
    <w:rsid w:val="00E821AD"/>
    <w:rsid w:val="00E825B4"/>
    <w:rsid w:val="00E856BB"/>
    <w:rsid w:val="00E96A85"/>
    <w:rsid w:val="00EE4895"/>
    <w:rsid w:val="00EE5C39"/>
    <w:rsid w:val="00EF255C"/>
    <w:rsid w:val="00EF747B"/>
    <w:rsid w:val="00F25656"/>
    <w:rsid w:val="00F3134E"/>
    <w:rsid w:val="00F535C5"/>
    <w:rsid w:val="00F67CF3"/>
    <w:rsid w:val="00FB5ABA"/>
    <w:rsid w:val="00FD61FA"/>
    <w:rsid w:val="00FE4C61"/>
    <w:rsid w:val="00FE519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39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773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477390"/>
    <w:rPr>
      <w:sz w:val="16"/>
      <w:szCs w:val="16"/>
    </w:rPr>
  </w:style>
  <w:style w:type="paragraph" w:styleId="CommentText">
    <w:name w:val="annotation text"/>
    <w:basedOn w:val="Normal"/>
    <w:link w:val="CommentTextChar"/>
    <w:uiPriority w:val="99"/>
    <w:semiHidden/>
    <w:rsid w:val="00477390"/>
    <w:rPr>
      <w:sz w:val="20"/>
      <w:szCs w:val="20"/>
    </w:rPr>
  </w:style>
  <w:style w:type="character" w:customStyle="1" w:styleId="CommentTextChar">
    <w:name w:val="Comment Text Char"/>
    <w:basedOn w:val="DefaultParagraphFont"/>
    <w:link w:val="CommentText"/>
    <w:uiPriority w:val="99"/>
    <w:semiHidden/>
    <w:locked/>
    <w:rsid w:val="00E856BB"/>
    <w:rPr>
      <w:sz w:val="20"/>
      <w:szCs w:val="20"/>
    </w:rPr>
  </w:style>
  <w:style w:type="paragraph" w:styleId="BalloonText">
    <w:name w:val="Balloon Text"/>
    <w:basedOn w:val="Normal"/>
    <w:link w:val="BalloonTextChar"/>
    <w:uiPriority w:val="99"/>
    <w:semiHidden/>
    <w:rsid w:val="00477390"/>
    <w:rPr>
      <w:sz w:val="2"/>
      <w:szCs w:val="2"/>
    </w:rPr>
  </w:style>
  <w:style w:type="character" w:customStyle="1" w:styleId="BalloonTextChar">
    <w:name w:val="Balloon Text Char"/>
    <w:basedOn w:val="DefaultParagraphFont"/>
    <w:link w:val="BalloonText"/>
    <w:uiPriority w:val="99"/>
    <w:semiHidden/>
    <w:locked/>
    <w:rsid w:val="00E856BB"/>
    <w:rPr>
      <w:sz w:val="2"/>
      <w:szCs w:val="2"/>
    </w:rPr>
  </w:style>
  <w:style w:type="paragraph" w:styleId="CommentSubject">
    <w:name w:val="annotation subject"/>
    <w:basedOn w:val="CommentText"/>
    <w:next w:val="CommentText"/>
    <w:link w:val="CommentSubjectChar"/>
    <w:uiPriority w:val="99"/>
    <w:semiHidden/>
    <w:rsid w:val="00477390"/>
    <w:rPr>
      <w:b/>
      <w:bCs/>
    </w:rPr>
  </w:style>
  <w:style w:type="character" w:customStyle="1" w:styleId="CommentSubjectChar">
    <w:name w:val="Comment Subject Char"/>
    <w:basedOn w:val="CommentTextChar"/>
    <w:link w:val="CommentSubject"/>
    <w:uiPriority w:val="99"/>
    <w:semiHidden/>
    <w:locked/>
    <w:rsid w:val="00E856BB"/>
    <w:rPr>
      <w:b/>
      <w:bCs/>
    </w:rPr>
  </w:style>
  <w:style w:type="paragraph" w:customStyle="1" w:styleId="Default">
    <w:name w:val="Default"/>
    <w:uiPriority w:val="99"/>
    <w:rsid w:val="006740C1"/>
    <w:pPr>
      <w:autoSpaceDE w:val="0"/>
      <w:autoSpaceDN w:val="0"/>
      <w:adjustRightInd w:val="0"/>
    </w:pPr>
    <w:rPr>
      <w:color w:val="000000"/>
      <w:sz w:val="24"/>
      <w:szCs w:val="24"/>
    </w:rPr>
  </w:style>
  <w:style w:type="paragraph" w:styleId="Footer">
    <w:name w:val="footer"/>
    <w:basedOn w:val="Normal"/>
    <w:link w:val="FooterChar"/>
    <w:uiPriority w:val="99"/>
    <w:rsid w:val="003B6DB3"/>
    <w:pPr>
      <w:tabs>
        <w:tab w:val="center" w:pos="4536"/>
        <w:tab w:val="right" w:pos="9072"/>
      </w:tabs>
    </w:pPr>
  </w:style>
  <w:style w:type="character" w:customStyle="1" w:styleId="FooterChar">
    <w:name w:val="Footer Char"/>
    <w:basedOn w:val="DefaultParagraphFont"/>
    <w:link w:val="Footer"/>
    <w:uiPriority w:val="99"/>
    <w:semiHidden/>
    <w:locked/>
    <w:rsid w:val="00E856BB"/>
    <w:rPr>
      <w:sz w:val="24"/>
      <w:szCs w:val="24"/>
    </w:rPr>
  </w:style>
  <w:style w:type="character" w:styleId="PageNumber">
    <w:name w:val="page number"/>
    <w:basedOn w:val="DefaultParagraphFont"/>
    <w:uiPriority w:val="99"/>
    <w:rsid w:val="003B6DB3"/>
  </w:style>
  <w:style w:type="character" w:styleId="PlaceholderText">
    <w:name w:val="Placeholder Text"/>
    <w:basedOn w:val="DefaultParagraphFont"/>
    <w:uiPriority w:val="99"/>
    <w:semiHidden/>
    <w:rsid w:val="009D1431"/>
    <w:rPr>
      <w:color w:val="808080"/>
    </w:rPr>
  </w:style>
  <w:style w:type="paragraph" w:styleId="Revision">
    <w:name w:val="Revision"/>
    <w:hidden/>
    <w:uiPriority w:val="99"/>
    <w:semiHidden/>
    <w:rsid w:val="005A1B43"/>
    <w:rPr>
      <w:sz w:val="24"/>
      <w:szCs w:val="24"/>
    </w:rPr>
  </w:style>
  <w:style w:type="character" w:styleId="Hyperlink">
    <w:name w:val="Hyperlink"/>
    <w:basedOn w:val="DefaultParagraphFont"/>
    <w:uiPriority w:val="99"/>
    <w:rsid w:val="00FE4C61"/>
    <w:rPr>
      <w:color w:val="0000FF"/>
      <w:u w:val="single"/>
    </w:rPr>
  </w:style>
  <w:style w:type="paragraph" w:styleId="HTMLPreformatted">
    <w:name w:val="HTML Preformatted"/>
    <w:basedOn w:val="Normal"/>
    <w:link w:val="HTMLPreformattedChar"/>
    <w:uiPriority w:val="99"/>
    <w:semiHidden/>
    <w:rsid w:val="00321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21FAA"/>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542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uniorakademie.c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juniorakademie.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Pages>
  <Words>3435</Words>
  <Characters>20273</Characters>
  <Application>Microsoft Office Outlook</Application>
  <DocSecurity>0</DocSecurity>
  <Lines>0</Lines>
  <Paragraphs>0</Paragraphs>
  <ScaleCrop>false</ScaleCrop>
  <Company>Eva Rafajová</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ODŮVODNĚNÍ VEŘEJNÉ ZAKÁZKY</dc:title>
  <dc:subject/>
  <dc:creator>Eva Rafajová</dc:creator>
  <cp:keywords/>
  <dc:description/>
  <cp:lastModifiedBy>JUDr. Hana Němečková</cp:lastModifiedBy>
  <cp:revision>2</cp:revision>
  <cp:lastPrinted>2012-12-20T14:47:00Z</cp:lastPrinted>
  <dcterms:created xsi:type="dcterms:W3CDTF">2013-04-03T09:00:00Z</dcterms:created>
  <dcterms:modified xsi:type="dcterms:W3CDTF">2013-04-03T09:01:00Z</dcterms:modified>
</cp:coreProperties>
</file>