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120" w:before="0" w:line="360" w:lineRule="auto"/>
        <w:contextualSpacing w:val="false"/>
        <w:jc w:val="center"/>
      </w:pPr>
      <w:r>
        <w:rPr>
          <w:b/>
          <w:sz w:val="36"/>
          <w:szCs w:val="28"/>
          <w:u w:val="single"/>
        </w:rPr>
        <w:t>Zadávací dokumentace</w:t>
      </w:r>
    </w:p>
    <w:p>
      <w:pPr>
        <w:pStyle w:val="style0"/>
        <w:jc w:val="center"/>
      </w:pPr>
      <w:r>
        <w:rPr>
          <w:rFonts w:ascii="Times New Roman" w:cs="Times New Roman" w:hAnsi="Times New Roman"/>
        </w:rPr>
        <w:t xml:space="preserve">k veřejné zakázce malého rozsahu  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/>
      </w:r>
    </w:p>
    <w:p>
      <w:pPr>
        <w:sectPr>
          <w:headerReference r:id="rId2" w:type="default"/>
          <w:footerReference r:id="rId3" w:type="default"/>
          <w:type w:val="nextPage"/>
          <w:pgSz w:h="15840" w:w="12240"/>
          <w:pgMar w:bottom="1134" w:footer="0" w:gutter="0" w:header="708" w:left="1701" w:right="1701" w:top="1134"/>
          <w:pgNumType w:fmt="decimal"/>
          <w:formProt w:val="false"/>
          <w:textDirection w:val="lrTb"/>
          <w:docGrid w:charSpace="0" w:linePitch="360" w:type="default"/>
        </w:sectPr>
      </w:pPr>
    </w:p>
    <w:p>
      <w:pPr>
        <w:pStyle w:val="style0"/>
        <w:jc w:val="center"/>
      </w:pPr>
      <w:r>
        <w:rPr/>
      </w:r>
    </w:p>
    <w:tbl>
      <w:tblPr>
        <w:jc w:val="center"/>
        <w:tblBorders/>
      </w:tblPr>
      <w:tblGrid>
        <w:gridCol w:w="8080"/>
      </w:tblGrid>
      <w:tr>
        <w:trPr>
          <w:trHeight w:hRule="atLeast" w:val="859"/>
          <w:cantSplit w:val="false"/>
        </w:trPr>
        <w:tc>
          <w:tcPr>
            <w:tcW w:type="dxa" w:w="8080"/>
            <w:tcBorders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„</w:t>
            </w: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Dodávka výukových tabletů a souvisejícího zařízení“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  <w:shd w:fill="auto" w:val="clear"/>
              </w:rPr>
              <w:t>Vzdělávání pro konkurenceschopnost</w:t>
            </w:r>
          </w:p>
          <w:p>
            <w:pPr>
              <w:pStyle w:val="style0"/>
              <w:jc w:val="center"/>
            </w:pPr>
            <w:r>
              <w:rPr>
                <w:rFonts w:cs="Times New Roman"/>
                <w:b/>
                <w:bCs/>
                <w:sz w:val="28"/>
                <w:szCs w:val="28"/>
                <w:shd w:fill="auto" w:val="clear"/>
              </w:rPr>
              <w:t>CZ.</w:t>
            </w:r>
            <w:r>
              <w:rPr>
                <w:rFonts w:cs="Times New Roman"/>
                <w:b/>
                <w:bCs/>
                <w:sz w:val="28"/>
                <w:szCs w:val="28"/>
                <w:shd w:fill="auto" w:val="clear"/>
              </w:rPr>
              <w:t>1.07/1.4.00/21.3837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shd w:fill="auto" w:val="clear"/>
              </w:rPr>
              <w:t>„</w:t>
            </w:r>
            <w:r>
              <w:rPr>
                <w:rFonts w:ascii="Times New Roman" w:cs="Times New Roman" w:eastAsia="Times New Roman" w:hAnsi="Times New Roman"/>
                <w:b/>
                <w:bCs/>
                <w:sz w:val="28"/>
                <w:szCs w:val="28"/>
                <w:shd w:fill="auto" w:val="clear"/>
              </w:rPr>
              <w:t>Škola zítřka</w:t>
            </w:r>
            <w:r>
              <w:rPr>
                <w:rFonts w:ascii="Times New Roman" w:cs="Times New Roman" w:hAnsi="Times New Roman"/>
                <w:b/>
                <w:bCs/>
                <w:sz w:val="28"/>
                <w:szCs w:val="28"/>
                <w:shd w:fill="auto" w:val="clear"/>
              </w:rPr>
              <w:t xml:space="preserve">“ </w:t>
            </w:r>
          </w:p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spacing w:after="120" w:before="0" w:line="360" w:lineRule="auto"/>
              <w:contextualSpacing w:val="false"/>
              <w:jc w:val="center"/>
            </w:pPr>
            <w:r>
              <w:rPr/>
            </w:r>
          </w:p>
        </w:tc>
      </w:tr>
    </w:tbl>
    <w:p>
      <w:pPr>
        <w:pStyle w:val="style1"/>
        <w:keepLines/>
        <w:numPr>
          <w:ilvl w:val="0"/>
          <w:numId w:val="3"/>
        </w:numPr>
        <w:tabs>
          <w:tab w:leader="none" w:pos="2296" w:val="left"/>
          <w:tab w:leader="none" w:pos="6222" w:val="left"/>
        </w:tabs>
        <w:spacing w:after="120" w:before="240" w:line="360" w:lineRule="auto"/>
        <w:ind w:hanging="0" w:left="574" w:right="0"/>
        <w:contextualSpacing w:val="false"/>
      </w:pPr>
      <w:bookmarkStart w:id="0" w:name="_GoBack"/>
      <w:bookmarkEnd w:id="0"/>
      <w:r>
        <w:rPr>
          <w:rFonts w:ascii="Times New Roman" w:cs="Times New Roman" w:hAnsi="Times New Roman"/>
          <w:sz w:val="28"/>
        </w:rPr>
        <w:t>Identifikace zadavatele:</w:t>
      </w:r>
    </w:p>
    <w:p>
      <w:pPr>
        <w:sectPr>
          <w:type w:val="continuous"/>
          <w:pgSz w:h="15840" w:w="12240"/>
          <w:pgMar w:bottom="1134" w:footer="0" w:gutter="0" w:header="708" w:left="1701" w:right="1701" w:top="1134"/>
          <w:formProt w:val="false"/>
          <w:textDirection w:val="lrTb"/>
          <w:docGrid w:charSpace="0" w:linePitch="360" w:type="default"/>
        </w:sectPr>
      </w:pPr>
    </w:p>
    <w:p>
      <w:pPr>
        <w:pStyle w:val="style0"/>
        <w:keepNext/>
        <w:keepLines/>
        <w:spacing w:after="120" w:before="0" w:line="360" w:lineRule="auto"/>
        <w:ind w:hanging="4500" w:left="4500" w:right="0"/>
        <w:contextualSpacing w:val="false"/>
        <w:jc w:val="both"/>
      </w:pPr>
      <w:r>
        <w:rPr/>
        <w:t>Zadavatel:</w:t>
        <w:tab/>
        <w:t>Základní škola a Mateřská škola Zdiby, okres Praha -východ</w:t>
      </w:r>
    </w:p>
    <w:p>
      <w:pPr>
        <w:pStyle w:val="style0"/>
        <w:spacing w:after="120" w:before="0" w:line="360" w:lineRule="auto"/>
        <w:ind w:hanging="4500" w:left="4500" w:right="0"/>
        <w:contextualSpacing w:val="false"/>
        <w:jc w:val="both"/>
      </w:pPr>
      <w:r>
        <w:rPr/>
        <w:t>Sídlo:</w:t>
        <w:tab/>
        <w:t xml:space="preserve">U Školy 48, 250 66 Zdiby </w:t>
      </w:r>
    </w:p>
    <w:p>
      <w:pPr>
        <w:pStyle w:val="style0"/>
        <w:keepNext/>
        <w:keepLines/>
        <w:spacing w:after="120" w:before="0" w:line="360" w:lineRule="auto"/>
        <w:ind w:hanging="4500" w:left="4500" w:right="0"/>
        <w:contextualSpacing w:val="false"/>
        <w:jc w:val="both"/>
      </w:pPr>
      <w:r>
        <w:rPr/>
        <w:t>IČO:</w:t>
        <w:tab/>
        <w:t>71004408</w:t>
      </w:r>
    </w:p>
    <w:p>
      <w:pPr>
        <w:pStyle w:val="style0"/>
        <w:keepNext/>
        <w:keepLines/>
        <w:spacing w:after="120" w:before="0" w:line="360" w:lineRule="auto"/>
        <w:ind w:hanging="4500" w:left="4500" w:right="0"/>
        <w:contextualSpacing w:val="false"/>
      </w:pPr>
      <w:r>
        <w:rPr/>
        <w:t>Osoba oprávněná jednat za zadavatele:</w:t>
        <w:tab/>
        <w:t>Mgr. Ludmila Koktanová, ředitelka školy</w:t>
      </w:r>
    </w:p>
    <w:p>
      <w:pPr>
        <w:pStyle w:val="style0"/>
        <w:keepNext/>
        <w:keepLines/>
        <w:spacing w:after="120" w:before="0" w:line="360" w:lineRule="auto"/>
        <w:ind w:hanging="4500" w:left="4500" w:right="0"/>
        <w:contextualSpacing w:val="false"/>
      </w:pPr>
      <w:r>
        <w:rPr/>
        <w:t>Kontaktní osoba:</w:t>
        <w:tab/>
        <w:t>Mgr. Ludmila Koktanová</w:t>
      </w:r>
    </w:p>
    <w:p>
      <w:pPr>
        <w:pStyle w:val="style0"/>
        <w:keepNext/>
        <w:keepLines/>
        <w:spacing w:after="120" w:before="0" w:line="360" w:lineRule="auto"/>
        <w:ind w:hanging="4500" w:left="4500" w:right="0"/>
        <w:contextualSpacing w:val="false"/>
        <w:jc w:val="both"/>
      </w:pPr>
      <w:r>
        <w:rPr>
          <w:bCs/>
          <w:color w:val="000000"/>
        </w:rPr>
        <w:t>Telefon:</w:t>
        <w:tab/>
        <w:t>+42</w:t>
      </w:r>
      <w:r>
        <w:rPr>
          <w:bCs/>
          <w:color w:val="000000"/>
          <w:shd w:fill="auto" w:val="clear"/>
        </w:rPr>
        <w:t xml:space="preserve">0 702 </w:t>
      </w:r>
      <w:r>
        <w:rPr>
          <w:bCs/>
          <w:color w:val="000000"/>
          <w:shd w:fill="auto" w:val="clear"/>
        </w:rPr>
        <w:t>06</w:t>
      </w:r>
      <w:r>
        <w:rPr>
          <w:bCs/>
          <w:color w:val="000000"/>
          <w:shd w:fill="auto" w:val="clear"/>
        </w:rPr>
        <w:t>5 186</w:t>
      </w:r>
    </w:p>
    <w:p>
      <w:pPr>
        <w:pStyle w:val="style0"/>
      </w:pPr>
      <w:r>
        <w:rPr>
          <w:bCs/>
          <w:color w:val="000000"/>
        </w:rPr>
        <w:t>E-mail:</w:t>
        <w:tab/>
        <w:tab/>
        <w:tab/>
        <w:tab/>
        <w:tab/>
        <w:t xml:space="preserve">     lida.koktanova@skolazdiby.cz</w:t>
      </w:r>
    </w:p>
    <w:p>
      <w:pPr>
        <w:sectPr>
          <w:type w:val="continuous"/>
          <w:pgSz w:h="15840" w:w="12240"/>
          <w:pgMar w:bottom="1134" w:footer="0" w:gutter="0" w:header="708" w:left="1701" w:right="1701" w:top="1134"/>
          <w:formProt w:val="false"/>
          <w:textDirection w:val="lrTb"/>
          <w:docGrid w:charSpace="0" w:linePitch="360" w:type="default"/>
        </w:sectPr>
      </w:pPr>
    </w:p>
    <w:p>
      <w:pPr>
        <w:pStyle w:val="style0"/>
        <w:keepNext/>
        <w:keepLines/>
        <w:spacing w:after="120" w:before="0" w:line="360" w:lineRule="auto"/>
        <w:contextualSpacing w:val="false"/>
      </w:pPr>
      <w:r>
        <w:rPr/>
      </w:r>
    </w:p>
    <w:p>
      <w:pPr>
        <w:pStyle w:val="style1"/>
        <w:keepLines/>
        <w:numPr>
          <w:ilvl w:val="0"/>
          <w:numId w:val="6"/>
        </w:numPr>
        <w:tabs>
          <w:tab w:leader="none" w:pos="2296" w:val="left"/>
          <w:tab w:leader="none" w:pos="6222" w:val="left"/>
        </w:tabs>
        <w:spacing w:after="120" w:before="240" w:line="360" w:lineRule="auto"/>
        <w:contextualSpacing w:val="false"/>
      </w:pPr>
      <w:bookmarkStart w:id="1" w:name="_Toc345080936"/>
      <w:bookmarkEnd w:id="1"/>
      <w:r>
        <w:rPr>
          <w:rFonts w:ascii="Times New Roman" w:cs="Times New Roman" w:hAnsi="Times New Roman"/>
          <w:sz w:val="28"/>
          <w:szCs w:val="28"/>
        </w:rPr>
        <w:t>Vymezení předmětu veřejné zakázky</w:t>
      </w:r>
    </w:p>
    <w:p>
      <w:pPr>
        <w:pStyle w:val="style0"/>
        <w:keepNext/>
        <w:keepLines/>
        <w:spacing w:after="120" w:before="0" w:line="360" w:lineRule="auto"/>
        <w:contextualSpacing w:val="false"/>
        <w:jc w:val="both"/>
      </w:pPr>
      <w:r>
        <w:rPr/>
        <w:t xml:space="preserve">Předmětem veřejné  zakázky je kompletní dodávka tabletů a souvisejícího zařízení pro výuku v základní škole včetně zprovoznění systému. </w:t>
      </w:r>
    </w:p>
    <w:p>
      <w:pPr>
        <w:pStyle w:val="style0"/>
        <w:keepNext/>
        <w:keepLines/>
        <w:spacing w:after="120" w:before="0" w:line="360" w:lineRule="auto"/>
        <w:contextualSpacing w:val="false"/>
        <w:jc w:val="both"/>
      </w:pPr>
      <w:r>
        <w:rPr/>
      </w:r>
    </w:p>
    <w:p>
      <w:pPr>
        <w:pStyle w:val="style0"/>
        <w:spacing w:after="120" w:before="0" w:line="360" w:lineRule="auto"/>
        <w:contextualSpacing w:val="false"/>
        <w:jc w:val="both"/>
      </w:pPr>
      <w:r>
        <w:rPr>
          <w:b/>
          <w:bCs/>
          <w:u w:val="single"/>
        </w:rPr>
        <w:t>Podrobná specifikace předmětu veřejné zakázky:</w:t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b/>
          <w:shd w:fill="auto" w:val="clear"/>
          <w:lang w:eastAsia="cs-CZ"/>
        </w:rPr>
        <w:t xml:space="preserve">24 </w:t>
      </w:r>
      <w:r>
        <w:rPr>
          <w:b/>
          <w:lang w:eastAsia="cs-CZ"/>
        </w:rPr>
        <w:t>ks tabletů:</w:t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color w:val="222222"/>
          <w:lang w:eastAsia="cs-CZ"/>
        </w:rPr>
        <w:t>Displej  minimálně 9.7“, dotykový , </w:t>
      </w:r>
      <w:r>
        <w:rPr>
          <w:bCs/>
          <w:color w:val="222222"/>
          <w:lang w:eastAsia="cs-CZ"/>
        </w:rPr>
        <w:t>2048x1536 nebo více</w:t>
      </w:r>
      <w:r>
        <w:rPr>
          <w:color w:val="222222"/>
          <w:lang w:eastAsia="cs-CZ"/>
        </w:rPr>
        <w:t>, LED podsvícení, požadovaná hustota bodů minimálně 264 ppi</w:t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color w:val="222222"/>
          <w:lang w:eastAsia="cs-CZ"/>
        </w:rPr>
        <w:t>Paměť 40</w:t>
      </w:r>
      <w:r>
        <w:rPr>
          <w:bCs/>
          <w:color w:val="222222"/>
          <w:lang w:eastAsia="cs-CZ"/>
        </w:rPr>
        <w:t> </w:t>
      </w:r>
      <w:r>
        <w:rPr>
          <w:color w:val="222222"/>
          <w:lang w:eastAsia="cs-CZ"/>
        </w:rPr>
        <w:t xml:space="preserve">GB a více,  operační paměť 1GB a více, procesor 1,8 GHz a více </w:t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color w:val="222222"/>
          <w:shd w:fill="auto" w:val="clear"/>
          <w:lang w:eastAsia="cs-CZ"/>
        </w:rPr>
        <w:t>Webkamera,</w:t>
      </w:r>
      <w:r>
        <w:rPr>
          <w:color w:val="222222"/>
          <w:lang w:eastAsia="cs-CZ"/>
        </w:rPr>
        <w:t xml:space="preserve"> grafická karta, zvuková karta</w:t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color w:val="222222"/>
          <w:lang w:eastAsia="cs-CZ"/>
        </w:rPr>
        <w:t>Bluetooth v.4,  Wi-Fi </w:t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color w:val="222222"/>
          <w:lang w:eastAsia="cs-CZ"/>
        </w:rPr>
        <w:t>Baterie s výdrží minimálně 10 hodin.</w:t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color w:val="222222"/>
          <w:lang w:eastAsia="cs-CZ"/>
        </w:rPr>
        <w:t>Příslušenství: Ochranný kryt s funkcí stojánku</w:t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b/>
          <w:color w:val="222222"/>
          <w:lang w:eastAsia="cs-CZ"/>
        </w:rPr>
        <w:t>1 ks  mobilní a dobíjecí základna pro 24 tabletů, p</w:t>
      </w:r>
      <w:r>
        <w:rPr>
          <w:color w:val="222222"/>
          <w:lang w:eastAsia="cs-CZ"/>
        </w:rPr>
        <w:t>odpora synchronizace pomocí USB hubu a ochrana proti přehřátí.</w:t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b/>
          <w:lang w:eastAsia="cs-CZ"/>
        </w:rPr>
        <w:t>-   z</w:t>
      </w:r>
      <w:r>
        <w:rPr>
          <w:b/>
          <w:color w:val="222222"/>
          <w:lang w:eastAsia="cs-CZ"/>
        </w:rPr>
        <w:t>ařízení pro bezdrátové připojení tabletů k internetu a sdílení souborů</w:t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b/>
          <w:lang w:eastAsia="cs-CZ"/>
        </w:rPr>
        <w:t>-   z</w:t>
      </w:r>
      <w:r>
        <w:rPr>
          <w:b/>
          <w:color w:val="222222"/>
          <w:lang w:eastAsia="cs-CZ"/>
        </w:rPr>
        <w:t xml:space="preserve">ařízení k bezdrátovému připojení tabletů k projektoru (HDMI) a interaktivní tabuli Typu: </w:t>
      </w:r>
      <w:r>
        <w:rPr>
          <w:b/>
          <w:color w:val="222222"/>
          <w:lang w:eastAsia="cs-CZ"/>
        </w:rPr>
        <w:t xml:space="preserve">SMART Board </w:t>
      </w:r>
      <w:r>
        <w:rPr>
          <w:b/>
          <w:color w:val="222222"/>
          <w:lang w:eastAsia="cs-CZ"/>
        </w:rPr>
        <w:t xml:space="preserve">, model </w:t>
      </w:r>
      <w:r>
        <w:rPr>
          <w:b/>
          <w:color w:val="222222"/>
          <w:lang w:eastAsia="cs-CZ"/>
        </w:rPr>
        <w:t>680</w:t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b/>
          <w:color w:val="222222"/>
          <w:lang w:eastAsia="cs-CZ"/>
        </w:rPr>
        <w:t>1 ks řídící učitelské pracoviště</w:t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color w:val="222222"/>
          <w:lang w:eastAsia="cs-CZ"/>
        </w:rPr>
        <w:t xml:space="preserve">min. 15" LCD/LED displejem s rozlišením minimálně 1280 x 800. </w:t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color w:val="222222"/>
          <w:lang w:eastAsia="cs-CZ"/>
        </w:rPr>
        <w:t>Procesor min. 3 GHz, min. 4 GB operační paměti, min. 500 GB pevný disk, grafický karta, zvuková karta.</w:t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b/>
          <w:color w:val="222222"/>
          <w:shd w:fill="auto" w:val="clear"/>
          <w:lang w:eastAsia="cs-CZ"/>
        </w:rPr>
        <w:t xml:space="preserve"> </w:t>
      </w:r>
      <w:r>
        <w:rPr>
          <w:b/>
          <w:color w:val="222222"/>
          <w:shd w:fill="auto" w:val="clear"/>
          <w:lang w:eastAsia="cs-CZ"/>
        </w:rPr>
        <w:t xml:space="preserve">- </w:t>
      </w:r>
      <w:r>
        <w:rPr>
          <w:b/>
          <w:color w:val="222222"/>
          <w:shd w:fill="auto" w:val="clear"/>
          <w:lang w:eastAsia="cs-CZ"/>
        </w:rPr>
        <w:t xml:space="preserve">1 ks program pro virtualizaci Windows v případě, že bude součástí nabídky jiný OS. </w:t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0"/>
        <w:suppressAutoHyphens w:val="false"/>
        <w:spacing w:after="0" w:before="28"/>
        <w:contextualSpacing w:val="false"/>
      </w:pPr>
      <w:r>
        <w:rPr>
          <w:b/>
          <w:lang w:eastAsia="cs-CZ"/>
        </w:rPr>
        <w:t>-   dodávka včetně dopravy, kompletace, oživení a nastavení systému, proškolení 3 osob obsluhy, předání systému na základě předávacího protokolu do provozu</w:t>
      </w:r>
    </w:p>
    <w:p>
      <w:pPr>
        <w:pStyle w:val="style0"/>
        <w:suppressAutoHyphens w:val="false"/>
        <w:spacing w:after="0" w:before="28"/>
        <w:contextualSpacing w:val="false"/>
      </w:pPr>
      <w:r>
        <w:rPr/>
      </w:r>
    </w:p>
    <w:p>
      <w:pPr>
        <w:pStyle w:val="style1"/>
        <w:numPr>
          <w:ilvl w:val="0"/>
          <w:numId w:val="6"/>
        </w:numPr>
        <w:tabs>
          <w:tab w:leader="none" w:pos="2296" w:val="left"/>
          <w:tab w:leader="none" w:pos="6222" w:val="left"/>
        </w:tabs>
        <w:spacing w:after="120" w:before="240" w:line="360" w:lineRule="auto"/>
        <w:contextualSpacing w:val="false"/>
      </w:pPr>
      <w:bookmarkStart w:id="2" w:name="_Toc345080941"/>
      <w:bookmarkEnd w:id="2"/>
      <w:r>
        <w:rPr>
          <w:rFonts w:ascii="Times New Roman" w:cs="Times New Roman" w:hAnsi="Times New Roman"/>
          <w:sz w:val="28"/>
          <w:szCs w:val="28"/>
        </w:rPr>
        <w:t>Dodatečné informace k zadávacím podmínkám</w:t>
      </w:r>
    </w:p>
    <w:p>
      <w:pPr>
        <w:pStyle w:val="style1"/>
        <w:numPr>
          <w:ilvl w:val="0"/>
          <w:numId w:val="3"/>
        </w:numPr>
        <w:tabs>
          <w:tab w:leader="none" w:pos="574" w:val="left"/>
          <w:tab w:leader="none" w:pos="1148" w:val="left"/>
          <w:tab w:leader="none" w:pos="1722" w:val="left"/>
          <w:tab w:leader="none" w:pos="4500" w:val="left"/>
        </w:tabs>
        <w:spacing w:after="120" w:before="240" w:line="360" w:lineRule="auto"/>
        <w:ind w:hanging="0" w:left="0" w:right="0"/>
        <w:contextualSpacing w:val="false"/>
      </w:pPr>
      <w:r>
        <w:rPr>
          <w:rFonts w:ascii="Times New Roman" w:cs="Times New Roman" w:hAnsi="Times New Roman"/>
          <w:b w:val="false"/>
          <w:sz w:val="24"/>
          <w:szCs w:val="24"/>
        </w:rPr>
        <w:t>Dodavatelé jsou oprávněni požadovat písemně (mailem) po zadavateli dodatečné informace k zadávacím podmínkám. Zadavatel může poskytnout dodavatelům dodatečné informace k zadávacím podmínkám i bez jejich předchozí žádosti.</w:t>
      </w:r>
    </w:p>
    <w:p>
      <w:pPr>
        <w:pStyle w:val="style44"/>
        <w:spacing w:line="360" w:lineRule="auto"/>
        <w:jc w:val="both"/>
      </w:pPr>
      <w:r>
        <w:rPr>
          <w:sz w:val="24"/>
          <w:szCs w:val="24"/>
        </w:rPr>
        <w:t xml:space="preserve">Podal-li dodavatel žádost o dodatečné informace, odešle zadavatel elektronicky dodatečné informace k zadávacím podmínkám, včetně přesného znění žádosti, nejpozději do </w:t>
      </w:r>
    </w:p>
    <w:p>
      <w:pPr>
        <w:pStyle w:val="style44"/>
        <w:spacing w:line="360" w:lineRule="auto"/>
        <w:jc w:val="both"/>
      </w:pPr>
      <w:r>
        <w:rPr>
          <w:sz w:val="24"/>
          <w:szCs w:val="24"/>
        </w:rPr>
        <w:t>2 pracovních dnů ode dne obdržení žádosti dodavatele, a to všem osloveným dodavatelům.</w:t>
      </w:r>
    </w:p>
    <w:p>
      <w:pPr>
        <w:pStyle w:val="style44"/>
        <w:spacing w:line="360" w:lineRule="auto"/>
        <w:jc w:val="both"/>
      </w:pPr>
      <w:r>
        <w:rPr>
          <w:sz w:val="24"/>
          <w:szCs w:val="24"/>
        </w:rPr>
        <w:t>Žádost o dodatečné informace k zadávacím podmínkám musí být doručena zadavateli písemně nebo elektronicky, nejpozději 3 pracovní dny před koncem lhůty pro podání nabídek</w:t>
      </w:r>
    </w:p>
    <w:p>
      <w:pPr>
        <w:pStyle w:val="style1"/>
        <w:numPr>
          <w:ilvl w:val="0"/>
          <w:numId w:val="6"/>
        </w:numPr>
        <w:tabs>
          <w:tab w:leader="none" w:pos="2296" w:val="left"/>
          <w:tab w:leader="none" w:pos="6222" w:val="left"/>
        </w:tabs>
        <w:spacing w:after="120" w:before="240" w:line="360" w:lineRule="auto"/>
        <w:contextualSpacing w:val="false"/>
      </w:pPr>
      <w:bookmarkStart w:id="3" w:name="_Toc345080942"/>
      <w:bookmarkEnd w:id="3"/>
      <w:r>
        <w:rPr>
          <w:rFonts w:ascii="Times New Roman" w:cs="Times New Roman" w:hAnsi="Times New Roman"/>
          <w:sz w:val="28"/>
        </w:rPr>
        <w:t>Kvalifikační předpoklady</w:t>
      </w:r>
    </w:p>
    <w:p>
      <w:pPr>
        <w:pStyle w:val="style44"/>
        <w:spacing w:line="360" w:lineRule="auto"/>
        <w:jc w:val="both"/>
      </w:pPr>
      <w:r>
        <w:rPr/>
        <w:t>Kvalifikační předpoklady splní uchazeč, který:</w:t>
      </w:r>
    </w:p>
    <w:p>
      <w:pPr>
        <w:pStyle w:val="style44"/>
        <w:numPr>
          <w:ilvl w:val="0"/>
          <w:numId w:val="5"/>
        </w:numPr>
        <w:spacing w:line="360" w:lineRule="auto"/>
        <w:jc w:val="both"/>
      </w:pPr>
      <w:r>
        <w:rPr/>
        <w:t xml:space="preserve">splní základní kvalifikační předpoklady </w:t>
      </w:r>
    </w:p>
    <w:p>
      <w:pPr>
        <w:pStyle w:val="style44"/>
        <w:numPr>
          <w:ilvl w:val="0"/>
          <w:numId w:val="5"/>
        </w:numPr>
        <w:spacing w:line="360" w:lineRule="auto"/>
        <w:jc w:val="both"/>
      </w:pPr>
      <w:r>
        <w:rPr/>
        <w:t>splní profesní kvalifikační předpoklady,</w:t>
      </w:r>
    </w:p>
    <w:p>
      <w:pPr>
        <w:pStyle w:val="style44"/>
        <w:spacing w:line="360" w:lineRule="auto"/>
        <w:jc w:val="both"/>
      </w:pPr>
      <w:r>
        <w:rPr>
          <w:b/>
        </w:rPr>
        <w:t>Veškeré doklady požadované k prokázání splnění kvalifikace mohou uchazeči předložit v originálu, úředně ověřené kopii nebo prosté kopii.</w:t>
      </w:r>
      <w:r>
        <w:rPr/>
        <w:t xml:space="preserve">  </w:t>
      </w:r>
    </w:p>
    <w:p>
      <w:pPr>
        <w:pStyle w:val="style44"/>
        <w:spacing w:line="360" w:lineRule="auto"/>
        <w:jc w:val="both"/>
      </w:pPr>
      <w:r>
        <w:rPr/>
      </w:r>
    </w:p>
    <w:p>
      <w:pPr>
        <w:pStyle w:val="style44"/>
        <w:spacing w:line="360" w:lineRule="auto"/>
        <w:jc w:val="both"/>
      </w:pPr>
      <w:r>
        <w:rPr/>
      </w:r>
    </w:p>
    <w:p>
      <w:pPr>
        <w:pStyle w:val="style44"/>
        <w:spacing w:line="360" w:lineRule="auto"/>
        <w:jc w:val="both"/>
      </w:pPr>
      <w:r>
        <w:rPr/>
        <w:t xml:space="preserve">Dodavatel předloží zadavateli veškeré doklady, kterými prokazuje splnění kvalifikace ve lhůtě stanovené zadavatelem pro podání nabídky. </w:t>
      </w:r>
    </w:p>
    <w:p>
      <w:pPr>
        <w:pStyle w:val="style2"/>
        <w:numPr>
          <w:ilvl w:val="1"/>
          <w:numId w:val="6"/>
        </w:numPr>
        <w:spacing w:after="120" w:before="0" w:line="360" w:lineRule="auto"/>
        <w:contextualSpacing w:val="false"/>
        <w:jc w:val="both"/>
      </w:pPr>
      <w:bookmarkStart w:id="4" w:name="_Toc345080943"/>
      <w:bookmarkEnd w:id="4"/>
      <w:r>
        <w:rPr>
          <w:rFonts w:ascii="Times New Roman" w:cs="Times New Roman" w:hAnsi="Times New Roman"/>
          <w:i w:val="false"/>
          <w:sz w:val="24"/>
          <w:szCs w:val="24"/>
        </w:rPr>
        <w:t>Základní kvalifikační předpoklady</w:t>
      </w:r>
    </w:p>
    <w:p>
      <w:pPr>
        <w:pStyle w:val="style0"/>
        <w:spacing w:after="240" w:before="0" w:line="360" w:lineRule="auto"/>
        <w:contextualSpacing w:val="false"/>
        <w:jc w:val="both"/>
      </w:pPr>
      <w:r>
        <w:rPr/>
        <w:t xml:space="preserve">Dodavatel musí prokázat splnění základních kvalifikačních předpokladů v rozsahu dle § 53 ZVZ předložením </w:t>
      </w:r>
      <w:r>
        <w:rPr>
          <w:b/>
        </w:rPr>
        <w:t>čestného prohlášení, které je přílohou č. 3  Výzvy k podání nabídek.</w:t>
      </w:r>
    </w:p>
    <w:p>
      <w:pPr>
        <w:pStyle w:val="style2"/>
        <w:numPr>
          <w:ilvl w:val="1"/>
          <w:numId w:val="6"/>
        </w:numPr>
        <w:spacing w:after="120" w:before="0" w:line="360" w:lineRule="auto"/>
        <w:contextualSpacing w:val="false"/>
        <w:jc w:val="both"/>
      </w:pPr>
      <w:bookmarkStart w:id="5" w:name="_Toc345080944"/>
      <w:bookmarkEnd w:id="5"/>
      <w:r>
        <w:rPr>
          <w:rFonts w:ascii="Times New Roman" w:cs="Times New Roman" w:hAnsi="Times New Roman"/>
          <w:i w:val="false"/>
          <w:sz w:val="24"/>
          <w:szCs w:val="24"/>
        </w:rPr>
        <w:t>Profesní kvalifikační předpoklady</w:t>
      </w:r>
    </w:p>
    <w:p>
      <w:pPr>
        <w:pStyle w:val="style0"/>
        <w:spacing w:after="120" w:before="0" w:line="360" w:lineRule="auto"/>
        <w:contextualSpacing w:val="false"/>
        <w:jc w:val="both"/>
      </w:pPr>
      <w:r>
        <w:rPr>
          <w:bCs/>
        </w:rPr>
        <w:t>Zadavatel požaduje, aby dodavatel prokázal splnění profesních kvalifikačních předpokladů předložením:</w:t>
      </w:r>
    </w:p>
    <w:p>
      <w:pPr>
        <w:pStyle w:val="style55"/>
        <w:numPr>
          <w:ilvl w:val="0"/>
          <w:numId w:val="4"/>
        </w:numPr>
        <w:spacing w:after="120" w:before="0" w:line="360" w:lineRule="auto"/>
        <w:ind w:hanging="360" w:left="360" w:right="0"/>
        <w:contextualSpacing w:val="false"/>
        <w:jc w:val="both"/>
      </w:pPr>
      <w:r>
        <w:rPr>
          <w:b/>
          <w:bCs/>
        </w:rPr>
        <w:t>výpisu z obchodního rejstříku</w:t>
      </w:r>
      <w:r>
        <w:rPr>
          <w:bCs/>
        </w:rPr>
        <w:t xml:space="preserve"> či jiné obdobné evidence, je-li v ní uchazeč zapsán. Výpis z obchodního rejstříku nesmí být starší než 90 dnů ke dni podání nabídky.</w:t>
      </w:r>
    </w:p>
    <w:p>
      <w:pPr>
        <w:pStyle w:val="style55"/>
        <w:numPr>
          <w:ilvl w:val="0"/>
          <w:numId w:val="4"/>
        </w:numPr>
        <w:spacing w:after="120" w:before="0" w:line="360" w:lineRule="auto"/>
        <w:ind w:hanging="360" w:left="360" w:right="0"/>
        <w:contextualSpacing w:val="false"/>
        <w:jc w:val="both"/>
      </w:pPr>
      <w:r>
        <w:rPr>
          <w:b/>
          <w:bCs/>
        </w:rPr>
        <w:t>dokladu o oprávnění k podnikání</w:t>
      </w:r>
      <w:r>
        <w:rPr>
          <w:bCs/>
        </w:rPr>
        <w:t xml:space="preserve"> podle zvláštních právních předpisů v rozsahu odpovídajícím předmětu veřejné zakázky, zejména dokladu prokazujícího příslušné živnostenské oprávnění či licenci (živnostenský list nebo výpis z živnostenského rejstříku).</w:t>
      </w:r>
    </w:p>
    <w:p>
      <w:pPr>
        <w:pStyle w:val="style2"/>
        <w:numPr>
          <w:ilvl w:val="1"/>
          <w:numId w:val="6"/>
        </w:numPr>
        <w:spacing w:after="120" w:before="0" w:line="360" w:lineRule="auto"/>
        <w:contextualSpacing w:val="false"/>
        <w:jc w:val="both"/>
      </w:pPr>
      <w:bookmarkStart w:id="6" w:name="_Toc345080946"/>
      <w:bookmarkEnd w:id="6"/>
      <w:r>
        <w:rPr>
          <w:rFonts w:ascii="Times New Roman" w:cs="Times New Roman" w:hAnsi="Times New Roman"/>
          <w:i w:val="false"/>
          <w:sz w:val="24"/>
          <w:szCs w:val="24"/>
        </w:rPr>
        <w:t>Důsledek nesplnění kvalifikace</w:t>
      </w:r>
    </w:p>
    <w:p>
      <w:pPr>
        <w:pStyle w:val="style0"/>
        <w:tabs>
          <w:tab w:leader="none" w:pos="900" w:val="left"/>
        </w:tabs>
        <w:spacing w:after="120" w:before="0" w:line="360" w:lineRule="auto"/>
        <w:contextualSpacing w:val="false"/>
        <w:jc w:val="both"/>
      </w:pPr>
      <w:r>
        <w:rPr>
          <w:rFonts w:eastAsia="MS Mincho"/>
        </w:rPr>
        <w:t xml:space="preserve">Neprokáže-li uchazeč splnění kvalifikace v požadovaném rozsahu, bude zadavatelem z účasti v zadávacím řízení vyloučen. </w:t>
      </w:r>
    </w:p>
    <w:p>
      <w:pPr>
        <w:pStyle w:val="style1"/>
        <w:numPr>
          <w:ilvl w:val="0"/>
          <w:numId w:val="6"/>
        </w:numPr>
        <w:tabs>
          <w:tab w:leader="none" w:pos="2293" w:val="left"/>
          <w:tab w:leader="none" w:pos="2294" w:val="left"/>
          <w:tab w:leader="none" w:pos="2295" w:val="left"/>
          <w:tab w:leader="none" w:pos="6219" w:val="left"/>
        </w:tabs>
        <w:spacing w:after="120" w:before="240" w:line="360" w:lineRule="auto"/>
        <w:ind w:hanging="431" w:left="573" w:right="0"/>
        <w:contextualSpacing w:val="false"/>
      </w:pPr>
      <w:bookmarkStart w:id="7" w:name="_Toc345080947"/>
      <w:bookmarkEnd w:id="7"/>
      <w:r>
        <w:rPr>
          <w:rFonts w:ascii="Times New Roman" w:cs="Times New Roman" w:hAnsi="Times New Roman"/>
          <w:sz w:val="28"/>
        </w:rPr>
        <w:t>Další požadavky zadavatele</w:t>
      </w:r>
    </w:p>
    <w:p>
      <w:pPr>
        <w:pStyle w:val="style55"/>
        <w:spacing w:after="120" w:before="0" w:line="360" w:lineRule="auto"/>
        <w:ind w:hanging="0" w:left="0" w:right="0"/>
        <w:contextualSpacing w:val="false"/>
        <w:jc w:val="both"/>
      </w:pPr>
      <w:r>
        <w:rPr>
          <w:color w:val="000000"/>
        </w:rPr>
        <w:t xml:space="preserve">Zadavatel požaduje předložit </w:t>
      </w:r>
      <w:r>
        <w:rPr>
          <w:b/>
          <w:color w:val="000000"/>
        </w:rPr>
        <w:t>čestné prohlášení uchazeče</w:t>
      </w:r>
      <w:r>
        <w:rPr>
          <w:color w:val="000000"/>
        </w:rPr>
        <w:t xml:space="preserve">, že jako subjekt předkládající nabídku se nepodílel na přípravě nebo zadání předmětného výběrového řízení a </w:t>
      </w:r>
      <w:bookmarkStart w:id="8" w:name="__DdeLink__3081_758238018"/>
      <w:bookmarkEnd w:id="8"/>
      <w:r>
        <w:rPr>
          <w:color w:val="000000"/>
        </w:rPr>
        <w:t>že mu nebyl uložen zákaz plnění veřejných zakázek ve smyslu § 120a odst. 2) ZVZ a není veden v rejstříku osob se zákazem plnění veřejných zakázek.</w:t>
      </w:r>
    </w:p>
    <w:p>
      <w:pPr>
        <w:pStyle w:val="style55"/>
        <w:spacing w:after="120" w:before="0" w:line="360" w:lineRule="auto"/>
        <w:ind w:hanging="0" w:left="0" w:right="0"/>
        <w:contextualSpacing w:val="false"/>
        <w:jc w:val="both"/>
      </w:pPr>
      <w:r>
        <w:rPr/>
      </w:r>
    </w:p>
    <w:p>
      <w:pPr>
        <w:pStyle w:val="style55"/>
        <w:spacing w:after="120" w:before="0" w:line="360" w:lineRule="auto"/>
        <w:ind w:hanging="0" w:left="0" w:right="0"/>
        <w:contextualSpacing w:val="false"/>
        <w:jc w:val="both"/>
      </w:pPr>
      <w:r>
        <w:rPr/>
      </w:r>
    </w:p>
    <w:p>
      <w:pPr>
        <w:pStyle w:val="style55"/>
        <w:spacing w:after="120" w:before="0" w:line="360" w:lineRule="auto"/>
        <w:ind w:hanging="0" w:left="0" w:right="0"/>
        <w:contextualSpacing w:val="false"/>
        <w:jc w:val="both"/>
      </w:pPr>
      <w:r>
        <w:rPr/>
      </w:r>
    </w:p>
    <w:p>
      <w:pPr>
        <w:pStyle w:val="style55"/>
        <w:spacing w:after="120" w:before="0" w:line="360" w:lineRule="auto"/>
        <w:ind w:hanging="0" w:left="0" w:right="0"/>
        <w:contextualSpacing w:val="false"/>
        <w:jc w:val="both"/>
      </w:pPr>
      <w:r>
        <w:rPr/>
      </w:r>
    </w:p>
    <w:p>
      <w:pPr>
        <w:pStyle w:val="style2"/>
        <w:numPr>
          <w:ilvl w:val="1"/>
          <w:numId w:val="2"/>
        </w:numPr>
        <w:spacing w:after="120" w:before="0" w:line="360" w:lineRule="auto"/>
        <w:contextualSpacing w:val="false"/>
        <w:jc w:val="both"/>
      </w:pPr>
      <w:bookmarkStart w:id="9" w:name="_Toc345080954"/>
      <w:bookmarkEnd w:id="9"/>
      <w:r>
        <w:rPr>
          <w:rFonts w:ascii="Tahoma" w:cs="Tahoma" w:hAnsi="Tahoma"/>
          <w:i w:val="false"/>
          <w:sz w:val="24"/>
          <w:szCs w:val="24"/>
        </w:rPr>
        <w:t>Způsob zpracování nabídkové ceny</w:t>
      </w:r>
    </w:p>
    <w:p>
      <w:pPr>
        <w:pStyle w:val="style0"/>
        <w:spacing w:after="120" w:before="0" w:line="360" w:lineRule="auto"/>
        <w:contextualSpacing w:val="false"/>
        <w:jc w:val="both"/>
      </w:pPr>
      <w:r>
        <w:rPr>
          <w:color w:val="000000"/>
        </w:rPr>
        <w:t xml:space="preserve">Uchazeč stanoví nabídkovou cenu jako celkovou cenu za celé plnění veřejné zakázky včetně všech souvisejících činností. V této ceně musí být zahrnuty veškeré náklady nezbytné k plnění veřejné zakázky a tato cena bude stanovena jako „cena nejvýše přípustná“. </w:t>
      </w:r>
    </w:p>
    <w:p>
      <w:pPr>
        <w:pStyle w:val="style0"/>
        <w:spacing w:after="120" w:before="0" w:line="360" w:lineRule="auto"/>
        <w:contextualSpacing w:val="false"/>
        <w:jc w:val="both"/>
      </w:pPr>
      <w:r>
        <w:rPr/>
      </w:r>
    </w:p>
    <w:p>
      <w:pPr>
        <w:pStyle w:val="style0"/>
        <w:spacing w:after="120" w:before="0" w:line="360" w:lineRule="auto"/>
        <w:contextualSpacing w:val="false"/>
        <w:jc w:val="both"/>
      </w:pPr>
      <w:r>
        <w:rPr>
          <w:color w:val="000000"/>
        </w:rPr>
        <w:t>Uchazeč předloží v nabídce položkový rozpis dodací ceny dle jednotlivých položek, uvedených v předmětu plnění. U každé položky uchazeč uvede cenu v Kč bez DPH, vyčíslí DPH a dále uvede celkovou cenu vč. DPH. Nabízené zboží musí být neinvestičního charakteru.</w:t>
      </w:r>
    </w:p>
    <w:p>
      <w:pPr>
        <w:pStyle w:val="style0"/>
        <w:spacing w:after="120" w:before="0" w:line="360" w:lineRule="auto"/>
        <w:contextualSpacing w:val="false"/>
        <w:jc w:val="both"/>
      </w:pPr>
      <w:r>
        <w:rPr/>
      </w:r>
    </w:p>
    <w:p>
      <w:pPr>
        <w:pStyle w:val="style0"/>
        <w:spacing w:after="120" w:before="0" w:line="360" w:lineRule="auto"/>
        <w:contextualSpacing w:val="false"/>
        <w:jc w:val="both"/>
      </w:pPr>
      <w:r>
        <w:rPr>
          <w:color w:val="000000"/>
        </w:rPr>
        <w:t>Uchazeč odpovídá za úplnost specifikace veškerých činností souvisejících s plněním předmětu veřejné zakázky při zpracování nabídkové ceny.</w:t>
      </w:r>
    </w:p>
    <w:p>
      <w:pPr>
        <w:pStyle w:val="style0"/>
        <w:spacing w:after="120" w:before="0" w:line="360" w:lineRule="auto"/>
        <w:contextualSpacing w:val="false"/>
        <w:jc w:val="both"/>
      </w:pPr>
      <w:r>
        <w:rPr/>
      </w:r>
    </w:p>
    <w:p>
      <w:pPr>
        <w:pStyle w:val="style0"/>
        <w:spacing w:after="120" w:before="0" w:line="360" w:lineRule="auto"/>
        <w:contextualSpacing w:val="false"/>
        <w:jc w:val="both"/>
      </w:pPr>
      <w:r>
        <w:rPr>
          <w:color w:val="000000"/>
        </w:rPr>
        <w:t xml:space="preserve">Celková nabídková cena bude uvedena v Kč a to v členění - nabídková cena bez daně z přidané hodnoty (DPH), samostatně DPH s příslušnou sazbou a nabídková cena včetně DPH. </w:t>
      </w:r>
      <w:r>
        <w:rPr>
          <w:b/>
          <w:bCs/>
          <w:color w:val="000000"/>
        </w:rPr>
        <w:t>Nabídková cena v tomto členění bude uvedena také na krycím listu nabídky.</w:t>
      </w:r>
    </w:p>
    <w:p>
      <w:pPr>
        <w:pStyle w:val="style0"/>
        <w:spacing w:after="120" w:before="0" w:line="360" w:lineRule="auto"/>
        <w:contextualSpacing w:val="false"/>
        <w:jc w:val="both"/>
      </w:pPr>
      <w:r>
        <w:rPr>
          <w:rFonts w:ascii="Tahoma" w:cs="Tahoma" w:hAnsi="Tahoma"/>
          <w:b/>
          <w:bCs/>
          <w:sz w:val="20"/>
          <w:szCs w:val="20"/>
        </w:rPr>
        <w:t xml:space="preserve"> </w:t>
      </w:r>
    </w:p>
    <w:p>
      <w:pPr>
        <w:pStyle w:val="style1"/>
        <w:numPr>
          <w:ilvl w:val="0"/>
          <w:numId w:val="6"/>
        </w:numPr>
        <w:tabs>
          <w:tab w:leader="none" w:pos="2293" w:val="left"/>
          <w:tab w:leader="none" w:pos="2294" w:val="left"/>
          <w:tab w:leader="none" w:pos="2295" w:val="left"/>
          <w:tab w:leader="none" w:pos="6219" w:val="left"/>
        </w:tabs>
        <w:spacing w:after="120" w:before="240" w:line="360" w:lineRule="auto"/>
        <w:ind w:hanging="431" w:left="573" w:right="0"/>
        <w:contextualSpacing w:val="false"/>
      </w:pPr>
      <w:bookmarkStart w:id="10" w:name="_Toc345080960"/>
      <w:bookmarkEnd w:id="10"/>
      <w:r>
        <w:rPr>
          <w:rFonts w:ascii="Tahoma" w:cs="Tahoma" w:hAnsi="Tahoma"/>
          <w:sz w:val="28"/>
        </w:rPr>
        <w:t>Zadávací lhůta</w:t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/>
        <w:t xml:space="preserve">Zadavatel stanovuje konec zadávací lhůty dnem 31.07.2013. Všichni uchazeči jsou do okamžiku uplynutí této lhůty svými nabídkami vázáni. </w:t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/>
      </w:r>
    </w:p>
    <w:p>
      <w:pPr>
        <w:pStyle w:val="style1"/>
        <w:numPr>
          <w:ilvl w:val="0"/>
          <w:numId w:val="6"/>
        </w:numPr>
        <w:tabs>
          <w:tab w:leader="none" w:pos="2293" w:val="left"/>
          <w:tab w:leader="none" w:pos="2294" w:val="left"/>
          <w:tab w:leader="none" w:pos="2295" w:val="left"/>
          <w:tab w:leader="none" w:pos="6219" w:val="left"/>
        </w:tabs>
        <w:spacing w:after="120" w:before="240" w:line="360" w:lineRule="auto"/>
        <w:ind w:hanging="431" w:left="573" w:right="0"/>
        <w:contextualSpacing w:val="false"/>
      </w:pPr>
      <w:bookmarkStart w:id="11" w:name="_Toc345080962"/>
      <w:bookmarkEnd w:id="11"/>
      <w:r>
        <w:rPr>
          <w:rFonts w:ascii="Tahoma" w:cs="Tahoma" w:hAnsi="Tahoma"/>
          <w:sz w:val="28"/>
        </w:rPr>
        <w:t>Práva zadavatele</w:t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>
          <w:color w:val="000000"/>
        </w:rPr>
        <w:t>Zadavatel si vyhrazuje právo ponechat si všechny obdržené nabídky.</w:t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/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/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/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/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>
          <w:color w:val="000000"/>
        </w:rPr>
        <w:t>Zadavatel nebude uchazečům hradit žádné náklady spojené s účastí v zadávacím řízení. Tyto náklady nesou uchazeči sami.</w:t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/>
      </w:r>
    </w:p>
    <w:p>
      <w:pPr>
        <w:pStyle w:val="style0"/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 w:line="360" w:lineRule="auto"/>
        <w:contextualSpacing w:val="false"/>
        <w:jc w:val="both"/>
      </w:pPr>
      <w:r>
        <w:rPr/>
        <w:t>Zadavatel si vyhrazuje právo výběrové řízení kdykoli v jeho průběhu zrušit, nejpozději však do uzavření smlouvy.</w:t>
      </w:r>
    </w:p>
    <w:p>
      <w:pPr>
        <w:pStyle w:val="style0"/>
        <w:tabs>
          <w:tab w:leader="dot" w:pos="3969" w:val="right"/>
          <w:tab w:leader="dot" w:pos="5670" w:val="right"/>
        </w:tabs>
        <w:suppressAutoHyphens w:val="false"/>
        <w:spacing w:after="120" w:before="0" w:line="360" w:lineRule="auto"/>
        <w:contextualSpacing w:val="false"/>
      </w:pPr>
      <w:r>
        <w:rPr/>
      </w:r>
    </w:p>
    <w:p>
      <w:pPr>
        <w:pStyle w:val="style0"/>
        <w:tabs>
          <w:tab w:leader="dot" w:pos="3969" w:val="right"/>
          <w:tab w:leader="dot" w:pos="5670" w:val="right"/>
        </w:tabs>
        <w:suppressAutoHyphens w:val="false"/>
        <w:spacing w:after="120" w:before="0" w:line="360" w:lineRule="auto"/>
        <w:contextualSpacing w:val="false"/>
      </w:pPr>
      <w:r>
        <w:rPr>
          <w:lang w:eastAsia="en-US"/>
        </w:rPr>
        <w:t>Ve Zdibech dne 27.05.2013</w:t>
      </w:r>
    </w:p>
    <w:p>
      <w:pPr>
        <w:pStyle w:val="style0"/>
        <w:tabs>
          <w:tab w:leader="dot" w:pos="3969" w:val="right"/>
          <w:tab w:leader="dot" w:pos="5670" w:val="right"/>
        </w:tabs>
        <w:suppressAutoHyphens w:val="false"/>
        <w:spacing w:after="120" w:before="0" w:line="360" w:lineRule="auto"/>
        <w:contextualSpacing w:val="false"/>
      </w:pPr>
      <w:r>
        <w:rPr/>
      </w:r>
    </w:p>
    <w:p>
      <w:pPr>
        <w:pStyle w:val="style0"/>
        <w:tabs>
          <w:tab w:leader="dot" w:pos="3969" w:val="right"/>
          <w:tab w:leader="dot" w:pos="5670" w:val="right"/>
        </w:tabs>
        <w:suppressAutoHyphens w:val="false"/>
        <w:spacing w:after="120" w:before="0" w:line="360" w:lineRule="auto"/>
        <w:contextualSpacing w:val="false"/>
      </w:pPr>
      <w:r>
        <w:rPr/>
      </w:r>
    </w:p>
    <w:p>
      <w:pPr>
        <w:pStyle w:val="style0"/>
        <w:tabs>
          <w:tab w:leader="none" w:pos="3969" w:val="left"/>
          <w:tab w:leader="dot" w:pos="8505" w:val="right"/>
        </w:tabs>
        <w:suppressAutoHyphens w:val="false"/>
        <w:spacing w:after="120" w:before="0" w:line="360" w:lineRule="auto"/>
        <w:contextualSpacing w:val="false"/>
      </w:pPr>
      <w:r>
        <w:rPr>
          <w:rFonts w:ascii="Tahoma" w:cs="Tahoma" w:hAnsi="Tahoma"/>
          <w:sz w:val="20"/>
          <w:szCs w:val="20"/>
          <w:lang w:eastAsia="en-US"/>
        </w:rPr>
        <w:tab/>
        <w:tab/>
      </w:r>
    </w:p>
    <w:p>
      <w:pPr>
        <w:pStyle w:val="style0"/>
        <w:tabs>
          <w:tab w:leader="none" w:pos="6237" w:val="center"/>
          <w:tab w:leader="none" w:pos="7215" w:val="left"/>
        </w:tabs>
        <w:suppressAutoHyphens w:val="false"/>
        <w:spacing w:after="120" w:before="0" w:line="360" w:lineRule="auto"/>
        <w:contextualSpacing w:val="false"/>
      </w:pPr>
      <w:r>
        <w:rPr>
          <w:rFonts w:ascii="Tahoma" w:cs="Tahoma" w:hAnsi="Tahoma"/>
          <w:sz w:val="20"/>
          <w:szCs w:val="20"/>
          <w:lang w:eastAsia="en-US"/>
        </w:rPr>
        <w:tab/>
      </w:r>
      <w:r>
        <w:rPr>
          <w:lang w:eastAsia="en-US"/>
        </w:rPr>
        <w:t>Mgr. Ludmila Koktanová, ředitelka školy</w:t>
      </w:r>
    </w:p>
    <w:p>
      <w:pPr>
        <w:sectPr>
          <w:type w:val="continuous"/>
          <w:pgSz w:h="15840" w:w="12240"/>
          <w:pgMar w:bottom="1134" w:footer="0" w:gutter="0" w:header="708" w:left="1701" w:right="1701" w:top="1134"/>
          <w:formProt w:val="false"/>
          <w:textDirection w:val="lrTb"/>
          <w:docGrid w:charSpace="0" w:linePitch="360" w:type="default"/>
        </w:sectPr>
      </w:pPr>
    </w:p>
    <w:sectPr>
      <w:type w:val="continuous"/>
      <w:pgSz w:h="15840" w:w="12240"/>
      <w:pgMar w:bottom="1134" w:footer="0" w:gutter="0" w:header="708" w:left="1701" w:right="1701" w:top="1134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50"/>
    </w:pPr>
    <w:r>
      <w:rPr/>
    </w:r>
  </w:p>
  <w:p>
    <w:pPr>
      <w:pStyle w:val="style50"/>
    </w:pPr>
    <w:r>
      <w:rPr/>
    </w:r>
  </w:p>
  <w:p>
    <w:pPr>
      <w:pStyle w:val="style59"/>
      <w:spacing w:after="120" w:before="0"/>
      <w:contextualSpacing w:val="false"/>
      <w:jc w:val="center"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style50"/>
    </w:pPr>
    <w:r>
      <w:rPr/>
    </w:r>
  </w:p>
  <w:p>
    <w:pPr>
      <w:pStyle w:val="style50"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9"/>
    </w:pPr>
    <w:r>
      <w:rPr/>
    </w:r>
  </w:p>
  <w:p>
    <w:pPr>
      <w:pStyle w:val="style49"/>
    </w:pPr>
    <w:r>
      <w:rPr/>
      <w:drawing>
        <wp:anchor allowOverlap="1" behindDoc="0" distB="0" distL="0" distR="0" distT="0" layoutInCell="1" locked="0" relativeHeight="6" simplePos="0">
          <wp:simplePos x="0" y="0"/>
          <wp:positionH relativeFrom="character">
            <wp:posOffset>0</wp:posOffset>
          </wp:positionH>
          <wp:positionV relativeFrom="line">
            <wp:posOffset>0</wp:posOffset>
          </wp:positionV>
          <wp:extent cx="6142990" cy="1499235"/>
          <wp:effectExtent b="0" l="0" r="0" t="0"/>
          <wp:wrapSquare wrapText="largest"/>
          <wp:docPr descr="" id="0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" id="0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2990" cy="1499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ind w:hanging="576" w:left="576"/>
      </w:pPr>
    </w:lvl>
    <w:lvl w:ilvl="2">
      <w:start w:val="1"/>
      <w:numFmt w:val="decimal"/>
      <w:lvlText w:val="%1.%3"/>
      <w:lvlJc w:val="left"/>
      <w:pPr>
        <w:tabs>
          <w:tab w:pos="720" w:val="num"/>
        </w:tabs>
        <w:ind w:hanging="720" w:left="720"/>
      </w:pPr>
    </w:lvl>
    <w:lvl w:ilvl="3">
      <w:start w:val="1"/>
      <w:numFmt w:val="decimal"/>
      <w:lvlText w:val="%1.%3.%4"/>
      <w:lvlJc w:val="left"/>
      <w:pPr>
        <w:tabs>
          <w:tab w:pos="864" w:val="num"/>
        </w:tabs>
        <w:ind w:hanging="864" w:left="864"/>
      </w:pPr>
    </w:lvl>
    <w:lvl w:ilvl="4">
      <w:start w:val="1"/>
      <w:numFmt w:val="decimal"/>
      <w:lvlText w:val="%1.%3.%4.%5"/>
      <w:lvlJc w:val="left"/>
      <w:pPr>
        <w:tabs>
          <w:tab w:pos="1008" w:val="num"/>
        </w:tabs>
        <w:ind w:hanging="1008" w:left="1008"/>
      </w:pPr>
    </w:lvl>
    <w:lvl w:ilvl="5">
      <w:start w:val="1"/>
      <w:numFmt w:val="decimal"/>
      <w:lvlText w:val="%1.%3.%4.%5.%6"/>
      <w:lvlJc w:val="left"/>
      <w:pPr>
        <w:tabs>
          <w:tab w:pos="1152" w:val="num"/>
        </w:tabs>
        <w:ind w:hanging="1152" w:left="1152"/>
      </w:pPr>
    </w:lvl>
    <w:lvl w:ilvl="6">
      <w:start w:val="1"/>
      <w:numFmt w:val="decimal"/>
      <w:lvlText w:val="%1.%3.%4.%5.%6.%7"/>
      <w:lvlJc w:val="left"/>
      <w:pPr>
        <w:tabs>
          <w:tab w:pos="1296" w:val="num"/>
        </w:tabs>
        <w:ind w:hanging="1296" w:left="1296"/>
      </w:pPr>
    </w:lvl>
    <w:lvl w:ilvl="7">
      <w:start w:val="1"/>
      <w:numFmt w:val="decimal"/>
      <w:lvlText w:val="%1.%3.%4.%5.%6.%7.%8"/>
      <w:lvlJc w:val="left"/>
      <w:pPr>
        <w:tabs>
          <w:tab w:pos="1440" w:val="num"/>
        </w:tabs>
        <w:ind w:hanging="1440" w:left="1440"/>
      </w:pPr>
    </w:lvl>
    <w:lvl w:ilvl="8">
      <w:start w:val="1"/>
      <w:numFmt w:val="decimal"/>
      <w:lvlText w:val="%1.%3.%4.%5.%6.%7.%8.%9"/>
      <w:lvlJc w:val="left"/>
      <w:pPr>
        <w:tabs>
          <w:tab w:pos="1584" w:val="num"/>
        </w:tabs>
        <w:ind w:hanging="1584" w:left="1584"/>
      </w:pPr>
    </w:lvl>
  </w:abstractNum>
  <w:abstractNum w:abstractNumId="3">
    <w:lvl w:ilvl="0">
      <w:start w:val="1"/>
      <w:numFmt w:val="decimal"/>
      <w:lvlText w:val="%1"/>
      <w:lvlJc w:val="left"/>
      <w:pPr>
        <w:tabs>
          <w:tab w:pos="432" w:val="num"/>
        </w:tabs>
        <w:ind w:hanging="432" w:left="432"/>
      </w:pPr>
    </w:lvl>
    <w:lvl w:ilvl="1">
      <w:start w:val="1"/>
      <w:numFmt w:val="decimal"/>
      <w:lvlText w:val="%1.%2"/>
      <w:lvlJc w:val="left"/>
      <w:pPr>
        <w:tabs>
          <w:tab w:pos="576" w:val="num"/>
        </w:tabs>
        <w:ind w:hanging="576" w:left="576"/>
      </w:pPr>
    </w:lvl>
    <w:lvl w:ilvl="2">
      <w:start w:val="1"/>
      <w:numFmt w:val="decimal"/>
      <w:lvlText w:val="%1.%2.%3"/>
      <w:lvlJc w:val="left"/>
      <w:pPr>
        <w:tabs>
          <w:tab w:pos="720" w:val="num"/>
        </w:tabs>
        <w:ind w:hanging="720" w:left="720"/>
      </w:pPr>
    </w:lvl>
    <w:lvl w:ilvl="3">
      <w:start w:val="1"/>
      <w:numFmt w:val="decimal"/>
      <w:lvlText w:val="%1.%2.%3.%4"/>
      <w:lvlJc w:val="left"/>
      <w:pPr>
        <w:tabs>
          <w:tab w:pos="864" w:val="num"/>
        </w:tabs>
        <w:ind w:hanging="864" w:left="864"/>
      </w:pPr>
    </w:lvl>
    <w:lvl w:ilvl="4">
      <w:start w:val="1"/>
      <w:numFmt w:val="decimal"/>
      <w:lvlText w:val="%1.%2.%3.%4.%5"/>
      <w:lvlJc w:val="left"/>
      <w:pPr>
        <w:tabs>
          <w:tab w:pos="1008" w:val="num"/>
        </w:tabs>
        <w:ind w:hanging="1008" w:left="1008"/>
      </w:pPr>
    </w:lvl>
    <w:lvl w:ilvl="5">
      <w:start w:val="1"/>
      <w:numFmt w:val="decimal"/>
      <w:lvlText w:val="%1.%2.%3.%4.%5.%6"/>
      <w:lvlJc w:val="left"/>
      <w:pPr>
        <w:tabs>
          <w:tab w:pos="1152" w:val="num"/>
        </w:tabs>
        <w:ind w:hanging="1152" w:left="1152"/>
      </w:pPr>
    </w:lvl>
    <w:lvl w:ilvl="6">
      <w:start w:val="1"/>
      <w:numFmt w:val="decimal"/>
      <w:lvlText w:val="%1.%2.%3.%4.%5.%6.%7"/>
      <w:lvlJc w:val="left"/>
      <w:pPr>
        <w:tabs>
          <w:tab w:pos="1296" w:val="num"/>
        </w:tabs>
        <w:ind w:hanging="1296" w:left="1296"/>
      </w:pPr>
    </w:lvl>
    <w:lvl w:ilvl="7">
      <w:start w:val="1"/>
      <w:numFmt w:val="decimal"/>
      <w:lvlText w:val="%1.%2.%3.%4.%5.%6.%7.%8"/>
      <w:lvlJc w:val="left"/>
      <w:pPr>
        <w:tabs>
          <w:tab w:pos="1440" w:val="num"/>
        </w:tabs>
        <w:ind w:hanging="1440" w:left="1440"/>
      </w:pPr>
    </w:lvl>
    <w:lvl w:ilvl="8">
      <w:start w:val="1"/>
      <w:numFmt w:val="decimal"/>
      <w:lvlText w:val="%1.%2.%3.%4.%5.%6.%7.%8.%9"/>
      <w:lvlJc w:val="left"/>
      <w:pPr>
        <w:tabs>
          <w:tab w:pos="1584" w:val="num"/>
        </w:tabs>
        <w:ind w:hanging="1584" w:left="1584"/>
      </w:pPr>
    </w:lvl>
  </w:abstractNum>
  <w:abstractNum w:abstractNumId="4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5">
    <w:lvl w:ilvl="0">
      <w:start w:val="1"/>
      <w:numFmt w:val="lowerLetter"/>
      <w:lvlText w:val="%1)"/>
      <w:lvlJc w:val="left"/>
      <w:pPr>
        <w:ind w:hanging="360" w:left="360"/>
      </w:pPr>
    </w:lvl>
    <w:lvl w:ilvl="1">
      <w:start w:val="1"/>
      <w:numFmt w:val="lowerLetter"/>
      <w:lvlText w:val="%2."/>
      <w:lvlJc w:val="left"/>
      <w:pPr>
        <w:ind w:hanging="360" w:left="1080"/>
      </w:pPr>
    </w:lvl>
    <w:lvl w:ilvl="2">
      <w:start w:val="1"/>
      <w:numFmt w:val="lowerRoman"/>
      <w:lvlText w:val="%3."/>
      <w:lvlJc w:val="right"/>
      <w:pPr>
        <w:ind w:hanging="180" w:left="1800"/>
      </w:pPr>
    </w:lvl>
    <w:lvl w:ilvl="3">
      <w:start w:val="1"/>
      <w:numFmt w:val="decimal"/>
      <w:lvlText w:val="%4."/>
      <w:lvlJc w:val="left"/>
      <w:pPr>
        <w:ind w:hanging="360" w:left="2520"/>
      </w:pPr>
    </w:lvl>
    <w:lvl w:ilvl="4">
      <w:start w:val="1"/>
      <w:numFmt w:val="lowerLetter"/>
      <w:lvlText w:val="%5."/>
      <w:lvlJc w:val="left"/>
      <w:pPr>
        <w:ind w:hanging="360" w:left="3240"/>
      </w:pPr>
    </w:lvl>
    <w:lvl w:ilvl="5">
      <w:start w:val="1"/>
      <w:numFmt w:val="lowerRoman"/>
      <w:lvlText w:val="%6."/>
      <w:lvlJc w:val="right"/>
      <w:pPr>
        <w:ind w:hanging="180" w:left="3960"/>
      </w:pPr>
    </w:lvl>
    <w:lvl w:ilvl="6">
      <w:start w:val="1"/>
      <w:numFmt w:val="decimal"/>
      <w:lvlText w:val="%7."/>
      <w:lvlJc w:val="left"/>
      <w:pPr>
        <w:ind w:hanging="360" w:left="4680"/>
      </w:pPr>
    </w:lvl>
    <w:lvl w:ilvl="7">
      <w:start w:val="1"/>
      <w:numFmt w:val="lowerLetter"/>
      <w:lvlText w:val="%8."/>
      <w:lvlJc w:val="left"/>
      <w:pPr>
        <w:ind w:hanging="360" w:left="5400"/>
      </w:pPr>
    </w:lvl>
    <w:lvl w:ilvl="8">
      <w:start w:val="1"/>
      <w:numFmt w:val="lowerRoman"/>
      <w:lvlText w:val="%9."/>
      <w:lvlJc w:val="right"/>
      <w:pPr>
        <w:ind w:hanging="180" w:left="612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Výchozí"/>
    <w:next w:val="style0"/>
    <w:pPr>
      <w:widowControl/>
      <w:tabs/>
      <w:suppressAutoHyphens w:val="true"/>
    </w:pPr>
    <w:rPr>
      <w:rFonts w:ascii="Arial" w:cs="Arial" w:eastAsia="Calibri" w:hAnsi="Arial"/>
      <w:color w:val="000000"/>
      <w:sz w:val="24"/>
      <w:szCs w:val="24"/>
      <w:lang w:bidi="ar-SA" w:eastAsia="zh-CN" w:val="cs-CZ"/>
    </w:rPr>
  </w:style>
  <w:style w:styleId="style1" w:type="paragraph">
    <w:name w:val="Nadpis 1"/>
    <w:basedOn w:val="style0"/>
    <w:next w:val="style44"/>
    <w:pPr>
      <w:keepNext/>
      <w:numPr>
        <w:ilvl w:val="0"/>
        <w:numId w:val="1"/>
      </w:numPr>
      <w:tabs>
        <w:tab w:leader="none" w:pos="2296" w:val="left"/>
      </w:tabs>
      <w:spacing w:after="60" w:before="240"/>
      <w:ind w:hanging="0" w:left="574" w:right="0"/>
      <w:contextualSpacing w:val="false"/>
      <w:outlineLvl w:val="0"/>
    </w:pPr>
    <w:rPr>
      <w:rFonts w:ascii="Arial" w:cs="Arial" w:hAnsi="Arial"/>
      <w:b/>
      <w:bCs/>
      <w:sz w:val="32"/>
      <w:szCs w:val="32"/>
    </w:rPr>
  </w:style>
  <w:style w:styleId="style2" w:type="paragraph">
    <w:name w:val="Nadpis 2"/>
    <w:basedOn w:val="style0"/>
    <w:next w:val="style44"/>
    <w:pPr>
      <w:keepNext/>
      <w:numPr>
        <w:ilvl w:val="1"/>
        <w:numId w:val="1"/>
      </w:numPr>
      <w:spacing w:after="60" w:before="240"/>
      <w:contextualSpacing w:val="false"/>
      <w:outlineLvl w:val="1"/>
    </w:pPr>
    <w:rPr>
      <w:rFonts w:ascii="Arial" w:cs="Arial" w:hAnsi="Arial"/>
      <w:b/>
      <w:bCs/>
      <w:i/>
      <w:iCs/>
      <w:sz w:val="28"/>
      <w:szCs w:val="28"/>
    </w:rPr>
  </w:style>
  <w:style w:styleId="style3" w:type="paragraph">
    <w:name w:val="Nadpis 3"/>
    <w:basedOn w:val="style0"/>
    <w:next w:val="style44"/>
    <w:pPr>
      <w:keepNext/>
      <w:numPr>
        <w:ilvl w:val="2"/>
        <w:numId w:val="1"/>
      </w:numPr>
      <w:spacing w:after="60" w:before="240"/>
      <w:contextualSpacing w:val="false"/>
      <w:outlineLvl w:val="2"/>
    </w:pPr>
    <w:rPr>
      <w:rFonts w:ascii="Arial" w:cs="Arial" w:hAnsi="Arial"/>
      <w:b/>
      <w:bCs/>
      <w:sz w:val="26"/>
      <w:szCs w:val="26"/>
    </w:rPr>
  </w:style>
  <w:style w:styleId="style4" w:type="paragraph">
    <w:name w:val="Nadpis 4"/>
    <w:basedOn w:val="style0"/>
    <w:next w:val="style44"/>
    <w:pPr>
      <w:keepNext/>
      <w:numPr>
        <w:ilvl w:val="3"/>
        <w:numId w:val="1"/>
      </w:numPr>
      <w:spacing w:after="60" w:before="240"/>
      <w:contextualSpacing w:val="false"/>
      <w:outlineLvl w:val="3"/>
    </w:pPr>
    <w:rPr>
      <w:b/>
      <w:bCs/>
      <w:i/>
      <w:iCs/>
      <w:sz w:val="28"/>
      <w:szCs w:val="28"/>
    </w:rPr>
  </w:style>
  <w:style w:styleId="style5" w:type="paragraph">
    <w:name w:val="Nadpis 5"/>
    <w:basedOn w:val="style0"/>
    <w:next w:val="style44"/>
    <w:pPr>
      <w:numPr>
        <w:ilvl w:val="4"/>
        <w:numId w:val="1"/>
      </w:numPr>
      <w:spacing w:after="60" w:before="240"/>
      <w:contextualSpacing w:val="false"/>
      <w:outlineLvl w:val="4"/>
    </w:pPr>
    <w:rPr>
      <w:b/>
      <w:bCs/>
      <w:i/>
      <w:iCs/>
      <w:sz w:val="26"/>
      <w:szCs w:val="26"/>
    </w:rPr>
  </w:style>
  <w:style w:styleId="style6" w:type="paragraph">
    <w:name w:val="Nadpis 6"/>
    <w:basedOn w:val="style0"/>
    <w:next w:val="style44"/>
    <w:pPr>
      <w:numPr>
        <w:ilvl w:val="5"/>
        <w:numId w:val="1"/>
      </w:numPr>
      <w:spacing w:after="60" w:before="240"/>
      <w:contextualSpacing w:val="false"/>
      <w:outlineLvl w:val="5"/>
    </w:pPr>
    <w:rPr>
      <w:b/>
      <w:bCs/>
      <w:sz w:val="22"/>
      <w:szCs w:val="22"/>
    </w:rPr>
  </w:style>
  <w:style w:styleId="style7" w:type="paragraph">
    <w:name w:val="Nadpis 7"/>
    <w:basedOn w:val="style0"/>
    <w:next w:val="style44"/>
    <w:pPr>
      <w:numPr>
        <w:ilvl w:val="6"/>
        <w:numId w:val="1"/>
      </w:numPr>
      <w:spacing w:after="60" w:before="240"/>
      <w:contextualSpacing w:val="false"/>
      <w:outlineLvl w:val="6"/>
    </w:pPr>
    <w:rPr>
      <w:b/>
      <w:bCs/>
      <w:sz w:val="18"/>
      <w:szCs w:val="18"/>
    </w:rPr>
  </w:style>
  <w:style w:styleId="style8" w:type="paragraph">
    <w:name w:val="Nadpis 8"/>
    <w:basedOn w:val="style0"/>
    <w:next w:val="style44"/>
    <w:pPr>
      <w:numPr>
        <w:ilvl w:val="7"/>
        <w:numId w:val="1"/>
      </w:numPr>
      <w:spacing w:after="60" w:before="240"/>
      <w:contextualSpacing w:val="false"/>
      <w:outlineLvl w:val="7"/>
    </w:pPr>
    <w:rPr>
      <w:b/>
      <w:bCs/>
      <w:i/>
      <w:iCs/>
      <w:sz w:val="18"/>
      <w:szCs w:val="18"/>
    </w:rPr>
  </w:style>
  <w:style w:styleId="style9" w:type="paragraph">
    <w:name w:val="Nadpis 9"/>
    <w:basedOn w:val="style0"/>
    <w:next w:val="style44"/>
    <w:pPr>
      <w:numPr>
        <w:ilvl w:val="8"/>
        <w:numId w:val="1"/>
      </w:numPr>
      <w:spacing w:after="60" w:before="240"/>
      <w:contextualSpacing w:val="false"/>
      <w:outlineLvl w:val="8"/>
    </w:pPr>
    <w:rPr>
      <w:rFonts w:ascii="Arial" w:cs="Arial" w:hAnsi="Arial"/>
      <w:b/>
      <w:bCs/>
      <w:sz w:val="22"/>
      <w:szCs w:val="22"/>
    </w:rPr>
  </w:style>
  <w:style w:styleId="style15" w:type="character">
    <w:name w:val="Default Paragraph Font"/>
    <w:next w:val="style15"/>
    <w:rPr/>
  </w:style>
  <w:style w:styleId="style16" w:type="character">
    <w:name w:val="Heading 1 Char"/>
    <w:basedOn w:val="style15"/>
    <w:next w:val="style16"/>
    <w:rPr>
      <w:rFonts w:ascii="Arial" w:cs="Arial" w:hAnsi="Arial"/>
      <w:b/>
      <w:bCs/>
      <w:sz w:val="32"/>
      <w:szCs w:val="32"/>
      <w:lang w:bidi="ar-SA" w:eastAsia="ar-SA"/>
    </w:rPr>
  </w:style>
  <w:style w:styleId="style17" w:type="character">
    <w:name w:val="Heading 2 Char"/>
    <w:basedOn w:val="style15"/>
    <w:next w:val="style17"/>
    <w:rPr>
      <w:rFonts w:ascii="Arial" w:cs="Arial" w:hAnsi="Arial"/>
      <w:b/>
      <w:bCs/>
      <w:i/>
      <w:iCs/>
      <w:sz w:val="28"/>
      <w:szCs w:val="28"/>
      <w:lang w:bidi="ar-SA" w:eastAsia="ar-SA"/>
    </w:rPr>
  </w:style>
  <w:style w:styleId="style18" w:type="character">
    <w:name w:val="Heading 3 Char"/>
    <w:basedOn w:val="style15"/>
    <w:next w:val="style18"/>
    <w:rPr>
      <w:rFonts w:ascii="Arial" w:cs="Arial" w:hAnsi="Arial"/>
      <w:b/>
      <w:bCs/>
      <w:sz w:val="26"/>
      <w:szCs w:val="26"/>
      <w:lang w:bidi="ar-SA" w:eastAsia="ar-SA"/>
    </w:rPr>
  </w:style>
  <w:style w:styleId="style19" w:type="character">
    <w:name w:val="Heading 4 Char"/>
    <w:basedOn w:val="style15"/>
    <w:next w:val="style19"/>
    <w:rPr>
      <w:rFonts w:ascii="Times New Roman" w:cs="Times New Roman" w:hAnsi="Times New Roman"/>
      <w:b/>
      <w:bCs/>
      <w:sz w:val="28"/>
      <w:szCs w:val="28"/>
      <w:lang w:bidi="ar-SA" w:eastAsia="ar-SA"/>
    </w:rPr>
  </w:style>
  <w:style w:styleId="style20" w:type="character">
    <w:name w:val="Heading 5 Char"/>
    <w:basedOn w:val="style15"/>
    <w:next w:val="style20"/>
    <w:rPr>
      <w:rFonts w:ascii="Times New Roman" w:cs="Times New Roman" w:hAnsi="Times New Roman"/>
      <w:b/>
      <w:bCs/>
      <w:i/>
      <w:iCs/>
      <w:sz w:val="26"/>
      <w:szCs w:val="26"/>
      <w:lang w:bidi="ar-SA" w:eastAsia="ar-SA"/>
    </w:rPr>
  </w:style>
  <w:style w:styleId="style21" w:type="character">
    <w:name w:val="Heading 6 Char"/>
    <w:basedOn w:val="style15"/>
    <w:next w:val="style21"/>
    <w:rPr>
      <w:rFonts w:ascii="Times New Roman" w:cs="Times New Roman" w:hAnsi="Times New Roman"/>
      <w:b/>
      <w:bCs/>
      <w:lang w:bidi="ar-SA" w:eastAsia="ar-SA"/>
    </w:rPr>
  </w:style>
  <w:style w:styleId="style22" w:type="character">
    <w:name w:val="Heading 7 Char"/>
    <w:basedOn w:val="style15"/>
    <w:next w:val="style22"/>
    <w:rPr>
      <w:rFonts w:ascii="Times New Roman" w:cs="Times New Roman" w:hAnsi="Times New Roman"/>
      <w:sz w:val="24"/>
      <w:szCs w:val="24"/>
      <w:lang w:bidi="ar-SA" w:eastAsia="ar-SA"/>
    </w:rPr>
  </w:style>
  <w:style w:styleId="style23" w:type="character">
    <w:name w:val="Heading 8 Char"/>
    <w:basedOn w:val="style15"/>
    <w:next w:val="style23"/>
    <w:rPr>
      <w:rFonts w:ascii="Times New Roman" w:cs="Times New Roman" w:hAnsi="Times New Roman"/>
      <w:i/>
      <w:iCs/>
      <w:sz w:val="24"/>
      <w:szCs w:val="24"/>
      <w:lang w:bidi="ar-SA" w:eastAsia="ar-SA"/>
    </w:rPr>
  </w:style>
  <w:style w:styleId="style24" w:type="character">
    <w:name w:val="Heading 9 Char"/>
    <w:basedOn w:val="style15"/>
    <w:next w:val="style24"/>
    <w:rPr>
      <w:rFonts w:ascii="Arial" w:cs="Arial" w:hAnsi="Arial"/>
      <w:lang w:bidi="ar-SA" w:eastAsia="ar-SA"/>
    </w:rPr>
  </w:style>
  <w:style w:styleId="style25" w:type="character">
    <w:name w:val="Internetový odkaz"/>
    <w:basedOn w:val="style15"/>
    <w:next w:val="style25"/>
    <w:rPr>
      <w:rFonts w:cs="Times New Roman"/>
      <w:color w:val="0000FF"/>
      <w:u w:val="single"/>
      <w:lang w:bidi="cs-CZ" w:eastAsia="cs-CZ" w:val="cs-CZ"/>
    </w:rPr>
  </w:style>
  <w:style w:styleId="style26" w:type="character">
    <w:name w:val="Body Text Char"/>
    <w:basedOn w:val="style15"/>
    <w:next w:val="style26"/>
    <w:rPr>
      <w:rFonts w:ascii="Times New Roman" w:cs="Times New Roman" w:hAnsi="Times New Roman"/>
      <w:sz w:val="24"/>
      <w:szCs w:val="24"/>
      <w:lang w:bidi="ar-SA" w:eastAsia="ar-SA"/>
    </w:rPr>
  </w:style>
  <w:style w:styleId="style27" w:type="character">
    <w:name w:val="Header Char"/>
    <w:basedOn w:val="style15"/>
    <w:next w:val="style27"/>
    <w:rPr>
      <w:rFonts w:ascii="Times New Roman" w:cs="Times New Roman" w:hAnsi="Times New Roman"/>
      <w:sz w:val="24"/>
      <w:szCs w:val="24"/>
      <w:lang w:bidi="ar-SA" w:eastAsia="ar-SA"/>
    </w:rPr>
  </w:style>
  <w:style w:styleId="style28" w:type="character">
    <w:name w:val="Footer Char"/>
    <w:basedOn w:val="style15"/>
    <w:next w:val="style28"/>
    <w:rPr>
      <w:rFonts w:ascii="Times New Roman" w:cs="Times New Roman" w:hAnsi="Times New Roman"/>
      <w:sz w:val="24"/>
      <w:szCs w:val="24"/>
      <w:lang w:bidi="ar-SA" w:eastAsia="ar-SA"/>
    </w:rPr>
  </w:style>
  <w:style w:styleId="style29" w:type="character">
    <w:name w:val="Footnote Text Char"/>
    <w:basedOn w:val="style15"/>
    <w:next w:val="style29"/>
    <w:rPr>
      <w:rFonts w:ascii="Times New Roman" w:cs="Times New Roman" w:hAnsi="Times New Roman"/>
      <w:sz w:val="20"/>
      <w:szCs w:val="20"/>
      <w:lang w:eastAsia="cs-CZ"/>
    </w:rPr>
  </w:style>
  <w:style w:styleId="style30" w:type="character">
    <w:name w:val="footnote reference"/>
    <w:basedOn w:val="style15"/>
    <w:next w:val="style30"/>
    <w:rPr>
      <w:rFonts w:cs="Times New Roman"/>
      <w:vertAlign w:val="superscript"/>
    </w:rPr>
  </w:style>
  <w:style w:styleId="style31" w:type="character">
    <w:name w:val="Balloon Text Char"/>
    <w:basedOn w:val="style15"/>
    <w:next w:val="style31"/>
    <w:rPr>
      <w:rFonts w:ascii="Tahoma" w:cs="Tahoma" w:hAnsi="Tahoma"/>
      <w:sz w:val="16"/>
      <w:szCs w:val="16"/>
      <w:lang w:bidi="ar-SA" w:eastAsia="ar-SA"/>
    </w:rPr>
  </w:style>
  <w:style w:styleId="style32" w:type="character">
    <w:name w:val="ListLabel 1"/>
    <w:next w:val="style32"/>
    <w:rPr>
      <w:rFonts w:cs="Times New Roman"/>
    </w:rPr>
  </w:style>
  <w:style w:styleId="style33" w:type="character">
    <w:name w:val="ListLabel 2"/>
    <w:next w:val="style33"/>
    <w:rPr>
      <w:sz w:val="20"/>
    </w:rPr>
  </w:style>
  <w:style w:styleId="style34" w:type="character">
    <w:name w:val="ListLabel 3"/>
    <w:next w:val="style34"/>
    <w:rPr>
      <w:rFonts w:cs="Times New Roman"/>
      <w:b/>
    </w:rPr>
  </w:style>
  <w:style w:styleId="style35" w:type="character">
    <w:name w:val="ListLabel 4"/>
    <w:next w:val="style35"/>
    <w:rPr>
      <w:rFonts w:cs="Symbol"/>
    </w:rPr>
  </w:style>
  <w:style w:styleId="style36" w:type="character">
    <w:name w:val="ListLabel 5"/>
    <w:next w:val="style36"/>
    <w:rPr>
      <w:rFonts w:cs="Courier New"/>
    </w:rPr>
  </w:style>
  <w:style w:styleId="style37" w:type="character">
    <w:name w:val="ListLabel 6"/>
    <w:next w:val="style37"/>
    <w:rPr>
      <w:rFonts w:cs="Wingdings"/>
    </w:rPr>
  </w:style>
  <w:style w:styleId="style38" w:type="character">
    <w:name w:val="ListLabel 7"/>
    <w:next w:val="style38"/>
    <w:rPr>
      <w:b/>
    </w:rPr>
  </w:style>
  <w:style w:styleId="style39" w:type="character">
    <w:name w:val="ListLabel 8"/>
    <w:next w:val="style39"/>
    <w:rPr>
      <w:rFonts w:cs="Symbol"/>
    </w:rPr>
  </w:style>
  <w:style w:styleId="style40" w:type="character">
    <w:name w:val="ListLabel 9"/>
    <w:next w:val="style40"/>
    <w:rPr>
      <w:rFonts w:cs="Courier New"/>
    </w:rPr>
  </w:style>
  <w:style w:styleId="style41" w:type="character">
    <w:name w:val="ListLabel 10"/>
    <w:next w:val="style41"/>
    <w:rPr>
      <w:rFonts w:cs="Wingdings"/>
    </w:rPr>
  </w:style>
  <w:style w:styleId="style42" w:type="character">
    <w:name w:val="ListLabel 11"/>
    <w:next w:val="style42"/>
    <w:rPr>
      <w:b/>
    </w:rPr>
  </w:style>
  <w:style w:styleId="style43" w:type="paragraph">
    <w:name w:val="Nadpis"/>
    <w:basedOn w:val="style0"/>
    <w:next w:val="style44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44" w:type="paragraph">
    <w:name w:val="Tělo textu"/>
    <w:basedOn w:val="style0"/>
    <w:next w:val="style44"/>
    <w:pPr>
      <w:spacing w:after="120" w:before="0"/>
      <w:contextualSpacing w:val="false"/>
    </w:pPr>
    <w:rPr/>
  </w:style>
  <w:style w:styleId="style45" w:type="paragraph">
    <w:name w:val="Seznam"/>
    <w:basedOn w:val="style44"/>
    <w:next w:val="style45"/>
    <w:pPr/>
    <w:rPr>
      <w:rFonts w:cs="Mangal"/>
    </w:rPr>
  </w:style>
  <w:style w:styleId="style46" w:type="paragraph">
    <w:name w:val="Popisek"/>
    <w:basedOn w:val="style0"/>
    <w:next w:val="style46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47" w:type="paragraph">
    <w:name w:val="Rejstřík"/>
    <w:basedOn w:val="style0"/>
    <w:next w:val="style47"/>
    <w:pPr>
      <w:suppressLineNumbers/>
    </w:pPr>
    <w:rPr>
      <w:rFonts w:cs="Mangal"/>
    </w:rPr>
  </w:style>
  <w:style w:styleId="style48" w:type="paragraph">
    <w:name w:val="Obsah 1"/>
    <w:basedOn w:val="style0"/>
    <w:next w:val="style48"/>
    <w:pPr>
      <w:tabs>
        <w:tab w:leader="none" w:pos="480" w:val="left"/>
        <w:tab w:leader="dot" w:pos="9062" w:val="right"/>
      </w:tabs>
      <w:ind w:hanging="0" w:left="0" w:right="0"/>
      <w:jc w:val="center"/>
    </w:pPr>
    <w:rPr>
      <w:rFonts w:ascii="Calibri" w:cs="Arial" w:hAnsi="Calibri"/>
      <w:b/>
      <w:sz w:val="22"/>
      <w:szCs w:val="20"/>
    </w:rPr>
  </w:style>
  <w:style w:styleId="style49" w:type="paragraph">
    <w:name w:val="Záhlaví"/>
    <w:basedOn w:val="style0"/>
    <w:next w:val="style49"/>
    <w:pPr>
      <w:suppressLineNumbers/>
      <w:tabs>
        <w:tab w:leader="none" w:pos="4703" w:val="center"/>
        <w:tab w:leader="none" w:pos="9406" w:val="right"/>
      </w:tabs>
    </w:pPr>
    <w:rPr/>
  </w:style>
  <w:style w:styleId="style50" w:type="paragraph">
    <w:name w:val="Zápatí"/>
    <w:basedOn w:val="style0"/>
    <w:next w:val="style50"/>
    <w:pPr>
      <w:suppressLineNumbers/>
      <w:tabs>
        <w:tab w:leader="none" w:pos="4703" w:val="center"/>
        <w:tab w:leader="none" w:pos="9406" w:val="right"/>
      </w:tabs>
    </w:pPr>
    <w:rPr/>
  </w:style>
  <w:style w:styleId="style51" w:type="paragraph">
    <w:name w:val="Normal (Web)"/>
    <w:basedOn w:val="style0"/>
    <w:next w:val="style51"/>
    <w:pPr>
      <w:spacing w:after="280" w:before="280"/>
      <w:contextualSpacing w:val="false"/>
    </w:pPr>
    <w:rPr/>
  </w:style>
  <w:style w:styleId="style52" w:type="paragraph">
    <w:name w:val="normalodsazene"/>
    <w:basedOn w:val="style0"/>
    <w:next w:val="style52"/>
    <w:pPr>
      <w:spacing w:after="280" w:before="280"/>
      <w:contextualSpacing w:val="false"/>
    </w:pPr>
    <w:rPr>
      <w:sz w:val="20"/>
    </w:rPr>
  </w:style>
  <w:style w:styleId="style53" w:type="paragraph">
    <w:name w:val="Text komentáře1"/>
    <w:basedOn w:val="style0"/>
    <w:next w:val="style53"/>
    <w:pPr>
      <w:spacing w:after="200" w:before="0"/>
      <w:contextualSpacing w:val="false"/>
    </w:pPr>
    <w:rPr>
      <w:rFonts w:ascii="Calibri" w:hAnsi="Calibri"/>
      <w:sz w:val="20"/>
      <w:szCs w:val="20"/>
    </w:rPr>
  </w:style>
  <w:style w:styleId="style54" w:type="paragraph">
    <w:name w:val="Obsah 2"/>
    <w:basedOn w:val="style0"/>
    <w:next w:val="style54"/>
    <w:pPr>
      <w:tabs>
        <w:tab w:leader="none" w:pos="1680" w:val="left"/>
        <w:tab w:leader="dot" w:pos="9350" w:val="right"/>
      </w:tabs>
      <w:ind w:hanging="0" w:left="240" w:right="0"/>
    </w:pPr>
    <w:rPr>
      <w:rFonts w:ascii="Tahoma" w:cs="Tahoma" w:hAnsi="Tahoma"/>
    </w:rPr>
  </w:style>
  <w:style w:styleId="style55" w:type="paragraph">
    <w:name w:val="List Paragraph"/>
    <w:basedOn w:val="style0"/>
    <w:next w:val="style55"/>
    <w:pPr>
      <w:ind w:hanging="0" w:left="720" w:right="0"/>
    </w:pPr>
    <w:rPr/>
  </w:style>
  <w:style w:styleId="style56" w:type="paragraph">
    <w:name w:val="footnote text"/>
    <w:basedOn w:val="style0"/>
    <w:next w:val="style56"/>
    <w:pPr>
      <w:suppressAutoHyphens w:val="false"/>
    </w:pPr>
    <w:rPr>
      <w:sz w:val="20"/>
      <w:szCs w:val="20"/>
      <w:lang w:eastAsia="cs-CZ"/>
    </w:rPr>
  </w:style>
  <w:style w:styleId="style57" w:type="paragraph">
    <w:name w:val="Nadpis obsahu"/>
    <w:basedOn w:val="style1"/>
    <w:next w:val="style57"/>
    <w:pPr>
      <w:keepLines/>
      <w:suppressLineNumbers/>
      <w:suppressAutoHyphens w:val="false"/>
      <w:spacing w:after="0" w:before="480" w:line="276" w:lineRule="auto"/>
      <w:ind w:hanging="0" w:left="574" w:right="0"/>
      <w:contextualSpacing w:val="false"/>
      <w:outlineLvl w:val="9"/>
    </w:pPr>
    <w:rPr>
      <w:rFonts w:ascii="Cambria" w:cs="Times New Roman" w:hAnsi="Cambria"/>
      <w:b/>
      <w:bCs/>
      <w:color w:val="365F91"/>
      <w:sz w:val="28"/>
      <w:szCs w:val="28"/>
      <w:lang w:eastAsia="cs-CZ"/>
    </w:rPr>
  </w:style>
  <w:style w:styleId="style58" w:type="paragraph">
    <w:name w:val="Balloon Text"/>
    <w:basedOn w:val="style0"/>
    <w:next w:val="style58"/>
    <w:pPr/>
    <w:rPr>
      <w:rFonts w:ascii="Tahoma" w:cs="Tahoma" w:hAnsi="Tahoma"/>
      <w:sz w:val="16"/>
      <w:szCs w:val="16"/>
    </w:rPr>
  </w:style>
  <w:style w:styleId="style59" w:type="paragraph">
    <w:name w:val="Obsah rámce"/>
    <w:basedOn w:val="style44"/>
    <w:next w:val="style5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Application>LibreOffice/3.6$Windows_x86 LibreOffice_project/2ef5aff-a6fb0ff-166bdff-cf087ad-0f1389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2013-05-05T18:03:00.00Z</dcterms:created>
  <cp:lastPrinted>2013-05-10T10:33:00.00Z</cp:lastPrinted>
  <dcterms:modified xsi:type="dcterms:W3CDTF">2013-05-10T10:33:00.00Z</dcterms:modified>
  <cp:revision>6</cp:revision>
  <dc:title>Příloha č</dc:title>
</cp:coreProperties>
</file>