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AC" w:rsidRDefault="00031FDC" w:rsidP="00D65795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ED5322">
        <w:rPr>
          <w:b/>
        </w:rPr>
        <w:t>3</w:t>
      </w:r>
    </w:p>
    <w:p w:rsidR="00D01A3F" w:rsidRPr="00D57DED" w:rsidRDefault="00D01A3F" w:rsidP="00D65795">
      <w:pPr>
        <w:pStyle w:val="Nadpis1"/>
        <w:jc w:val="center"/>
        <w:rPr>
          <w:rFonts w:ascii="Calibri" w:hAnsi="Calibri"/>
          <w:b/>
          <w:sz w:val="44"/>
          <w:szCs w:val="44"/>
          <w:u w:val="single"/>
        </w:rPr>
      </w:pPr>
      <w:r w:rsidRPr="00D57DED">
        <w:rPr>
          <w:rFonts w:ascii="Calibri" w:hAnsi="Calibri"/>
          <w:b/>
          <w:sz w:val="44"/>
          <w:szCs w:val="44"/>
          <w:u w:val="single"/>
        </w:rPr>
        <w:t>Smlouva o zajištění činnosti</w:t>
      </w:r>
    </w:p>
    <w:p w:rsidR="00D01A3F" w:rsidRDefault="00D01A3F" w:rsidP="00D65795">
      <w:pPr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B24AD6">
        <w:rPr>
          <w:sz w:val="24"/>
          <w:szCs w:val="24"/>
        </w:rPr>
        <w:t>zavřená ve smyslu §</w:t>
      </w:r>
      <w:r>
        <w:rPr>
          <w:sz w:val="24"/>
          <w:szCs w:val="24"/>
        </w:rPr>
        <w:t xml:space="preserve">  269 odst. 2 Obchodního zákoníku</w:t>
      </w:r>
    </w:p>
    <w:p w:rsidR="00D01A3F" w:rsidRPr="00D01A3F" w:rsidRDefault="00D01A3F" w:rsidP="00D657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mezi</w:t>
      </w:r>
      <w:proofErr w:type="gramEnd"/>
      <w:r>
        <w:rPr>
          <w:b/>
          <w:bCs/>
          <w:u w:val="single"/>
        </w:rPr>
        <w:t xml:space="preserve"> </w:t>
      </w:r>
    </w:p>
    <w:p w:rsidR="00D01A3F" w:rsidRDefault="00031FDC" w:rsidP="00D65795">
      <w:pPr>
        <w:tabs>
          <w:tab w:val="left" w:pos="0"/>
        </w:tabs>
        <w:spacing w:before="120" w:line="312" w:lineRule="auto"/>
        <w:jc w:val="both"/>
        <w:rPr>
          <w:b/>
          <w:bCs/>
        </w:rPr>
      </w:pPr>
      <w:r>
        <w:rPr>
          <w:b/>
          <w:bCs/>
        </w:rPr>
        <w:t>Klient</w:t>
      </w:r>
      <w:r w:rsidR="00D01A3F">
        <w:rPr>
          <w:b/>
          <w:bCs/>
        </w:rPr>
        <w:t>:</w:t>
      </w:r>
    </w:p>
    <w:p w:rsidR="00031FDC" w:rsidRPr="00031FDC" w:rsidRDefault="00031FDC" w:rsidP="00D65795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031FDC">
        <w:rPr>
          <w:b/>
          <w:sz w:val="24"/>
          <w:szCs w:val="24"/>
        </w:rPr>
        <w:t>Univerzita Karlova v</w:t>
      </w:r>
      <w:r w:rsidR="0072778A">
        <w:rPr>
          <w:b/>
          <w:sz w:val="24"/>
          <w:szCs w:val="24"/>
        </w:rPr>
        <w:t> </w:t>
      </w:r>
      <w:r w:rsidRPr="00031FDC">
        <w:rPr>
          <w:b/>
          <w:sz w:val="24"/>
          <w:szCs w:val="24"/>
        </w:rPr>
        <w:t>Praze</w:t>
      </w:r>
      <w:r w:rsidR="0072778A">
        <w:rPr>
          <w:b/>
          <w:sz w:val="24"/>
          <w:szCs w:val="24"/>
        </w:rPr>
        <w:t>, Lékařská fakulta v Hradci Králové</w:t>
      </w:r>
    </w:p>
    <w:p w:rsidR="00D01A3F" w:rsidRPr="00D65795" w:rsidRDefault="00031FDC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>sídlo:</w:t>
      </w:r>
      <w:r>
        <w:rPr>
          <w:sz w:val="24"/>
          <w:szCs w:val="24"/>
        </w:rPr>
        <w:t xml:space="preserve"> </w:t>
      </w:r>
      <w:r w:rsidR="005854CF">
        <w:rPr>
          <w:sz w:val="24"/>
          <w:szCs w:val="24"/>
        </w:rPr>
        <w:tab/>
      </w:r>
      <w:r w:rsidR="005854CF">
        <w:rPr>
          <w:sz w:val="24"/>
          <w:szCs w:val="24"/>
        </w:rPr>
        <w:tab/>
      </w:r>
      <w:r w:rsidR="005854CF">
        <w:rPr>
          <w:sz w:val="24"/>
          <w:szCs w:val="24"/>
        </w:rPr>
        <w:tab/>
      </w:r>
      <w:r w:rsidR="0072778A" w:rsidRPr="00D65795">
        <w:rPr>
          <w:sz w:val="24"/>
          <w:szCs w:val="24"/>
        </w:rPr>
        <w:t>Šimkova 870, 500 38 Hradec Králové</w:t>
      </w:r>
    </w:p>
    <w:p w:rsidR="00D01A3F" w:rsidRPr="00B24AD6" w:rsidRDefault="00031FDC" w:rsidP="00D65795">
      <w:pPr>
        <w:spacing w:after="0" w:line="240" w:lineRule="auto"/>
        <w:ind w:left="2124" w:hanging="2124"/>
        <w:jc w:val="both"/>
        <w:rPr>
          <w:sz w:val="24"/>
          <w:szCs w:val="24"/>
        </w:rPr>
      </w:pPr>
      <w:r>
        <w:rPr>
          <w:sz w:val="24"/>
          <w:szCs w:val="24"/>
        </w:rPr>
        <w:t>zastoupen</w:t>
      </w:r>
      <w:r w:rsidR="0072778A">
        <w:rPr>
          <w:sz w:val="24"/>
          <w:szCs w:val="24"/>
        </w:rPr>
        <w:t>í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="00D01A3F" w:rsidRPr="00B24AD6">
        <w:rPr>
          <w:sz w:val="24"/>
          <w:szCs w:val="24"/>
        </w:rPr>
        <w:t>prof. MUDr. RNDr. Miroslav</w:t>
      </w:r>
      <w:r w:rsidR="00D01A3F">
        <w:rPr>
          <w:sz w:val="24"/>
          <w:szCs w:val="24"/>
        </w:rPr>
        <w:t>em</w:t>
      </w:r>
      <w:r w:rsidR="00D01A3F" w:rsidRPr="00B24AD6">
        <w:rPr>
          <w:sz w:val="24"/>
          <w:szCs w:val="24"/>
        </w:rPr>
        <w:t xml:space="preserve"> Červink</w:t>
      </w:r>
      <w:r w:rsidR="0072778A">
        <w:rPr>
          <w:sz w:val="24"/>
          <w:szCs w:val="24"/>
        </w:rPr>
        <w:t>a</w:t>
      </w:r>
      <w:r w:rsidR="00D01A3F" w:rsidRPr="00B24AD6">
        <w:rPr>
          <w:sz w:val="24"/>
          <w:szCs w:val="24"/>
        </w:rPr>
        <w:t>, CSc., děkan</w:t>
      </w:r>
      <w:r>
        <w:rPr>
          <w:sz w:val="24"/>
          <w:szCs w:val="24"/>
        </w:rPr>
        <w:t xml:space="preserve"> </w:t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>IČ:</w:t>
      </w:r>
      <w:r w:rsidRPr="00B24AD6">
        <w:rPr>
          <w:sz w:val="24"/>
          <w:szCs w:val="24"/>
        </w:rPr>
        <w:tab/>
      </w:r>
      <w:r w:rsidRPr="00B24AD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31FDC">
        <w:rPr>
          <w:sz w:val="24"/>
          <w:szCs w:val="24"/>
        </w:rPr>
        <w:tab/>
      </w:r>
      <w:r>
        <w:rPr>
          <w:sz w:val="24"/>
          <w:szCs w:val="24"/>
        </w:rPr>
        <w:t>00216208</w:t>
      </w:r>
      <w:r w:rsidRPr="00B24AD6">
        <w:rPr>
          <w:sz w:val="24"/>
          <w:szCs w:val="24"/>
        </w:rPr>
        <w:tab/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>DIČ:</w:t>
      </w:r>
      <w:r w:rsidRPr="00B24AD6">
        <w:rPr>
          <w:sz w:val="24"/>
          <w:szCs w:val="24"/>
        </w:rPr>
        <w:tab/>
      </w:r>
      <w:r w:rsidRPr="00B24AD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31FDC">
        <w:rPr>
          <w:sz w:val="24"/>
          <w:szCs w:val="24"/>
        </w:rPr>
        <w:tab/>
      </w:r>
      <w:r>
        <w:rPr>
          <w:sz w:val="24"/>
          <w:szCs w:val="24"/>
        </w:rPr>
        <w:t>CZ00216208</w:t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>bankovní spojení:</w:t>
      </w:r>
      <w:r w:rsidRPr="00B24AD6">
        <w:rPr>
          <w:sz w:val="24"/>
          <w:szCs w:val="24"/>
        </w:rPr>
        <w:tab/>
      </w:r>
      <w:r>
        <w:rPr>
          <w:sz w:val="24"/>
          <w:szCs w:val="24"/>
        </w:rPr>
        <w:t>ČSOB Hradec Králové</w:t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>číslo účtu:</w:t>
      </w:r>
      <w:r w:rsidRPr="00B24AD6">
        <w:rPr>
          <w:sz w:val="24"/>
          <w:szCs w:val="24"/>
        </w:rPr>
        <w:tab/>
      </w:r>
      <w:r w:rsidRPr="00B24AD6">
        <w:rPr>
          <w:sz w:val="24"/>
          <w:szCs w:val="24"/>
        </w:rPr>
        <w:tab/>
      </w:r>
      <w:r>
        <w:rPr>
          <w:sz w:val="24"/>
          <w:szCs w:val="24"/>
        </w:rPr>
        <w:t>3716290/0300</w:t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 xml:space="preserve">telefon, fax:  </w:t>
      </w:r>
      <w:r w:rsidRPr="00B24AD6">
        <w:rPr>
          <w:sz w:val="24"/>
          <w:szCs w:val="24"/>
        </w:rPr>
        <w:tab/>
      </w:r>
      <w:r w:rsidR="00D65795">
        <w:rPr>
          <w:sz w:val="24"/>
          <w:szCs w:val="24"/>
        </w:rPr>
        <w:tab/>
      </w:r>
      <w:r w:rsidR="00F909F8" w:rsidRPr="00D65795">
        <w:rPr>
          <w:sz w:val="24"/>
          <w:szCs w:val="24"/>
        </w:rPr>
        <w:t>495 816</w:t>
      </w:r>
      <w:r w:rsidR="00F909F8">
        <w:rPr>
          <w:sz w:val="24"/>
          <w:szCs w:val="24"/>
        </w:rPr>
        <w:t> </w:t>
      </w:r>
      <w:r w:rsidR="00F909F8" w:rsidRPr="00D65795">
        <w:rPr>
          <w:sz w:val="24"/>
          <w:szCs w:val="24"/>
        </w:rPr>
        <w:t>111</w:t>
      </w:r>
      <w:r w:rsidR="00F909F8">
        <w:rPr>
          <w:sz w:val="24"/>
          <w:szCs w:val="24"/>
        </w:rPr>
        <w:t xml:space="preserve">, </w:t>
      </w:r>
      <w:r w:rsidR="00F909F8" w:rsidRPr="00D65795">
        <w:rPr>
          <w:sz w:val="24"/>
          <w:szCs w:val="24"/>
        </w:rPr>
        <w:t>495</w:t>
      </w:r>
      <w:r w:rsidR="00F909F8">
        <w:rPr>
          <w:sz w:val="24"/>
          <w:szCs w:val="24"/>
        </w:rPr>
        <w:t> </w:t>
      </w:r>
      <w:r w:rsidR="00F909F8" w:rsidRPr="00D65795">
        <w:rPr>
          <w:sz w:val="24"/>
          <w:szCs w:val="24"/>
        </w:rPr>
        <w:t>513</w:t>
      </w:r>
      <w:r w:rsidR="00F909F8">
        <w:rPr>
          <w:sz w:val="24"/>
          <w:szCs w:val="24"/>
        </w:rPr>
        <w:t xml:space="preserve"> </w:t>
      </w:r>
      <w:r w:rsidR="00F909F8" w:rsidRPr="00D65795">
        <w:rPr>
          <w:sz w:val="24"/>
          <w:szCs w:val="24"/>
        </w:rPr>
        <w:t>597</w:t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ab/>
      </w:r>
    </w:p>
    <w:p w:rsidR="00D01A3F" w:rsidRPr="00B24AD6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24AD6">
        <w:rPr>
          <w:sz w:val="24"/>
          <w:szCs w:val="24"/>
        </w:rPr>
        <w:t xml:space="preserve">(dále jen </w:t>
      </w:r>
      <w:r w:rsidR="00031FDC">
        <w:rPr>
          <w:sz w:val="24"/>
          <w:szCs w:val="24"/>
        </w:rPr>
        <w:t>klient</w:t>
      </w:r>
      <w:r w:rsidRPr="00B24AD6">
        <w:rPr>
          <w:sz w:val="24"/>
          <w:szCs w:val="24"/>
        </w:rPr>
        <w:t>)</w:t>
      </w:r>
    </w:p>
    <w:p w:rsidR="00D01A3F" w:rsidRDefault="00D01A3F" w:rsidP="00D65795">
      <w:pPr>
        <w:jc w:val="both"/>
        <w:rPr>
          <w:sz w:val="24"/>
          <w:szCs w:val="24"/>
        </w:rPr>
      </w:pPr>
    </w:p>
    <w:p w:rsidR="00D01A3F" w:rsidRPr="00031FDC" w:rsidRDefault="00031FDC" w:rsidP="00D65795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D01A3F" w:rsidRPr="00D65795" w:rsidRDefault="005854CF" w:rsidP="00D65795">
      <w:pPr>
        <w:tabs>
          <w:tab w:val="left" w:pos="0"/>
        </w:tabs>
        <w:spacing w:before="120" w:line="312" w:lineRule="auto"/>
        <w:jc w:val="both"/>
        <w:rPr>
          <w:b/>
          <w:bCs/>
        </w:rPr>
      </w:pPr>
      <w:r w:rsidRPr="00D65795">
        <w:rPr>
          <w:b/>
          <w:bCs/>
        </w:rPr>
        <w:t xml:space="preserve">Zástupce klienta pro </w:t>
      </w:r>
      <w:r w:rsidR="00827757" w:rsidRPr="00D65795">
        <w:rPr>
          <w:b/>
          <w:bCs/>
        </w:rPr>
        <w:t>výkon zadavatelské činnosti</w:t>
      </w:r>
      <w:r w:rsidR="00D01A3F" w:rsidRPr="00D65795">
        <w:rPr>
          <w:b/>
          <w:bCs/>
        </w:rPr>
        <w:t>:</w:t>
      </w:r>
      <w:r w:rsidR="00D01A3F" w:rsidRPr="00D65795">
        <w:rPr>
          <w:b/>
          <w:bCs/>
        </w:rPr>
        <w:tab/>
      </w:r>
      <w:r w:rsidR="00D01A3F" w:rsidRPr="00D65795">
        <w:rPr>
          <w:b/>
          <w:bCs/>
        </w:rPr>
        <w:tab/>
      </w:r>
      <w:r w:rsidR="00D01A3F" w:rsidRPr="00D65795">
        <w:rPr>
          <w:b/>
          <w:bCs/>
        </w:rPr>
        <w:tab/>
      </w:r>
    </w:p>
    <w:p w:rsidR="0083358E" w:rsidRPr="00A35D1D" w:rsidRDefault="0083358E" w:rsidP="00D65795">
      <w:pPr>
        <w:spacing w:after="0" w:line="240" w:lineRule="auto"/>
        <w:jc w:val="both"/>
        <w:rPr>
          <w:b/>
          <w:sz w:val="24"/>
          <w:szCs w:val="24"/>
        </w:rPr>
      </w:pPr>
      <w:r w:rsidRPr="00A35D1D">
        <w:rPr>
          <w:b/>
          <w:sz w:val="24"/>
          <w:szCs w:val="24"/>
          <w:shd w:val="clear" w:color="auto" w:fill="FFFF00"/>
        </w:rPr>
        <w:t>……………………………………………………………</w:t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sídlo: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zastoupení: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  <w:r w:rsidRPr="00B45F2B">
        <w:rPr>
          <w:sz w:val="24"/>
          <w:szCs w:val="24"/>
        </w:rPr>
        <w:tab/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IČ: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  <w:r w:rsidRPr="00B45F2B">
        <w:rPr>
          <w:sz w:val="24"/>
          <w:szCs w:val="24"/>
        </w:rPr>
        <w:tab/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DIČ: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  <w:r w:rsidRPr="00B45F2B">
        <w:rPr>
          <w:sz w:val="24"/>
          <w:szCs w:val="24"/>
        </w:rPr>
        <w:tab/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bankovní spojení: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číslo účtu: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  <w:r w:rsidRPr="00B45F2B">
        <w:rPr>
          <w:sz w:val="24"/>
          <w:szCs w:val="24"/>
        </w:rPr>
        <w:tab/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telefon, fax: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</w:p>
    <w:p w:rsidR="00D01A3F" w:rsidRPr="00B45F2B" w:rsidRDefault="00D01A3F" w:rsidP="00D65795">
      <w:pPr>
        <w:spacing w:after="0" w:line="240" w:lineRule="auto"/>
        <w:jc w:val="both"/>
        <w:rPr>
          <w:sz w:val="24"/>
          <w:szCs w:val="24"/>
        </w:rPr>
      </w:pPr>
      <w:r w:rsidRPr="00B45F2B">
        <w:rPr>
          <w:sz w:val="24"/>
          <w:szCs w:val="24"/>
        </w:rPr>
        <w:t xml:space="preserve">e-mail: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1A3F">
        <w:rPr>
          <w:sz w:val="24"/>
          <w:szCs w:val="24"/>
          <w:highlight w:val="yellow"/>
        </w:rPr>
        <w:t>……………………………………………………………</w:t>
      </w:r>
      <w:proofErr w:type="gramStart"/>
      <w:r w:rsidRPr="00D01A3F">
        <w:rPr>
          <w:sz w:val="24"/>
          <w:szCs w:val="24"/>
          <w:highlight w:val="yellow"/>
        </w:rPr>
        <w:t>…..</w:t>
      </w:r>
      <w:proofErr w:type="gramEnd"/>
      <w:r w:rsidRPr="00B45F2B">
        <w:rPr>
          <w:sz w:val="24"/>
          <w:szCs w:val="24"/>
        </w:rPr>
        <w:tab/>
      </w:r>
      <w:r w:rsidRPr="00B45F2B">
        <w:rPr>
          <w:sz w:val="24"/>
          <w:szCs w:val="24"/>
        </w:rPr>
        <w:tab/>
      </w:r>
    </w:p>
    <w:p w:rsidR="00D01A3F" w:rsidRDefault="00D01A3F" w:rsidP="00D65795">
      <w:pPr>
        <w:spacing w:after="0"/>
        <w:jc w:val="both"/>
        <w:rPr>
          <w:sz w:val="24"/>
          <w:szCs w:val="24"/>
        </w:rPr>
      </w:pPr>
      <w:r w:rsidRPr="00B45F2B">
        <w:rPr>
          <w:sz w:val="24"/>
          <w:szCs w:val="24"/>
        </w:rPr>
        <w:t>zápis v OR:</w:t>
      </w:r>
      <w:r w:rsidRPr="00B45F2B">
        <w:rPr>
          <w:sz w:val="24"/>
          <w:szCs w:val="24"/>
        </w:rPr>
        <w:tab/>
      </w:r>
    </w:p>
    <w:p w:rsidR="00A62F40" w:rsidRPr="00B45F2B" w:rsidRDefault="00A62F40" w:rsidP="00D65795">
      <w:pPr>
        <w:spacing w:after="0"/>
        <w:jc w:val="both"/>
        <w:rPr>
          <w:sz w:val="24"/>
          <w:szCs w:val="24"/>
        </w:rPr>
      </w:pPr>
    </w:p>
    <w:p w:rsidR="00D01A3F" w:rsidRDefault="00D01A3F" w:rsidP="00D65795">
      <w:pPr>
        <w:spacing w:after="0"/>
        <w:jc w:val="both"/>
        <w:rPr>
          <w:sz w:val="24"/>
          <w:szCs w:val="24"/>
        </w:rPr>
      </w:pPr>
      <w:r w:rsidRPr="00B45F2B">
        <w:rPr>
          <w:sz w:val="24"/>
          <w:szCs w:val="24"/>
        </w:rPr>
        <w:t xml:space="preserve">(dále jen </w:t>
      </w:r>
      <w:r w:rsidR="005854CF">
        <w:rPr>
          <w:sz w:val="24"/>
          <w:szCs w:val="24"/>
        </w:rPr>
        <w:t>zástupce</w:t>
      </w:r>
      <w:r w:rsidRPr="00B45F2B">
        <w:rPr>
          <w:sz w:val="24"/>
          <w:szCs w:val="24"/>
        </w:rPr>
        <w:t>)</w:t>
      </w:r>
    </w:p>
    <w:p w:rsidR="00D01A3F" w:rsidRPr="00C200BF" w:rsidRDefault="00D01A3F" w:rsidP="00D65795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C200BF">
        <w:rPr>
          <w:rFonts w:ascii="Calibri" w:eastAsia="Calibri" w:hAnsi="Calibri"/>
          <w:b/>
          <w:u w:val="single"/>
          <w:lang w:eastAsia="en-US"/>
        </w:rPr>
        <w:t>Článek 1.   Předmět smlouvy</w:t>
      </w:r>
    </w:p>
    <w:p w:rsidR="00031FDC" w:rsidRPr="00764DD0" w:rsidRDefault="00D01A3F" w:rsidP="00D65795">
      <w:pPr>
        <w:spacing w:before="120" w:line="312" w:lineRule="auto"/>
        <w:jc w:val="both"/>
        <w:rPr>
          <w:sz w:val="24"/>
          <w:szCs w:val="24"/>
        </w:rPr>
      </w:pPr>
      <w:r w:rsidRPr="00764DD0">
        <w:rPr>
          <w:sz w:val="24"/>
          <w:szCs w:val="24"/>
        </w:rPr>
        <w:t>Předmětem této smlouvy je zajištění</w:t>
      </w:r>
      <w:r w:rsidR="00B36B81">
        <w:rPr>
          <w:sz w:val="24"/>
          <w:szCs w:val="24"/>
        </w:rPr>
        <w:t xml:space="preserve"> záležitostí - výkon</w:t>
      </w:r>
      <w:r w:rsidRPr="00764DD0">
        <w:rPr>
          <w:sz w:val="24"/>
          <w:szCs w:val="24"/>
        </w:rPr>
        <w:t xml:space="preserve"> zad</w:t>
      </w:r>
      <w:r w:rsidR="00A90730">
        <w:rPr>
          <w:sz w:val="24"/>
          <w:szCs w:val="24"/>
        </w:rPr>
        <w:t>a</w:t>
      </w:r>
      <w:r w:rsidRPr="00764DD0">
        <w:rPr>
          <w:sz w:val="24"/>
          <w:szCs w:val="24"/>
        </w:rPr>
        <w:t>vatelských činností za účelem provedení výběru nejvhodnějš</w:t>
      </w:r>
      <w:r w:rsidR="000D6EE7">
        <w:rPr>
          <w:sz w:val="24"/>
          <w:szCs w:val="24"/>
        </w:rPr>
        <w:t xml:space="preserve">ích </w:t>
      </w:r>
      <w:r w:rsidRPr="00764DD0">
        <w:rPr>
          <w:sz w:val="24"/>
          <w:szCs w:val="24"/>
        </w:rPr>
        <w:t>nabíd</w:t>
      </w:r>
      <w:r w:rsidR="000D6EE7">
        <w:rPr>
          <w:sz w:val="24"/>
          <w:szCs w:val="24"/>
        </w:rPr>
        <w:t>ek</w:t>
      </w:r>
      <w:r w:rsidRPr="00764DD0">
        <w:rPr>
          <w:sz w:val="24"/>
          <w:szCs w:val="24"/>
        </w:rPr>
        <w:t xml:space="preserve"> v</w:t>
      </w:r>
      <w:r w:rsidR="000D6EE7">
        <w:rPr>
          <w:sz w:val="24"/>
          <w:szCs w:val="24"/>
        </w:rPr>
        <w:t> jednotlivých zadávacích řízení</w:t>
      </w:r>
      <w:r w:rsidR="00A62F40">
        <w:rPr>
          <w:sz w:val="24"/>
          <w:szCs w:val="24"/>
        </w:rPr>
        <w:t>ch</w:t>
      </w:r>
      <w:r w:rsidR="0099129F">
        <w:rPr>
          <w:sz w:val="24"/>
          <w:szCs w:val="24"/>
        </w:rPr>
        <w:t xml:space="preserve"> dle přílohy č.</w:t>
      </w:r>
      <w:r w:rsidR="00A62F40">
        <w:rPr>
          <w:sz w:val="24"/>
          <w:szCs w:val="24"/>
        </w:rPr>
        <w:t> </w:t>
      </w:r>
      <w:r w:rsidR="00C20261">
        <w:rPr>
          <w:sz w:val="24"/>
          <w:szCs w:val="24"/>
        </w:rPr>
        <w:t>1</w:t>
      </w:r>
      <w:r w:rsidR="00A62F40">
        <w:rPr>
          <w:sz w:val="24"/>
          <w:szCs w:val="24"/>
        </w:rPr>
        <w:t xml:space="preserve"> této smlouvy</w:t>
      </w:r>
      <w:r w:rsidR="000D6EE7">
        <w:rPr>
          <w:sz w:val="24"/>
          <w:szCs w:val="24"/>
        </w:rPr>
        <w:t>.</w:t>
      </w:r>
    </w:p>
    <w:p w:rsidR="00D01A3F" w:rsidRPr="00764DD0" w:rsidRDefault="005854CF" w:rsidP="00D65795">
      <w:pPr>
        <w:jc w:val="both"/>
        <w:rPr>
          <w:sz w:val="24"/>
          <w:szCs w:val="24"/>
        </w:rPr>
      </w:pPr>
      <w:r w:rsidRPr="00764DD0">
        <w:rPr>
          <w:sz w:val="24"/>
          <w:szCs w:val="24"/>
        </w:rPr>
        <w:lastRenderedPageBreak/>
        <w:t>Zástupce</w:t>
      </w:r>
      <w:r w:rsidR="00D01A3F" w:rsidRPr="00764DD0">
        <w:rPr>
          <w:sz w:val="24"/>
          <w:szCs w:val="24"/>
        </w:rPr>
        <w:t xml:space="preserve"> se na základě této smlouvy o zajištění činnosti zavazuje zajistit a vykonávat pro</w:t>
      </w:r>
      <w:r w:rsidR="006B7944">
        <w:rPr>
          <w:sz w:val="24"/>
          <w:szCs w:val="24"/>
        </w:rPr>
        <w:t> </w:t>
      </w:r>
      <w:r w:rsidR="00031FDC" w:rsidRPr="00764DD0">
        <w:rPr>
          <w:sz w:val="24"/>
          <w:szCs w:val="24"/>
        </w:rPr>
        <w:t>klienta</w:t>
      </w:r>
      <w:r w:rsidR="00D01A3F" w:rsidRPr="00764DD0">
        <w:rPr>
          <w:sz w:val="24"/>
          <w:szCs w:val="24"/>
        </w:rPr>
        <w:t xml:space="preserve"> zadavatelské činnosti v souladu se zákonem č. 137/2006 Sb., o veřejných zakázkách, v p</w:t>
      </w:r>
      <w:r w:rsidR="0033697C" w:rsidRPr="00764DD0">
        <w:rPr>
          <w:sz w:val="24"/>
          <w:szCs w:val="24"/>
        </w:rPr>
        <w:t xml:space="preserve">latném znění (dále jen „zákon“) a pravidly pro výběr dodavatelů v rámci OP </w:t>
      </w:r>
      <w:proofErr w:type="spellStart"/>
      <w:r w:rsidR="0033697C" w:rsidRPr="00764DD0">
        <w:rPr>
          <w:sz w:val="24"/>
          <w:szCs w:val="24"/>
        </w:rPr>
        <w:t>VaVpI</w:t>
      </w:r>
      <w:proofErr w:type="spellEnd"/>
      <w:r w:rsidR="00D65795">
        <w:rPr>
          <w:sz w:val="24"/>
          <w:szCs w:val="24"/>
        </w:rPr>
        <w:t xml:space="preserve"> a </w:t>
      </w:r>
      <w:r w:rsidR="00563D6A">
        <w:rPr>
          <w:sz w:val="24"/>
          <w:szCs w:val="24"/>
        </w:rPr>
        <w:t>OP VK</w:t>
      </w:r>
      <w:r w:rsidR="005A33F4">
        <w:rPr>
          <w:sz w:val="24"/>
          <w:szCs w:val="24"/>
        </w:rPr>
        <w:t>.</w:t>
      </w:r>
    </w:p>
    <w:p w:rsidR="00D01A3F" w:rsidRPr="00764DD0" w:rsidRDefault="00D01A3F" w:rsidP="00D65795">
      <w:pPr>
        <w:numPr>
          <w:ilvl w:val="1"/>
          <w:numId w:val="35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Předmětem této smlouvy je zejména</w:t>
      </w:r>
      <w:r w:rsidR="000D6EE7">
        <w:rPr>
          <w:sz w:val="24"/>
          <w:szCs w:val="24"/>
        </w:rPr>
        <w:t xml:space="preserve"> zajistit pro jednotlivá výběrová řízení</w:t>
      </w:r>
      <w:r w:rsidRPr="00764DD0">
        <w:rPr>
          <w:sz w:val="24"/>
          <w:szCs w:val="24"/>
        </w:rPr>
        <w:t xml:space="preserve">: </w:t>
      </w:r>
    </w:p>
    <w:p w:rsidR="00D01A3F" w:rsidRPr="00764DD0" w:rsidRDefault="007A135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Z</w:t>
      </w:r>
      <w:r w:rsidR="00D01A3F" w:rsidRPr="00764DD0">
        <w:rPr>
          <w:sz w:val="24"/>
          <w:szCs w:val="24"/>
        </w:rPr>
        <w:t>pracování</w:t>
      </w:r>
      <w:r>
        <w:rPr>
          <w:sz w:val="24"/>
          <w:szCs w:val="24"/>
        </w:rPr>
        <w:t xml:space="preserve"> Zadávací dokumentace – jedná se o:</w:t>
      </w:r>
      <w:r w:rsidR="00D01A3F" w:rsidRPr="00764DD0">
        <w:rPr>
          <w:sz w:val="24"/>
          <w:szCs w:val="24"/>
        </w:rPr>
        <w:t xml:space="preserve"> textov</w:t>
      </w:r>
      <w:r>
        <w:rPr>
          <w:sz w:val="24"/>
          <w:szCs w:val="24"/>
        </w:rPr>
        <w:t>ou</w:t>
      </w:r>
      <w:r w:rsidR="00D01A3F" w:rsidRPr="00764DD0">
        <w:rPr>
          <w:sz w:val="24"/>
          <w:szCs w:val="24"/>
        </w:rPr>
        <w:t xml:space="preserve"> část zadávací dokumentace, návrh kvalifikačních požadavků, návrh hodnotících kritérií, </w:t>
      </w:r>
      <w:r>
        <w:rPr>
          <w:sz w:val="24"/>
          <w:szCs w:val="24"/>
        </w:rPr>
        <w:t xml:space="preserve">zveřejnění předběžného </w:t>
      </w:r>
      <w:r w:rsidR="009E3A66">
        <w:rPr>
          <w:sz w:val="24"/>
          <w:szCs w:val="24"/>
        </w:rPr>
        <w:t>o</w:t>
      </w:r>
      <w:r>
        <w:rPr>
          <w:sz w:val="24"/>
          <w:szCs w:val="24"/>
        </w:rPr>
        <w:t xml:space="preserve">známení, </w:t>
      </w:r>
      <w:r w:rsidR="00D01A3F" w:rsidRPr="00764DD0">
        <w:rPr>
          <w:sz w:val="24"/>
          <w:szCs w:val="24"/>
        </w:rPr>
        <w:t xml:space="preserve">zpracování oznámení o zadávacím řízení a jeho uveřejnění v Informačním systému o veřejných zakázkách (Centrální adresa), projednání s pověřenou osobou </w:t>
      </w:r>
      <w:r w:rsidR="009A61BC" w:rsidRPr="00764DD0">
        <w:rPr>
          <w:sz w:val="24"/>
          <w:szCs w:val="24"/>
        </w:rPr>
        <w:t>klienta</w:t>
      </w:r>
      <w:r w:rsidR="00D01A3F" w:rsidRPr="00764DD0">
        <w:rPr>
          <w:sz w:val="24"/>
          <w:szCs w:val="24"/>
        </w:rPr>
        <w:t>;</w:t>
      </w:r>
      <w:r>
        <w:rPr>
          <w:sz w:val="24"/>
          <w:szCs w:val="24"/>
        </w:rPr>
        <w:t xml:space="preserve"> uveřejnění zadávací dokumentace na profilu zadavatele</w:t>
      </w:r>
      <w:r w:rsidR="006B7944">
        <w:rPr>
          <w:sz w:val="24"/>
          <w:szCs w:val="24"/>
          <w:lang w:val="en-US"/>
        </w:rPr>
        <w:t>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 xml:space="preserve">distribuce zadávací dokumentace zájemcům o </w:t>
      </w:r>
      <w:r w:rsidR="00A62F40" w:rsidRPr="00764DD0">
        <w:rPr>
          <w:sz w:val="24"/>
          <w:szCs w:val="24"/>
        </w:rPr>
        <w:t>veřejn</w:t>
      </w:r>
      <w:r w:rsidR="00A62F40">
        <w:rPr>
          <w:sz w:val="24"/>
          <w:szCs w:val="24"/>
        </w:rPr>
        <w:t>ou</w:t>
      </w:r>
      <w:r w:rsidR="00A62F40" w:rsidRPr="00764DD0">
        <w:rPr>
          <w:sz w:val="24"/>
          <w:szCs w:val="24"/>
        </w:rPr>
        <w:t xml:space="preserve"> </w:t>
      </w:r>
      <w:r w:rsidRPr="00764DD0">
        <w:rPr>
          <w:sz w:val="24"/>
          <w:szCs w:val="24"/>
        </w:rPr>
        <w:t>zakázku</w:t>
      </w:r>
      <w:r w:rsidR="007A135F">
        <w:rPr>
          <w:sz w:val="24"/>
          <w:szCs w:val="24"/>
        </w:rPr>
        <w:t xml:space="preserve"> (pokud nebude v celém rozsahu uveřejněna na profilu zadavatele)</w:t>
      </w:r>
      <w:r w:rsidRPr="00764DD0">
        <w:rPr>
          <w:sz w:val="24"/>
          <w:szCs w:val="24"/>
        </w:rPr>
        <w:t>, zpracování návrhu odpovědí na</w:t>
      </w:r>
      <w:r w:rsidR="006B7944">
        <w:rPr>
          <w:sz w:val="24"/>
          <w:szCs w:val="24"/>
        </w:rPr>
        <w:t> </w:t>
      </w:r>
      <w:r w:rsidRPr="00764DD0">
        <w:rPr>
          <w:sz w:val="24"/>
          <w:szCs w:val="24"/>
        </w:rPr>
        <w:t>dotazy k vyjasnění zadávací dokumentace</w:t>
      </w:r>
      <w:r w:rsidR="007A135F">
        <w:rPr>
          <w:sz w:val="24"/>
          <w:szCs w:val="24"/>
        </w:rPr>
        <w:t xml:space="preserve"> ve spolupráci se zadavatelem</w:t>
      </w:r>
      <w:r w:rsidRPr="00764DD0">
        <w:rPr>
          <w:sz w:val="24"/>
          <w:szCs w:val="24"/>
        </w:rPr>
        <w:t>, rozeslání odpovědí, komunikace se zájemci, resp. uchazeči ve věcech veřejné zakázky, ve</w:t>
      </w:r>
      <w:r w:rsidR="006B7944">
        <w:rPr>
          <w:sz w:val="24"/>
          <w:szCs w:val="24"/>
        </w:rPr>
        <w:t> </w:t>
      </w:r>
      <w:r w:rsidRPr="00764DD0">
        <w:rPr>
          <w:sz w:val="24"/>
          <w:szCs w:val="24"/>
        </w:rPr>
        <w:t>spolupráci s </w:t>
      </w:r>
      <w:r w:rsidR="009A61BC" w:rsidRPr="00764DD0">
        <w:rPr>
          <w:sz w:val="24"/>
          <w:szCs w:val="24"/>
        </w:rPr>
        <w:t>klientem</w:t>
      </w:r>
      <w:r w:rsidRPr="00764DD0">
        <w:rPr>
          <w:sz w:val="24"/>
          <w:szCs w:val="24"/>
        </w:rPr>
        <w:t xml:space="preserve"> organizace prohlídky místa plnění;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organizace zadávacího řízení v souladu se stano</w:t>
      </w:r>
      <w:r w:rsidR="00ED3C74">
        <w:rPr>
          <w:sz w:val="24"/>
          <w:szCs w:val="24"/>
        </w:rPr>
        <w:t>venými a schválenými podmínkami;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příprava podkladů pro práci komise pro otevírání obálek</w:t>
      </w:r>
      <w:r w:rsidR="007A135F">
        <w:rPr>
          <w:sz w:val="24"/>
          <w:szCs w:val="24"/>
        </w:rPr>
        <w:t xml:space="preserve"> a </w:t>
      </w:r>
      <w:r w:rsidR="007A135F" w:rsidRPr="00764DD0">
        <w:rPr>
          <w:sz w:val="24"/>
          <w:szCs w:val="24"/>
        </w:rPr>
        <w:t>hodnotící komise</w:t>
      </w:r>
      <w:r w:rsidRPr="00764DD0">
        <w:rPr>
          <w:sz w:val="24"/>
          <w:szCs w:val="24"/>
        </w:rPr>
        <w:t>, příprava vzoru jmenování komisí, příprava prohlášení členů komise o nepodjatosti, organizace aktu otevírání nabídek, organizační zajištění všech jednání komise, atd.;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vypracování veškeré písemné dokumentace požadované zákonem</w:t>
      </w:r>
      <w:r w:rsidR="00563D6A">
        <w:rPr>
          <w:sz w:val="24"/>
          <w:szCs w:val="24"/>
        </w:rPr>
        <w:t xml:space="preserve"> a pravidly pro</w:t>
      </w:r>
      <w:r w:rsidR="006B7944">
        <w:rPr>
          <w:sz w:val="24"/>
          <w:szCs w:val="24"/>
        </w:rPr>
        <w:t> </w:t>
      </w:r>
      <w:r w:rsidR="00563D6A">
        <w:rPr>
          <w:sz w:val="24"/>
          <w:szCs w:val="24"/>
        </w:rPr>
        <w:t xml:space="preserve">výběr dodavatelů v rámci OP </w:t>
      </w:r>
      <w:proofErr w:type="spellStart"/>
      <w:r w:rsidR="00563D6A">
        <w:rPr>
          <w:sz w:val="24"/>
          <w:szCs w:val="24"/>
        </w:rPr>
        <w:t>VaVpI</w:t>
      </w:r>
      <w:proofErr w:type="spellEnd"/>
      <w:r w:rsidR="00563D6A">
        <w:rPr>
          <w:sz w:val="24"/>
          <w:szCs w:val="24"/>
        </w:rPr>
        <w:t xml:space="preserve"> a OP VK</w:t>
      </w:r>
      <w:r w:rsidRPr="00764DD0">
        <w:rPr>
          <w:sz w:val="24"/>
          <w:szCs w:val="24"/>
        </w:rPr>
        <w:t xml:space="preserve">, zejména dokumentace </w:t>
      </w:r>
      <w:r w:rsidR="007A135F">
        <w:rPr>
          <w:sz w:val="24"/>
          <w:szCs w:val="24"/>
        </w:rPr>
        <w:t xml:space="preserve">o </w:t>
      </w:r>
      <w:r w:rsidR="007A135F" w:rsidRPr="00764DD0">
        <w:rPr>
          <w:sz w:val="24"/>
          <w:szCs w:val="24"/>
        </w:rPr>
        <w:t>činnosti</w:t>
      </w:r>
      <w:r w:rsidR="007A135F">
        <w:rPr>
          <w:sz w:val="24"/>
          <w:szCs w:val="24"/>
        </w:rPr>
        <w:t xml:space="preserve"> komise pro otevírání obále</w:t>
      </w:r>
      <w:r w:rsidR="00A35D1D">
        <w:rPr>
          <w:sz w:val="24"/>
          <w:szCs w:val="24"/>
        </w:rPr>
        <w:t>k</w:t>
      </w:r>
      <w:r w:rsidR="007A135F">
        <w:rPr>
          <w:sz w:val="24"/>
          <w:szCs w:val="24"/>
        </w:rPr>
        <w:t xml:space="preserve">, </w:t>
      </w:r>
      <w:r w:rsidRPr="00764DD0">
        <w:rPr>
          <w:sz w:val="24"/>
          <w:szCs w:val="24"/>
        </w:rPr>
        <w:t>hodnotící komise, zprávy o posouzení a hodnocen</w:t>
      </w:r>
      <w:r w:rsidR="00D65795">
        <w:rPr>
          <w:sz w:val="24"/>
          <w:szCs w:val="24"/>
        </w:rPr>
        <w:t>í nabídek a návrhu rozhodnutí o </w:t>
      </w:r>
      <w:r w:rsidRPr="00764DD0">
        <w:rPr>
          <w:sz w:val="24"/>
          <w:szCs w:val="24"/>
        </w:rPr>
        <w:t>výběru nejvhodnější nabídky včetně rozeslání zákonem požadovaných oznámení uchazečům;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 xml:space="preserve">spolupráce a poradenství při dalších jednáních o konečném znění </w:t>
      </w:r>
      <w:r w:rsidR="007A135F">
        <w:rPr>
          <w:sz w:val="24"/>
          <w:szCs w:val="24"/>
        </w:rPr>
        <w:t xml:space="preserve">příslušné </w:t>
      </w:r>
      <w:r w:rsidRPr="00764DD0">
        <w:rPr>
          <w:sz w:val="24"/>
          <w:szCs w:val="24"/>
        </w:rPr>
        <w:t>smlouvy  ve smyslu podmínek zadávací dokumentace a podmínek financování;</w:t>
      </w:r>
    </w:p>
    <w:p w:rsidR="00D01A3F" w:rsidRPr="00563D6A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563D6A">
        <w:rPr>
          <w:sz w:val="24"/>
          <w:szCs w:val="24"/>
        </w:rPr>
        <w:t>spolupráce s </w:t>
      </w:r>
      <w:r w:rsidR="009A61BC" w:rsidRPr="00563D6A">
        <w:rPr>
          <w:sz w:val="24"/>
          <w:szCs w:val="24"/>
        </w:rPr>
        <w:t>klientem</w:t>
      </w:r>
      <w:r w:rsidRPr="00563D6A">
        <w:rPr>
          <w:sz w:val="24"/>
          <w:szCs w:val="24"/>
        </w:rPr>
        <w:t xml:space="preserve"> na přípravě projednání a schválení výsledku zadávacího řízení, uveřejnění výsledků zadávacího řízení v Informačním systému o veřejných zakázkách (Centrální adresa);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 xml:space="preserve">návrhy k řešení případných námitek uchazečů a zpracování kladné či zamítavé odpovědi </w:t>
      </w:r>
      <w:r w:rsidR="009A61BC" w:rsidRPr="00764DD0">
        <w:rPr>
          <w:sz w:val="24"/>
          <w:szCs w:val="24"/>
        </w:rPr>
        <w:t>klienta</w:t>
      </w:r>
      <w:r w:rsidRPr="00764DD0">
        <w:rPr>
          <w:sz w:val="24"/>
          <w:szCs w:val="24"/>
        </w:rPr>
        <w:t xml:space="preserve"> a její odeslání příslušnému uchazeči;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 xml:space="preserve">vypracování návrhu závěrečné písemné zprávy </w:t>
      </w:r>
      <w:r w:rsidR="009A61BC" w:rsidRPr="00764DD0">
        <w:rPr>
          <w:sz w:val="24"/>
          <w:szCs w:val="24"/>
        </w:rPr>
        <w:t>klienta</w:t>
      </w:r>
      <w:r w:rsidR="007A135F">
        <w:rPr>
          <w:sz w:val="24"/>
          <w:szCs w:val="24"/>
        </w:rPr>
        <w:t xml:space="preserve"> a její zveřejnění na profilu zadavatele</w:t>
      </w:r>
      <w:r w:rsidRPr="00764DD0">
        <w:rPr>
          <w:sz w:val="24"/>
          <w:szCs w:val="24"/>
        </w:rPr>
        <w:t>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lastRenderedPageBreak/>
        <w:t xml:space="preserve">předání kompletní dokumentace zadávacího řízení </w:t>
      </w:r>
      <w:r w:rsidR="009A61BC" w:rsidRPr="00764DD0">
        <w:rPr>
          <w:sz w:val="24"/>
          <w:szCs w:val="24"/>
        </w:rPr>
        <w:t>klientovi</w:t>
      </w:r>
      <w:r w:rsidRPr="00764DD0">
        <w:rPr>
          <w:sz w:val="24"/>
          <w:szCs w:val="24"/>
        </w:rPr>
        <w:t>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>spolupráce v případě přezkoumání zadávacího řízení orgánem dohledu (Úřad pro</w:t>
      </w:r>
      <w:r w:rsidR="00DA0B4E">
        <w:rPr>
          <w:sz w:val="24"/>
          <w:szCs w:val="24"/>
        </w:rPr>
        <w:t> </w:t>
      </w:r>
      <w:r w:rsidRPr="00764DD0">
        <w:rPr>
          <w:sz w:val="24"/>
          <w:szCs w:val="24"/>
        </w:rPr>
        <w:t>ochranu hospodářské soutěže</w:t>
      </w:r>
      <w:r w:rsidR="00DA0B4E">
        <w:rPr>
          <w:sz w:val="24"/>
          <w:szCs w:val="24"/>
        </w:rPr>
        <w:t xml:space="preserve"> - ÚOHS</w:t>
      </w:r>
      <w:r w:rsidRPr="00764DD0">
        <w:rPr>
          <w:sz w:val="24"/>
          <w:szCs w:val="24"/>
        </w:rPr>
        <w:t>);</w:t>
      </w:r>
    </w:p>
    <w:p w:rsidR="00D01A3F" w:rsidRPr="00764DD0" w:rsidRDefault="00D01A3F" w:rsidP="00D65795">
      <w:pPr>
        <w:numPr>
          <w:ilvl w:val="0"/>
          <w:numId w:val="29"/>
        </w:numPr>
        <w:jc w:val="both"/>
        <w:rPr>
          <w:sz w:val="24"/>
          <w:szCs w:val="24"/>
        </w:rPr>
      </w:pPr>
      <w:r w:rsidRPr="00764DD0">
        <w:rPr>
          <w:sz w:val="24"/>
          <w:szCs w:val="24"/>
        </w:rPr>
        <w:t xml:space="preserve">a další záležitosti a kroky požadované </w:t>
      </w:r>
      <w:r w:rsidR="009A61BC" w:rsidRPr="00764DD0">
        <w:rPr>
          <w:sz w:val="24"/>
          <w:szCs w:val="24"/>
        </w:rPr>
        <w:t>klientem</w:t>
      </w:r>
      <w:r w:rsidRPr="00764DD0">
        <w:rPr>
          <w:sz w:val="24"/>
          <w:szCs w:val="24"/>
        </w:rPr>
        <w:t xml:space="preserve"> resp. platnými právními předpisy v rámci povinností </w:t>
      </w:r>
      <w:r w:rsidR="005854CF" w:rsidRPr="00764DD0">
        <w:rPr>
          <w:sz w:val="24"/>
          <w:szCs w:val="24"/>
        </w:rPr>
        <w:t>zástupce</w:t>
      </w:r>
      <w:r w:rsidRPr="00764DD0">
        <w:rPr>
          <w:sz w:val="24"/>
          <w:szCs w:val="24"/>
        </w:rPr>
        <w:t xml:space="preserve"> dle čl. 1. odst. 2 </w:t>
      </w:r>
      <w:proofErr w:type="gramStart"/>
      <w:r w:rsidRPr="00764DD0">
        <w:rPr>
          <w:sz w:val="24"/>
          <w:szCs w:val="24"/>
        </w:rPr>
        <w:t>této</w:t>
      </w:r>
      <w:proofErr w:type="gramEnd"/>
      <w:r w:rsidRPr="00764DD0">
        <w:rPr>
          <w:sz w:val="24"/>
          <w:szCs w:val="24"/>
        </w:rPr>
        <w:t xml:space="preserve"> smlouvy.</w:t>
      </w:r>
    </w:p>
    <w:p w:rsidR="00D01A3F" w:rsidRPr="003E5707" w:rsidRDefault="005854CF" w:rsidP="00D65795">
      <w:pPr>
        <w:numPr>
          <w:ilvl w:val="1"/>
          <w:numId w:val="35"/>
        </w:numPr>
        <w:jc w:val="both"/>
        <w:rPr>
          <w:sz w:val="24"/>
          <w:szCs w:val="24"/>
        </w:rPr>
      </w:pPr>
      <w:r w:rsidRPr="003E5707">
        <w:rPr>
          <w:sz w:val="24"/>
          <w:szCs w:val="24"/>
        </w:rPr>
        <w:t>Klient</w:t>
      </w:r>
      <w:r w:rsidR="00D01A3F" w:rsidRPr="003E5707">
        <w:rPr>
          <w:sz w:val="24"/>
          <w:szCs w:val="24"/>
        </w:rPr>
        <w:t xml:space="preserve"> je povinen poskytnou</w:t>
      </w:r>
      <w:r w:rsidR="006C1A3B" w:rsidRPr="003E5707">
        <w:rPr>
          <w:sz w:val="24"/>
          <w:szCs w:val="24"/>
        </w:rPr>
        <w:t>t</w:t>
      </w:r>
      <w:r w:rsidR="00D01A3F" w:rsidRPr="003E5707">
        <w:rPr>
          <w:sz w:val="24"/>
          <w:szCs w:val="24"/>
        </w:rPr>
        <w:t xml:space="preserve"> náležitou součinnost spočívající v poskytnutí veškerých podkladů (zejména technických podmínek plnění veřejné zakázky), zařídit veškeré činnosti a zajistit veškeré doklady vyplývající z platných právních předpisů.</w:t>
      </w:r>
    </w:p>
    <w:p w:rsidR="00D01A3F" w:rsidRPr="00D66DCF" w:rsidRDefault="00D01A3F" w:rsidP="00D65795">
      <w:pPr>
        <w:pStyle w:val="Nadpis1"/>
        <w:spacing w:before="120" w:line="312" w:lineRule="auto"/>
        <w:jc w:val="both"/>
        <w:rPr>
          <w:b/>
          <w:bCs/>
          <w:u w:val="single"/>
        </w:rPr>
      </w:pPr>
    </w:p>
    <w:p w:rsidR="00D01A3F" w:rsidRPr="00C200BF" w:rsidRDefault="00456BE6" w:rsidP="00D65795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C200BF">
        <w:rPr>
          <w:rFonts w:ascii="Calibri" w:eastAsia="Calibri" w:hAnsi="Calibri"/>
          <w:b/>
          <w:u w:val="single"/>
          <w:lang w:eastAsia="en-US"/>
        </w:rPr>
        <w:t>Článek 2</w:t>
      </w:r>
      <w:r w:rsidR="00D01A3F" w:rsidRPr="00C200BF">
        <w:rPr>
          <w:rFonts w:ascii="Calibri" w:eastAsia="Calibri" w:hAnsi="Calibri"/>
          <w:b/>
          <w:u w:val="single"/>
          <w:lang w:eastAsia="en-US"/>
        </w:rPr>
        <w:t>.   Čas plnění smlouvy, ukončení smlouvy</w:t>
      </w:r>
    </w:p>
    <w:p w:rsidR="00D01A3F" w:rsidRPr="00D66DCF" w:rsidRDefault="00D01A3F" w:rsidP="00D65795">
      <w:pPr>
        <w:numPr>
          <w:ilvl w:val="1"/>
          <w:numId w:val="40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Tato smlouva se uzavírá na dobu určitou, a to ode dne podpisu této smlouvy až do dne ukončení zadávací</w:t>
      </w:r>
      <w:r w:rsidR="000D6EE7">
        <w:rPr>
          <w:sz w:val="24"/>
          <w:szCs w:val="24"/>
        </w:rPr>
        <w:t>ch</w:t>
      </w:r>
      <w:r w:rsidRPr="00D66DCF">
        <w:rPr>
          <w:sz w:val="24"/>
          <w:szCs w:val="24"/>
        </w:rPr>
        <w:t xml:space="preserve"> řízení</w:t>
      </w:r>
      <w:r w:rsidR="00BD42BB">
        <w:rPr>
          <w:sz w:val="24"/>
          <w:szCs w:val="24"/>
        </w:rPr>
        <w:t xml:space="preserve"> uvedených v</w:t>
      </w:r>
      <w:r w:rsidR="007A135F">
        <w:rPr>
          <w:sz w:val="24"/>
          <w:szCs w:val="24"/>
        </w:rPr>
        <w:t xml:space="preserve"> přílo</w:t>
      </w:r>
      <w:r w:rsidR="00BD42BB">
        <w:rPr>
          <w:sz w:val="24"/>
          <w:szCs w:val="24"/>
        </w:rPr>
        <w:t>ze</w:t>
      </w:r>
      <w:r w:rsidRPr="00D66DCF">
        <w:rPr>
          <w:sz w:val="24"/>
          <w:szCs w:val="24"/>
        </w:rPr>
        <w:t xml:space="preserve">. Ukončení smlouvy dle tohoto odstavce nezbavuje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splnit povinnosti, které přesahují dobu trvání smlouvy, jako je např. řízení o přezkoumání úkonů </w:t>
      </w:r>
      <w:r w:rsidR="005854CF">
        <w:rPr>
          <w:sz w:val="24"/>
          <w:szCs w:val="24"/>
        </w:rPr>
        <w:t>klienta</w:t>
      </w:r>
      <w:r w:rsidRPr="00D66DCF">
        <w:rPr>
          <w:sz w:val="24"/>
          <w:szCs w:val="24"/>
        </w:rPr>
        <w:t xml:space="preserve"> Úřadem pro ochranu hospodářské soutěže.</w:t>
      </w:r>
    </w:p>
    <w:p w:rsidR="00D01A3F" w:rsidRPr="00D66DCF" w:rsidRDefault="005854CF" w:rsidP="00D65795">
      <w:pPr>
        <w:numPr>
          <w:ilvl w:val="1"/>
          <w:numId w:val="40"/>
        </w:numPr>
        <w:spacing w:before="120" w:after="0" w:line="312" w:lineRule="auto"/>
        <w:jc w:val="both"/>
        <w:rPr>
          <w:sz w:val="24"/>
          <w:szCs w:val="24"/>
        </w:rPr>
      </w:pPr>
      <w:r w:rsidRPr="005068D2">
        <w:rPr>
          <w:sz w:val="24"/>
          <w:szCs w:val="24"/>
        </w:rPr>
        <w:t>Zástupce</w:t>
      </w:r>
      <w:r w:rsidR="00D01A3F" w:rsidRPr="005068D2">
        <w:rPr>
          <w:sz w:val="24"/>
          <w:szCs w:val="24"/>
        </w:rPr>
        <w:t xml:space="preserve"> zahájí plnění po podpisu této smlouvy na základě výzvy </w:t>
      </w:r>
      <w:r w:rsidR="00031FDC" w:rsidRPr="005068D2">
        <w:rPr>
          <w:sz w:val="24"/>
          <w:szCs w:val="24"/>
        </w:rPr>
        <w:t>klienta</w:t>
      </w:r>
      <w:r w:rsidR="00991FB3">
        <w:rPr>
          <w:sz w:val="24"/>
          <w:szCs w:val="24"/>
        </w:rPr>
        <w:t xml:space="preserve"> k jednotlivým zadávacím řízení</w:t>
      </w:r>
      <w:r w:rsidR="00563D6A">
        <w:rPr>
          <w:sz w:val="24"/>
          <w:szCs w:val="24"/>
        </w:rPr>
        <w:t>m</w:t>
      </w:r>
      <w:r w:rsidR="00D01A3F" w:rsidRPr="005068D2">
        <w:rPr>
          <w:sz w:val="24"/>
          <w:szCs w:val="24"/>
        </w:rPr>
        <w:t xml:space="preserve">. </w:t>
      </w:r>
      <w:r w:rsidR="004D57A2" w:rsidRPr="00D65795">
        <w:rPr>
          <w:sz w:val="24"/>
          <w:szCs w:val="24"/>
        </w:rPr>
        <w:t>Jednotlivá z</w:t>
      </w:r>
      <w:r w:rsidR="00D01A3F" w:rsidRPr="00D65795">
        <w:rPr>
          <w:sz w:val="24"/>
          <w:szCs w:val="24"/>
        </w:rPr>
        <w:t>adávací řízení bud</w:t>
      </w:r>
      <w:r w:rsidR="0099129F" w:rsidRPr="00D65795">
        <w:rPr>
          <w:sz w:val="24"/>
          <w:szCs w:val="24"/>
        </w:rPr>
        <w:t>ou</w:t>
      </w:r>
      <w:r w:rsidR="00D01A3F" w:rsidRPr="00D65795">
        <w:rPr>
          <w:sz w:val="24"/>
          <w:szCs w:val="24"/>
        </w:rPr>
        <w:t xml:space="preserve"> probí</w:t>
      </w:r>
      <w:r w:rsidR="0033697C" w:rsidRPr="00D65795">
        <w:rPr>
          <w:sz w:val="24"/>
          <w:szCs w:val="24"/>
        </w:rPr>
        <w:t>hat podle časového harmonogramu</w:t>
      </w:r>
      <w:r w:rsidR="00D01A3F" w:rsidRPr="00D65795">
        <w:rPr>
          <w:sz w:val="24"/>
          <w:szCs w:val="24"/>
        </w:rPr>
        <w:t>.</w:t>
      </w:r>
      <w:r w:rsidR="00D01A3F" w:rsidRPr="00275C3A">
        <w:rPr>
          <w:sz w:val="24"/>
          <w:szCs w:val="24"/>
        </w:rPr>
        <w:t xml:space="preserve"> Tento harmonogram může být dále upřesňován</w:t>
      </w:r>
      <w:r w:rsidR="00D01A3F" w:rsidRPr="005068D2">
        <w:rPr>
          <w:sz w:val="24"/>
          <w:szCs w:val="24"/>
        </w:rPr>
        <w:t xml:space="preserve">, a to dle požadavků </w:t>
      </w:r>
      <w:r w:rsidR="00031FDC" w:rsidRPr="005068D2">
        <w:rPr>
          <w:sz w:val="24"/>
          <w:szCs w:val="24"/>
        </w:rPr>
        <w:t>klienta</w:t>
      </w:r>
      <w:r w:rsidR="00D01A3F" w:rsidRPr="005068D2">
        <w:rPr>
          <w:sz w:val="24"/>
          <w:szCs w:val="24"/>
        </w:rPr>
        <w:t xml:space="preserve"> a s ohledem na dodržení zákonných lhůt. </w:t>
      </w:r>
    </w:p>
    <w:p w:rsidR="00301550" w:rsidRDefault="00D01A3F" w:rsidP="00D65795">
      <w:pPr>
        <w:numPr>
          <w:ilvl w:val="1"/>
          <w:numId w:val="40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Smlouva </w:t>
      </w:r>
      <w:r w:rsidR="004D57A2" w:rsidRPr="00D65795">
        <w:rPr>
          <w:sz w:val="24"/>
          <w:szCs w:val="24"/>
        </w:rPr>
        <w:t>(</w:t>
      </w:r>
      <w:r w:rsidR="00991FB3" w:rsidRPr="00D65795">
        <w:rPr>
          <w:sz w:val="24"/>
          <w:szCs w:val="24"/>
        </w:rPr>
        <w:t>či jednotlivá zadávací řízení</w:t>
      </w:r>
      <w:r w:rsidR="004D57A2" w:rsidRPr="00D65795">
        <w:rPr>
          <w:sz w:val="24"/>
          <w:szCs w:val="24"/>
        </w:rPr>
        <w:t>)</w:t>
      </w:r>
      <w:r w:rsidR="00991FB3" w:rsidRPr="00275C3A">
        <w:rPr>
          <w:sz w:val="24"/>
          <w:szCs w:val="24"/>
        </w:rPr>
        <w:t xml:space="preserve"> </w:t>
      </w:r>
      <w:r w:rsidRPr="00D66DCF">
        <w:rPr>
          <w:sz w:val="24"/>
          <w:szCs w:val="24"/>
        </w:rPr>
        <w:t>může být před jejím splněním ukončena dohodou smluvních stran nebo výpovědí s 1 měsíční (30</w:t>
      </w:r>
      <w:r>
        <w:rPr>
          <w:sz w:val="24"/>
          <w:szCs w:val="24"/>
        </w:rPr>
        <w:t xml:space="preserve"> dnů</w:t>
      </w:r>
      <w:r w:rsidRPr="00D66DCF">
        <w:rPr>
          <w:sz w:val="24"/>
          <w:szCs w:val="24"/>
        </w:rPr>
        <w:t>) výpovědní dobou, která začne běžet od 1. dne následujícího po jejím doručení. Výpověď může být dána kteroukoli smluvní stranou, a to z</w:t>
      </w:r>
      <w:r w:rsidR="00301550">
        <w:rPr>
          <w:sz w:val="24"/>
          <w:szCs w:val="24"/>
        </w:rPr>
        <w:t xml:space="preserve"> těchto </w:t>
      </w:r>
      <w:r w:rsidRPr="00D66DCF">
        <w:rPr>
          <w:sz w:val="24"/>
          <w:szCs w:val="24"/>
        </w:rPr>
        <w:t>důvodů</w:t>
      </w:r>
      <w:r w:rsidR="00301550">
        <w:rPr>
          <w:sz w:val="24"/>
          <w:szCs w:val="24"/>
        </w:rPr>
        <w:t>:</w:t>
      </w:r>
    </w:p>
    <w:p w:rsidR="00301550" w:rsidRDefault="00031FDC" w:rsidP="00A35D1D">
      <w:pPr>
        <w:numPr>
          <w:ilvl w:val="0"/>
          <w:numId w:val="46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Klient</w:t>
      </w:r>
      <w:r w:rsidR="00D01A3F" w:rsidRPr="00D66DCF">
        <w:rPr>
          <w:sz w:val="24"/>
          <w:szCs w:val="24"/>
        </w:rPr>
        <w:t xml:space="preserve"> může vypovědět smlouvu</w:t>
      </w:r>
      <w:r w:rsidR="00D01A3F">
        <w:rPr>
          <w:sz w:val="24"/>
          <w:szCs w:val="24"/>
        </w:rPr>
        <w:t>,</w:t>
      </w:r>
      <w:r w:rsidR="00D01A3F" w:rsidRPr="00D66DCF">
        <w:rPr>
          <w:sz w:val="24"/>
          <w:szCs w:val="24"/>
        </w:rPr>
        <w:t xml:space="preserve"> pokud se nezávisle na </w:t>
      </w:r>
      <w:r w:rsidR="00D01A3F">
        <w:rPr>
          <w:sz w:val="24"/>
          <w:szCs w:val="24"/>
        </w:rPr>
        <w:t>jeho</w:t>
      </w:r>
      <w:r w:rsidR="00D01A3F" w:rsidRPr="00D66DCF">
        <w:rPr>
          <w:sz w:val="24"/>
          <w:szCs w:val="24"/>
        </w:rPr>
        <w:t xml:space="preserve"> vůli</w:t>
      </w:r>
      <w:r w:rsidR="00D01A3F">
        <w:rPr>
          <w:sz w:val="24"/>
          <w:szCs w:val="24"/>
        </w:rPr>
        <w:t xml:space="preserve"> </w:t>
      </w:r>
      <w:r w:rsidR="00D01A3F" w:rsidRPr="00D66DCF">
        <w:rPr>
          <w:sz w:val="24"/>
          <w:szCs w:val="24"/>
        </w:rPr>
        <w:t>změní předmět smlouvy</w:t>
      </w:r>
      <w:r w:rsidR="00D01A3F">
        <w:rPr>
          <w:sz w:val="24"/>
          <w:szCs w:val="24"/>
        </w:rPr>
        <w:t>,</w:t>
      </w:r>
      <w:r w:rsidR="00D01A3F" w:rsidRPr="00D66DCF">
        <w:rPr>
          <w:sz w:val="24"/>
          <w:szCs w:val="24"/>
        </w:rPr>
        <w:t xml:space="preserve"> nebo v případě, že nebude veřejná zakázka realizována. </w:t>
      </w:r>
    </w:p>
    <w:p w:rsidR="00D01A3F" w:rsidRPr="00D66DCF" w:rsidRDefault="005854CF" w:rsidP="00A35D1D">
      <w:pPr>
        <w:numPr>
          <w:ilvl w:val="0"/>
          <w:numId w:val="46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může smlouvu vypovědět pouze tehdy, pokud </w:t>
      </w:r>
      <w:r w:rsidR="00031FDC">
        <w:rPr>
          <w:sz w:val="24"/>
          <w:szCs w:val="24"/>
        </w:rPr>
        <w:t>klient</w:t>
      </w:r>
      <w:r w:rsidR="00D01A3F" w:rsidRPr="00D66DCF">
        <w:rPr>
          <w:sz w:val="24"/>
          <w:szCs w:val="24"/>
        </w:rPr>
        <w:t xml:space="preserve"> neposkytne náležitou součinnost</w:t>
      </w:r>
      <w:r w:rsidR="00D01A3F">
        <w:rPr>
          <w:sz w:val="24"/>
          <w:szCs w:val="24"/>
        </w:rPr>
        <w:t>.</w:t>
      </w:r>
    </w:p>
    <w:p w:rsidR="00D01A3F" w:rsidRPr="00D66DCF" w:rsidRDefault="00D01A3F" w:rsidP="00D65795">
      <w:pPr>
        <w:numPr>
          <w:ilvl w:val="1"/>
          <w:numId w:val="40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Ke dni účinnosti výpovědi zaniká závazek z</w:t>
      </w:r>
      <w:r w:rsidR="005854CF">
        <w:rPr>
          <w:sz w:val="24"/>
          <w:szCs w:val="24"/>
        </w:rPr>
        <w:t>ástupce</w:t>
      </w:r>
      <w:r w:rsidRPr="00D66DCF">
        <w:rPr>
          <w:sz w:val="24"/>
          <w:szCs w:val="24"/>
        </w:rPr>
        <w:t xml:space="preserve"> uskutečňovat činnost, ke které se zavázal. Od tohoto dne je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zároveň povinen nepokračovat v činnosti a úkonech dle této smlouvy. Jestliže by však tímto přerušením činnosti vznikla </w:t>
      </w:r>
      <w:r w:rsidR="00031FDC">
        <w:rPr>
          <w:sz w:val="24"/>
          <w:szCs w:val="24"/>
        </w:rPr>
        <w:t>klientovi</w:t>
      </w:r>
      <w:r w:rsidRPr="00D66DCF">
        <w:rPr>
          <w:sz w:val="24"/>
          <w:szCs w:val="24"/>
        </w:rPr>
        <w:t xml:space="preserve"> škoda, je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povinen upozornit, jaká opatření je třeba učinit k jejímu odvrácení. Jestliže tato opatření </w:t>
      </w:r>
      <w:r w:rsidR="005854CF">
        <w:rPr>
          <w:sz w:val="24"/>
          <w:szCs w:val="24"/>
        </w:rPr>
        <w:t>klient</w:t>
      </w:r>
      <w:r w:rsidRPr="00D66DCF">
        <w:rPr>
          <w:sz w:val="24"/>
          <w:szCs w:val="24"/>
        </w:rPr>
        <w:t xml:space="preserve"> nemůže učinit ani pomocí jiných osob a požádá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, aby je učinil, je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k tomu povinen.</w:t>
      </w:r>
    </w:p>
    <w:p w:rsidR="0020600F" w:rsidRDefault="0020600F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</w:p>
    <w:p w:rsidR="00D01A3F" w:rsidRPr="00C200BF" w:rsidRDefault="00456BE6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C200BF">
        <w:rPr>
          <w:rFonts w:ascii="Calibri" w:eastAsia="Calibri" w:hAnsi="Calibri"/>
          <w:b/>
          <w:u w:val="single"/>
          <w:lang w:eastAsia="en-US"/>
        </w:rPr>
        <w:t>Článek 3</w:t>
      </w:r>
      <w:r w:rsidR="00D01A3F" w:rsidRPr="00C200BF">
        <w:rPr>
          <w:rFonts w:ascii="Calibri" w:eastAsia="Calibri" w:hAnsi="Calibri"/>
          <w:b/>
          <w:u w:val="single"/>
          <w:lang w:eastAsia="en-US"/>
        </w:rPr>
        <w:t>.   Smluvní cena - úplata, náklady</w:t>
      </w:r>
    </w:p>
    <w:p w:rsidR="00D01A3F" w:rsidRPr="00D66DCF" w:rsidRDefault="00D01A3F" w:rsidP="00D65795">
      <w:pPr>
        <w:numPr>
          <w:ilvl w:val="1"/>
          <w:numId w:val="41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Smluvní cena - úplata za</w:t>
      </w:r>
      <w:r>
        <w:rPr>
          <w:sz w:val="24"/>
          <w:szCs w:val="24"/>
        </w:rPr>
        <w:t xml:space="preserve"> splnění předmětu </w:t>
      </w:r>
      <w:r w:rsidR="00301550">
        <w:rPr>
          <w:sz w:val="24"/>
          <w:szCs w:val="24"/>
        </w:rPr>
        <w:t xml:space="preserve">této </w:t>
      </w:r>
      <w:r>
        <w:rPr>
          <w:sz w:val="24"/>
          <w:szCs w:val="24"/>
        </w:rPr>
        <w:t>smlouvy</w:t>
      </w:r>
      <w:r w:rsidRPr="00D66DCF">
        <w:rPr>
          <w:sz w:val="24"/>
          <w:szCs w:val="24"/>
        </w:rPr>
        <w:t xml:space="preserve"> je stanovena dohodou smluvních stran a činí za předmět plnění:</w:t>
      </w:r>
    </w:p>
    <w:p w:rsidR="00D01A3F" w:rsidRPr="00D66DCF" w:rsidRDefault="00D01A3F" w:rsidP="00D65795">
      <w:pPr>
        <w:spacing w:before="60" w:line="288" w:lineRule="auto"/>
        <w:ind w:left="1134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cena celkem bez DPH</w:t>
      </w:r>
      <w:r>
        <w:rPr>
          <w:sz w:val="24"/>
          <w:szCs w:val="24"/>
        </w:rPr>
        <w:t xml:space="preserve"> </w:t>
      </w:r>
      <w:r w:rsidR="0033697C">
        <w:rPr>
          <w:sz w:val="24"/>
          <w:szCs w:val="24"/>
        </w:rPr>
        <w:tab/>
      </w:r>
      <w:r w:rsidR="005068D2">
        <w:rPr>
          <w:sz w:val="24"/>
          <w:szCs w:val="24"/>
        </w:rPr>
        <w:t xml:space="preserve">            </w:t>
      </w:r>
      <w:r w:rsidR="001D40FA" w:rsidRPr="001D40FA">
        <w:rPr>
          <w:sz w:val="24"/>
          <w:szCs w:val="24"/>
          <w:highlight w:val="yellow"/>
        </w:rPr>
        <w:t>……………………</w:t>
      </w:r>
      <w:r>
        <w:rPr>
          <w:sz w:val="24"/>
          <w:szCs w:val="24"/>
        </w:rPr>
        <w:t xml:space="preserve">,- </w:t>
      </w:r>
      <w:r w:rsidRPr="00D66DCF">
        <w:rPr>
          <w:sz w:val="24"/>
          <w:szCs w:val="24"/>
        </w:rPr>
        <w:t>Kč</w:t>
      </w:r>
    </w:p>
    <w:p w:rsidR="00D01A3F" w:rsidRPr="00D66DCF" w:rsidRDefault="00D01A3F" w:rsidP="00D65795">
      <w:pPr>
        <w:spacing w:before="60" w:line="288" w:lineRule="auto"/>
        <w:ind w:left="708" w:firstLine="426"/>
        <w:jc w:val="both"/>
        <w:rPr>
          <w:sz w:val="24"/>
          <w:szCs w:val="24"/>
          <w:u w:val="single"/>
        </w:rPr>
      </w:pPr>
      <w:r w:rsidRPr="00D66DCF">
        <w:rPr>
          <w:sz w:val="24"/>
          <w:szCs w:val="24"/>
          <w:u w:val="single"/>
        </w:rPr>
        <w:t xml:space="preserve">DPH </w:t>
      </w:r>
      <w:r w:rsidR="00563D6A" w:rsidRPr="00D66DCF">
        <w:rPr>
          <w:sz w:val="24"/>
          <w:szCs w:val="24"/>
          <w:u w:val="single"/>
        </w:rPr>
        <w:t>2</w:t>
      </w:r>
      <w:r w:rsidR="00563D6A">
        <w:rPr>
          <w:sz w:val="24"/>
          <w:szCs w:val="24"/>
          <w:u w:val="single"/>
        </w:rPr>
        <w:t>1</w:t>
      </w:r>
      <w:r w:rsidR="00563D6A" w:rsidRPr="00D66DCF">
        <w:rPr>
          <w:sz w:val="24"/>
          <w:szCs w:val="24"/>
          <w:u w:val="single"/>
        </w:rPr>
        <w:t xml:space="preserve"> </w:t>
      </w:r>
      <w:r w:rsidRPr="00D66DCF">
        <w:rPr>
          <w:sz w:val="24"/>
          <w:szCs w:val="24"/>
          <w:u w:val="single"/>
        </w:rPr>
        <w:t>%</w:t>
      </w:r>
      <w:r>
        <w:rPr>
          <w:sz w:val="24"/>
          <w:szCs w:val="24"/>
          <w:u w:val="single"/>
        </w:rPr>
        <w:t xml:space="preserve"> ve výši </w:t>
      </w:r>
      <w:r w:rsidR="0033697C">
        <w:rPr>
          <w:sz w:val="24"/>
          <w:szCs w:val="24"/>
          <w:u w:val="single"/>
        </w:rPr>
        <w:tab/>
      </w:r>
      <w:r w:rsidR="0033697C">
        <w:rPr>
          <w:sz w:val="24"/>
          <w:szCs w:val="24"/>
          <w:u w:val="single"/>
        </w:rPr>
        <w:tab/>
      </w:r>
      <w:r w:rsidR="001D40FA" w:rsidRPr="00A35D1D">
        <w:rPr>
          <w:sz w:val="24"/>
          <w:szCs w:val="24"/>
          <w:highlight w:val="yellow"/>
          <w:u w:val="single"/>
        </w:rPr>
        <w:t>……………………</w:t>
      </w:r>
      <w:r w:rsidRPr="00A35D1D">
        <w:rPr>
          <w:sz w:val="24"/>
          <w:szCs w:val="24"/>
          <w:u w:val="single"/>
        </w:rPr>
        <w:t>,</w:t>
      </w:r>
      <w:r>
        <w:rPr>
          <w:sz w:val="24"/>
          <w:szCs w:val="24"/>
          <w:u w:val="single"/>
        </w:rPr>
        <w:t xml:space="preserve">- </w:t>
      </w:r>
      <w:r w:rsidRPr="00D66DCF">
        <w:rPr>
          <w:sz w:val="24"/>
          <w:szCs w:val="24"/>
          <w:u w:val="single"/>
        </w:rPr>
        <w:t>Kč</w:t>
      </w:r>
    </w:p>
    <w:p w:rsidR="00D01A3F" w:rsidRPr="0020600F" w:rsidRDefault="00D01A3F" w:rsidP="00D65795">
      <w:pPr>
        <w:spacing w:before="60" w:line="288" w:lineRule="auto"/>
        <w:ind w:left="708" w:firstLine="426"/>
        <w:jc w:val="both"/>
        <w:rPr>
          <w:bCs/>
          <w:sz w:val="24"/>
          <w:szCs w:val="24"/>
        </w:rPr>
      </w:pPr>
      <w:r w:rsidRPr="00D66DCF">
        <w:rPr>
          <w:b/>
          <w:bCs/>
          <w:sz w:val="24"/>
          <w:szCs w:val="24"/>
        </w:rPr>
        <w:t>cena celkem včetně DPH</w:t>
      </w:r>
      <w:r>
        <w:rPr>
          <w:b/>
          <w:bCs/>
          <w:sz w:val="24"/>
          <w:szCs w:val="24"/>
        </w:rPr>
        <w:t xml:space="preserve"> </w:t>
      </w:r>
      <w:r w:rsidR="0033697C">
        <w:rPr>
          <w:b/>
          <w:bCs/>
          <w:sz w:val="24"/>
          <w:szCs w:val="24"/>
        </w:rPr>
        <w:tab/>
      </w:r>
      <w:r w:rsidR="001D40FA" w:rsidRPr="001D40FA">
        <w:rPr>
          <w:sz w:val="24"/>
          <w:szCs w:val="24"/>
          <w:highlight w:val="yellow"/>
        </w:rPr>
        <w:t>……………………</w:t>
      </w:r>
      <w:r>
        <w:rPr>
          <w:b/>
          <w:bCs/>
          <w:sz w:val="24"/>
          <w:szCs w:val="24"/>
        </w:rPr>
        <w:t>,-</w:t>
      </w:r>
      <w:r w:rsidR="0033697C">
        <w:rPr>
          <w:b/>
          <w:bCs/>
          <w:sz w:val="24"/>
          <w:szCs w:val="24"/>
        </w:rPr>
        <w:t xml:space="preserve"> </w:t>
      </w:r>
      <w:r w:rsidRPr="00D66DCF">
        <w:rPr>
          <w:b/>
          <w:bCs/>
          <w:sz w:val="24"/>
          <w:szCs w:val="24"/>
        </w:rPr>
        <w:t>Kč</w:t>
      </w:r>
      <w:r w:rsidR="0020600F">
        <w:rPr>
          <w:bCs/>
          <w:sz w:val="24"/>
          <w:szCs w:val="24"/>
        </w:rPr>
        <w:t>.</w:t>
      </w:r>
    </w:p>
    <w:p w:rsidR="00D01A3F" w:rsidRPr="00D66DCF" w:rsidRDefault="00D01A3F" w:rsidP="00D65795">
      <w:pPr>
        <w:numPr>
          <w:ilvl w:val="1"/>
          <w:numId w:val="41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Takto sjednaná cena obsahuje všechny náklady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související s plněním předmětu této smlouvy, včetně nákladů na zveřejnění všech úkonů, které musí být ze zákona v průběhu zadání zveřejněny, režijních nákladů (telekomunikační služby, poštovné, cestovné, </w:t>
      </w:r>
      <w:r>
        <w:rPr>
          <w:sz w:val="24"/>
          <w:szCs w:val="24"/>
        </w:rPr>
        <w:t xml:space="preserve">profil zadavatele </w:t>
      </w:r>
      <w:r w:rsidRPr="00D66DCF">
        <w:rPr>
          <w:sz w:val="24"/>
          <w:szCs w:val="24"/>
        </w:rPr>
        <w:t>apod.) při komunikaci s </w:t>
      </w:r>
      <w:r w:rsidR="00031FDC">
        <w:rPr>
          <w:sz w:val="24"/>
          <w:szCs w:val="24"/>
        </w:rPr>
        <w:t>klientem</w:t>
      </w:r>
      <w:r w:rsidRPr="00D66DCF">
        <w:rPr>
          <w:sz w:val="24"/>
          <w:szCs w:val="24"/>
        </w:rPr>
        <w:t>, zájemci, uchazeči aj. ve věci plnění předmětu smlouvy včetně vyřizování případných námitek uchazečů, apod.</w:t>
      </w:r>
    </w:p>
    <w:p w:rsidR="00D01A3F" w:rsidRPr="00D66DCF" w:rsidRDefault="00D01A3F" w:rsidP="00D65795">
      <w:pPr>
        <w:numPr>
          <w:ilvl w:val="1"/>
          <w:numId w:val="41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Úplata bude uhrazena na základě faktur vystaven</w:t>
      </w:r>
      <w:r w:rsidR="00FE68E9">
        <w:rPr>
          <w:sz w:val="24"/>
          <w:szCs w:val="24"/>
        </w:rPr>
        <w:t>ých</w:t>
      </w:r>
      <w:r>
        <w:rPr>
          <w:sz w:val="24"/>
          <w:szCs w:val="24"/>
        </w:rPr>
        <w:t xml:space="preserve"> </w:t>
      </w:r>
      <w:r w:rsidR="00FE68E9">
        <w:rPr>
          <w:sz w:val="24"/>
          <w:szCs w:val="24"/>
        </w:rPr>
        <w:t>zástupcem</w:t>
      </w:r>
      <w:r w:rsidR="00C20261">
        <w:rPr>
          <w:sz w:val="24"/>
          <w:szCs w:val="24"/>
        </w:rPr>
        <w:t>,</w:t>
      </w:r>
      <w:r w:rsidR="00FE68E9">
        <w:rPr>
          <w:sz w:val="24"/>
          <w:szCs w:val="24"/>
        </w:rPr>
        <w:t xml:space="preserve"> za jednotlivá výběrová řízení (viz příloha č.</w:t>
      </w:r>
      <w:r w:rsidR="00C20261">
        <w:rPr>
          <w:sz w:val="24"/>
          <w:szCs w:val="24"/>
        </w:rPr>
        <w:t> </w:t>
      </w:r>
      <w:r w:rsidR="00FE68E9">
        <w:rPr>
          <w:sz w:val="24"/>
          <w:szCs w:val="24"/>
        </w:rPr>
        <w:t>1)</w:t>
      </w:r>
      <w:r w:rsidR="00C20261">
        <w:rPr>
          <w:sz w:val="24"/>
          <w:szCs w:val="24"/>
        </w:rPr>
        <w:t>,</w:t>
      </w:r>
      <w:r w:rsidR="00FE68E9">
        <w:rPr>
          <w:sz w:val="24"/>
          <w:szCs w:val="24"/>
        </w:rPr>
        <w:t xml:space="preserve"> </w:t>
      </w:r>
      <w:r w:rsidRPr="00D66DCF">
        <w:rPr>
          <w:sz w:val="24"/>
          <w:szCs w:val="24"/>
        </w:rPr>
        <w:t>po ukončení zadávacího řízení a předání kompletní dokumentace zadávacího řízení</w:t>
      </w:r>
      <w:r w:rsidR="000948B4">
        <w:rPr>
          <w:sz w:val="24"/>
          <w:szCs w:val="24"/>
        </w:rPr>
        <w:t xml:space="preserve"> klientovi</w:t>
      </w:r>
      <w:r w:rsidRPr="00D66DCF">
        <w:rPr>
          <w:sz w:val="24"/>
          <w:szCs w:val="24"/>
        </w:rPr>
        <w:t xml:space="preserve">. Splatnost faktury je </w:t>
      </w:r>
      <w:r w:rsidR="00FE68E9">
        <w:rPr>
          <w:sz w:val="24"/>
          <w:szCs w:val="24"/>
        </w:rPr>
        <w:t>30</w:t>
      </w:r>
      <w:r w:rsidRPr="00D66DCF">
        <w:rPr>
          <w:sz w:val="24"/>
          <w:szCs w:val="24"/>
        </w:rPr>
        <w:t xml:space="preserve"> kalendářních dnů ode dne prokazatelného doručení faktury </w:t>
      </w:r>
      <w:r w:rsidR="00031FDC">
        <w:rPr>
          <w:sz w:val="24"/>
          <w:szCs w:val="24"/>
        </w:rPr>
        <w:t>klientovi</w:t>
      </w:r>
      <w:r w:rsidRPr="00D66DCF">
        <w:rPr>
          <w:sz w:val="24"/>
          <w:szCs w:val="24"/>
        </w:rPr>
        <w:t xml:space="preserve">. Za den úhrady faktury je smluvními stranami považován den, kdy </w:t>
      </w:r>
      <w:r w:rsidR="00031FDC">
        <w:rPr>
          <w:sz w:val="24"/>
          <w:szCs w:val="24"/>
        </w:rPr>
        <w:t>klient</w:t>
      </w:r>
      <w:r w:rsidRPr="00D66DCF">
        <w:rPr>
          <w:sz w:val="24"/>
          <w:szCs w:val="24"/>
        </w:rPr>
        <w:t xml:space="preserve"> předal příkaz k úhradě peněžnímu ústavu </w:t>
      </w:r>
      <w:r w:rsidR="00031FDC">
        <w:rPr>
          <w:sz w:val="24"/>
          <w:szCs w:val="24"/>
        </w:rPr>
        <w:t>klienta</w:t>
      </w:r>
      <w:r w:rsidRPr="00D66DCF">
        <w:rPr>
          <w:sz w:val="24"/>
          <w:szCs w:val="24"/>
        </w:rPr>
        <w:t xml:space="preserve">. </w:t>
      </w:r>
    </w:p>
    <w:p w:rsidR="00D01A3F" w:rsidRPr="00D66DCF" w:rsidRDefault="005854CF" w:rsidP="00D65795">
      <w:pPr>
        <w:numPr>
          <w:ilvl w:val="1"/>
          <w:numId w:val="41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Zástupci</w:t>
      </w:r>
      <w:r w:rsidR="00D01A3F" w:rsidRPr="00D66DCF">
        <w:rPr>
          <w:sz w:val="24"/>
          <w:szCs w:val="24"/>
        </w:rPr>
        <w:t xml:space="preserve"> vznikne nárok na úplatu, když řádně vykonává činnost, ke které byl z této smlouvy povinen. V případě výpovědi ze strany </w:t>
      </w:r>
      <w:r w:rsidR="00031FDC">
        <w:rPr>
          <w:sz w:val="24"/>
          <w:szCs w:val="24"/>
        </w:rPr>
        <w:t>klienta</w:t>
      </w:r>
      <w:r w:rsidR="00D01A3F" w:rsidRPr="00D66DCF">
        <w:rPr>
          <w:sz w:val="24"/>
          <w:szCs w:val="24"/>
        </w:rPr>
        <w:t xml:space="preserve">, má ve vztahu na účinnost výpovědi </w:t>
      </w: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nárok na úhradu poměrné části úplaty. O tom, co bylo dosud provedeno, se sepíše zápis, kde se zároveň stanoví její výše.</w:t>
      </w:r>
    </w:p>
    <w:p w:rsidR="0020600F" w:rsidRDefault="0020600F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</w:p>
    <w:p w:rsidR="00D01A3F" w:rsidRPr="00C200BF" w:rsidRDefault="00456BE6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C200BF">
        <w:rPr>
          <w:rFonts w:ascii="Calibri" w:eastAsia="Calibri" w:hAnsi="Calibri"/>
          <w:b/>
          <w:u w:val="single"/>
          <w:lang w:eastAsia="en-US"/>
        </w:rPr>
        <w:t>Článek 4</w:t>
      </w:r>
      <w:r w:rsidR="00D01A3F" w:rsidRPr="00C200BF">
        <w:rPr>
          <w:rFonts w:ascii="Calibri" w:eastAsia="Calibri" w:hAnsi="Calibri"/>
          <w:b/>
          <w:u w:val="single"/>
          <w:lang w:eastAsia="en-US"/>
        </w:rPr>
        <w:t xml:space="preserve">.   Práva a povinnosti </w:t>
      </w:r>
      <w:r w:rsidR="009A61BC" w:rsidRPr="00C200BF">
        <w:rPr>
          <w:rFonts w:ascii="Calibri" w:eastAsia="Calibri" w:hAnsi="Calibri"/>
          <w:b/>
          <w:u w:val="single"/>
          <w:lang w:eastAsia="en-US"/>
        </w:rPr>
        <w:t>klienta</w:t>
      </w:r>
    </w:p>
    <w:p w:rsidR="0033697C" w:rsidRPr="00C200BF" w:rsidRDefault="00031FDC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200BF">
        <w:rPr>
          <w:rFonts w:ascii="Calibri" w:eastAsia="Calibri" w:hAnsi="Calibri"/>
          <w:lang w:eastAsia="en-US"/>
        </w:rPr>
        <w:t>Klient</w:t>
      </w:r>
      <w:r w:rsidR="00D01A3F" w:rsidRPr="00C200BF">
        <w:rPr>
          <w:rFonts w:ascii="Calibri" w:eastAsia="Calibri" w:hAnsi="Calibri"/>
          <w:lang w:eastAsia="en-US"/>
        </w:rPr>
        <w:t xml:space="preserve"> je povinen předat včas </w:t>
      </w:r>
      <w:r w:rsidR="005854CF" w:rsidRPr="00C200BF">
        <w:rPr>
          <w:rFonts w:ascii="Calibri" w:eastAsia="Calibri" w:hAnsi="Calibri"/>
          <w:lang w:eastAsia="en-US"/>
        </w:rPr>
        <w:t>zástupci</w:t>
      </w:r>
      <w:r w:rsidR="00D01A3F" w:rsidRPr="00C200BF">
        <w:rPr>
          <w:rFonts w:ascii="Calibri" w:eastAsia="Calibri" w:hAnsi="Calibri"/>
          <w:lang w:eastAsia="en-US"/>
        </w:rPr>
        <w:t xml:space="preserve"> veškeré </w:t>
      </w:r>
      <w:r w:rsidR="00B00D3A">
        <w:rPr>
          <w:rFonts w:ascii="Calibri" w:eastAsia="Calibri" w:hAnsi="Calibri"/>
          <w:lang w:eastAsia="en-US"/>
        </w:rPr>
        <w:t xml:space="preserve">podklady, tj. </w:t>
      </w:r>
      <w:r w:rsidR="00D01A3F" w:rsidRPr="00C200BF">
        <w:rPr>
          <w:rFonts w:ascii="Calibri" w:eastAsia="Calibri" w:hAnsi="Calibri"/>
          <w:lang w:eastAsia="en-US"/>
        </w:rPr>
        <w:t>dokumenty a úplné, pravdivé a</w:t>
      </w:r>
      <w:r w:rsidR="00271630">
        <w:rPr>
          <w:rFonts w:ascii="Calibri" w:eastAsia="Calibri" w:hAnsi="Calibri"/>
          <w:lang w:eastAsia="en-US"/>
        </w:rPr>
        <w:t> </w:t>
      </w:r>
      <w:r w:rsidR="00D01A3F" w:rsidRPr="00C200BF">
        <w:rPr>
          <w:rFonts w:ascii="Calibri" w:eastAsia="Calibri" w:hAnsi="Calibri"/>
          <w:lang w:eastAsia="en-US"/>
        </w:rPr>
        <w:t xml:space="preserve">přehledné informace, jež jsou nutné k zařízení záležitostí, pokud z jejich povahy nevyplývá, že je má obstarat </w:t>
      </w:r>
      <w:r w:rsidR="005854CF" w:rsidRPr="00C200BF">
        <w:rPr>
          <w:rFonts w:ascii="Calibri" w:eastAsia="Calibri" w:hAnsi="Calibri"/>
          <w:lang w:eastAsia="en-US"/>
        </w:rPr>
        <w:t>zástupce</w:t>
      </w:r>
      <w:r w:rsidR="00D01A3F" w:rsidRPr="00C200BF">
        <w:rPr>
          <w:rFonts w:ascii="Calibri" w:eastAsia="Calibri" w:hAnsi="Calibri"/>
          <w:lang w:eastAsia="en-US"/>
        </w:rPr>
        <w:t>.</w:t>
      </w:r>
    </w:p>
    <w:p w:rsidR="00456BE6" w:rsidRPr="00C200BF" w:rsidRDefault="00031FDC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200BF">
        <w:rPr>
          <w:rFonts w:ascii="Calibri" w:eastAsia="Calibri" w:hAnsi="Calibri"/>
          <w:lang w:eastAsia="en-US"/>
        </w:rPr>
        <w:t>Klient</w:t>
      </w:r>
      <w:r w:rsidR="00D01A3F" w:rsidRPr="00C200BF">
        <w:rPr>
          <w:rFonts w:ascii="Calibri" w:eastAsia="Calibri" w:hAnsi="Calibri"/>
          <w:lang w:eastAsia="en-US"/>
        </w:rPr>
        <w:t xml:space="preserve"> je povinen zejména předat </w:t>
      </w:r>
      <w:r w:rsidR="005854CF" w:rsidRPr="00C200BF">
        <w:rPr>
          <w:rFonts w:ascii="Calibri" w:eastAsia="Calibri" w:hAnsi="Calibri"/>
          <w:lang w:eastAsia="en-US"/>
        </w:rPr>
        <w:t>zástupci</w:t>
      </w:r>
      <w:r w:rsidR="00D01A3F" w:rsidRPr="00C200BF">
        <w:rPr>
          <w:rFonts w:ascii="Calibri" w:eastAsia="Calibri" w:hAnsi="Calibri"/>
          <w:lang w:eastAsia="en-US"/>
        </w:rPr>
        <w:t xml:space="preserve"> </w:t>
      </w:r>
      <w:r w:rsidR="00456BE6" w:rsidRPr="00C200BF">
        <w:rPr>
          <w:rFonts w:ascii="Calibri" w:eastAsia="Calibri" w:hAnsi="Calibri"/>
          <w:lang w:eastAsia="en-US"/>
        </w:rPr>
        <w:t xml:space="preserve">nezbytné </w:t>
      </w:r>
      <w:r w:rsidR="00D01A3F" w:rsidRPr="00C200BF">
        <w:rPr>
          <w:rFonts w:ascii="Calibri" w:eastAsia="Calibri" w:hAnsi="Calibri"/>
          <w:lang w:eastAsia="en-US"/>
        </w:rPr>
        <w:t>technické podklady, kterými se stanoví podrobný obsah</w:t>
      </w:r>
      <w:r w:rsidR="00456BE6" w:rsidRPr="00C200BF">
        <w:rPr>
          <w:rFonts w:ascii="Calibri" w:eastAsia="Calibri" w:hAnsi="Calibri"/>
          <w:lang w:eastAsia="en-US"/>
        </w:rPr>
        <w:t xml:space="preserve"> a rozsah zadávací dokumentace</w:t>
      </w:r>
      <w:r w:rsidR="00271630">
        <w:rPr>
          <w:rFonts w:ascii="Calibri" w:eastAsia="Calibri" w:hAnsi="Calibri"/>
          <w:lang w:eastAsia="en-US"/>
        </w:rPr>
        <w:t>.</w:t>
      </w:r>
    </w:p>
    <w:p w:rsidR="00D01A3F" w:rsidRPr="00C200BF" w:rsidRDefault="00031FDC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200BF">
        <w:rPr>
          <w:rFonts w:ascii="Calibri" w:eastAsia="Calibri" w:hAnsi="Calibri"/>
          <w:lang w:eastAsia="en-US"/>
        </w:rPr>
        <w:t>Klient</w:t>
      </w:r>
      <w:r w:rsidR="00D01A3F" w:rsidRPr="00C200BF">
        <w:rPr>
          <w:rFonts w:ascii="Calibri" w:eastAsia="Calibri" w:hAnsi="Calibri"/>
          <w:lang w:eastAsia="en-US"/>
        </w:rPr>
        <w:t xml:space="preserve"> je povinen: </w:t>
      </w:r>
    </w:p>
    <w:p w:rsidR="00D01A3F" w:rsidRPr="005068D2" w:rsidRDefault="00D01A3F" w:rsidP="00D65795">
      <w:pPr>
        <w:numPr>
          <w:ilvl w:val="0"/>
          <w:numId w:val="32"/>
        </w:numPr>
        <w:ind w:left="709" w:hanging="142"/>
        <w:jc w:val="both"/>
        <w:rPr>
          <w:sz w:val="24"/>
          <w:szCs w:val="24"/>
        </w:rPr>
      </w:pPr>
      <w:r w:rsidRPr="005068D2">
        <w:rPr>
          <w:sz w:val="24"/>
          <w:szCs w:val="24"/>
        </w:rPr>
        <w:t xml:space="preserve">v zákonných lhůtách jmenovat členy a náhradníky členů </w:t>
      </w:r>
      <w:r w:rsidR="00B00D3A" w:rsidRPr="005068D2">
        <w:rPr>
          <w:sz w:val="24"/>
          <w:szCs w:val="24"/>
        </w:rPr>
        <w:t>komise pro otevírání obálek</w:t>
      </w:r>
      <w:r w:rsidR="00B00D3A">
        <w:rPr>
          <w:sz w:val="24"/>
          <w:szCs w:val="24"/>
        </w:rPr>
        <w:t>, komise pro posouzení kvalifikace a</w:t>
      </w:r>
      <w:r w:rsidR="00B00D3A" w:rsidRPr="005068D2">
        <w:rPr>
          <w:sz w:val="24"/>
          <w:szCs w:val="24"/>
        </w:rPr>
        <w:t xml:space="preserve"> </w:t>
      </w:r>
      <w:r w:rsidRPr="005068D2">
        <w:rPr>
          <w:sz w:val="24"/>
          <w:szCs w:val="24"/>
        </w:rPr>
        <w:t>hodnotící komise,</w:t>
      </w:r>
    </w:p>
    <w:p w:rsidR="00D01A3F" w:rsidRPr="00D66DCF" w:rsidRDefault="00D01A3F" w:rsidP="00D65795">
      <w:pPr>
        <w:numPr>
          <w:ilvl w:val="0"/>
          <w:numId w:val="32"/>
        </w:numPr>
        <w:ind w:left="709" w:hanging="142"/>
        <w:jc w:val="both"/>
      </w:pPr>
      <w:r w:rsidRPr="005068D2">
        <w:rPr>
          <w:sz w:val="24"/>
          <w:szCs w:val="24"/>
        </w:rPr>
        <w:lastRenderedPageBreak/>
        <w:t>v zákonných lhůtách rozhodnout o vyloučení dodavatele ze zadávacího řízení, rozhodnout o výběru nejvhodnější nabídky a uzavřít příslušnou smlouvu s vybraným uchazečem, popř. rozhodnout o zrušení zadávacího řízení. </w:t>
      </w:r>
    </w:p>
    <w:p w:rsidR="00D01A3F" w:rsidRPr="00C200BF" w:rsidRDefault="00031FDC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200BF">
        <w:rPr>
          <w:rFonts w:ascii="Calibri" w:eastAsia="Calibri" w:hAnsi="Calibri"/>
          <w:lang w:eastAsia="en-US"/>
        </w:rPr>
        <w:t>Klient</w:t>
      </w:r>
      <w:r w:rsidR="00D01A3F" w:rsidRPr="00C200BF">
        <w:rPr>
          <w:rFonts w:ascii="Calibri" w:eastAsia="Calibri" w:hAnsi="Calibri"/>
          <w:lang w:eastAsia="en-US"/>
        </w:rPr>
        <w:t xml:space="preserve"> je povinen umožnit prohlídku místa budoucího plnění v termínu stanoveném podmínkami zadávacího řízení.</w:t>
      </w:r>
    </w:p>
    <w:p w:rsidR="007512C8" w:rsidRDefault="00031FDC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200BF">
        <w:rPr>
          <w:rFonts w:ascii="Calibri" w:eastAsia="Calibri" w:hAnsi="Calibri"/>
          <w:lang w:eastAsia="en-US"/>
        </w:rPr>
        <w:t xml:space="preserve">Klient </w:t>
      </w:r>
      <w:r w:rsidR="00D01A3F" w:rsidRPr="00C200BF">
        <w:rPr>
          <w:rFonts w:ascii="Calibri" w:eastAsia="Calibri" w:hAnsi="Calibri"/>
          <w:lang w:eastAsia="en-US"/>
        </w:rPr>
        <w:t xml:space="preserve">se dále zavazuje poskytnout </w:t>
      </w:r>
      <w:r w:rsidR="005854CF" w:rsidRPr="00C200BF">
        <w:rPr>
          <w:rFonts w:ascii="Calibri" w:eastAsia="Calibri" w:hAnsi="Calibri"/>
          <w:lang w:eastAsia="en-US"/>
        </w:rPr>
        <w:t>zástupci</w:t>
      </w:r>
      <w:r w:rsidR="00D01A3F" w:rsidRPr="00C200BF">
        <w:rPr>
          <w:rFonts w:ascii="Calibri" w:eastAsia="Calibri" w:hAnsi="Calibri"/>
          <w:lang w:eastAsia="en-US"/>
        </w:rPr>
        <w:t xml:space="preserve"> veškeré dokumenty, které v souvislosti se zadáním veřejné zakázky v průběhu účinnosti této smlouvy obdrží a zároveň mohou mít vliv na průběh zadávacího řízení.</w:t>
      </w:r>
    </w:p>
    <w:p w:rsidR="007512C8" w:rsidRDefault="007512C8" w:rsidP="00D65795">
      <w:pPr>
        <w:pStyle w:val="Zkladntext"/>
        <w:numPr>
          <w:ilvl w:val="1"/>
          <w:numId w:val="43"/>
        </w:numPr>
        <w:spacing w:before="120" w:line="312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Odpovědnou osobou klienta ve věcech této smlouvy je Ing. Vlasta Jarolímková, tel: 495 816 485, e-mail: jarolimkovav@lfhk.cuni.cz.</w:t>
      </w:r>
    </w:p>
    <w:p w:rsidR="0020600F" w:rsidRDefault="0020600F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</w:p>
    <w:p w:rsidR="00D01A3F" w:rsidRPr="00C200BF" w:rsidRDefault="00456BE6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C200BF">
        <w:rPr>
          <w:rFonts w:ascii="Calibri" w:eastAsia="Calibri" w:hAnsi="Calibri"/>
          <w:b/>
          <w:u w:val="single"/>
          <w:lang w:eastAsia="en-US"/>
        </w:rPr>
        <w:t>Článek 5</w:t>
      </w:r>
      <w:r w:rsidR="00D01A3F" w:rsidRPr="00C200BF">
        <w:rPr>
          <w:rFonts w:ascii="Calibri" w:eastAsia="Calibri" w:hAnsi="Calibri"/>
          <w:b/>
          <w:u w:val="single"/>
          <w:lang w:eastAsia="en-US"/>
        </w:rPr>
        <w:t xml:space="preserve">.   Práva a povinnosti </w:t>
      </w:r>
      <w:r w:rsidR="005854CF" w:rsidRPr="00C200BF">
        <w:rPr>
          <w:rFonts w:ascii="Calibri" w:eastAsia="Calibri" w:hAnsi="Calibri"/>
          <w:b/>
          <w:u w:val="single"/>
          <w:lang w:eastAsia="en-US"/>
        </w:rPr>
        <w:t>zástupce</w:t>
      </w:r>
    </w:p>
    <w:p w:rsidR="00D01A3F" w:rsidRDefault="00D01A3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5854CF">
        <w:rPr>
          <w:sz w:val="24"/>
          <w:szCs w:val="24"/>
        </w:rPr>
        <w:t>ástupce</w:t>
      </w:r>
      <w:r w:rsidRPr="00D66DCF">
        <w:rPr>
          <w:sz w:val="24"/>
          <w:szCs w:val="24"/>
        </w:rPr>
        <w:t xml:space="preserve"> je povinen postupovat při zařizování záležitostí</w:t>
      </w:r>
      <w:r w:rsidR="00B00D3A">
        <w:rPr>
          <w:sz w:val="24"/>
          <w:szCs w:val="24"/>
        </w:rPr>
        <w:t xml:space="preserve"> klienta</w:t>
      </w:r>
      <w:r w:rsidRPr="00D66DCF">
        <w:rPr>
          <w:sz w:val="24"/>
          <w:szCs w:val="24"/>
        </w:rPr>
        <w:t xml:space="preserve"> s odbornou péčí.</w:t>
      </w:r>
    </w:p>
    <w:p w:rsidR="00D01A3F" w:rsidRDefault="005854C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>
        <w:rPr>
          <w:sz w:val="24"/>
          <w:szCs w:val="24"/>
        </w:rPr>
        <w:t xml:space="preserve"> je povinen nad rámec plnění předmětu této smlouvy uvedeného v čl. 1 </w:t>
      </w:r>
      <w:r w:rsidR="00DA0B4E">
        <w:rPr>
          <w:sz w:val="24"/>
          <w:szCs w:val="24"/>
        </w:rPr>
        <w:t xml:space="preserve">této </w:t>
      </w:r>
      <w:r w:rsidR="00D01A3F">
        <w:rPr>
          <w:sz w:val="24"/>
          <w:szCs w:val="24"/>
        </w:rPr>
        <w:t xml:space="preserve">smlouvy </w:t>
      </w:r>
      <w:r w:rsidR="00456BE6" w:rsidRPr="0020600F">
        <w:rPr>
          <w:sz w:val="24"/>
          <w:szCs w:val="24"/>
        </w:rPr>
        <w:t>předložit</w:t>
      </w:r>
      <w:r w:rsidR="00AF0025" w:rsidRPr="0020600F">
        <w:rPr>
          <w:sz w:val="24"/>
          <w:szCs w:val="24"/>
        </w:rPr>
        <w:t xml:space="preserve"> vzorový návrh smlouvy k jednotlivým výběrovým řízením</w:t>
      </w:r>
      <w:r w:rsidR="00D01A3F" w:rsidRPr="0020600F">
        <w:rPr>
          <w:sz w:val="24"/>
          <w:szCs w:val="24"/>
        </w:rPr>
        <w:t xml:space="preserve">. Vzorový návrh smlouvy předložený </w:t>
      </w:r>
      <w:r w:rsidR="00456BE6" w:rsidRPr="0020600F">
        <w:rPr>
          <w:sz w:val="24"/>
          <w:szCs w:val="24"/>
        </w:rPr>
        <w:t>z</w:t>
      </w:r>
      <w:r w:rsidRPr="0020600F">
        <w:rPr>
          <w:sz w:val="24"/>
          <w:szCs w:val="24"/>
        </w:rPr>
        <w:t>ástupcem</w:t>
      </w:r>
      <w:r w:rsidR="00D01A3F" w:rsidRPr="0020600F">
        <w:rPr>
          <w:sz w:val="24"/>
          <w:szCs w:val="24"/>
        </w:rPr>
        <w:t xml:space="preserve"> bude tvořit přílohu textové části zadávací dokumentace k výše uvedené veřejné zakázce. </w:t>
      </w:r>
      <w:r w:rsidR="00CC43A0" w:rsidRPr="0020600F">
        <w:rPr>
          <w:sz w:val="24"/>
          <w:szCs w:val="24"/>
        </w:rPr>
        <w:t>Klient</w:t>
      </w:r>
      <w:r w:rsidR="00456BE6" w:rsidRPr="0020600F">
        <w:rPr>
          <w:sz w:val="24"/>
          <w:szCs w:val="24"/>
        </w:rPr>
        <w:t xml:space="preserve"> má právo vznést k tomuto návrhu připomínky a </w:t>
      </w:r>
      <w:r w:rsidRPr="0020600F">
        <w:rPr>
          <w:sz w:val="24"/>
          <w:szCs w:val="24"/>
        </w:rPr>
        <w:t>zástupce</w:t>
      </w:r>
      <w:r w:rsidR="00456BE6">
        <w:rPr>
          <w:sz w:val="24"/>
          <w:szCs w:val="24"/>
        </w:rPr>
        <w:t xml:space="preserve"> je povinen je po dohodě smluvních stran zapracovat.</w:t>
      </w:r>
    </w:p>
    <w:p w:rsidR="00271630" w:rsidRPr="0020600F" w:rsidRDefault="00271630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20600F">
        <w:rPr>
          <w:sz w:val="24"/>
          <w:szCs w:val="24"/>
        </w:rPr>
        <w:t xml:space="preserve">Zástupce je povinen dodržet požadavky na povinnou publicitu v rámci programů strukturálních fondů stanovené v Pravidlech pro publicitu v rámci OP </w:t>
      </w:r>
      <w:proofErr w:type="spellStart"/>
      <w:r w:rsidRPr="0020600F">
        <w:rPr>
          <w:sz w:val="24"/>
          <w:szCs w:val="24"/>
        </w:rPr>
        <w:t>VaVpI</w:t>
      </w:r>
      <w:proofErr w:type="spellEnd"/>
      <w:r w:rsidRPr="0020600F">
        <w:rPr>
          <w:sz w:val="24"/>
          <w:szCs w:val="24"/>
        </w:rPr>
        <w:t xml:space="preserve"> a OP VK, a to ve všech relevantních dokumentech týkajících se daného výběrového řízení či postupu, tj. zejména v zadávací dokumentaci, všech smlouvách a dalších dokumentech vztahujících se k dané zakázce.</w:t>
      </w:r>
    </w:p>
    <w:p w:rsidR="00D01A3F" w:rsidRPr="00D66DCF" w:rsidRDefault="00D01A3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Činnost, ke které se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zavázal, je povinen uskutečňovat v souladu se zájmy </w:t>
      </w:r>
      <w:r w:rsidR="00CC43A0">
        <w:rPr>
          <w:sz w:val="24"/>
          <w:szCs w:val="24"/>
        </w:rPr>
        <w:t>klienta</w:t>
      </w:r>
      <w:r w:rsidRPr="00D66DCF">
        <w:rPr>
          <w:sz w:val="24"/>
          <w:szCs w:val="24"/>
        </w:rPr>
        <w:t xml:space="preserve">, které </w:t>
      </w:r>
      <w:r w:rsidR="005854CF">
        <w:rPr>
          <w:sz w:val="24"/>
          <w:szCs w:val="24"/>
        </w:rPr>
        <w:t>zástupce</w:t>
      </w:r>
      <w:r>
        <w:rPr>
          <w:sz w:val="24"/>
          <w:szCs w:val="24"/>
        </w:rPr>
        <w:t xml:space="preserve"> </w:t>
      </w:r>
      <w:r w:rsidRPr="00D66DCF">
        <w:rPr>
          <w:sz w:val="24"/>
          <w:szCs w:val="24"/>
        </w:rPr>
        <w:t xml:space="preserve">zná nebo musí znát.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je povinen oznámit </w:t>
      </w:r>
      <w:r w:rsidR="00CC43A0">
        <w:rPr>
          <w:sz w:val="24"/>
          <w:szCs w:val="24"/>
        </w:rPr>
        <w:t>klientovi</w:t>
      </w:r>
      <w:r w:rsidRPr="00D66DCF">
        <w:rPr>
          <w:sz w:val="24"/>
          <w:szCs w:val="24"/>
        </w:rPr>
        <w:t xml:space="preserve"> všechny okolnosti, které zjistil při zařizování záležitostí a </w:t>
      </w:r>
      <w:r w:rsidR="00DA0B4E">
        <w:rPr>
          <w:sz w:val="24"/>
          <w:szCs w:val="24"/>
        </w:rPr>
        <w:t>které</w:t>
      </w:r>
      <w:r w:rsidRPr="00D66DCF">
        <w:rPr>
          <w:sz w:val="24"/>
          <w:szCs w:val="24"/>
        </w:rPr>
        <w:t xml:space="preserve"> mohou mít vliv</w:t>
      </w:r>
      <w:r>
        <w:rPr>
          <w:sz w:val="24"/>
          <w:szCs w:val="24"/>
        </w:rPr>
        <w:t xml:space="preserve"> </w:t>
      </w:r>
      <w:r w:rsidR="00DA0B4E">
        <w:rPr>
          <w:sz w:val="24"/>
          <w:szCs w:val="24"/>
        </w:rPr>
        <w:t>na</w:t>
      </w:r>
      <w:r w:rsidR="002954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postup </w:t>
      </w:r>
      <w:r w:rsidR="005854CF">
        <w:rPr>
          <w:sz w:val="24"/>
          <w:szCs w:val="24"/>
        </w:rPr>
        <w:t>zástupce</w:t>
      </w:r>
      <w:r w:rsidRPr="00D66DCF">
        <w:rPr>
          <w:sz w:val="24"/>
          <w:szCs w:val="24"/>
        </w:rPr>
        <w:t>.</w:t>
      </w:r>
    </w:p>
    <w:p w:rsidR="00456BE6" w:rsidRDefault="005854C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je povinen zajistit výkon zadavatelských činností a zadávacího řízení v souladu s platnými právními předpisy a je povinen dodržet </w:t>
      </w:r>
      <w:r w:rsidR="00CC43A0">
        <w:rPr>
          <w:sz w:val="24"/>
          <w:szCs w:val="24"/>
        </w:rPr>
        <w:t>klientem</w:t>
      </w:r>
      <w:r w:rsidR="00D01A3F">
        <w:rPr>
          <w:sz w:val="24"/>
          <w:szCs w:val="24"/>
        </w:rPr>
        <w:t xml:space="preserve"> </w:t>
      </w:r>
      <w:r w:rsidR="00D01A3F" w:rsidRPr="00D66DCF">
        <w:rPr>
          <w:sz w:val="24"/>
          <w:szCs w:val="24"/>
        </w:rPr>
        <w:t xml:space="preserve">určené termíny a </w:t>
      </w:r>
      <w:r w:rsidR="00D01A3F" w:rsidRPr="00CC43A0">
        <w:rPr>
          <w:sz w:val="24"/>
          <w:szCs w:val="24"/>
        </w:rPr>
        <w:t xml:space="preserve">dodržet povinnosti dané touto smlouvou. Poruší-li tyto povinnosti, odpovídá za případnou škodu tím způsobenou </w:t>
      </w:r>
      <w:r w:rsidR="00CC43A0">
        <w:rPr>
          <w:sz w:val="24"/>
          <w:szCs w:val="24"/>
        </w:rPr>
        <w:t>klientovi</w:t>
      </w:r>
      <w:r w:rsidR="00D01A3F" w:rsidRPr="00CC43A0">
        <w:rPr>
          <w:sz w:val="24"/>
          <w:szCs w:val="24"/>
        </w:rPr>
        <w:t xml:space="preserve">. </w:t>
      </w:r>
    </w:p>
    <w:p w:rsidR="00D01A3F" w:rsidRPr="00827757" w:rsidRDefault="005854C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Zástupce</w:t>
      </w:r>
      <w:r w:rsidR="00D01A3F" w:rsidRPr="00D66DCF">
        <w:rPr>
          <w:sz w:val="24"/>
          <w:szCs w:val="24"/>
        </w:rPr>
        <w:t xml:space="preserve"> je povinen předat bez zbytečného odkladu </w:t>
      </w:r>
      <w:r w:rsidR="00CC43A0">
        <w:rPr>
          <w:sz w:val="24"/>
          <w:szCs w:val="24"/>
        </w:rPr>
        <w:t>klientovi</w:t>
      </w:r>
      <w:r w:rsidR="00D01A3F" w:rsidRPr="00D66DCF">
        <w:rPr>
          <w:sz w:val="24"/>
          <w:szCs w:val="24"/>
        </w:rPr>
        <w:t xml:space="preserve"> věci, které za něho převzal </w:t>
      </w:r>
      <w:r w:rsidR="00D01A3F" w:rsidRPr="00827757">
        <w:rPr>
          <w:sz w:val="24"/>
          <w:szCs w:val="24"/>
        </w:rPr>
        <w:t>při vyřizování záležitostí.</w:t>
      </w:r>
    </w:p>
    <w:p w:rsidR="00D01A3F" w:rsidRPr="00D01A3F" w:rsidRDefault="005854C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odpovídá za škodu na věcech převzatých od </w:t>
      </w:r>
      <w:r w:rsidR="00CC43A0">
        <w:rPr>
          <w:sz w:val="24"/>
          <w:szCs w:val="24"/>
        </w:rPr>
        <w:t>klienta</w:t>
      </w:r>
      <w:r w:rsidR="00D01A3F" w:rsidRPr="00D66DCF">
        <w:rPr>
          <w:sz w:val="24"/>
          <w:szCs w:val="24"/>
        </w:rPr>
        <w:t xml:space="preserve"> k zařízení záležitostí a na</w:t>
      </w:r>
      <w:r w:rsidR="00DA0B4E">
        <w:rPr>
          <w:sz w:val="24"/>
          <w:szCs w:val="24"/>
        </w:rPr>
        <w:t> </w:t>
      </w:r>
      <w:r w:rsidR="00D01A3F" w:rsidRPr="00D66DCF">
        <w:rPr>
          <w:sz w:val="24"/>
          <w:szCs w:val="24"/>
        </w:rPr>
        <w:t>věcech převzatých při jejich zařizování od třetích osob, ledaže tuto škodu nemohl odvrátit ani při vynaložení odborné péče.</w:t>
      </w:r>
    </w:p>
    <w:p w:rsidR="00D01A3F" w:rsidRPr="00D66DCF" w:rsidRDefault="00CD4853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>
        <w:rPr>
          <w:sz w:val="24"/>
          <w:szCs w:val="24"/>
        </w:rPr>
        <w:t xml:space="preserve"> </w:t>
      </w:r>
      <w:r w:rsidR="00D01A3F" w:rsidRPr="00D66DCF">
        <w:rPr>
          <w:sz w:val="24"/>
          <w:szCs w:val="24"/>
        </w:rPr>
        <w:t xml:space="preserve">odpovídá </w:t>
      </w:r>
      <w:r w:rsidR="00CC43A0">
        <w:rPr>
          <w:sz w:val="24"/>
          <w:szCs w:val="24"/>
        </w:rPr>
        <w:t>klientovi</w:t>
      </w:r>
      <w:r w:rsidR="00D01A3F" w:rsidRPr="00D66DCF">
        <w:rPr>
          <w:sz w:val="24"/>
          <w:szCs w:val="24"/>
        </w:rPr>
        <w:t xml:space="preserve"> za řádné a včasné provedení ve</w:t>
      </w:r>
      <w:r w:rsidR="00D01A3F">
        <w:rPr>
          <w:sz w:val="24"/>
          <w:szCs w:val="24"/>
        </w:rPr>
        <w:t xml:space="preserve">škerých právních úkonů </w:t>
      </w:r>
      <w:r w:rsidR="0020600F">
        <w:rPr>
          <w:sz w:val="24"/>
          <w:szCs w:val="24"/>
        </w:rPr>
        <w:t>v </w:t>
      </w:r>
      <w:r w:rsidR="00D01A3F" w:rsidRPr="00D66DCF">
        <w:rPr>
          <w:sz w:val="24"/>
          <w:szCs w:val="24"/>
        </w:rPr>
        <w:t xml:space="preserve">rámci plnění předmětu </w:t>
      </w:r>
      <w:r w:rsidR="00D01A3F">
        <w:rPr>
          <w:sz w:val="24"/>
          <w:szCs w:val="24"/>
        </w:rPr>
        <w:t xml:space="preserve">a za podmínek </w:t>
      </w:r>
      <w:r w:rsidR="00D01A3F" w:rsidRPr="00D66DCF">
        <w:rPr>
          <w:sz w:val="24"/>
          <w:szCs w:val="24"/>
        </w:rPr>
        <w:t xml:space="preserve">této smlouvy a odpovídá za případné škody, které těmito právními úkony vzniknou </w:t>
      </w:r>
      <w:r w:rsidR="00CC43A0">
        <w:rPr>
          <w:sz w:val="24"/>
          <w:szCs w:val="24"/>
        </w:rPr>
        <w:t>klientovi</w:t>
      </w:r>
      <w:r w:rsidR="00D01A3F" w:rsidRPr="00D66DCF">
        <w:rPr>
          <w:sz w:val="24"/>
          <w:szCs w:val="24"/>
        </w:rPr>
        <w:t xml:space="preserve">, pokud při těchto právních úkonech postupoval </w:t>
      </w: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v rozporu s platnými právními předpisy nebo v rozporu s touto smlouvou. </w:t>
      </w:r>
      <w:r>
        <w:rPr>
          <w:sz w:val="24"/>
          <w:szCs w:val="24"/>
        </w:rPr>
        <w:t>Zástupce</w:t>
      </w:r>
      <w:r w:rsidR="00D01A3F" w:rsidRPr="00D66DCF">
        <w:rPr>
          <w:sz w:val="24"/>
          <w:szCs w:val="24"/>
        </w:rPr>
        <w:t xml:space="preserve"> se této odpovědnosti zprostí zcela nebo z</w:t>
      </w:r>
      <w:r w:rsidR="0020600F">
        <w:rPr>
          <w:sz w:val="24"/>
          <w:szCs w:val="24"/>
        </w:rPr>
        <w:t xml:space="preserve"> </w:t>
      </w:r>
      <w:r w:rsidR="00D01A3F" w:rsidRPr="00D66DCF">
        <w:rPr>
          <w:sz w:val="24"/>
          <w:szCs w:val="24"/>
        </w:rPr>
        <w:t>části v případě, kdy ke</w:t>
      </w:r>
      <w:r w:rsidR="00DA0B4E">
        <w:rPr>
          <w:sz w:val="24"/>
          <w:szCs w:val="24"/>
        </w:rPr>
        <w:t> </w:t>
      </w:r>
      <w:r w:rsidR="00D01A3F" w:rsidRPr="00D66DCF">
        <w:rPr>
          <w:sz w:val="24"/>
          <w:szCs w:val="24"/>
        </w:rPr>
        <w:t>škodě došlo prokazatelným pochybením na straně</w:t>
      </w:r>
      <w:r w:rsidR="00D01A3F">
        <w:rPr>
          <w:sz w:val="24"/>
          <w:szCs w:val="24"/>
        </w:rPr>
        <w:t xml:space="preserve"> </w:t>
      </w:r>
      <w:r w:rsidR="00CC43A0">
        <w:rPr>
          <w:sz w:val="24"/>
          <w:szCs w:val="24"/>
        </w:rPr>
        <w:t>klienta</w:t>
      </w:r>
      <w:r w:rsidR="00D01A3F">
        <w:rPr>
          <w:sz w:val="24"/>
          <w:szCs w:val="24"/>
        </w:rPr>
        <w:t xml:space="preserve"> v případ</w:t>
      </w:r>
      <w:r w:rsidR="00D01A3F" w:rsidRPr="00D66DCF">
        <w:rPr>
          <w:sz w:val="24"/>
          <w:szCs w:val="24"/>
        </w:rPr>
        <w:t>ě, že postupoval dle pokynů</w:t>
      </w:r>
      <w:r w:rsidR="00D01A3F">
        <w:rPr>
          <w:sz w:val="24"/>
          <w:szCs w:val="24"/>
        </w:rPr>
        <w:t xml:space="preserve"> </w:t>
      </w:r>
      <w:r w:rsidR="00CC43A0">
        <w:rPr>
          <w:sz w:val="24"/>
          <w:szCs w:val="24"/>
        </w:rPr>
        <w:t>klienta</w:t>
      </w:r>
      <w:r w:rsidR="00D01A3F" w:rsidRPr="00D66DCF">
        <w:rPr>
          <w:sz w:val="24"/>
          <w:szCs w:val="24"/>
        </w:rPr>
        <w:t xml:space="preserve">, který nedbal předchozího upozornění </w:t>
      </w:r>
      <w:r>
        <w:rPr>
          <w:sz w:val="24"/>
          <w:szCs w:val="24"/>
        </w:rPr>
        <w:t>zástupce</w:t>
      </w:r>
      <w:r w:rsidR="00D01A3F">
        <w:rPr>
          <w:sz w:val="24"/>
          <w:szCs w:val="24"/>
        </w:rPr>
        <w:t xml:space="preserve"> na</w:t>
      </w:r>
      <w:r w:rsidR="00D01A3F" w:rsidRPr="00D66DCF">
        <w:rPr>
          <w:sz w:val="24"/>
          <w:szCs w:val="24"/>
        </w:rPr>
        <w:t xml:space="preserve"> nevhodnost jeho pokynů. </w:t>
      </w:r>
    </w:p>
    <w:p w:rsidR="00D01A3F" w:rsidRPr="00D66DCF" w:rsidRDefault="00D01A3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V případě, kdy dojde ke zrušení zadávacího řízení z rozhodnutí ÚOHS nebo z rozhodnutí </w:t>
      </w:r>
      <w:r w:rsidR="00CC43A0">
        <w:rPr>
          <w:sz w:val="24"/>
          <w:szCs w:val="24"/>
        </w:rPr>
        <w:t>klienta</w:t>
      </w:r>
      <w:r w:rsidRPr="00D66DCF">
        <w:rPr>
          <w:sz w:val="24"/>
          <w:szCs w:val="24"/>
        </w:rPr>
        <w:t xml:space="preserve"> kvůli pochybení v zadání veřejné zakázky nebo kvůli úkonu, který by měl za</w:t>
      </w:r>
      <w:r w:rsidR="0029546B">
        <w:rPr>
          <w:sz w:val="24"/>
          <w:szCs w:val="24"/>
        </w:rPr>
        <w:t> </w:t>
      </w:r>
      <w:r w:rsidRPr="00D66DCF">
        <w:rPr>
          <w:sz w:val="24"/>
          <w:szCs w:val="24"/>
        </w:rPr>
        <w:t xml:space="preserve">následek zrušení zadávacího řízení ze strany ÚOHS, se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zavazuje provést opakované zadávací řízení bezplatně. V případě, že ÚOHS uzná námitku podanou dodavatelem za důvodnou a následně nařídí, aby </w:t>
      </w:r>
      <w:r w:rsidR="00CC43A0">
        <w:rPr>
          <w:sz w:val="24"/>
          <w:szCs w:val="24"/>
        </w:rPr>
        <w:t>klient</w:t>
      </w:r>
      <w:r w:rsidRPr="00D66DCF">
        <w:rPr>
          <w:sz w:val="24"/>
          <w:szCs w:val="24"/>
        </w:rPr>
        <w:t xml:space="preserve"> provedl nový úkon v rámci zadávacího řízení nebo provedl nápravná opatření, provede tato nápravná opatření </w:t>
      </w:r>
      <w:r w:rsidR="00CD4853">
        <w:rPr>
          <w:sz w:val="24"/>
          <w:szCs w:val="24"/>
        </w:rPr>
        <w:t>zástupce</w:t>
      </w:r>
      <w:r>
        <w:rPr>
          <w:sz w:val="24"/>
          <w:szCs w:val="24"/>
        </w:rPr>
        <w:t xml:space="preserve"> na s</w:t>
      </w:r>
      <w:r w:rsidRPr="00D66DCF">
        <w:rPr>
          <w:sz w:val="24"/>
          <w:szCs w:val="24"/>
        </w:rPr>
        <w:t xml:space="preserve">vé vlastní náklady. V případě udělení majetkové sankce ÚOHS jde tato sankce v k tíži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, který se ji zavazuje zaplatit.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se tohoto závazku zprostí v případě, kdy k udělení sankce došlo prokazatelným pochybením na straně </w:t>
      </w:r>
      <w:r w:rsidR="00CC43A0">
        <w:rPr>
          <w:sz w:val="24"/>
          <w:szCs w:val="24"/>
        </w:rPr>
        <w:t>klienta</w:t>
      </w:r>
      <w:r w:rsidRPr="00D66DCF">
        <w:rPr>
          <w:sz w:val="24"/>
          <w:szCs w:val="24"/>
        </w:rPr>
        <w:t>.</w:t>
      </w:r>
    </w:p>
    <w:p w:rsidR="00EF68CA" w:rsidRPr="00CC43A0" w:rsidRDefault="00D01A3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Zjistí-li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při zajišťování prací překážky, které znemožňují řádné uskutečnění činnosti a právních úkonů dohodnutým způsobem, oznámí to neprodleně</w:t>
      </w:r>
      <w:r w:rsidR="00BD42BB">
        <w:rPr>
          <w:sz w:val="24"/>
          <w:szCs w:val="24"/>
        </w:rPr>
        <w:t xml:space="preserve"> písemně</w:t>
      </w:r>
      <w:r w:rsidRPr="00D66DCF">
        <w:rPr>
          <w:sz w:val="24"/>
          <w:szCs w:val="24"/>
        </w:rPr>
        <w:t xml:space="preserve"> </w:t>
      </w:r>
      <w:r w:rsidR="00CD4853">
        <w:rPr>
          <w:sz w:val="24"/>
          <w:szCs w:val="24"/>
        </w:rPr>
        <w:t>klientovi</w:t>
      </w:r>
      <w:r w:rsidRPr="00D66DCF">
        <w:rPr>
          <w:sz w:val="24"/>
          <w:szCs w:val="24"/>
        </w:rPr>
        <w:t xml:space="preserve">, se kterým se dohodne na odstranění těchto překážek. Nedohodnou-li se strany na odstranění překážek, popř. změně smlouvy, ve lhůtě 10 dnů, je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oprávněn vypovědět smlouvu ve smyslu ustanovení této smlouvy. </w:t>
      </w:r>
      <w:r w:rsidR="00CD4853">
        <w:rPr>
          <w:sz w:val="24"/>
          <w:szCs w:val="24"/>
        </w:rPr>
        <w:t>Zástupci</w:t>
      </w:r>
      <w:r w:rsidRPr="00D66DCF">
        <w:rPr>
          <w:sz w:val="24"/>
          <w:szCs w:val="24"/>
        </w:rPr>
        <w:t xml:space="preserve"> náleží v tomto případě částka, kterou dosud účelně a n</w:t>
      </w:r>
      <w:r>
        <w:rPr>
          <w:sz w:val="24"/>
          <w:szCs w:val="24"/>
        </w:rPr>
        <w:t xml:space="preserve">ezbytně vynaložil pro potřeby </w:t>
      </w:r>
      <w:r w:rsidR="00CC43A0">
        <w:rPr>
          <w:sz w:val="24"/>
          <w:szCs w:val="24"/>
        </w:rPr>
        <w:t>klienta</w:t>
      </w:r>
      <w:r w:rsidRPr="00D66DCF">
        <w:rPr>
          <w:sz w:val="24"/>
          <w:szCs w:val="24"/>
        </w:rPr>
        <w:t>.</w:t>
      </w:r>
    </w:p>
    <w:p w:rsidR="00A16AE3" w:rsidRPr="00EF68CA" w:rsidRDefault="00CD4853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D01A3F">
        <w:rPr>
          <w:sz w:val="24"/>
          <w:szCs w:val="24"/>
        </w:rPr>
        <w:t xml:space="preserve"> nehradí jakékoli sankce a neodpovídá za jakékoli škody způsobené </w:t>
      </w:r>
      <w:r w:rsidR="00CC43A0">
        <w:rPr>
          <w:sz w:val="24"/>
          <w:szCs w:val="24"/>
        </w:rPr>
        <w:t>klientovi</w:t>
      </w:r>
      <w:r w:rsidR="00D01A3F">
        <w:rPr>
          <w:sz w:val="24"/>
          <w:szCs w:val="24"/>
        </w:rPr>
        <w:t xml:space="preserve"> při plnění povinností této smlouvy, pokud tyto škody nebyly prokazatelně způsobeny vadným plněním poskytnutým </w:t>
      </w:r>
      <w:r>
        <w:rPr>
          <w:sz w:val="24"/>
          <w:szCs w:val="24"/>
        </w:rPr>
        <w:t>zástupcem</w:t>
      </w:r>
      <w:r w:rsidR="00D01A3F">
        <w:rPr>
          <w:sz w:val="24"/>
          <w:szCs w:val="24"/>
        </w:rPr>
        <w:t xml:space="preserve"> </w:t>
      </w:r>
      <w:r w:rsidR="00CC43A0">
        <w:rPr>
          <w:sz w:val="24"/>
          <w:szCs w:val="24"/>
        </w:rPr>
        <w:t>klientovi</w:t>
      </w:r>
      <w:r w:rsidR="00D01A3F">
        <w:rPr>
          <w:sz w:val="24"/>
          <w:szCs w:val="24"/>
        </w:rPr>
        <w:t xml:space="preserve"> na základě této smlouvy.</w:t>
      </w:r>
    </w:p>
    <w:p w:rsidR="00D01A3F" w:rsidRDefault="00CD4853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Zástupce</w:t>
      </w:r>
      <w:r w:rsidR="00D01A3F" w:rsidRPr="00D66DCF">
        <w:rPr>
          <w:sz w:val="24"/>
          <w:szCs w:val="24"/>
        </w:rPr>
        <w:t xml:space="preserve"> je pro případ plnění náhrady škody z titulu odpovědnosti za škodu řádně </w:t>
      </w:r>
      <w:r w:rsidR="00EE05F9">
        <w:rPr>
          <w:sz w:val="24"/>
          <w:szCs w:val="24"/>
        </w:rPr>
        <w:t>p</w:t>
      </w:r>
      <w:r w:rsidR="00D01A3F" w:rsidRPr="00D66DCF">
        <w:rPr>
          <w:sz w:val="24"/>
          <w:szCs w:val="24"/>
        </w:rPr>
        <w:t>ojištěn, a to pojistnou smlouvou č. </w:t>
      </w:r>
      <w:r w:rsidR="001D40FA" w:rsidRPr="00632DFC">
        <w:rPr>
          <w:sz w:val="24"/>
          <w:szCs w:val="24"/>
          <w:highlight w:val="yellow"/>
        </w:rPr>
        <w:t>……………………</w:t>
      </w:r>
      <w:r w:rsidR="00D01A3F" w:rsidRPr="00D66DCF">
        <w:rPr>
          <w:sz w:val="24"/>
          <w:szCs w:val="24"/>
        </w:rPr>
        <w:t xml:space="preserve"> sjednanou </w:t>
      </w:r>
      <w:r w:rsidR="00C20261">
        <w:rPr>
          <w:sz w:val="24"/>
          <w:szCs w:val="24"/>
        </w:rPr>
        <w:t xml:space="preserve">s </w:t>
      </w:r>
      <w:r w:rsidR="001D40FA" w:rsidRPr="00632DFC">
        <w:rPr>
          <w:sz w:val="24"/>
          <w:szCs w:val="24"/>
          <w:highlight w:val="yellow"/>
        </w:rPr>
        <w:t>……………………</w:t>
      </w:r>
      <w:r w:rsidR="00D01A3F">
        <w:rPr>
          <w:sz w:val="24"/>
          <w:szCs w:val="24"/>
        </w:rPr>
        <w:t>,</w:t>
      </w:r>
      <w:r w:rsidR="00D01A3F" w:rsidRPr="00D66DCF">
        <w:rPr>
          <w:sz w:val="24"/>
          <w:szCs w:val="24"/>
        </w:rPr>
        <w:t xml:space="preserve"> dne </w:t>
      </w:r>
      <w:r w:rsidR="001D40FA" w:rsidRPr="00632DFC">
        <w:rPr>
          <w:sz w:val="24"/>
          <w:szCs w:val="24"/>
          <w:highlight w:val="yellow"/>
        </w:rPr>
        <w:t>……………………</w:t>
      </w:r>
    </w:p>
    <w:p w:rsidR="00252513" w:rsidRDefault="00D01A3F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 xml:space="preserve">Odpovědnou osobou </w:t>
      </w:r>
      <w:r w:rsidR="00CD4853">
        <w:rPr>
          <w:sz w:val="24"/>
          <w:szCs w:val="24"/>
        </w:rPr>
        <w:t>zástupce</w:t>
      </w:r>
      <w:r w:rsidRPr="00D66DCF">
        <w:rPr>
          <w:sz w:val="24"/>
          <w:szCs w:val="24"/>
        </w:rPr>
        <w:t xml:space="preserve"> ve věcech této smlouvy je </w:t>
      </w:r>
      <w:r>
        <w:rPr>
          <w:sz w:val="24"/>
          <w:szCs w:val="24"/>
        </w:rPr>
        <w:t>pan</w:t>
      </w:r>
      <w:r w:rsidR="00F909F8">
        <w:rPr>
          <w:sz w:val="24"/>
          <w:szCs w:val="24"/>
        </w:rPr>
        <w:t>/paní</w:t>
      </w:r>
      <w:r>
        <w:rPr>
          <w:sz w:val="24"/>
          <w:szCs w:val="24"/>
        </w:rPr>
        <w:t xml:space="preserve"> </w:t>
      </w:r>
      <w:r w:rsidR="001D40FA" w:rsidRPr="00632DFC">
        <w:rPr>
          <w:sz w:val="24"/>
          <w:szCs w:val="24"/>
          <w:highlight w:val="yellow"/>
        </w:rPr>
        <w:t>……………………</w:t>
      </w:r>
      <w:r>
        <w:rPr>
          <w:sz w:val="24"/>
          <w:szCs w:val="24"/>
        </w:rPr>
        <w:t>,</w:t>
      </w:r>
      <w:r w:rsidRPr="00D66DCF">
        <w:rPr>
          <w:sz w:val="24"/>
          <w:szCs w:val="24"/>
        </w:rPr>
        <w:t xml:space="preserve"> tel: </w:t>
      </w:r>
      <w:r w:rsidR="001D40FA" w:rsidRPr="00632DFC">
        <w:rPr>
          <w:sz w:val="24"/>
          <w:szCs w:val="24"/>
          <w:highlight w:val="yellow"/>
        </w:rPr>
        <w:t>……………………</w:t>
      </w:r>
      <w:r>
        <w:rPr>
          <w:sz w:val="24"/>
          <w:szCs w:val="24"/>
        </w:rPr>
        <w:t>,</w:t>
      </w:r>
      <w:r w:rsidRPr="00D66DCF">
        <w:rPr>
          <w:sz w:val="24"/>
          <w:szCs w:val="24"/>
        </w:rPr>
        <w:t xml:space="preserve"> e-mail: </w:t>
      </w:r>
      <w:r w:rsidR="001D40FA" w:rsidRPr="00632DFC">
        <w:rPr>
          <w:sz w:val="24"/>
          <w:szCs w:val="24"/>
          <w:highlight w:val="yellow"/>
        </w:rPr>
        <w:t>……………………</w:t>
      </w:r>
    </w:p>
    <w:p w:rsidR="00252513" w:rsidRPr="00632DFC" w:rsidRDefault="00A311C2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 w:rsidRPr="00252513">
        <w:rPr>
          <w:sz w:val="24"/>
          <w:szCs w:val="24"/>
        </w:rPr>
        <w:t xml:space="preserve">Zástupce je podle ustanovení § 2 písm. e) zákona č. 320/2001 Sb., o finanční kontrole </w:t>
      </w:r>
      <w:r w:rsidRPr="00632DFC">
        <w:rPr>
          <w:sz w:val="24"/>
          <w:szCs w:val="24"/>
        </w:rPr>
        <w:t>ve veřejné správě a o změně některých zákonů, ve znění pozdějších předpisů, osobou povinnou spolupůsobit při výkonu finanční kontroly prováděné v souvislosti s úhradou služeb z veřejných výdajů, tzn., že je povinen po</w:t>
      </w:r>
      <w:r w:rsidR="0020600F">
        <w:rPr>
          <w:sz w:val="24"/>
          <w:szCs w:val="24"/>
        </w:rPr>
        <w:t>skytnout požadované informace a </w:t>
      </w:r>
      <w:r w:rsidRPr="00632DFC">
        <w:rPr>
          <w:sz w:val="24"/>
          <w:szCs w:val="24"/>
        </w:rPr>
        <w:t>dokumentaci zaměstnancům nebo zmocněncům pověřených orgánů (MMR, MF, Evropská Komise, Evropský účetní dvůr, NKÚ, příslušný FÚ, řídící orgán OP</w:t>
      </w:r>
      <w:r w:rsidR="00252513" w:rsidRPr="00632DFC">
        <w:rPr>
          <w:sz w:val="24"/>
          <w:szCs w:val="24"/>
        </w:rPr>
        <w:t>VK</w:t>
      </w:r>
      <w:r w:rsidR="0029546B">
        <w:rPr>
          <w:sz w:val="24"/>
          <w:szCs w:val="24"/>
        </w:rPr>
        <w:t xml:space="preserve"> a</w:t>
      </w:r>
      <w:r w:rsidR="00252513" w:rsidRPr="00632DFC">
        <w:rPr>
          <w:sz w:val="24"/>
          <w:szCs w:val="24"/>
        </w:rPr>
        <w:t xml:space="preserve"> </w:t>
      </w:r>
      <w:proofErr w:type="spellStart"/>
      <w:r w:rsidR="00252513" w:rsidRPr="00632DFC">
        <w:rPr>
          <w:sz w:val="24"/>
          <w:szCs w:val="24"/>
        </w:rPr>
        <w:t>OPVaVpI</w:t>
      </w:r>
      <w:proofErr w:type="spellEnd"/>
      <w:r w:rsidR="0020600F">
        <w:rPr>
          <w:sz w:val="24"/>
          <w:szCs w:val="24"/>
        </w:rPr>
        <w:t xml:space="preserve"> a </w:t>
      </w:r>
      <w:r w:rsidRPr="00632DFC">
        <w:rPr>
          <w:sz w:val="24"/>
          <w:szCs w:val="24"/>
        </w:rPr>
        <w:t>další oprávněné orgány státní správy) a vytvořit výše uvedeným orgánům podmínky k provedení kontroly vztahující se k předmětu díla a poskytnout jim součinnost.</w:t>
      </w:r>
    </w:p>
    <w:p w:rsidR="00A311C2" w:rsidRPr="00632DFC" w:rsidRDefault="00252513" w:rsidP="00D65795">
      <w:pPr>
        <w:numPr>
          <w:ilvl w:val="1"/>
          <w:numId w:val="44"/>
        </w:numPr>
        <w:spacing w:before="120"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Zástupce</w:t>
      </w:r>
      <w:r w:rsidR="00A311C2" w:rsidRPr="005A2740">
        <w:rPr>
          <w:sz w:val="24"/>
          <w:szCs w:val="24"/>
        </w:rPr>
        <w:t xml:space="preserve"> je povinen uchovávat veškerou dokumentaci související s realizací předmětu</w:t>
      </w:r>
      <w:r w:rsidR="00632DFC">
        <w:rPr>
          <w:sz w:val="24"/>
          <w:szCs w:val="24"/>
        </w:rPr>
        <w:t xml:space="preserve"> </w:t>
      </w:r>
      <w:r w:rsidR="00A311C2" w:rsidRPr="00632DFC">
        <w:rPr>
          <w:sz w:val="24"/>
          <w:szCs w:val="24"/>
        </w:rPr>
        <w:t xml:space="preserve">smlouvy (zejména originální vyhotovení smlouvy včetně jejích dodatků, originály účetních dokladů a dalších dokladů vztahujících </w:t>
      </w:r>
      <w:proofErr w:type="gramStart"/>
      <w:r w:rsidR="00A311C2" w:rsidRPr="00632DFC">
        <w:rPr>
          <w:sz w:val="24"/>
          <w:szCs w:val="24"/>
        </w:rPr>
        <w:t>se</w:t>
      </w:r>
      <w:proofErr w:type="gramEnd"/>
      <w:r w:rsidR="00A311C2" w:rsidRPr="00632DFC">
        <w:rPr>
          <w:sz w:val="24"/>
          <w:szCs w:val="24"/>
        </w:rPr>
        <w:t xml:space="preserve"> k realizaci předmětu smlouvy) po</w:t>
      </w:r>
      <w:r w:rsidR="0029546B">
        <w:rPr>
          <w:sz w:val="24"/>
          <w:szCs w:val="24"/>
        </w:rPr>
        <w:t> </w:t>
      </w:r>
      <w:r w:rsidR="00A311C2" w:rsidRPr="00632DFC">
        <w:rPr>
          <w:sz w:val="24"/>
          <w:szCs w:val="24"/>
        </w:rPr>
        <w:t xml:space="preserve">dobu 10 let od zániku této smlouvy, minimálně však do konce roku 2023. Po tuto dobu je </w:t>
      </w:r>
      <w:r w:rsidRPr="00632DFC">
        <w:rPr>
          <w:sz w:val="24"/>
          <w:szCs w:val="24"/>
        </w:rPr>
        <w:t>zástupce</w:t>
      </w:r>
      <w:r w:rsidR="00A311C2" w:rsidRPr="00632DFC">
        <w:rPr>
          <w:sz w:val="24"/>
          <w:szCs w:val="24"/>
        </w:rPr>
        <w:t xml:space="preserve"> povinen umožnit osobám oprávněným k výkonu kontroly projektů i </w:t>
      </w:r>
      <w:r w:rsidRPr="00632DFC">
        <w:rPr>
          <w:sz w:val="24"/>
          <w:szCs w:val="24"/>
        </w:rPr>
        <w:t>klientov</w:t>
      </w:r>
      <w:r w:rsidR="00A311C2" w:rsidRPr="00632DFC">
        <w:rPr>
          <w:sz w:val="24"/>
          <w:szCs w:val="24"/>
        </w:rPr>
        <w:t>i provést kontrolu dokladů souvisejících s plněním této smlouvy.</w:t>
      </w:r>
    </w:p>
    <w:p w:rsidR="00A311C2" w:rsidRPr="00D66DCF" w:rsidRDefault="00A311C2" w:rsidP="00D65795">
      <w:pPr>
        <w:spacing w:before="120" w:after="0" w:line="312" w:lineRule="auto"/>
        <w:ind w:left="567" w:hanging="567"/>
        <w:jc w:val="both"/>
        <w:rPr>
          <w:sz w:val="24"/>
          <w:szCs w:val="24"/>
        </w:rPr>
      </w:pPr>
    </w:p>
    <w:p w:rsidR="00D01A3F" w:rsidRPr="00827757" w:rsidRDefault="00456BE6" w:rsidP="0020600F">
      <w:pPr>
        <w:pStyle w:val="Nadpis1"/>
        <w:spacing w:before="120" w:line="312" w:lineRule="auto"/>
        <w:jc w:val="center"/>
        <w:rPr>
          <w:rFonts w:ascii="Calibri" w:eastAsia="Calibri" w:hAnsi="Calibri"/>
          <w:b/>
          <w:u w:val="single"/>
          <w:lang w:eastAsia="en-US"/>
        </w:rPr>
      </w:pPr>
      <w:r w:rsidRPr="00827757">
        <w:rPr>
          <w:rFonts w:ascii="Calibri" w:eastAsia="Calibri" w:hAnsi="Calibri"/>
          <w:b/>
          <w:u w:val="single"/>
          <w:lang w:eastAsia="en-US"/>
        </w:rPr>
        <w:t>Článek 6</w:t>
      </w:r>
      <w:r w:rsidR="00D01A3F" w:rsidRPr="00827757">
        <w:rPr>
          <w:rFonts w:ascii="Calibri" w:eastAsia="Calibri" w:hAnsi="Calibri"/>
          <w:b/>
          <w:u w:val="single"/>
          <w:lang w:eastAsia="en-US"/>
        </w:rPr>
        <w:t>.   Ostatní a závěrečná ustanovení</w:t>
      </w:r>
    </w:p>
    <w:p w:rsidR="00D01A3F" w:rsidRPr="00CD4853" w:rsidRDefault="00D01A3F" w:rsidP="00D65795">
      <w:pPr>
        <w:pStyle w:val="Zkladntext"/>
        <w:numPr>
          <w:ilvl w:val="1"/>
          <w:numId w:val="45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CD4853">
        <w:rPr>
          <w:rFonts w:ascii="Calibri" w:eastAsia="Calibri" w:hAnsi="Calibri"/>
          <w:lang w:eastAsia="en-US"/>
        </w:rPr>
        <w:t>Smluvní strany se dohodly, že veškeré informace a dokumenty, které získají v</w:t>
      </w:r>
      <w:r w:rsidR="00DA3B3F">
        <w:rPr>
          <w:rFonts w:ascii="Calibri" w:eastAsia="Calibri" w:hAnsi="Calibri"/>
          <w:lang w:eastAsia="en-US"/>
        </w:rPr>
        <w:t> </w:t>
      </w:r>
      <w:r w:rsidRPr="00CD4853">
        <w:rPr>
          <w:rFonts w:ascii="Calibri" w:eastAsia="Calibri" w:hAnsi="Calibri"/>
          <w:lang w:eastAsia="en-US"/>
        </w:rPr>
        <w:t>souvislosti s</w:t>
      </w:r>
      <w:r w:rsidR="00DA3B3F">
        <w:rPr>
          <w:rFonts w:ascii="Calibri" w:eastAsia="Calibri" w:hAnsi="Calibri"/>
          <w:lang w:eastAsia="en-US"/>
        </w:rPr>
        <w:t> </w:t>
      </w:r>
      <w:r w:rsidRPr="00CD4853">
        <w:rPr>
          <w:rFonts w:ascii="Calibri" w:eastAsia="Calibri" w:hAnsi="Calibri"/>
          <w:lang w:eastAsia="en-US"/>
        </w:rPr>
        <w:t>plněním této smlouvy, jsou důvěrné povahy a jejich sdělení či předání třetí straně je možné jen se souhlasem obou smluvních stran vyjma případů uveřejnění vyžadovaných zákonem.</w:t>
      </w:r>
    </w:p>
    <w:p w:rsidR="00D01A3F" w:rsidRPr="00632DFC" w:rsidRDefault="00D01A3F" w:rsidP="00D65795">
      <w:pPr>
        <w:pStyle w:val="Zkladntext"/>
        <w:numPr>
          <w:ilvl w:val="1"/>
          <w:numId w:val="45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632DFC">
        <w:rPr>
          <w:rFonts w:ascii="Calibri" w:eastAsia="Calibri" w:hAnsi="Calibri"/>
          <w:lang w:eastAsia="en-US"/>
        </w:rPr>
        <w:t>Tuto smlouvu lze měnit jen formou písemných číslovaných dodatků.</w:t>
      </w:r>
    </w:p>
    <w:p w:rsidR="00D01A3F" w:rsidRPr="00632DFC" w:rsidRDefault="00D01A3F" w:rsidP="00D65795">
      <w:pPr>
        <w:pStyle w:val="Zkladntext"/>
        <w:numPr>
          <w:ilvl w:val="1"/>
          <w:numId w:val="45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632DFC">
        <w:rPr>
          <w:rFonts w:ascii="Calibri" w:eastAsia="Calibri" w:hAnsi="Calibri"/>
          <w:lang w:eastAsia="en-US"/>
        </w:rPr>
        <w:t>Tato smlouva je vyhotovena ve čtyřech stejnopisech s platností originálu, z nichž každá smluvní strana obdrží po dvou vyhotoveních.</w:t>
      </w:r>
    </w:p>
    <w:p w:rsidR="00D01A3F" w:rsidRPr="00632DFC" w:rsidRDefault="00D01A3F" w:rsidP="00D65795">
      <w:pPr>
        <w:pStyle w:val="Zkladntext"/>
        <w:numPr>
          <w:ilvl w:val="1"/>
          <w:numId w:val="45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632DFC">
        <w:rPr>
          <w:rFonts w:ascii="Calibri" w:eastAsia="Calibri" w:hAnsi="Calibri"/>
          <w:lang w:eastAsia="en-US"/>
        </w:rPr>
        <w:t>Tato smlouva nabývá platnosti i účinnosti dnem jejího podpisu oprávněnými zástupci obou smluvních stran.</w:t>
      </w:r>
    </w:p>
    <w:p w:rsidR="00A16AE3" w:rsidRPr="00632DFC" w:rsidRDefault="00D01A3F" w:rsidP="00D65795">
      <w:pPr>
        <w:pStyle w:val="Zkladntext"/>
        <w:numPr>
          <w:ilvl w:val="1"/>
          <w:numId w:val="45"/>
        </w:numPr>
        <w:spacing w:before="120" w:line="312" w:lineRule="auto"/>
        <w:rPr>
          <w:rFonts w:ascii="Calibri" w:eastAsia="Calibri" w:hAnsi="Calibri"/>
          <w:lang w:eastAsia="en-US"/>
        </w:rPr>
      </w:pPr>
      <w:r w:rsidRPr="00632DFC">
        <w:rPr>
          <w:rFonts w:ascii="Calibri" w:eastAsia="Calibri" w:hAnsi="Calibri"/>
          <w:lang w:eastAsia="en-US"/>
        </w:rPr>
        <w:t>Zástupci smluvních stran prohlašují, že si smlouvu přeče</w:t>
      </w:r>
      <w:r w:rsidR="0020600F">
        <w:rPr>
          <w:rFonts w:ascii="Calibri" w:eastAsia="Calibri" w:hAnsi="Calibri"/>
          <w:lang w:eastAsia="en-US"/>
        </w:rPr>
        <w:t>tli, porozuměli jejímu obsahu a </w:t>
      </w:r>
      <w:r w:rsidRPr="00632DFC">
        <w:rPr>
          <w:rFonts w:ascii="Calibri" w:eastAsia="Calibri" w:hAnsi="Calibri"/>
          <w:lang w:eastAsia="en-US"/>
        </w:rPr>
        <w:t>s jejím obsahem souhlasí, což stvrzují níže svými podpisy.</w:t>
      </w:r>
    </w:p>
    <w:p w:rsidR="00DA3B3F" w:rsidRDefault="00DA3B3F" w:rsidP="00D65795">
      <w:pPr>
        <w:spacing w:before="120" w:after="0" w:line="312" w:lineRule="auto"/>
        <w:jc w:val="both"/>
        <w:rPr>
          <w:sz w:val="24"/>
          <w:szCs w:val="24"/>
        </w:rPr>
      </w:pPr>
    </w:p>
    <w:p w:rsidR="00A16AE3" w:rsidRPr="005068D2" w:rsidRDefault="00A16AE3" w:rsidP="00D65795">
      <w:pPr>
        <w:spacing w:before="120" w:after="0" w:line="312" w:lineRule="auto"/>
        <w:jc w:val="both"/>
        <w:rPr>
          <w:b/>
          <w:sz w:val="24"/>
          <w:szCs w:val="24"/>
        </w:rPr>
      </w:pPr>
      <w:r w:rsidRPr="005068D2">
        <w:rPr>
          <w:b/>
          <w:sz w:val="24"/>
          <w:szCs w:val="24"/>
        </w:rPr>
        <w:t>Příloh</w:t>
      </w:r>
      <w:r w:rsidR="0020600F">
        <w:rPr>
          <w:b/>
          <w:sz w:val="24"/>
          <w:szCs w:val="24"/>
        </w:rPr>
        <w:t>y</w:t>
      </w:r>
      <w:r w:rsidRPr="005068D2">
        <w:rPr>
          <w:b/>
          <w:sz w:val="24"/>
          <w:szCs w:val="24"/>
        </w:rPr>
        <w:t xml:space="preserve"> této smlouvy:</w:t>
      </w:r>
    </w:p>
    <w:p w:rsidR="00632DFC" w:rsidRDefault="00632DFC" w:rsidP="00D65795">
      <w:pPr>
        <w:numPr>
          <w:ilvl w:val="0"/>
          <w:numId w:val="33"/>
        </w:numPr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přehled zajišťovaných výběrových řízení LF HK</w:t>
      </w:r>
    </w:p>
    <w:p w:rsidR="00A16AE3" w:rsidRDefault="00A16AE3" w:rsidP="00D65795">
      <w:pPr>
        <w:numPr>
          <w:ilvl w:val="0"/>
          <w:numId w:val="33"/>
        </w:numPr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kopie pojistné smlouvy</w:t>
      </w:r>
      <w:r w:rsidR="00AF0025">
        <w:rPr>
          <w:sz w:val="24"/>
          <w:szCs w:val="24"/>
        </w:rPr>
        <w:t xml:space="preserve"> včetně dodatků</w:t>
      </w:r>
    </w:p>
    <w:p w:rsidR="00DA3B3F" w:rsidRPr="005068D2" w:rsidRDefault="00DA3B3F" w:rsidP="00D65795">
      <w:pPr>
        <w:spacing w:before="120" w:line="312" w:lineRule="auto"/>
        <w:jc w:val="both"/>
        <w:rPr>
          <w:sz w:val="16"/>
          <w:szCs w:val="16"/>
        </w:rPr>
      </w:pPr>
    </w:p>
    <w:p w:rsidR="00A35D1D" w:rsidRDefault="00A35D1D" w:rsidP="00D65795">
      <w:pPr>
        <w:spacing w:before="120" w:line="312" w:lineRule="auto"/>
        <w:jc w:val="both"/>
        <w:rPr>
          <w:sz w:val="24"/>
          <w:szCs w:val="24"/>
        </w:rPr>
      </w:pPr>
    </w:p>
    <w:p w:rsidR="00A35D1D" w:rsidRDefault="00A35D1D" w:rsidP="00D65795">
      <w:pPr>
        <w:spacing w:before="120" w:line="312" w:lineRule="auto"/>
        <w:jc w:val="both"/>
        <w:rPr>
          <w:sz w:val="24"/>
          <w:szCs w:val="24"/>
        </w:rPr>
      </w:pPr>
    </w:p>
    <w:p w:rsidR="00D01A3F" w:rsidRDefault="00D01A3F" w:rsidP="00D65795">
      <w:pPr>
        <w:spacing w:before="120" w:line="312" w:lineRule="auto"/>
        <w:jc w:val="both"/>
        <w:rPr>
          <w:sz w:val="24"/>
          <w:szCs w:val="24"/>
        </w:rPr>
      </w:pPr>
      <w:r w:rsidRPr="00D66DCF">
        <w:rPr>
          <w:sz w:val="24"/>
          <w:szCs w:val="24"/>
        </w:rPr>
        <w:t>Hradec Králové, dne</w:t>
      </w:r>
      <w:r w:rsidRPr="00D66DCF">
        <w:rPr>
          <w:sz w:val="24"/>
          <w:szCs w:val="24"/>
        </w:rPr>
        <w:tab/>
      </w:r>
      <w:r w:rsidR="00A16AE3">
        <w:rPr>
          <w:sz w:val="24"/>
          <w:szCs w:val="24"/>
        </w:rPr>
        <w:t>………………….</w:t>
      </w:r>
      <w:r w:rsidRPr="00D66DCF">
        <w:rPr>
          <w:sz w:val="24"/>
          <w:szCs w:val="24"/>
        </w:rPr>
        <w:tab/>
      </w:r>
      <w:r w:rsidRPr="00D66DCF">
        <w:rPr>
          <w:sz w:val="24"/>
          <w:szCs w:val="24"/>
        </w:rPr>
        <w:tab/>
      </w:r>
      <w:r w:rsidRPr="00D66DCF">
        <w:rPr>
          <w:sz w:val="24"/>
          <w:szCs w:val="24"/>
        </w:rPr>
        <w:tab/>
      </w:r>
      <w:r w:rsidR="00B2753A" w:rsidRPr="00B2753A">
        <w:rPr>
          <w:sz w:val="24"/>
          <w:szCs w:val="24"/>
          <w:highlight w:val="yellow"/>
        </w:rPr>
        <w:t>…………</w:t>
      </w:r>
      <w:r w:rsidR="0020600F">
        <w:rPr>
          <w:sz w:val="24"/>
          <w:szCs w:val="24"/>
          <w:highlight w:val="yellow"/>
        </w:rPr>
        <w:t>………………</w:t>
      </w:r>
      <w:proofErr w:type="gramStart"/>
      <w:r w:rsidR="0020600F">
        <w:rPr>
          <w:sz w:val="24"/>
          <w:szCs w:val="24"/>
          <w:highlight w:val="yellow"/>
        </w:rPr>
        <w:t>….</w:t>
      </w:r>
      <w:r w:rsidR="00B2753A" w:rsidRPr="00B2753A">
        <w:rPr>
          <w:sz w:val="24"/>
          <w:szCs w:val="24"/>
          <w:highlight w:val="yellow"/>
        </w:rPr>
        <w:t>.</w:t>
      </w:r>
      <w:r w:rsidRPr="00B2753A">
        <w:rPr>
          <w:sz w:val="24"/>
          <w:szCs w:val="24"/>
          <w:highlight w:val="yellow"/>
        </w:rPr>
        <w:t>, dne</w:t>
      </w:r>
      <w:proofErr w:type="gramEnd"/>
      <w:r w:rsidR="00A16AE3" w:rsidRPr="00B2753A">
        <w:rPr>
          <w:sz w:val="24"/>
          <w:szCs w:val="24"/>
          <w:highlight w:val="yellow"/>
        </w:rPr>
        <w:t xml:space="preserve">  ……………</w:t>
      </w:r>
    </w:p>
    <w:p w:rsidR="007571DE" w:rsidRDefault="007571DE" w:rsidP="00D65795">
      <w:pPr>
        <w:spacing w:before="120" w:line="312" w:lineRule="auto"/>
        <w:jc w:val="both"/>
        <w:rPr>
          <w:sz w:val="24"/>
          <w:szCs w:val="24"/>
        </w:rPr>
      </w:pPr>
    </w:p>
    <w:p w:rsidR="002103C4" w:rsidRDefault="002103C4" w:rsidP="00D65795">
      <w:pPr>
        <w:spacing w:before="120" w:line="312" w:lineRule="auto"/>
        <w:jc w:val="both"/>
        <w:rPr>
          <w:sz w:val="24"/>
          <w:szCs w:val="24"/>
        </w:rPr>
      </w:pPr>
    </w:p>
    <w:p w:rsidR="00D01A3F" w:rsidRPr="007571DE" w:rsidRDefault="00D01A3F" w:rsidP="00D65795">
      <w:pPr>
        <w:spacing w:before="60" w:after="0" w:line="140" w:lineRule="exact"/>
        <w:jc w:val="both"/>
        <w:rPr>
          <w:b/>
          <w:bCs/>
        </w:rPr>
      </w:pPr>
      <w:r w:rsidRPr="007571DE">
        <w:t xml:space="preserve">-------------------------------------------                          </w:t>
      </w:r>
      <w:r w:rsidR="005068D2">
        <w:t xml:space="preserve">               </w:t>
      </w:r>
      <w:r w:rsidRPr="007571DE">
        <w:t xml:space="preserve"> -------------------------------------------</w:t>
      </w:r>
    </w:p>
    <w:p w:rsidR="00D01A3F" w:rsidRPr="007571DE" w:rsidRDefault="00D01A3F" w:rsidP="00D65795">
      <w:pPr>
        <w:spacing w:before="60" w:after="0" w:line="140" w:lineRule="exact"/>
        <w:jc w:val="both"/>
        <w:rPr>
          <w:b/>
          <w:bCs/>
        </w:rPr>
      </w:pPr>
      <w:r w:rsidRPr="007571DE">
        <w:rPr>
          <w:b/>
          <w:bCs/>
        </w:rPr>
        <w:t xml:space="preserve">Za </w:t>
      </w:r>
      <w:r w:rsidR="00CD4853" w:rsidRPr="007571DE">
        <w:rPr>
          <w:b/>
          <w:bCs/>
        </w:rPr>
        <w:t>klienta</w:t>
      </w:r>
      <w:r w:rsidRPr="007571DE">
        <w:rPr>
          <w:b/>
          <w:bCs/>
        </w:rPr>
        <w:t xml:space="preserve"> </w:t>
      </w:r>
      <w:r w:rsidRPr="007571DE">
        <w:rPr>
          <w:b/>
          <w:bCs/>
        </w:rPr>
        <w:tab/>
      </w:r>
      <w:r w:rsidRPr="007571DE">
        <w:rPr>
          <w:b/>
          <w:bCs/>
        </w:rPr>
        <w:tab/>
      </w:r>
      <w:r w:rsidRPr="007571DE">
        <w:rPr>
          <w:b/>
          <w:bCs/>
        </w:rPr>
        <w:tab/>
      </w:r>
      <w:r w:rsidRPr="007571DE">
        <w:rPr>
          <w:b/>
          <w:bCs/>
        </w:rPr>
        <w:tab/>
      </w:r>
      <w:r w:rsidRPr="007571DE">
        <w:rPr>
          <w:b/>
          <w:bCs/>
        </w:rPr>
        <w:tab/>
      </w:r>
      <w:r w:rsidR="00DA3B3F" w:rsidRPr="007571DE">
        <w:rPr>
          <w:b/>
          <w:bCs/>
        </w:rPr>
        <w:t xml:space="preserve">        </w:t>
      </w:r>
      <w:r w:rsidR="005068D2">
        <w:rPr>
          <w:b/>
          <w:bCs/>
        </w:rPr>
        <w:t xml:space="preserve">       </w:t>
      </w:r>
      <w:r w:rsidRPr="007571DE">
        <w:rPr>
          <w:b/>
          <w:bCs/>
        </w:rPr>
        <w:t xml:space="preserve">Za </w:t>
      </w:r>
      <w:r w:rsidR="00CD4853" w:rsidRPr="007571DE">
        <w:rPr>
          <w:b/>
          <w:bCs/>
        </w:rPr>
        <w:t>zástupce</w:t>
      </w:r>
      <w:r w:rsidRPr="007571DE">
        <w:rPr>
          <w:b/>
          <w:bCs/>
        </w:rPr>
        <w:t xml:space="preserve"> </w:t>
      </w:r>
    </w:p>
    <w:p w:rsidR="00AF0025" w:rsidRDefault="00D01A3F" w:rsidP="00D65795">
      <w:pPr>
        <w:shd w:val="clear" w:color="auto" w:fill="FFFFFF"/>
        <w:spacing w:after="0" w:line="240" w:lineRule="auto"/>
        <w:jc w:val="both"/>
      </w:pPr>
      <w:r w:rsidRPr="007571DE">
        <w:t>prof. MUDr. RNDr. Miroslav Červinka, CSc.</w:t>
      </w:r>
      <w:r w:rsidRPr="007571DE">
        <w:tab/>
        <w:t xml:space="preserve">        </w:t>
      </w:r>
      <w:r w:rsidR="00CC43A0" w:rsidRPr="007571DE">
        <w:t xml:space="preserve">      </w:t>
      </w:r>
      <w:r w:rsidRPr="007571DE">
        <w:t xml:space="preserve"> </w:t>
      </w:r>
      <w:r w:rsidR="00CD4853" w:rsidRPr="007571DE">
        <w:rPr>
          <w:highlight w:val="yellow"/>
        </w:rPr>
        <w:t>zástupce</w:t>
      </w:r>
      <w:r w:rsidR="00CC43A0" w:rsidRPr="007571DE">
        <w:rPr>
          <w:highlight w:val="yellow"/>
        </w:rPr>
        <w:t xml:space="preserve"> – obchodní firma</w:t>
      </w:r>
      <w:r w:rsidR="00CC43A0" w:rsidRPr="007571DE">
        <w:t xml:space="preserve">             </w:t>
      </w:r>
      <w:r w:rsidR="005068D2">
        <w:t xml:space="preserve"> </w:t>
      </w:r>
      <w:r w:rsidR="00CC43A0" w:rsidRPr="007571DE">
        <w:t xml:space="preserve">       </w:t>
      </w:r>
      <w:r w:rsidR="005068D2">
        <w:t xml:space="preserve"> </w:t>
      </w:r>
      <w:r w:rsidR="00CC43A0" w:rsidRPr="007571DE">
        <w:t xml:space="preserve"> </w:t>
      </w:r>
    </w:p>
    <w:p w:rsidR="00286B5E" w:rsidRDefault="00FE099C" w:rsidP="00D65795">
      <w:pPr>
        <w:shd w:val="clear" w:color="auto" w:fill="FFFFFF"/>
        <w:spacing w:after="0" w:line="240" w:lineRule="auto"/>
        <w:jc w:val="both"/>
      </w:pPr>
      <w:r w:rsidRPr="007571DE">
        <w:t>děkan</w:t>
      </w:r>
      <w:r w:rsidR="00AF0025">
        <w:t xml:space="preserve"> </w:t>
      </w:r>
      <w:r w:rsidR="00CC43A0" w:rsidRPr="007571DE">
        <w:t xml:space="preserve"> </w:t>
      </w:r>
      <w:r w:rsidR="00AF0025">
        <w:tab/>
      </w:r>
      <w:r w:rsidR="00AF0025">
        <w:tab/>
      </w:r>
      <w:r w:rsidR="00AF0025">
        <w:tab/>
      </w:r>
      <w:r w:rsidR="00AF0025">
        <w:tab/>
      </w:r>
      <w:r w:rsidR="00AF0025">
        <w:tab/>
      </w:r>
      <w:r w:rsidR="00AF0025">
        <w:tab/>
      </w:r>
      <w:r w:rsidR="00AF0025">
        <w:tab/>
        <w:t xml:space="preserve"> </w:t>
      </w:r>
      <w:r w:rsidR="00CD4853" w:rsidRPr="007571DE">
        <w:rPr>
          <w:highlight w:val="yellow"/>
        </w:rPr>
        <w:t>zástupce</w:t>
      </w:r>
      <w:r w:rsidR="00CC43A0" w:rsidRPr="007571DE">
        <w:rPr>
          <w:highlight w:val="yellow"/>
        </w:rPr>
        <w:t xml:space="preserve"> – jméno a příjmení – funkce</w:t>
      </w:r>
      <w:r w:rsidR="00CC43A0" w:rsidRPr="007571DE">
        <w:t xml:space="preserve">      </w:t>
      </w:r>
      <w:r w:rsidR="00CC43A0" w:rsidRPr="007571DE">
        <w:tab/>
      </w:r>
      <w:r w:rsidR="00CC43A0" w:rsidRPr="007571DE">
        <w:tab/>
      </w:r>
      <w:r w:rsidR="00CC43A0" w:rsidRPr="007571DE">
        <w:tab/>
      </w:r>
      <w:r w:rsidR="00CC43A0" w:rsidRPr="007571DE">
        <w:tab/>
      </w:r>
      <w:r w:rsidR="00CC43A0" w:rsidRPr="007571DE">
        <w:tab/>
      </w:r>
      <w:r w:rsidR="00CC43A0" w:rsidRPr="007571DE">
        <w:tab/>
      </w:r>
      <w:r w:rsidR="00CC43A0" w:rsidRPr="007571DE">
        <w:tab/>
      </w:r>
      <w:r w:rsidR="005068D2">
        <w:t xml:space="preserve"> </w:t>
      </w:r>
      <w:r w:rsidR="00CC43A0" w:rsidRPr="007571DE">
        <w:rPr>
          <w:highlight w:val="yellow"/>
        </w:rPr>
        <w:t>podpis oprávněné osoby</w:t>
      </w:r>
      <w:r w:rsidR="005068D2">
        <w:t xml:space="preserve"> </w:t>
      </w:r>
    </w:p>
    <w:p w:rsidR="0020600F" w:rsidRDefault="0020600F" w:rsidP="00D65795">
      <w:pPr>
        <w:shd w:val="clear" w:color="auto" w:fill="FFFFFF"/>
        <w:spacing w:after="0" w:line="240" w:lineRule="auto"/>
        <w:jc w:val="both"/>
        <w:rPr>
          <w:b/>
        </w:rPr>
        <w:sectPr w:rsidR="0020600F" w:rsidSect="009E3A66">
          <w:footerReference w:type="default" r:id="rId8"/>
          <w:headerReference w:type="first" r:id="rId9"/>
          <w:footerReference w:type="first" r:id="rId10"/>
          <w:pgSz w:w="11906" w:h="16838"/>
          <w:pgMar w:top="1985" w:right="1417" w:bottom="1417" w:left="1417" w:header="708" w:footer="708" w:gutter="0"/>
          <w:cols w:space="708"/>
          <w:docGrid w:linePitch="360"/>
        </w:sectPr>
      </w:pPr>
    </w:p>
    <w:p w:rsidR="00A35D1D" w:rsidRDefault="00A35D1D" w:rsidP="00CF272B">
      <w:pPr>
        <w:shd w:val="clear" w:color="auto" w:fill="FFFFFF"/>
        <w:spacing w:after="60" w:line="240" w:lineRule="auto"/>
        <w:jc w:val="center"/>
        <w:rPr>
          <w:b/>
          <w:sz w:val="24"/>
          <w:szCs w:val="24"/>
        </w:rPr>
      </w:pPr>
    </w:p>
    <w:p w:rsidR="0020600F" w:rsidRPr="00CF272B" w:rsidRDefault="0020600F" w:rsidP="00CF272B">
      <w:pPr>
        <w:shd w:val="clear" w:color="auto" w:fill="FFFFFF"/>
        <w:spacing w:after="60" w:line="240" w:lineRule="auto"/>
        <w:jc w:val="center"/>
        <w:rPr>
          <w:b/>
          <w:sz w:val="24"/>
          <w:szCs w:val="24"/>
        </w:rPr>
      </w:pPr>
      <w:r w:rsidRPr="00CF272B">
        <w:rPr>
          <w:b/>
          <w:sz w:val="24"/>
          <w:szCs w:val="24"/>
        </w:rPr>
        <w:t>Přehled zajišťovaných výběrových řízení</w:t>
      </w:r>
      <w:r w:rsidR="009E3A66">
        <w:rPr>
          <w:b/>
          <w:sz w:val="24"/>
          <w:szCs w:val="24"/>
        </w:rPr>
        <w:t xml:space="preserve"> LF HK</w:t>
      </w:r>
    </w:p>
    <w:tbl>
      <w:tblPr>
        <w:tblW w:w="13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596"/>
        <w:gridCol w:w="6095"/>
        <w:gridCol w:w="1417"/>
        <w:gridCol w:w="1418"/>
        <w:gridCol w:w="1276"/>
      </w:tblGrid>
      <w:tr w:rsidR="00BA5CD3" w:rsidRPr="0018445A" w:rsidTr="00BA5CD3">
        <w:trPr>
          <w:trHeight w:val="31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poř</w:t>
            </w:r>
            <w:proofErr w:type="spellEnd"/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. č.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druh VŘ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zakázka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cena bez DPH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DPH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9E3A6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cena </w:t>
            </w:r>
            <w:r w:rsidR="009E3A6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vč.</w:t>
            </w: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DPH</w:t>
            </w:r>
          </w:p>
        </w:tc>
      </w:tr>
      <w:tr w:rsidR="00BA5CD3" w:rsidRPr="0018445A" w:rsidTr="00BA5CD3">
        <w:trPr>
          <w:trHeight w:val="57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1.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nadlimitní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stavební práce včetně dodávky interiéru 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. ústavů LFHK UK v HK, spolufinancovaný z </w:t>
            </w:r>
            <w:proofErr w:type="gram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OP</w:t>
            </w:r>
            <w:proofErr w:type="gram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(max. </w:t>
            </w:r>
            <w:smartTag w:uri="urn:schemas-microsoft-com:office:smarttags" w:element="metricconverter">
              <w:smartTagPr>
                <w:attr w:name="ProductID" w:val="44,8 mil"/>
              </w:smartTagPr>
              <w:r w:rsidRPr="0018445A">
                <w:rPr>
                  <w:rFonts w:eastAsia="Times New Roman"/>
                  <w:color w:val="000000"/>
                  <w:sz w:val="18"/>
                  <w:szCs w:val="18"/>
                  <w:lang w:eastAsia="cs-CZ"/>
                </w:rPr>
                <w:t>44,8 mil</w:t>
              </w:r>
            </w:smartTag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bez DPH)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2.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nadlimitní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dodávka ICT, AV techniky 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ústavů LFHK UK v HK, spolufinancovaný z 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(max. </w:t>
            </w:r>
            <w:smartTag w:uri="urn:schemas-microsoft-com:office:smarttags" w:element="metricconverter">
              <w:smartTagPr>
                <w:attr w:name="ProductID" w:val="5,8 mil"/>
              </w:smartTagPr>
              <w:r w:rsidRPr="0018445A">
                <w:rPr>
                  <w:rFonts w:eastAsia="Times New Roman"/>
                  <w:color w:val="000000"/>
                  <w:sz w:val="18"/>
                  <w:szCs w:val="18"/>
                  <w:lang w:eastAsia="cs-CZ"/>
                </w:rPr>
                <w:t>5,8 mil</w:t>
              </w:r>
            </w:smartTag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. Kč bez DPH)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3.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nadlimitní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dodávka přístrojů 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ústavů LFHK UK v HK, spolufinancovaný z 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(max. </w:t>
            </w:r>
            <w:smartTag w:uri="urn:schemas-microsoft-com:office:smarttags" w:element="metricconverter">
              <w:smartTagPr>
                <w:attr w:name="ProductID" w:val="5 mil"/>
              </w:smartTagPr>
              <w:r w:rsidRPr="0018445A">
                <w:rPr>
                  <w:rFonts w:eastAsia="Times New Roman"/>
                  <w:color w:val="000000"/>
                  <w:sz w:val="18"/>
                  <w:szCs w:val="18"/>
                  <w:lang w:eastAsia="cs-CZ"/>
                </w:rPr>
                <w:t>5 mil</w:t>
              </w:r>
            </w:smartTag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Kč bez DPH)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4.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veřejná zakázka malého rozsahu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dodávka pitevních stolů 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ústavů LFHK UK v HK, spolufinancovaný z 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(max. 830 tis. Kč bez DPH)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61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5.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veřejná zakázka malého rozsahu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služby TDI a koordinátora BOZP 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ústavů LFHK UK v HK, spolufinancovaný z 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6.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podlimitní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služby – projektový audit (max</w:t>
            </w:r>
            <w:r w:rsidR="00CF272B"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.</w:t>
            </w: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406 tis Kč bez DPH)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dílčí části zakázky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pro projekt Modernizace budovy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teoret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. ústavů LFHK UK v HK, 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327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pro projekt Podpora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pre-seed</w:t>
            </w:r>
            <w:proofErr w:type="spellEnd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aktivit UK mimo Prahu, OP </w:t>
            </w:r>
            <w:proofErr w:type="spellStart"/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VaVpI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CF272B">
        <w:trPr>
          <w:trHeight w:val="711"/>
        </w:trPr>
        <w:tc>
          <w:tcPr>
            <w:tcW w:w="327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pro projekt IT medik - Inovace a rozvoj studijního programu Všeobecné lékařství na Lékařské fakultě UK v Hradci Králové pomocí uplatnění informačních technologií, OP VK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327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pro projekt CEPIN – Centrum pro inovace v biomedicíně, OP VK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7.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nadlimitní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dodávky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8.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0600F" w:rsidRPr="0018445A" w:rsidRDefault="0020600F" w:rsidP="0020600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nadlimitní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dodávky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BA5CD3" w:rsidRPr="0018445A" w:rsidTr="00BA5CD3">
        <w:trPr>
          <w:trHeight w:val="31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20600F" w:rsidRPr="0018445A" w:rsidRDefault="0020600F" w:rsidP="0020600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8445A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:rsidR="0020600F" w:rsidRPr="0020600F" w:rsidRDefault="0020600F" w:rsidP="00CF272B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sectPr w:rsidR="0020600F" w:rsidRPr="0020600F" w:rsidSect="0020600F">
      <w:pgSz w:w="16838" w:h="11906" w:orient="landscape"/>
      <w:pgMar w:top="1417" w:right="198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6C" w:rsidRDefault="00A2706C" w:rsidP="0097482A">
      <w:pPr>
        <w:spacing w:after="0" w:line="240" w:lineRule="auto"/>
      </w:pPr>
      <w:r>
        <w:separator/>
      </w:r>
    </w:p>
  </w:endnote>
  <w:endnote w:type="continuationSeparator" w:id="0">
    <w:p w:rsidR="00A2706C" w:rsidRDefault="00A2706C" w:rsidP="0097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17739D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17739D" w:rsidRDefault="0017739D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17739D" w:rsidRPr="00D65795" w:rsidRDefault="00A35D1D" w:rsidP="00604865">
          <w:pPr>
            <w:pStyle w:val="Bezmezer"/>
            <w:jc w:val="center"/>
          </w:pPr>
          <w:r w:rsidRPr="00A35D1D">
            <w:rPr>
              <w:sz w:val="20"/>
              <w:szCs w:val="20"/>
            </w:rPr>
            <w:fldChar w:fldCharType="begin"/>
          </w:r>
          <w:r w:rsidRPr="00A35D1D">
            <w:rPr>
              <w:sz w:val="20"/>
              <w:szCs w:val="20"/>
            </w:rPr>
            <w:instrText xml:space="preserve"> PAGE  \* MERGEFORMAT </w:instrText>
          </w:r>
          <w:r w:rsidRPr="00A35D1D">
            <w:rPr>
              <w:sz w:val="20"/>
              <w:szCs w:val="20"/>
            </w:rPr>
            <w:fldChar w:fldCharType="separate"/>
          </w:r>
          <w:r w:rsidR="00F83D76">
            <w:rPr>
              <w:noProof/>
              <w:sz w:val="20"/>
              <w:szCs w:val="20"/>
            </w:rPr>
            <w:t>2</w:t>
          </w:r>
          <w:r w:rsidRPr="00A35D1D">
            <w:rPr>
              <w:sz w:val="20"/>
              <w:szCs w:val="20"/>
            </w:rPr>
            <w:fldChar w:fldCharType="end"/>
          </w:r>
          <w:r w:rsidRPr="00A35D1D">
            <w:rPr>
              <w:sz w:val="20"/>
              <w:szCs w:val="20"/>
            </w:rPr>
            <w:t>/</w:t>
          </w:r>
          <w:r w:rsidRPr="00A35D1D">
            <w:rPr>
              <w:sz w:val="20"/>
              <w:szCs w:val="20"/>
            </w:rPr>
            <w:fldChar w:fldCharType="begin"/>
          </w:r>
          <w:r w:rsidRPr="00A35D1D">
            <w:rPr>
              <w:sz w:val="20"/>
              <w:szCs w:val="20"/>
            </w:rPr>
            <w:instrText xml:space="preserve"> NUMPAGES   \* MERGEFORMAT </w:instrText>
          </w:r>
          <w:r w:rsidRPr="00A35D1D">
            <w:rPr>
              <w:sz w:val="20"/>
              <w:szCs w:val="20"/>
            </w:rPr>
            <w:fldChar w:fldCharType="separate"/>
          </w:r>
          <w:r w:rsidR="00F83D76">
            <w:rPr>
              <w:noProof/>
              <w:sz w:val="20"/>
              <w:szCs w:val="20"/>
            </w:rPr>
            <w:t>9</w:t>
          </w:r>
          <w:r w:rsidRPr="00A35D1D">
            <w:rPr>
              <w:sz w:val="20"/>
              <w:szCs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17739D" w:rsidRDefault="0017739D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</w:tr>
    <w:tr w:rsidR="0017739D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17739D" w:rsidRDefault="0017739D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:rsidR="0017739D" w:rsidRDefault="0017739D">
          <w:pPr>
            <w:pStyle w:val="Zhlav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17739D" w:rsidRDefault="0017739D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</w:tr>
  </w:tbl>
  <w:p w:rsidR="0017739D" w:rsidRDefault="001773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39D" w:rsidRDefault="0017739D" w:rsidP="0020600F">
    <w:pPr>
      <w:pStyle w:val="Zpat"/>
      <w:jc w:val="center"/>
    </w:pPr>
  </w:p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79"/>
      <w:gridCol w:w="929"/>
      <w:gridCol w:w="4180"/>
    </w:tblGrid>
    <w:tr w:rsidR="00A35D1D" w:rsidTr="000D5C65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A35D1D" w:rsidRDefault="00A35D1D" w:rsidP="000D5C65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A35D1D" w:rsidRPr="00A35D1D" w:rsidRDefault="00A35D1D" w:rsidP="000D5C65">
          <w:pPr>
            <w:pStyle w:val="Bezmezer"/>
            <w:jc w:val="center"/>
            <w:rPr>
              <w:sz w:val="20"/>
              <w:szCs w:val="20"/>
            </w:rPr>
          </w:pPr>
          <w:r w:rsidRPr="00A35D1D">
            <w:rPr>
              <w:sz w:val="20"/>
              <w:szCs w:val="20"/>
            </w:rPr>
            <w:fldChar w:fldCharType="begin"/>
          </w:r>
          <w:r w:rsidRPr="00A35D1D">
            <w:rPr>
              <w:sz w:val="20"/>
              <w:szCs w:val="20"/>
            </w:rPr>
            <w:instrText xml:space="preserve"> PAGE  \* MERGEFORMAT </w:instrText>
          </w:r>
          <w:r w:rsidRPr="00A35D1D">
            <w:rPr>
              <w:sz w:val="20"/>
              <w:szCs w:val="20"/>
            </w:rPr>
            <w:fldChar w:fldCharType="separate"/>
          </w:r>
          <w:r w:rsidR="00F83D76">
            <w:rPr>
              <w:noProof/>
              <w:sz w:val="20"/>
              <w:szCs w:val="20"/>
            </w:rPr>
            <w:t>9</w:t>
          </w:r>
          <w:r w:rsidRPr="00A35D1D">
            <w:rPr>
              <w:sz w:val="20"/>
              <w:szCs w:val="20"/>
            </w:rPr>
            <w:fldChar w:fldCharType="end"/>
          </w:r>
          <w:r w:rsidRPr="00A35D1D">
            <w:rPr>
              <w:sz w:val="20"/>
              <w:szCs w:val="20"/>
            </w:rPr>
            <w:t>/</w:t>
          </w:r>
          <w:r w:rsidRPr="00A35D1D">
            <w:rPr>
              <w:sz w:val="20"/>
              <w:szCs w:val="20"/>
            </w:rPr>
            <w:fldChar w:fldCharType="begin"/>
          </w:r>
          <w:r w:rsidRPr="00A35D1D">
            <w:rPr>
              <w:sz w:val="20"/>
              <w:szCs w:val="20"/>
            </w:rPr>
            <w:instrText xml:space="preserve"> NUMPAGES   \* MERGEFORMAT </w:instrText>
          </w:r>
          <w:r w:rsidRPr="00A35D1D">
            <w:rPr>
              <w:sz w:val="20"/>
              <w:szCs w:val="20"/>
            </w:rPr>
            <w:fldChar w:fldCharType="separate"/>
          </w:r>
          <w:r w:rsidR="00F83D76">
            <w:rPr>
              <w:noProof/>
              <w:sz w:val="20"/>
              <w:szCs w:val="20"/>
            </w:rPr>
            <w:t>9</w:t>
          </w:r>
          <w:r w:rsidRPr="00A35D1D">
            <w:rPr>
              <w:sz w:val="20"/>
              <w:szCs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A35D1D" w:rsidRDefault="00A35D1D" w:rsidP="000D5C65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</w:tr>
    <w:tr w:rsidR="00A35D1D" w:rsidTr="000D5C65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A35D1D" w:rsidRDefault="00A35D1D" w:rsidP="000D5C65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:rsidR="00A35D1D" w:rsidRDefault="00A35D1D" w:rsidP="000D5C65">
          <w:pPr>
            <w:pStyle w:val="Zhlav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A35D1D" w:rsidRDefault="00A35D1D" w:rsidP="000D5C65">
          <w:pPr>
            <w:pStyle w:val="Zhlav"/>
            <w:rPr>
              <w:rFonts w:ascii="Cambria" w:eastAsia="Times New Roman" w:hAnsi="Cambria"/>
              <w:b/>
              <w:bCs/>
            </w:rPr>
          </w:pPr>
        </w:p>
      </w:tc>
    </w:tr>
  </w:tbl>
  <w:p w:rsidR="00A35D1D" w:rsidRDefault="00A35D1D" w:rsidP="00A35D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6C" w:rsidRDefault="00A2706C" w:rsidP="0097482A">
      <w:pPr>
        <w:spacing w:after="0" w:line="240" w:lineRule="auto"/>
      </w:pPr>
      <w:r>
        <w:separator/>
      </w:r>
    </w:p>
  </w:footnote>
  <w:footnote w:type="continuationSeparator" w:id="0">
    <w:p w:rsidR="00A2706C" w:rsidRDefault="00A2706C" w:rsidP="00974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00F" w:rsidRPr="009E3A66" w:rsidRDefault="00A35D1D" w:rsidP="00A35D1D">
    <w:pPr>
      <w:pStyle w:val="Zhlav"/>
      <w:jc w:val="right"/>
      <w:rPr>
        <w:b/>
      </w:rPr>
    </w:pPr>
    <w:r w:rsidRPr="009E3A66">
      <w:rPr>
        <w:b/>
      </w:rP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4EE"/>
    <w:multiLevelType w:val="hybridMultilevel"/>
    <w:tmpl w:val="2F00708C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FA0C9A"/>
    <w:multiLevelType w:val="hybridMultilevel"/>
    <w:tmpl w:val="121284D8"/>
    <w:lvl w:ilvl="0" w:tplc="7E3C41B4">
      <w:start w:val="1"/>
      <w:numFmt w:val="lowerLetter"/>
      <w:lvlText w:val="%1)"/>
      <w:lvlJc w:val="left"/>
      <w:pPr>
        <w:ind w:left="92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07BA298F"/>
    <w:multiLevelType w:val="hybridMultilevel"/>
    <w:tmpl w:val="0798B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D274E"/>
    <w:multiLevelType w:val="hybridMultilevel"/>
    <w:tmpl w:val="423A35F6"/>
    <w:lvl w:ilvl="0" w:tplc="4ADE7A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00371"/>
    <w:multiLevelType w:val="hybridMultilevel"/>
    <w:tmpl w:val="8C6453B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0FB83F83"/>
    <w:multiLevelType w:val="hybridMultilevel"/>
    <w:tmpl w:val="200AAA2A"/>
    <w:lvl w:ilvl="0" w:tplc="04050011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F70B9C"/>
    <w:multiLevelType w:val="hybridMultilevel"/>
    <w:tmpl w:val="48A45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29C23DC"/>
    <w:multiLevelType w:val="singleLevel"/>
    <w:tmpl w:val="390C0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F7A3B6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0D136BD"/>
    <w:multiLevelType w:val="hybridMultilevel"/>
    <w:tmpl w:val="6FF22D54"/>
    <w:lvl w:ilvl="0" w:tplc="947CF6D8">
      <w:start w:val="1"/>
      <w:numFmt w:val="bullet"/>
      <w:lvlText w:val="-"/>
      <w:lvlJc w:val="left"/>
      <w:pPr>
        <w:ind w:left="1070" w:hanging="360"/>
      </w:pPr>
      <w:rPr>
        <w:rFonts w:ascii="Calibri" w:eastAsia="Calibri" w:hAnsi="Calibri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4C7709"/>
    <w:multiLevelType w:val="hybridMultilevel"/>
    <w:tmpl w:val="F1923186"/>
    <w:lvl w:ilvl="0" w:tplc="4ADE7A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04B04"/>
    <w:multiLevelType w:val="hybridMultilevel"/>
    <w:tmpl w:val="F37C6506"/>
    <w:lvl w:ilvl="0" w:tplc="FAB6D13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4F5563"/>
    <w:multiLevelType w:val="hybridMultilevel"/>
    <w:tmpl w:val="97365D14"/>
    <w:lvl w:ilvl="0" w:tplc="04050017">
      <w:start w:val="1"/>
      <w:numFmt w:val="lowerLetter"/>
      <w:lvlText w:val="%1)"/>
      <w:lvlJc w:val="left"/>
      <w:pPr>
        <w:ind w:left="107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6868"/>
    <w:multiLevelType w:val="hybridMultilevel"/>
    <w:tmpl w:val="875437A2"/>
    <w:lvl w:ilvl="0" w:tplc="04050017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B45BF0"/>
    <w:multiLevelType w:val="multilevel"/>
    <w:tmpl w:val="4BA2E8B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5">
    <w:nsid w:val="350240D0"/>
    <w:multiLevelType w:val="multilevel"/>
    <w:tmpl w:val="90347D56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>
    <w:nsid w:val="3BF90380"/>
    <w:multiLevelType w:val="hybridMultilevel"/>
    <w:tmpl w:val="FD6014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C275212"/>
    <w:multiLevelType w:val="multilevel"/>
    <w:tmpl w:val="3F04E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D5691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3D3A20B6"/>
    <w:multiLevelType w:val="multilevel"/>
    <w:tmpl w:val="3852030A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0">
    <w:nsid w:val="41CC0066"/>
    <w:multiLevelType w:val="multilevel"/>
    <w:tmpl w:val="D3DAF4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1D95F4F"/>
    <w:multiLevelType w:val="multilevel"/>
    <w:tmpl w:val="7FE88C9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2">
    <w:nsid w:val="46E163C8"/>
    <w:multiLevelType w:val="singleLevel"/>
    <w:tmpl w:val="66A68008"/>
    <w:lvl w:ilvl="0">
      <w:start w:val="4"/>
      <w:numFmt w:val="low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3">
    <w:nsid w:val="5EAD6F1E"/>
    <w:multiLevelType w:val="hybridMultilevel"/>
    <w:tmpl w:val="24E25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F6D63"/>
    <w:multiLevelType w:val="multilevel"/>
    <w:tmpl w:val="68227602"/>
    <w:lvl w:ilvl="0">
      <w:start w:val="5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5">
    <w:nsid w:val="676852B6"/>
    <w:multiLevelType w:val="hybridMultilevel"/>
    <w:tmpl w:val="BE2E5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D86F1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FAF6E66"/>
    <w:multiLevelType w:val="hybridMultilevel"/>
    <w:tmpl w:val="347E36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F2774"/>
    <w:multiLevelType w:val="multilevel"/>
    <w:tmpl w:val="3F04E626"/>
    <w:styleLink w:val="smlouvaV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2FC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734E4BF3"/>
    <w:multiLevelType w:val="hybridMultilevel"/>
    <w:tmpl w:val="5CFCB812"/>
    <w:lvl w:ilvl="0" w:tplc="29167B3E">
      <w:start w:val="2"/>
      <w:numFmt w:val="decimal"/>
      <w:lvlText w:val="%1)"/>
      <w:lvlJc w:val="left"/>
      <w:pPr>
        <w:ind w:left="502" w:hanging="360"/>
      </w:pPr>
      <w:rPr>
        <w:i w:val="0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89419D"/>
    <w:multiLevelType w:val="hybridMultilevel"/>
    <w:tmpl w:val="C4686990"/>
    <w:lvl w:ilvl="0" w:tplc="FAB6D13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E91B47"/>
    <w:multiLevelType w:val="hybridMultilevel"/>
    <w:tmpl w:val="B97C7166"/>
    <w:lvl w:ilvl="0" w:tplc="04050017">
      <w:start w:val="1"/>
      <w:numFmt w:val="lowerLetter"/>
      <w:lvlText w:val="%1)"/>
      <w:lvlJc w:val="left"/>
      <w:pPr>
        <w:ind w:left="1070" w:hanging="360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176EBF"/>
    <w:multiLevelType w:val="singleLevel"/>
    <w:tmpl w:val="706C3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4">
    <w:nsid w:val="7DCE0FF3"/>
    <w:multiLevelType w:val="multilevel"/>
    <w:tmpl w:val="B1302B32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5">
    <w:nsid w:val="7EBD7D89"/>
    <w:multiLevelType w:val="multilevel"/>
    <w:tmpl w:val="AF70CA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7F18030F"/>
    <w:multiLevelType w:val="hybridMultilevel"/>
    <w:tmpl w:val="00E24C4E"/>
    <w:lvl w:ilvl="0" w:tplc="FAB6D13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AE7891"/>
    <w:multiLevelType w:val="singleLevel"/>
    <w:tmpl w:val="4A843844"/>
    <w:lvl w:ilvl="0">
      <w:start w:val="1"/>
      <w:numFmt w:val="lowerLetter"/>
      <w:lvlText w:val="%1)"/>
      <w:legacy w:legacy="1" w:legacySpace="0" w:legacyIndent="293"/>
      <w:lvlJc w:val="left"/>
      <w:rPr>
        <w:rFonts w:ascii="Arial" w:hAnsi="Arial" w:cs="Arial" w:hint="default"/>
      </w:r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22"/>
  </w:num>
  <w:num w:numId="11">
    <w:abstractNumId w:val="33"/>
    <w:lvlOverride w:ilvl="0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0"/>
  </w:num>
  <w:num w:numId="21">
    <w:abstractNumId w:val="5"/>
  </w:num>
  <w:num w:numId="22">
    <w:abstractNumId w:val="12"/>
  </w:num>
  <w:num w:numId="23">
    <w:abstractNumId w:val="1"/>
  </w:num>
  <w:num w:numId="24">
    <w:abstractNumId w:val="11"/>
  </w:num>
  <w:num w:numId="25">
    <w:abstractNumId w:val="36"/>
  </w:num>
  <w:num w:numId="26">
    <w:abstractNumId w:val="17"/>
  </w:num>
  <w:num w:numId="27">
    <w:abstractNumId w:val="25"/>
  </w:num>
  <w:num w:numId="28">
    <w:abstractNumId w:val="23"/>
  </w:num>
  <w:num w:numId="29">
    <w:abstractNumId w:val="2"/>
  </w:num>
  <w:num w:numId="30">
    <w:abstractNumId w:val="6"/>
  </w:num>
  <w:num w:numId="31">
    <w:abstractNumId w:val="3"/>
  </w:num>
  <w:num w:numId="32">
    <w:abstractNumId w:val="10"/>
  </w:num>
  <w:num w:numId="33">
    <w:abstractNumId w:val="27"/>
  </w:num>
  <w:num w:numId="34">
    <w:abstractNumId w:val="20"/>
  </w:num>
  <w:num w:numId="35">
    <w:abstractNumId w:val="21"/>
  </w:num>
  <w:num w:numId="36">
    <w:abstractNumId w:val="35"/>
  </w:num>
  <w:num w:numId="37">
    <w:abstractNumId w:val="30"/>
  </w:num>
  <w:num w:numId="38">
    <w:abstractNumId w:val="28"/>
  </w:num>
  <w:num w:numId="39">
    <w:abstractNumId w:val="21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ascii="Calibri" w:hAnsi="Calibri" w:hint="default"/>
          <w:b w:val="0"/>
          <w:i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0">
    <w:abstractNumId w:val="19"/>
  </w:num>
  <w:num w:numId="41">
    <w:abstractNumId w:val="15"/>
  </w:num>
  <w:num w:numId="42">
    <w:abstractNumId w:val="34"/>
  </w:num>
  <w:num w:numId="43">
    <w:abstractNumId w:val="34"/>
    <w:lvlOverride w:ilvl="0">
      <w:lvl w:ilvl="0">
        <w:start w:val="4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57" w:hanging="357"/>
        </w:pPr>
        <w:rPr>
          <w:rFonts w:ascii="Calibri" w:hAnsi="Calibri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57" w:hanging="357"/>
        </w:pPr>
        <w:rPr>
          <w:rFonts w:hint="default"/>
        </w:rPr>
      </w:lvl>
    </w:lvlOverride>
  </w:num>
  <w:num w:numId="44">
    <w:abstractNumId w:val="24"/>
  </w:num>
  <w:num w:numId="45">
    <w:abstractNumId w:val="14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DC"/>
    <w:rsid w:val="000012C3"/>
    <w:rsid w:val="000215CF"/>
    <w:rsid w:val="00026CCB"/>
    <w:rsid w:val="00031FDC"/>
    <w:rsid w:val="0003288E"/>
    <w:rsid w:val="000335B9"/>
    <w:rsid w:val="00035B8D"/>
    <w:rsid w:val="00056359"/>
    <w:rsid w:val="00062B64"/>
    <w:rsid w:val="00081F60"/>
    <w:rsid w:val="00082E1C"/>
    <w:rsid w:val="00086528"/>
    <w:rsid w:val="000947C7"/>
    <w:rsid w:val="000948B4"/>
    <w:rsid w:val="000A2C68"/>
    <w:rsid w:val="000B1D9C"/>
    <w:rsid w:val="000D6EE7"/>
    <w:rsid w:val="000E6C81"/>
    <w:rsid w:val="000E72F0"/>
    <w:rsid w:val="000F2104"/>
    <w:rsid w:val="000F605F"/>
    <w:rsid w:val="00107592"/>
    <w:rsid w:val="0011409D"/>
    <w:rsid w:val="00132293"/>
    <w:rsid w:val="00153062"/>
    <w:rsid w:val="00153D57"/>
    <w:rsid w:val="00170545"/>
    <w:rsid w:val="00173016"/>
    <w:rsid w:val="0017739D"/>
    <w:rsid w:val="00181248"/>
    <w:rsid w:val="0018445A"/>
    <w:rsid w:val="001853A9"/>
    <w:rsid w:val="00197331"/>
    <w:rsid w:val="001B52A4"/>
    <w:rsid w:val="001C015C"/>
    <w:rsid w:val="001C28F1"/>
    <w:rsid w:val="001D40FA"/>
    <w:rsid w:val="0020600F"/>
    <w:rsid w:val="002103C4"/>
    <w:rsid w:val="00252513"/>
    <w:rsid w:val="00262FA5"/>
    <w:rsid w:val="00271630"/>
    <w:rsid w:val="00275498"/>
    <w:rsid w:val="00275911"/>
    <w:rsid w:val="00275C3A"/>
    <w:rsid w:val="00286B5E"/>
    <w:rsid w:val="0029546B"/>
    <w:rsid w:val="002B3E92"/>
    <w:rsid w:val="002C5DE2"/>
    <w:rsid w:val="002D2AC7"/>
    <w:rsid w:val="00301550"/>
    <w:rsid w:val="00305941"/>
    <w:rsid w:val="003227C8"/>
    <w:rsid w:val="003349CC"/>
    <w:rsid w:val="0033697C"/>
    <w:rsid w:val="00344014"/>
    <w:rsid w:val="00362EAB"/>
    <w:rsid w:val="00364402"/>
    <w:rsid w:val="00371150"/>
    <w:rsid w:val="003855CA"/>
    <w:rsid w:val="003863B5"/>
    <w:rsid w:val="003869B5"/>
    <w:rsid w:val="003A7ECB"/>
    <w:rsid w:val="003B02C7"/>
    <w:rsid w:val="003E3EAC"/>
    <w:rsid w:val="003E5707"/>
    <w:rsid w:val="0040102B"/>
    <w:rsid w:val="00412D83"/>
    <w:rsid w:val="00453F34"/>
    <w:rsid w:val="00456BE6"/>
    <w:rsid w:val="004873A6"/>
    <w:rsid w:val="00487CC0"/>
    <w:rsid w:val="00490FAF"/>
    <w:rsid w:val="004B68DC"/>
    <w:rsid w:val="004C47D0"/>
    <w:rsid w:val="004D57A2"/>
    <w:rsid w:val="004D6590"/>
    <w:rsid w:val="004F2A6B"/>
    <w:rsid w:val="004F39E0"/>
    <w:rsid w:val="00503129"/>
    <w:rsid w:val="005068D2"/>
    <w:rsid w:val="00517457"/>
    <w:rsid w:val="00532C22"/>
    <w:rsid w:val="00560142"/>
    <w:rsid w:val="00563D6A"/>
    <w:rsid w:val="0057034E"/>
    <w:rsid w:val="00573D84"/>
    <w:rsid w:val="005854CF"/>
    <w:rsid w:val="005969CD"/>
    <w:rsid w:val="005A2740"/>
    <w:rsid w:val="005A33F4"/>
    <w:rsid w:val="005F0EFE"/>
    <w:rsid w:val="005F7E25"/>
    <w:rsid w:val="00604865"/>
    <w:rsid w:val="00605DBD"/>
    <w:rsid w:val="00612313"/>
    <w:rsid w:val="00614397"/>
    <w:rsid w:val="00632DFC"/>
    <w:rsid w:val="00636DD9"/>
    <w:rsid w:val="00653C52"/>
    <w:rsid w:val="00655DB6"/>
    <w:rsid w:val="00671CDF"/>
    <w:rsid w:val="006A4D86"/>
    <w:rsid w:val="006B7944"/>
    <w:rsid w:val="006C1A3B"/>
    <w:rsid w:val="006E2F7B"/>
    <w:rsid w:val="006F7709"/>
    <w:rsid w:val="0070175F"/>
    <w:rsid w:val="0072778A"/>
    <w:rsid w:val="00736DDE"/>
    <w:rsid w:val="00743E1B"/>
    <w:rsid w:val="007512C8"/>
    <w:rsid w:val="007571DE"/>
    <w:rsid w:val="00757803"/>
    <w:rsid w:val="00764DD0"/>
    <w:rsid w:val="007878F5"/>
    <w:rsid w:val="007A135F"/>
    <w:rsid w:val="007A30CE"/>
    <w:rsid w:val="007B33FC"/>
    <w:rsid w:val="007B6E1C"/>
    <w:rsid w:val="007C68E6"/>
    <w:rsid w:val="007E3060"/>
    <w:rsid w:val="007F2967"/>
    <w:rsid w:val="00811211"/>
    <w:rsid w:val="00827757"/>
    <w:rsid w:val="0083358E"/>
    <w:rsid w:val="00833B5A"/>
    <w:rsid w:val="00844672"/>
    <w:rsid w:val="00857A4E"/>
    <w:rsid w:val="00861C23"/>
    <w:rsid w:val="00870B95"/>
    <w:rsid w:val="00875B87"/>
    <w:rsid w:val="0088619B"/>
    <w:rsid w:val="008A0FA9"/>
    <w:rsid w:val="008A2BF7"/>
    <w:rsid w:val="008C1290"/>
    <w:rsid w:val="008C60E7"/>
    <w:rsid w:val="008E3BB9"/>
    <w:rsid w:val="008E6528"/>
    <w:rsid w:val="008F560A"/>
    <w:rsid w:val="008F5FB9"/>
    <w:rsid w:val="00906FD7"/>
    <w:rsid w:val="00925C19"/>
    <w:rsid w:val="00963C2B"/>
    <w:rsid w:val="0097482A"/>
    <w:rsid w:val="00983B8B"/>
    <w:rsid w:val="0098437D"/>
    <w:rsid w:val="0099129F"/>
    <w:rsid w:val="00991FB3"/>
    <w:rsid w:val="009A145B"/>
    <w:rsid w:val="009A61BC"/>
    <w:rsid w:val="009D412D"/>
    <w:rsid w:val="009D6C5A"/>
    <w:rsid w:val="009D6CFC"/>
    <w:rsid w:val="009D704C"/>
    <w:rsid w:val="009E3A66"/>
    <w:rsid w:val="009F3836"/>
    <w:rsid w:val="00A11A26"/>
    <w:rsid w:val="00A16AE3"/>
    <w:rsid w:val="00A25C69"/>
    <w:rsid w:val="00A25EB6"/>
    <w:rsid w:val="00A2706C"/>
    <w:rsid w:val="00A311C2"/>
    <w:rsid w:val="00A35D1D"/>
    <w:rsid w:val="00A37FEB"/>
    <w:rsid w:val="00A562FB"/>
    <w:rsid w:val="00A62F40"/>
    <w:rsid w:val="00A903F6"/>
    <w:rsid w:val="00A90730"/>
    <w:rsid w:val="00A91F21"/>
    <w:rsid w:val="00AF0025"/>
    <w:rsid w:val="00B00D3A"/>
    <w:rsid w:val="00B01A93"/>
    <w:rsid w:val="00B22DF2"/>
    <w:rsid w:val="00B2753A"/>
    <w:rsid w:val="00B36B81"/>
    <w:rsid w:val="00B40A77"/>
    <w:rsid w:val="00B414AA"/>
    <w:rsid w:val="00BA5CD3"/>
    <w:rsid w:val="00BB2AE7"/>
    <w:rsid w:val="00BC0538"/>
    <w:rsid w:val="00BC5644"/>
    <w:rsid w:val="00BD2F6D"/>
    <w:rsid w:val="00BD42BB"/>
    <w:rsid w:val="00BF36A5"/>
    <w:rsid w:val="00C200BF"/>
    <w:rsid w:val="00C20261"/>
    <w:rsid w:val="00C22FC3"/>
    <w:rsid w:val="00C25BA2"/>
    <w:rsid w:val="00C32888"/>
    <w:rsid w:val="00C37149"/>
    <w:rsid w:val="00C67322"/>
    <w:rsid w:val="00C73382"/>
    <w:rsid w:val="00C85095"/>
    <w:rsid w:val="00CA79A4"/>
    <w:rsid w:val="00CB1B74"/>
    <w:rsid w:val="00CC43A0"/>
    <w:rsid w:val="00CD27E9"/>
    <w:rsid w:val="00CD4853"/>
    <w:rsid w:val="00CE2381"/>
    <w:rsid w:val="00CE7320"/>
    <w:rsid w:val="00CF03FE"/>
    <w:rsid w:val="00CF272B"/>
    <w:rsid w:val="00D01A3F"/>
    <w:rsid w:val="00D0295F"/>
    <w:rsid w:val="00D07C83"/>
    <w:rsid w:val="00D30951"/>
    <w:rsid w:val="00D32DF3"/>
    <w:rsid w:val="00D346A1"/>
    <w:rsid w:val="00D55CB1"/>
    <w:rsid w:val="00D57DED"/>
    <w:rsid w:val="00D64FE3"/>
    <w:rsid w:val="00D65795"/>
    <w:rsid w:val="00D71979"/>
    <w:rsid w:val="00D73E11"/>
    <w:rsid w:val="00D81C45"/>
    <w:rsid w:val="00D85C0D"/>
    <w:rsid w:val="00D87AA8"/>
    <w:rsid w:val="00D87B31"/>
    <w:rsid w:val="00D92117"/>
    <w:rsid w:val="00DA0B4E"/>
    <w:rsid w:val="00DA3B3F"/>
    <w:rsid w:val="00DD5EDC"/>
    <w:rsid w:val="00DE5E5F"/>
    <w:rsid w:val="00E17F06"/>
    <w:rsid w:val="00E370F5"/>
    <w:rsid w:val="00E43EF8"/>
    <w:rsid w:val="00E47361"/>
    <w:rsid w:val="00E6089D"/>
    <w:rsid w:val="00E61B60"/>
    <w:rsid w:val="00E64AE7"/>
    <w:rsid w:val="00E83BDD"/>
    <w:rsid w:val="00EA4A33"/>
    <w:rsid w:val="00EB66F3"/>
    <w:rsid w:val="00EC39DC"/>
    <w:rsid w:val="00ED3C74"/>
    <w:rsid w:val="00ED5322"/>
    <w:rsid w:val="00EE0445"/>
    <w:rsid w:val="00EE05F9"/>
    <w:rsid w:val="00EE1F28"/>
    <w:rsid w:val="00EF23FB"/>
    <w:rsid w:val="00EF68CA"/>
    <w:rsid w:val="00F07651"/>
    <w:rsid w:val="00F1611E"/>
    <w:rsid w:val="00F27857"/>
    <w:rsid w:val="00F5273B"/>
    <w:rsid w:val="00F539FD"/>
    <w:rsid w:val="00F83D76"/>
    <w:rsid w:val="00F909F8"/>
    <w:rsid w:val="00FA0644"/>
    <w:rsid w:val="00FB508A"/>
    <w:rsid w:val="00FC3163"/>
    <w:rsid w:val="00FD18D2"/>
    <w:rsid w:val="00FE099C"/>
    <w:rsid w:val="00FE19BA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3F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01A3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"/>
    <w:link w:val="Textpoznpodarou"/>
    <w:semiHidden/>
    <w:locked/>
    <w:rsid w:val="0097482A"/>
    <w:rPr>
      <w:rFonts w:ascii="Times New Roman" w:eastAsia="Times New Roman" w:hAnsi="Times New Roman"/>
      <w:sz w:val="22"/>
      <w:szCs w:val="22"/>
      <w:lang w:eastAsia="en-US"/>
    </w:rPr>
  </w:style>
  <w:style w:type="paragraph" w:styleId="Textpoznpodarou">
    <w:name w:val="footnote text"/>
    <w:aliases w:val="Schriftart: 9 pt,Schriftart: 10 pt,Schriftart: 8 pt,Text poznámky pod čiarou 007,Footnote"/>
    <w:basedOn w:val="Normln"/>
    <w:link w:val="TextpoznpodarouChar"/>
    <w:semiHidden/>
    <w:unhideWhenUsed/>
    <w:rsid w:val="0097482A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xtpoznpodarouChar1">
    <w:name w:val="Text pozn. pod čarou Char1"/>
    <w:uiPriority w:val="99"/>
    <w:semiHidden/>
    <w:rsid w:val="0097482A"/>
    <w:rPr>
      <w:lang w:eastAsia="en-US"/>
    </w:rPr>
  </w:style>
  <w:style w:type="paragraph" w:styleId="Odstavecseseznamem">
    <w:name w:val="List Paragraph"/>
    <w:basedOn w:val="Normln"/>
    <w:qFormat/>
    <w:rsid w:val="0097482A"/>
    <w:pPr>
      <w:ind w:left="720"/>
      <w:contextualSpacing/>
    </w:pPr>
  </w:style>
  <w:style w:type="character" w:styleId="Znakapoznpodarou">
    <w:name w:val="footnote reference"/>
    <w:uiPriority w:val="99"/>
    <w:semiHidden/>
    <w:unhideWhenUsed/>
    <w:rsid w:val="0097482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A0F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A0F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A0F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A0FA9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4B68DC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4B68DC"/>
    <w:rPr>
      <w:rFonts w:eastAsia="Times New Roman"/>
      <w:sz w:val="22"/>
      <w:szCs w:val="22"/>
      <w:lang w:val="cs-CZ" w:eastAsia="en-US" w:bidi="ar-SA"/>
    </w:rPr>
  </w:style>
  <w:style w:type="character" w:customStyle="1" w:styleId="Nadpis1Char">
    <w:name w:val="Nadpis 1 Char"/>
    <w:link w:val="Nadpis1"/>
    <w:uiPriority w:val="99"/>
    <w:rsid w:val="00D01A3F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D01A3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rsid w:val="00D01A3F"/>
    <w:rPr>
      <w:rFonts w:ascii="Times New Roman" w:eastAsia="Times New Roman" w:hAnsi="Times New Roman"/>
      <w:sz w:val="24"/>
      <w:szCs w:val="24"/>
    </w:rPr>
  </w:style>
  <w:style w:type="paragraph" w:styleId="Rozloendokumentu">
    <w:name w:val="Document Map"/>
    <w:basedOn w:val="Normln"/>
    <w:semiHidden/>
    <w:rsid w:val="000D6E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3D6A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C20261"/>
    <w:rPr>
      <w:color w:val="0000FF"/>
      <w:u w:val="single"/>
    </w:rPr>
  </w:style>
  <w:style w:type="paragraph" w:styleId="Normlnweb">
    <w:name w:val="Normal (Web)"/>
    <w:basedOn w:val="Normln"/>
    <w:rsid w:val="00A311C2"/>
    <w:pPr>
      <w:spacing w:before="100" w:beforeAutospacing="1" w:after="100" w:afterAutospacing="1" w:line="36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numbering" w:customStyle="1" w:styleId="smlouvaV">
    <w:name w:val="smlouvaVŘ"/>
    <w:uiPriority w:val="99"/>
    <w:rsid w:val="003E5707"/>
    <w:pPr>
      <w:numPr>
        <w:numId w:val="38"/>
      </w:numPr>
    </w:pPr>
  </w:style>
  <w:style w:type="character" w:styleId="Odkaznakoment">
    <w:name w:val="annotation reference"/>
    <w:uiPriority w:val="99"/>
    <w:semiHidden/>
    <w:unhideWhenUsed/>
    <w:rsid w:val="00632D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2DF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32DF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2DF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2DF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3F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D01A3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"/>
    <w:link w:val="Textpoznpodarou"/>
    <w:semiHidden/>
    <w:locked/>
    <w:rsid w:val="0097482A"/>
    <w:rPr>
      <w:rFonts w:ascii="Times New Roman" w:eastAsia="Times New Roman" w:hAnsi="Times New Roman"/>
      <w:sz w:val="22"/>
      <w:szCs w:val="22"/>
      <w:lang w:eastAsia="en-US"/>
    </w:rPr>
  </w:style>
  <w:style w:type="paragraph" w:styleId="Textpoznpodarou">
    <w:name w:val="footnote text"/>
    <w:aliases w:val="Schriftart: 9 pt,Schriftart: 10 pt,Schriftart: 8 pt,Text poznámky pod čiarou 007,Footnote"/>
    <w:basedOn w:val="Normln"/>
    <w:link w:val="TextpoznpodarouChar"/>
    <w:semiHidden/>
    <w:unhideWhenUsed/>
    <w:rsid w:val="0097482A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xtpoznpodarouChar1">
    <w:name w:val="Text pozn. pod čarou Char1"/>
    <w:uiPriority w:val="99"/>
    <w:semiHidden/>
    <w:rsid w:val="0097482A"/>
    <w:rPr>
      <w:lang w:eastAsia="en-US"/>
    </w:rPr>
  </w:style>
  <w:style w:type="paragraph" w:styleId="Odstavecseseznamem">
    <w:name w:val="List Paragraph"/>
    <w:basedOn w:val="Normln"/>
    <w:qFormat/>
    <w:rsid w:val="0097482A"/>
    <w:pPr>
      <w:ind w:left="720"/>
      <w:contextualSpacing/>
    </w:pPr>
  </w:style>
  <w:style w:type="character" w:styleId="Znakapoznpodarou">
    <w:name w:val="footnote reference"/>
    <w:uiPriority w:val="99"/>
    <w:semiHidden/>
    <w:unhideWhenUsed/>
    <w:rsid w:val="0097482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A0F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A0F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A0F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A0FA9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4B68DC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4B68DC"/>
    <w:rPr>
      <w:rFonts w:eastAsia="Times New Roman"/>
      <w:sz w:val="22"/>
      <w:szCs w:val="22"/>
      <w:lang w:val="cs-CZ" w:eastAsia="en-US" w:bidi="ar-SA"/>
    </w:rPr>
  </w:style>
  <w:style w:type="character" w:customStyle="1" w:styleId="Nadpis1Char">
    <w:name w:val="Nadpis 1 Char"/>
    <w:link w:val="Nadpis1"/>
    <w:uiPriority w:val="99"/>
    <w:rsid w:val="00D01A3F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D01A3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rsid w:val="00D01A3F"/>
    <w:rPr>
      <w:rFonts w:ascii="Times New Roman" w:eastAsia="Times New Roman" w:hAnsi="Times New Roman"/>
      <w:sz w:val="24"/>
      <w:szCs w:val="24"/>
    </w:rPr>
  </w:style>
  <w:style w:type="paragraph" w:styleId="Rozloendokumentu">
    <w:name w:val="Document Map"/>
    <w:basedOn w:val="Normln"/>
    <w:semiHidden/>
    <w:rsid w:val="000D6E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3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3D6A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C20261"/>
    <w:rPr>
      <w:color w:val="0000FF"/>
      <w:u w:val="single"/>
    </w:rPr>
  </w:style>
  <w:style w:type="paragraph" w:styleId="Normlnweb">
    <w:name w:val="Normal (Web)"/>
    <w:basedOn w:val="Normln"/>
    <w:rsid w:val="00A311C2"/>
    <w:pPr>
      <w:spacing w:before="100" w:beforeAutospacing="1" w:after="100" w:afterAutospacing="1" w:line="360" w:lineRule="auto"/>
      <w:jc w:val="both"/>
    </w:pPr>
    <w:rPr>
      <w:rFonts w:ascii="Arial" w:eastAsia="Times New Roman" w:hAnsi="Arial"/>
      <w:sz w:val="20"/>
      <w:szCs w:val="24"/>
      <w:lang w:eastAsia="cs-CZ"/>
    </w:rPr>
  </w:style>
  <w:style w:type="numbering" w:customStyle="1" w:styleId="smlouvaV">
    <w:name w:val="smlouvaVŘ"/>
    <w:uiPriority w:val="99"/>
    <w:rsid w:val="003E5707"/>
    <w:pPr>
      <w:numPr>
        <w:numId w:val="38"/>
      </w:numPr>
    </w:pPr>
  </w:style>
  <w:style w:type="character" w:styleId="Odkaznakoment">
    <w:name w:val="annotation reference"/>
    <w:uiPriority w:val="99"/>
    <w:semiHidden/>
    <w:unhideWhenUsed/>
    <w:rsid w:val="00632D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2DF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32DF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2DF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2DF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2375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 a k prokázání splnění kvalifikace</vt:lpstr>
    </vt:vector>
  </TitlesOfParts>
  <Company>Ministerstvo školství, mládeže a tělovýchovy</Company>
  <LinksUpToDate>false</LinksUpToDate>
  <CharactersWithSpaces>16358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 a k prokázání splnění kvalifikace</dc:title>
  <dc:creator>korinkoval</dc:creator>
  <cp:lastModifiedBy>Stanclova, Lucie</cp:lastModifiedBy>
  <cp:revision>4</cp:revision>
  <cp:lastPrinted>2013-06-10T13:39:00Z</cp:lastPrinted>
  <dcterms:created xsi:type="dcterms:W3CDTF">2013-06-10T06:02:00Z</dcterms:created>
  <dcterms:modified xsi:type="dcterms:W3CDTF">2013-06-10T13:39:00Z</dcterms:modified>
</cp:coreProperties>
</file>