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ED" w:rsidRPr="00E75F96" w:rsidRDefault="001F3AED" w:rsidP="001F3AED">
      <w:pPr>
        <w:ind w:right="-150"/>
        <w:jc w:val="both"/>
        <w:rPr>
          <w:rFonts w:ascii="Arial" w:hAnsi="Arial" w:cs="Arial"/>
        </w:rPr>
      </w:pPr>
    </w:p>
    <w:p w:rsidR="001F3AED" w:rsidRPr="00E75F96" w:rsidRDefault="001F3AED" w:rsidP="001F3AED">
      <w:pPr>
        <w:ind w:right="-150"/>
        <w:jc w:val="both"/>
        <w:rPr>
          <w:rFonts w:ascii="Arial" w:hAnsi="Arial" w:cs="Arial"/>
        </w:rPr>
      </w:pPr>
    </w:p>
    <w:p w:rsidR="001F3AED" w:rsidRDefault="001F3AED" w:rsidP="001F3AED">
      <w:pPr>
        <w:ind w:right="-150"/>
        <w:jc w:val="both"/>
        <w:rPr>
          <w:rFonts w:ascii="Arial" w:hAnsi="Arial" w:cs="Arial"/>
        </w:rPr>
      </w:pPr>
    </w:p>
    <w:p w:rsidR="001F3AED" w:rsidRPr="00E75F96" w:rsidRDefault="001F3AED" w:rsidP="001F3AED">
      <w:pPr>
        <w:ind w:right="-150"/>
        <w:jc w:val="both"/>
        <w:rPr>
          <w:rFonts w:ascii="Arial" w:hAnsi="Arial" w:cs="Arial"/>
        </w:rPr>
      </w:pPr>
    </w:p>
    <w:p w:rsidR="001F3AED" w:rsidRPr="00E75F96" w:rsidRDefault="001F3AED" w:rsidP="001F3AED">
      <w:pPr>
        <w:ind w:right="-150"/>
        <w:jc w:val="both"/>
        <w:rPr>
          <w:rFonts w:ascii="Arial" w:hAnsi="Arial" w:cs="Arial"/>
          <w:sz w:val="44"/>
          <w:szCs w:val="44"/>
          <w:u w:val="single"/>
        </w:rPr>
      </w:pPr>
    </w:p>
    <w:p w:rsidR="001F3AED" w:rsidRPr="008D385E" w:rsidRDefault="001F3AED" w:rsidP="001F3AED">
      <w:pPr>
        <w:pBdr>
          <w:top w:val="thickThinSmallGap" w:sz="18" w:space="1" w:color="34943E"/>
          <w:left w:val="thickThinSmallGap" w:sz="18" w:space="4" w:color="34943E"/>
          <w:bottom w:val="thinThickSmallGap" w:sz="18" w:space="1" w:color="34943E"/>
          <w:right w:val="thinThickSmallGap" w:sz="18" w:space="4" w:color="34943E"/>
        </w:pBdr>
        <w:jc w:val="center"/>
        <w:rPr>
          <w:rFonts w:ascii="Arial" w:hAnsi="Arial" w:cs="Arial"/>
          <w:b/>
          <w:sz w:val="36"/>
          <w:szCs w:val="36"/>
        </w:rPr>
      </w:pPr>
      <w:r>
        <w:rPr>
          <w:rFonts w:ascii="Arial" w:hAnsi="Arial" w:cs="Arial"/>
          <w:b/>
          <w:sz w:val="36"/>
          <w:szCs w:val="36"/>
        </w:rPr>
        <w:t>PŘÍLOHA č. 23</w:t>
      </w:r>
      <w:r w:rsidR="00AF6676">
        <w:rPr>
          <w:rFonts w:ascii="Arial" w:hAnsi="Arial" w:cs="Arial"/>
          <w:b/>
          <w:sz w:val="36"/>
          <w:szCs w:val="36"/>
        </w:rPr>
        <w:t>r</w:t>
      </w:r>
      <w:r>
        <w:rPr>
          <w:rFonts w:ascii="Arial" w:hAnsi="Arial" w:cs="Arial"/>
          <w:b/>
          <w:sz w:val="36"/>
          <w:szCs w:val="36"/>
        </w:rPr>
        <w:t>)</w:t>
      </w:r>
    </w:p>
    <w:p w:rsidR="001F3AED" w:rsidRPr="008D385E" w:rsidRDefault="001F3AED" w:rsidP="001F3AED">
      <w:pPr>
        <w:pBdr>
          <w:top w:val="thickThinSmallGap" w:sz="18" w:space="1" w:color="34943E"/>
          <w:left w:val="thickThinSmallGap" w:sz="18" w:space="4" w:color="34943E"/>
          <w:bottom w:val="thinThickSmallGap" w:sz="18" w:space="1" w:color="34943E"/>
          <w:right w:val="thinThickSmallGap" w:sz="18" w:space="4" w:color="34943E"/>
        </w:pBdr>
        <w:spacing w:after="240"/>
        <w:jc w:val="center"/>
        <w:rPr>
          <w:rFonts w:ascii="Arial" w:hAnsi="Arial" w:cs="Arial"/>
          <w:b/>
          <w:sz w:val="40"/>
          <w:szCs w:val="40"/>
        </w:rPr>
      </w:pPr>
      <w:r w:rsidRPr="008D385E">
        <w:rPr>
          <w:rFonts w:ascii="Arial" w:hAnsi="Arial" w:cs="Arial"/>
          <w:b/>
          <w:sz w:val="36"/>
          <w:szCs w:val="36"/>
        </w:rPr>
        <w:t>příruček pro žadatele a příjemce OP VaVpI</w:t>
      </w:r>
    </w:p>
    <w:p w:rsidR="001F3AED" w:rsidRPr="008D385E" w:rsidRDefault="001F3AED" w:rsidP="001F3AED">
      <w:pPr>
        <w:pBdr>
          <w:top w:val="thickThinSmallGap" w:sz="18" w:space="1" w:color="34943E"/>
          <w:left w:val="thickThinSmallGap" w:sz="18" w:space="4" w:color="34943E"/>
          <w:bottom w:val="thinThickSmallGap" w:sz="18" w:space="1" w:color="34943E"/>
          <w:right w:val="thinThickSmallGap" w:sz="18" w:space="4" w:color="34943E"/>
        </w:pBdr>
        <w:jc w:val="center"/>
        <w:rPr>
          <w:rFonts w:ascii="Arial" w:hAnsi="Arial" w:cs="Arial"/>
          <w:b/>
          <w:sz w:val="40"/>
          <w:szCs w:val="40"/>
        </w:rPr>
      </w:pPr>
      <w:r>
        <w:rPr>
          <w:rFonts w:ascii="Arial" w:hAnsi="Arial" w:cs="Arial"/>
          <w:b/>
          <w:sz w:val="40"/>
          <w:szCs w:val="40"/>
        </w:rPr>
        <w:t xml:space="preserve">Instrukce k vyplnění Technického popisu pro PO 3 – Výzva č. </w:t>
      </w:r>
      <w:r w:rsidR="001A0A0B">
        <w:rPr>
          <w:rFonts w:ascii="Arial" w:hAnsi="Arial" w:cs="Arial"/>
          <w:b/>
          <w:sz w:val="40"/>
          <w:szCs w:val="40"/>
        </w:rPr>
        <w:t>7</w:t>
      </w:r>
      <w:r>
        <w:rPr>
          <w:rFonts w:ascii="Arial" w:hAnsi="Arial" w:cs="Arial"/>
          <w:b/>
          <w:sz w:val="40"/>
          <w:szCs w:val="40"/>
        </w:rPr>
        <w:t>.3</w:t>
      </w:r>
    </w:p>
    <w:p w:rsidR="001F3AED" w:rsidRDefault="001F3AED" w:rsidP="001F3AED">
      <w:pPr>
        <w:jc w:val="both"/>
        <w:rPr>
          <w:rFonts w:ascii="Arial" w:hAnsi="Arial" w:cs="Arial"/>
          <w:b/>
          <w:color w:val="008000"/>
          <w:sz w:val="18"/>
          <w:szCs w:val="18"/>
        </w:rPr>
      </w:pPr>
    </w:p>
    <w:p w:rsidR="001F3AED" w:rsidRDefault="001F3AED" w:rsidP="001F3AED">
      <w:pPr>
        <w:jc w:val="both"/>
        <w:rPr>
          <w:rFonts w:ascii="Arial" w:hAnsi="Arial" w:cs="Arial"/>
          <w:b/>
          <w:color w:val="008000"/>
          <w:sz w:val="18"/>
          <w:szCs w:val="18"/>
        </w:rPr>
      </w:pPr>
    </w:p>
    <w:p w:rsidR="001F3AED" w:rsidRPr="00AB1D67" w:rsidRDefault="00AB1D67" w:rsidP="00AB1D67">
      <w:pPr>
        <w:spacing w:before="120" w:after="120" w:line="240" w:lineRule="auto"/>
        <w:rPr>
          <w:rFonts w:ascii="Arial" w:hAnsi="Arial"/>
          <w:b/>
          <w:sz w:val="20"/>
          <w:szCs w:val="20"/>
        </w:rPr>
      </w:pPr>
      <w:r w:rsidRPr="00AB1D67">
        <w:rPr>
          <w:rFonts w:ascii="Arial" w:hAnsi="Arial"/>
          <w:b/>
          <w:sz w:val="20"/>
          <w:szCs w:val="20"/>
        </w:rPr>
        <w:t>Verze č. 1.0</w:t>
      </w:r>
    </w:p>
    <w:p w:rsidR="001F3AED" w:rsidRPr="00E75F96" w:rsidRDefault="001F3AED" w:rsidP="001F3AED">
      <w:pPr>
        <w:jc w:val="both"/>
        <w:rPr>
          <w:rFonts w:ascii="Arial" w:hAnsi="Arial" w:cs="Arial"/>
        </w:rPr>
      </w:pPr>
    </w:p>
    <w:p w:rsidR="001F3AED" w:rsidRPr="00E75F96" w:rsidRDefault="001F3AED" w:rsidP="001F3AED">
      <w:pPr>
        <w:jc w:val="both"/>
        <w:rPr>
          <w:rFonts w:ascii="Arial" w:hAnsi="Arial" w:cs="Arial"/>
        </w:rPr>
      </w:pPr>
    </w:p>
    <w:p w:rsidR="001F3AED" w:rsidRDefault="001F3AED" w:rsidP="001F3AED">
      <w:pPr>
        <w:jc w:val="both"/>
        <w:rPr>
          <w:rFonts w:ascii="Arial" w:hAnsi="Arial" w:cs="Arial"/>
        </w:rPr>
      </w:pPr>
    </w:p>
    <w:p w:rsidR="001F3AED" w:rsidRDefault="001F3AED" w:rsidP="001F3AED">
      <w:pPr>
        <w:jc w:val="both"/>
        <w:rPr>
          <w:rFonts w:ascii="Arial" w:hAnsi="Arial" w:cs="Arial"/>
        </w:rPr>
      </w:pPr>
    </w:p>
    <w:p w:rsidR="001F3AED" w:rsidRPr="00C85023" w:rsidRDefault="001F3AED" w:rsidP="001F3AED">
      <w:pPr>
        <w:jc w:val="center"/>
        <w:rPr>
          <w:rFonts w:ascii="Times New Roman" w:hAnsi="Times New Roman"/>
          <w:b/>
          <w:sz w:val="28"/>
          <w:szCs w:val="28"/>
        </w:rPr>
      </w:pPr>
      <w:r>
        <w:rPr>
          <w:rFonts w:ascii="Times New Roman" w:hAnsi="Times New Roman"/>
          <w:b/>
          <w:sz w:val="28"/>
          <w:szCs w:val="28"/>
        </w:rPr>
        <w:br w:type="page"/>
      </w:r>
      <w:r w:rsidRPr="00C85023">
        <w:rPr>
          <w:rFonts w:ascii="Times New Roman" w:hAnsi="Times New Roman"/>
          <w:b/>
          <w:sz w:val="28"/>
          <w:szCs w:val="28"/>
        </w:rPr>
        <w:lastRenderedPageBreak/>
        <w:t>Instrukce k</w:t>
      </w:r>
      <w:r>
        <w:rPr>
          <w:rFonts w:ascii="Times New Roman" w:hAnsi="Times New Roman"/>
          <w:b/>
          <w:sz w:val="28"/>
          <w:szCs w:val="28"/>
        </w:rPr>
        <w:t xml:space="preserve"> vyplnění Technického popisu projektu PO3 – Výzva č. </w:t>
      </w:r>
      <w:r w:rsidR="00216683">
        <w:rPr>
          <w:rFonts w:ascii="Times New Roman" w:hAnsi="Times New Roman"/>
          <w:b/>
          <w:sz w:val="28"/>
          <w:szCs w:val="28"/>
        </w:rPr>
        <w:t>7</w:t>
      </w:r>
      <w:r>
        <w:rPr>
          <w:rFonts w:ascii="Times New Roman" w:hAnsi="Times New Roman"/>
          <w:b/>
          <w:sz w:val="28"/>
          <w:szCs w:val="28"/>
        </w:rPr>
        <w:t>.3</w:t>
      </w:r>
    </w:p>
    <w:p w:rsidR="001F3AED" w:rsidRDefault="001F3AED" w:rsidP="001F3AED">
      <w:pPr>
        <w:jc w:val="both"/>
        <w:rPr>
          <w:rFonts w:ascii="Times New Roman" w:hAnsi="Times New Roman"/>
          <w:sz w:val="24"/>
          <w:szCs w:val="24"/>
        </w:rPr>
      </w:pPr>
      <w:r>
        <w:rPr>
          <w:rFonts w:ascii="Times New Roman" w:hAnsi="Times New Roman"/>
          <w:sz w:val="24"/>
          <w:szCs w:val="24"/>
        </w:rPr>
        <w:t xml:space="preserve">Výstupem fáze přípravy podkladů pro vydání Rozhodnutí bude tzv. </w:t>
      </w:r>
      <w:r w:rsidRPr="00157254">
        <w:rPr>
          <w:rFonts w:ascii="Times New Roman" w:hAnsi="Times New Roman"/>
          <w:sz w:val="24"/>
          <w:szCs w:val="24"/>
          <w:u w:val="single"/>
        </w:rPr>
        <w:t>rozšířená verze</w:t>
      </w:r>
      <w:r>
        <w:rPr>
          <w:rFonts w:ascii="Times New Roman" w:hAnsi="Times New Roman"/>
          <w:sz w:val="24"/>
          <w:szCs w:val="24"/>
        </w:rPr>
        <w:t xml:space="preserve"> Technického popisu projektu, která bude součástí přepracované Projektové žádosti, a následně z této rozšířené verze vytvořená </w:t>
      </w:r>
      <w:r w:rsidRPr="00A15970">
        <w:rPr>
          <w:rFonts w:ascii="Times New Roman" w:hAnsi="Times New Roman"/>
          <w:sz w:val="24"/>
          <w:szCs w:val="24"/>
          <w:u w:val="single"/>
        </w:rPr>
        <w:t>verze zúžená</w:t>
      </w:r>
      <w:r>
        <w:rPr>
          <w:rFonts w:ascii="Times New Roman" w:hAnsi="Times New Roman"/>
          <w:sz w:val="24"/>
          <w:szCs w:val="24"/>
        </w:rPr>
        <w:t xml:space="preserve">, která se stane přílohou č. 1 Rozhodnutí. Technický popis projektu vzniká vyplněním aplikace ESOP a je jejím tiskovým výstupem. </w:t>
      </w:r>
    </w:p>
    <w:p w:rsidR="001F3AED" w:rsidRDefault="001F3AED" w:rsidP="001F3AED">
      <w:pPr>
        <w:jc w:val="both"/>
        <w:rPr>
          <w:rFonts w:ascii="Times New Roman" w:hAnsi="Times New Roman"/>
          <w:sz w:val="24"/>
          <w:szCs w:val="24"/>
        </w:rPr>
      </w:pPr>
      <w:r>
        <w:rPr>
          <w:rFonts w:ascii="Times New Roman" w:hAnsi="Times New Roman"/>
          <w:sz w:val="24"/>
          <w:szCs w:val="24"/>
        </w:rPr>
        <w:t xml:space="preserve">Technický popis projektu představuje dokument, který má za cíl souhrnně a přehledně popsat základní parametry vašeho projektu. Příloha č. 1 Rozhodnutí – Technický popis projektu (zúžená verze) se stane součástí smluvního vztahu a vašeho závazku vůči Řídicímu orgánu. Text by měl být proto </w:t>
      </w:r>
      <w:r w:rsidRPr="001E7C94">
        <w:rPr>
          <w:rFonts w:ascii="Times New Roman" w:hAnsi="Times New Roman"/>
          <w:b/>
          <w:sz w:val="24"/>
          <w:szCs w:val="24"/>
        </w:rPr>
        <w:t>sdělný a obsažný</w:t>
      </w:r>
      <w:r>
        <w:rPr>
          <w:rFonts w:ascii="Times New Roman" w:hAnsi="Times New Roman"/>
          <w:sz w:val="24"/>
          <w:szCs w:val="24"/>
        </w:rPr>
        <w:t xml:space="preserve">, měl by v co možná největší míře obsahovat </w:t>
      </w:r>
      <w:r w:rsidRPr="001E7C94">
        <w:rPr>
          <w:rFonts w:ascii="Times New Roman" w:hAnsi="Times New Roman"/>
          <w:b/>
          <w:sz w:val="24"/>
          <w:szCs w:val="24"/>
        </w:rPr>
        <w:t>ověřitelné závazky žadatele</w:t>
      </w:r>
      <w:r>
        <w:rPr>
          <w:rFonts w:ascii="Times New Roman" w:hAnsi="Times New Roman"/>
          <w:sz w:val="24"/>
          <w:szCs w:val="24"/>
        </w:rPr>
        <w:t xml:space="preserve"> tak, aby bylo možné jednotlivé skutečnosti a konstatování jednoznačně posoudit a verifikovat. </w:t>
      </w:r>
    </w:p>
    <w:p w:rsidR="001F3AED" w:rsidRDefault="001F3AED" w:rsidP="001F3AED">
      <w:pPr>
        <w:jc w:val="both"/>
        <w:rPr>
          <w:rFonts w:ascii="Times New Roman" w:hAnsi="Times New Roman"/>
          <w:sz w:val="24"/>
          <w:szCs w:val="24"/>
        </w:rPr>
      </w:pPr>
      <w:r>
        <w:rPr>
          <w:rFonts w:ascii="Times New Roman" w:hAnsi="Times New Roman"/>
          <w:sz w:val="24"/>
          <w:szCs w:val="24"/>
        </w:rPr>
        <w:t>Při vyplňování Technického popisu projektu ve fázi přípravy podkladů pro vydání Rozhodnutí vycházejte</w:t>
      </w:r>
      <w:r w:rsidR="001A0A0B">
        <w:rPr>
          <w:rFonts w:ascii="Times New Roman" w:hAnsi="Times New Roman"/>
          <w:sz w:val="24"/>
          <w:szCs w:val="24"/>
        </w:rPr>
        <w:t xml:space="preserve"> </w:t>
      </w:r>
      <w:r>
        <w:rPr>
          <w:rFonts w:ascii="Times New Roman" w:hAnsi="Times New Roman"/>
          <w:sz w:val="24"/>
          <w:szCs w:val="24"/>
        </w:rPr>
        <w:t>důsledně z připomínek ŘO OP VaVpI a hodnotitelů, které měly závažnost podmínky schválení projektové žádosti. Dílčí úpravy oproti předložené žádosti jsou možné a někdy také nezbytné, a to především na základě zohlednění podmínek a případně doporučení hodnotitelů (věnujte tedy pozornost zejména doporučením a podmínkám, které hodnotitelé uvedli v Souhrnném stanovisku Komise odborných hodnotitelů jako nezbytné pro</w:t>
      </w:r>
      <w:r w:rsidR="00553139">
        <w:rPr>
          <w:rFonts w:ascii="Times New Roman" w:hAnsi="Times New Roman"/>
          <w:sz w:val="24"/>
          <w:szCs w:val="24"/>
        </w:rPr>
        <w:t> </w:t>
      </w:r>
      <w:r>
        <w:rPr>
          <w:rFonts w:ascii="Times New Roman" w:hAnsi="Times New Roman"/>
          <w:sz w:val="24"/>
          <w:szCs w:val="24"/>
        </w:rPr>
        <w:t xml:space="preserve">poskytnutí podpory – pokud se v posudku takové podmínky vyskytují). </w:t>
      </w:r>
    </w:p>
    <w:p w:rsidR="001F3AED" w:rsidRDefault="001F3AED" w:rsidP="001F3AED">
      <w:pPr>
        <w:jc w:val="both"/>
        <w:rPr>
          <w:rFonts w:ascii="Times New Roman" w:hAnsi="Times New Roman"/>
          <w:sz w:val="24"/>
          <w:szCs w:val="24"/>
        </w:rPr>
      </w:pPr>
      <w:r>
        <w:rPr>
          <w:rFonts w:ascii="Times New Roman" w:hAnsi="Times New Roman"/>
          <w:sz w:val="24"/>
          <w:szCs w:val="24"/>
        </w:rPr>
        <w:t>S ohledem na rozdílnou míru závažnosti jednotlivých částí Technického popisu projektu jsou jeho jednotlivé části barevně odlišeny. Rozdílné barvy představují rozdílnou míru závaznosti ve smluvním vztahu mezi příjemcem a poskytovatelem.</w:t>
      </w:r>
    </w:p>
    <w:p w:rsidR="001F3AED" w:rsidRPr="006D3AE6" w:rsidRDefault="001F3AED" w:rsidP="001F3AED">
      <w:pPr>
        <w:jc w:val="both"/>
        <w:rPr>
          <w:rFonts w:ascii="Times New Roman" w:hAnsi="Times New Roman"/>
          <w:sz w:val="24"/>
          <w:szCs w:val="24"/>
        </w:rPr>
      </w:pPr>
      <w:r>
        <w:rPr>
          <w:rFonts w:ascii="Times New Roman" w:hAnsi="Times New Roman"/>
          <w:sz w:val="24"/>
          <w:szCs w:val="24"/>
        </w:rPr>
        <w:t xml:space="preserve">Změny částí, které jsou označeny níže uvedenými barvami, spadají mezi </w:t>
      </w:r>
      <w:r w:rsidRPr="00076940">
        <w:rPr>
          <w:rFonts w:ascii="Times New Roman" w:hAnsi="Times New Roman"/>
          <w:b/>
          <w:sz w:val="24"/>
          <w:szCs w:val="24"/>
          <w:u w:val="single"/>
        </w:rPr>
        <w:t>změny podstatné:</w:t>
      </w:r>
    </w:p>
    <w:p w:rsidR="001F3AED" w:rsidRDefault="001F3AED" w:rsidP="001F3AED">
      <w:pPr>
        <w:numPr>
          <w:ilvl w:val="0"/>
          <w:numId w:val="2"/>
        </w:numPr>
        <w:jc w:val="both"/>
        <w:rPr>
          <w:rFonts w:ascii="Times New Roman" w:hAnsi="Times New Roman"/>
          <w:sz w:val="24"/>
          <w:szCs w:val="24"/>
        </w:rPr>
      </w:pPr>
      <w:r w:rsidRPr="00B51C97">
        <w:rPr>
          <w:rFonts w:ascii="Times New Roman" w:hAnsi="Times New Roman"/>
          <w:sz w:val="24"/>
          <w:szCs w:val="24"/>
          <w:highlight w:val="red"/>
        </w:rPr>
        <w:t>Červená</w:t>
      </w:r>
      <w:r>
        <w:rPr>
          <w:rFonts w:ascii="Times New Roman" w:hAnsi="Times New Roman"/>
          <w:sz w:val="24"/>
          <w:szCs w:val="24"/>
        </w:rPr>
        <w:t xml:space="preserve"> barva představuje nejvyšší míru závaznosti. Změna tohoto parametru představuje závažnou podstatnou změnu, která vyžaduje vydání Dodatku k Rozhodnutí. K těmto změnám by mělo docházet pouze za výjimečných okolností. Porušení této podmínky má za následek sankci ve smyslu porušení podmínek Rozhodnutí. Tento režim se vztahuje zejména na kapitolu I. Přílohy č. 1.</w:t>
      </w:r>
      <w:r w:rsidR="00053026">
        <w:rPr>
          <w:rStyle w:val="Znakapoznpodarou"/>
          <w:rFonts w:ascii="Times New Roman" w:hAnsi="Times New Roman"/>
          <w:sz w:val="24"/>
          <w:szCs w:val="24"/>
        </w:rPr>
        <w:footnoteReference w:id="1"/>
      </w:r>
    </w:p>
    <w:p w:rsidR="001F3AED" w:rsidRDefault="001F3AED" w:rsidP="001F3AED">
      <w:pPr>
        <w:numPr>
          <w:ilvl w:val="0"/>
          <w:numId w:val="2"/>
        </w:numPr>
        <w:jc w:val="both"/>
        <w:rPr>
          <w:rFonts w:ascii="Times New Roman" w:hAnsi="Times New Roman"/>
          <w:sz w:val="24"/>
          <w:szCs w:val="24"/>
        </w:rPr>
      </w:pPr>
      <w:r w:rsidRPr="00B51C97">
        <w:rPr>
          <w:rFonts w:ascii="Times New Roman" w:hAnsi="Times New Roman"/>
          <w:sz w:val="24"/>
          <w:szCs w:val="24"/>
          <w:highlight w:val="yellow"/>
        </w:rPr>
        <w:t>Žlutá</w:t>
      </w:r>
      <w:r>
        <w:rPr>
          <w:rFonts w:ascii="Times New Roman" w:hAnsi="Times New Roman"/>
          <w:sz w:val="24"/>
          <w:szCs w:val="24"/>
        </w:rPr>
        <w:t xml:space="preserve"> barva představuje střední míru závaznosti a je to nejčastější míra závaznosti, která se v dokumentu objevuje. Změna tohoto parametru představuje méně závažnou, ale podstatnou změnu, která vyžaduje schválení ze strany Řídicího orgánu. Změny těchto parametrů jsou v zásadě možné, avšak pouze na základě náležitého zdůvodnění. Změna </w:t>
      </w:r>
      <w:r>
        <w:rPr>
          <w:rFonts w:ascii="Times New Roman" w:hAnsi="Times New Roman"/>
          <w:sz w:val="24"/>
          <w:szCs w:val="24"/>
        </w:rPr>
        <w:lastRenderedPageBreak/>
        <w:t xml:space="preserve">není v žádném případě automatická, nicméně se předpokládá, že v průběhu realizace projektu bude ke změnám v této míře závaznosti nevyhnutelně docházet. Porušení této podmínky však má za následek sankci „pouze“ v podobě pozastavení plateb, resp. nezpůsobilost příslušných výdajů. </w:t>
      </w:r>
    </w:p>
    <w:p w:rsidR="001F3AED" w:rsidRPr="006D3AE6" w:rsidRDefault="001F3AED" w:rsidP="001F3AED">
      <w:pPr>
        <w:jc w:val="both"/>
        <w:rPr>
          <w:rFonts w:ascii="Times New Roman" w:hAnsi="Times New Roman"/>
          <w:sz w:val="24"/>
          <w:szCs w:val="24"/>
        </w:rPr>
      </w:pPr>
      <w:r>
        <w:rPr>
          <w:rFonts w:ascii="Times New Roman" w:hAnsi="Times New Roman"/>
          <w:sz w:val="24"/>
          <w:szCs w:val="24"/>
        </w:rPr>
        <w:t xml:space="preserve">Změny částí, které jsou označeny níže uvedenou barvou, jsou řazeny mezi </w:t>
      </w:r>
      <w:r w:rsidRPr="00076940">
        <w:rPr>
          <w:rFonts w:ascii="Times New Roman" w:hAnsi="Times New Roman"/>
          <w:b/>
          <w:sz w:val="24"/>
          <w:szCs w:val="24"/>
          <w:u w:val="single"/>
        </w:rPr>
        <w:t>změny nepodstatné</w:t>
      </w:r>
      <w:r>
        <w:rPr>
          <w:rFonts w:ascii="Times New Roman" w:hAnsi="Times New Roman"/>
          <w:sz w:val="24"/>
          <w:szCs w:val="24"/>
        </w:rPr>
        <w:t>:</w:t>
      </w:r>
    </w:p>
    <w:p w:rsidR="001F3AED" w:rsidRDefault="001F3AED" w:rsidP="001F3AED">
      <w:pPr>
        <w:numPr>
          <w:ilvl w:val="0"/>
          <w:numId w:val="2"/>
        </w:numPr>
        <w:jc w:val="both"/>
        <w:rPr>
          <w:rFonts w:ascii="Times New Roman" w:hAnsi="Times New Roman"/>
          <w:sz w:val="24"/>
          <w:szCs w:val="24"/>
        </w:rPr>
      </w:pPr>
      <w:r w:rsidRPr="00B51C97">
        <w:rPr>
          <w:rFonts w:ascii="Times New Roman" w:hAnsi="Times New Roman"/>
          <w:sz w:val="24"/>
          <w:szCs w:val="24"/>
          <w:highlight w:val="green"/>
        </w:rPr>
        <w:t>Zelená</w:t>
      </w:r>
      <w:r>
        <w:rPr>
          <w:rFonts w:ascii="Times New Roman" w:hAnsi="Times New Roman"/>
          <w:sz w:val="24"/>
          <w:szCs w:val="24"/>
        </w:rPr>
        <w:t xml:space="preserve"> barva představuje nízkou míru závaznosti. Vztahuje se na skutečnosti, u nichž existuje značná pravděpodobnost změn během realizace projektu, ale kde by změna neměla zásadním způsobem ohrozit realizaci projektu a naplnění jeho hlavních cílů. Změny parametrů vyžadují nahlášení změny Řídicímu orgánu v rámci pravidelných monitorovacích zpráv. Nenahlášení změny však má za následek sankci „pouze“ v podobě pozastavení plateb.</w:t>
      </w:r>
    </w:p>
    <w:p w:rsidR="001F3AED" w:rsidRPr="008E6A61" w:rsidRDefault="001F3AED" w:rsidP="001F3AED">
      <w:pPr>
        <w:jc w:val="both"/>
        <w:rPr>
          <w:rFonts w:ascii="Times New Roman" w:hAnsi="Times New Roman"/>
          <w:sz w:val="24"/>
          <w:szCs w:val="24"/>
        </w:rPr>
      </w:pPr>
      <w:r>
        <w:rPr>
          <w:rFonts w:ascii="Times New Roman" w:hAnsi="Times New Roman"/>
          <w:sz w:val="24"/>
          <w:szCs w:val="24"/>
        </w:rPr>
        <w:t xml:space="preserve">Změny částí, které jsou označeny níže uvedenou barvou, jsou řazeny mezi </w:t>
      </w:r>
      <w:r w:rsidRPr="00903C38">
        <w:rPr>
          <w:rFonts w:ascii="Times New Roman" w:hAnsi="Times New Roman"/>
          <w:b/>
          <w:sz w:val="24"/>
          <w:szCs w:val="24"/>
          <w:u w:val="single"/>
        </w:rPr>
        <w:t xml:space="preserve">změny </w:t>
      </w:r>
      <w:r>
        <w:rPr>
          <w:rFonts w:ascii="Times New Roman" w:hAnsi="Times New Roman"/>
          <w:b/>
          <w:sz w:val="24"/>
          <w:szCs w:val="24"/>
          <w:u w:val="single"/>
        </w:rPr>
        <w:t>informativní</w:t>
      </w:r>
      <w:r w:rsidRPr="00D35D30">
        <w:rPr>
          <w:rFonts w:ascii="Times New Roman" w:hAnsi="Times New Roman"/>
          <w:sz w:val="24"/>
          <w:szCs w:val="24"/>
        </w:rPr>
        <w:t>.</w:t>
      </w:r>
      <w:r>
        <w:rPr>
          <w:rFonts w:ascii="Times New Roman" w:hAnsi="Times New Roman"/>
          <w:sz w:val="24"/>
          <w:szCs w:val="24"/>
        </w:rPr>
        <w:t xml:space="preserve"> Pozn: V průběhu fáze přípravy podkladů pro vydání Rozhodnutí mohou být do rozšířené verze Technického popisu projektu doplněny další informace a fakta, které vzejdou z tohoto procesu a ŘO uzná za vhodné je v rozšířené verzi Technického popisu projektu uvést pod modrým označením.</w:t>
      </w:r>
    </w:p>
    <w:p w:rsidR="001F3AED" w:rsidRDefault="001F3AED" w:rsidP="001F3AED">
      <w:pPr>
        <w:numPr>
          <w:ilvl w:val="0"/>
          <w:numId w:val="2"/>
        </w:numPr>
        <w:jc w:val="both"/>
        <w:rPr>
          <w:rFonts w:ascii="Times New Roman" w:hAnsi="Times New Roman"/>
          <w:sz w:val="24"/>
          <w:szCs w:val="24"/>
        </w:rPr>
      </w:pPr>
      <w:r w:rsidRPr="00B51C97">
        <w:rPr>
          <w:rFonts w:ascii="Times New Roman" w:hAnsi="Times New Roman"/>
          <w:sz w:val="24"/>
          <w:szCs w:val="24"/>
          <w:highlight w:val="cyan"/>
        </w:rPr>
        <w:t>Modrá</w:t>
      </w:r>
      <w:r>
        <w:rPr>
          <w:rFonts w:ascii="Times New Roman" w:hAnsi="Times New Roman"/>
          <w:sz w:val="24"/>
          <w:szCs w:val="24"/>
        </w:rPr>
        <w:t xml:space="preserve"> barva představuje nejnižší míru závaznosti dotčeného parametru. Vztahuje se na skutečnosti, u nichž existuje velmi vysoká pravděpodobnost změn a jež mají informativní charakter, jejich nenaplnění nepodléhá režimu sankcí. Přesto budou tyto informace také předmětem fáze přípravy podkladů pro vydání Rozhodnutí a stanou se součástí přepracované projektové žádosti. V textu Přílohy č. 1 Rozhodnutí v konečné podobě se však neobjeví.</w:t>
      </w:r>
    </w:p>
    <w:p w:rsidR="001F3AED" w:rsidRDefault="001F3AED" w:rsidP="001F3AED">
      <w:pPr>
        <w:ind w:left="284"/>
        <w:jc w:val="both"/>
        <w:rPr>
          <w:rFonts w:ascii="Times New Roman" w:hAnsi="Times New Roman"/>
          <w:sz w:val="24"/>
          <w:szCs w:val="24"/>
        </w:rPr>
      </w:pPr>
      <w:r w:rsidRPr="00E95090">
        <w:rPr>
          <w:rFonts w:ascii="Times New Roman" w:hAnsi="Times New Roman"/>
          <w:sz w:val="24"/>
          <w:szCs w:val="24"/>
        </w:rPr>
        <w:t xml:space="preserve">V důsledku tedy budou výstupem </w:t>
      </w:r>
      <w:r>
        <w:rPr>
          <w:rFonts w:ascii="Times New Roman" w:hAnsi="Times New Roman"/>
          <w:sz w:val="24"/>
          <w:szCs w:val="24"/>
        </w:rPr>
        <w:t>fáze přípravy podkladů pro vydání Rozhodnutí</w:t>
      </w:r>
      <w:r w:rsidRPr="00E95090">
        <w:rPr>
          <w:rFonts w:ascii="Times New Roman" w:hAnsi="Times New Roman"/>
          <w:sz w:val="24"/>
          <w:szCs w:val="24"/>
        </w:rPr>
        <w:t xml:space="preserve"> dvě verze </w:t>
      </w:r>
      <w:r>
        <w:rPr>
          <w:rFonts w:ascii="Times New Roman" w:hAnsi="Times New Roman"/>
          <w:sz w:val="24"/>
          <w:szCs w:val="24"/>
        </w:rPr>
        <w:t>Technického popisu</w:t>
      </w:r>
      <w:r w:rsidRPr="00E95090">
        <w:rPr>
          <w:rFonts w:ascii="Times New Roman" w:hAnsi="Times New Roman"/>
          <w:sz w:val="24"/>
          <w:szCs w:val="24"/>
        </w:rPr>
        <w:t xml:space="preserve">. 1 – </w:t>
      </w:r>
      <w:r w:rsidRPr="00E95090">
        <w:rPr>
          <w:rFonts w:ascii="Times New Roman" w:hAnsi="Times New Roman"/>
          <w:sz w:val="24"/>
          <w:szCs w:val="24"/>
          <w:u w:val="single"/>
        </w:rPr>
        <w:t>verze rozšířená</w:t>
      </w:r>
      <w:r w:rsidRPr="00E95090">
        <w:rPr>
          <w:rFonts w:ascii="Times New Roman" w:hAnsi="Times New Roman"/>
          <w:sz w:val="24"/>
          <w:szCs w:val="24"/>
        </w:rPr>
        <w:t>, která bude součástí přepracované projektové žádosti a bude obsah</w:t>
      </w:r>
      <w:r>
        <w:rPr>
          <w:rFonts w:ascii="Times New Roman" w:hAnsi="Times New Roman"/>
          <w:sz w:val="24"/>
          <w:szCs w:val="24"/>
        </w:rPr>
        <w:t>ovat i </w:t>
      </w:r>
      <w:r w:rsidRPr="00E95090">
        <w:rPr>
          <w:rFonts w:ascii="Times New Roman" w:hAnsi="Times New Roman"/>
          <w:sz w:val="24"/>
          <w:szCs w:val="24"/>
        </w:rPr>
        <w:t xml:space="preserve">informace podbarvené modře; a </w:t>
      </w:r>
      <w:r w:rsidRPr="00E95090">
        <w:rPr>
          <w:rFonts w:ascii="Times New Roman" w:hAnsi="Times New Roman"/>
          <w:sz w:val="24"/>
          <w:szCs w:val="24"/>
          <w:u w:val="single"/>
        </w:rPr>
        <w:t>verze zúžená</w:t>
      </w:r>
      <w:r>
        <w:rPr>
          <w:rFonts w:ascii="Times New Roman" w:hAnsi="Times New Roman"/>
          <w:sz w:val="24"/>
          <w:szCs w:val="24"/>
          <w:u w:val="single"/>
        </w:rPr>
        <w:t xml:space="preserve"> – vlastní Příloha č. 1 Rozhodnutí</w:t>
      </w:r>
      <w:r w:rsidRPr="00E95090">
        <w:rPr>
          <w:rFonts w:ascii="Times New Roman" w:hAnsi="Times New Roman"/>
          <w:sz w:val="24"/>
          <w:szCs w:val="24"/>
        </w:rPr>
        <w:t xml:space="preserve">, která bude obsahovat pouze informace podléhající některé z forem sankcí. Verze zúžená by měla obsahovat výlučně informace ověřitelné a měřitelné, k nimž se žadatel / příjemce zavazuje. </w:t>
      </w:r>
    </w:p>
    <w:p w:rsidR="001F3AED" w:rsidRDefault="001F3AED" w:rsidP="001F3AED">
      <w:pPr>
        <w:ind w:left="284"/>
        <w:jc w:val="both"/>
        <w:rPr>
          <w:rFonts w:ascii="Times New Roman" w:hAnsi="Times New Roman"/>
          <w:sz w:val="24"/>
          <w:szCs w:val="24"/>
        </w:rPr>
      </w:pPr>
      <w:r>
        <w:rPr>
          <w:rFonts w:ascii="Times New Roman" w:hAnsi="Times New Roman"/>
          <w:sz w:val="24"/>
          <w:szCs w:val="24"/>
        </w:rPr>
        <w:t>Finální verze Přílohy č. 1 Rozhodnutí bude pochopitelně bez barevného odlišení, nicméně rozdílná míra závaznosti je stanovena v souladu s výše popsanými pravidly v Příručce pro příjemce.</w:t>
      </w:r>
    </w:p>
    <w:p w:rsidR="001F3AED" w:rsidRDefault="001F3AED" w:rsidP="001A0A0B">
      <w:pPr>
        <w:jc w:val="both"/>
      </w:pPr>
    </w:p>
    <w:sectPr w:rsidR="001F3AED" w:rsidSect="00E64FE2">
      <w:footerReference w:type="default" r:id="rId8"/>
      <w:footerReference w:type="first" r:id="rId9"/>
      <w:pgSz w:w="11906" w:h="16838"/>
      <w:pgMar w:top="1560" w:right="1417" w:bottom="1417"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C64" w:rsidRDefault="00C85C64" w:rsidP="001F3AED">
      <w:pPr>
        <w:spacing w:after="0" w:line="240" w:lineRule="auto"/>
      </w:pPr>
      <w:r>
        <w:separator/>
      </w:r>
    </w:p>
  </w:endnote>
  <w:endnote w:type="continuationSeparator" w:id="0">
    <w:p w:rsidR="00C85C64" w:rsidRDefault="00C85C64" w:rsidP="001F3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39" w:rsidRPr="00E64FE2" w:rsidRDefault="00E64FE2" w:rsidP="00E64FE2">
    <w:pPr>
      <w:spacing w:before="240" w:after="240"/>
      <w:rPr>
        <w:rFonts w:ascii="Arial" w:hAnsi="Arial" w:cs="Arial"/>
        <w:b/>
        <w:color w:val="7F7F7F"/>
        <w:sz w:val="14"/>
        <w:szCs w:val="14"/>
      </w:rPr>
    </w:pPr>
    <w:r w:rsidRPr="004624A7">
      <w:rPr>
        <w:rFonts w:ascii="Arial" w:hAnsi="Arial" w:cs="Arial"/>
        <w:b/>
        <w:bCs/>
        <w:color w:val="808080"/>
        <w:sz w:val="14"/>
        <w:szCs w:val="14"/>
      </w:rPr>
      <w:t xml:space="preserve">VERZE </w:t>
    </w:r>
    <w:r>
      <w:rPr>
        <w:rFonts w:ascii="Arial" w:hAnsi="Arial" w:cs="Arial"/>
        <w:b/>
        <w:bCs/>
        <w:color w:val="808080"/>
        <w:sz w:val="14"/>
        <w:szCs w:val="14"/>
      </w:rPr>
      <w:t>1.0</w:t>
    </w:r>
    <w:r w:rsidRPr="004624A7">
      <w:rPr>
        <w:rFonts w:ascii="Arial" w:hAnsi="Arial" w:cs="Arial"/>
        <w:b/>
        <w:sz w:val="14"/>
        <w:szCs w:val="14"/>
      </w:rPr>
      <w:tab/>
    </w:r>
    <w:r>
      <w:tab/>
    </w:r>
    <w:r>
      <w:tab/>
    </w:r>
    <w:r>
      <w:tab/>
    </w:r>
    <w:r>
      <w:tab/>
    </w:r>
    <w:r>
      <w:tab/>
    </w:r>
    <w:r w:rsidR="000E452D" w:rsidRPr="00B2209A">
      <w:rPr>
        <w:rFonts w:ascii="Arial" w:hAnsi="Arial" w:cs="Arial"/>
        <w:b/>
        <w:color w:val="7F7F7F"/>
        <w:sz w:val="14"/>
        <w:szCs w:val="14"/>
      </w:rPr>
      <w:fldChar w:fldCharType="begin"/>
    </w:r>
    <w:r w:rsidRPr="00B2209A">
      <w:rPr>
        <w:rFonts w:ascii="Arial" w:hAnsi="Arial" w:cs="Arial"/>
        <w:b/>
        <w:color w:val="7F7F7F"/>
        <w:sz w:val="14"/>
        <w:szCs w:val="14"/>
      </w:rPr>
      <w:instrText xml:space="preserve"> PAGE </w:instrText>
    </w:r>
    <w:r w:rsidR="000E452D" w:rsidRPr="00B2209A">
      <w:rPr>
        <w:rFonts w:ascii="Arial" w:hAnsi="Arial" w:cs="Arial"/>
        <w:b/>
        <w:color w:val="7F7F7F"/>
        <w:sz w:val="14"/>
        <w:szCs w:val="14"/>
      </w:rPr>
      <w:fldChar w:fldCharType="separate"/>
    </w:r>
    <w:r w:rsidR="00AB1D67">
      <w:rPr>
        <w:rFonts w:ascii="Arial" w:hAnsi="Arial" w:cs="Arial"/>
        <w:b/>
        <w:noProof/>
        <w:color w:val="7F7F7F"/>
        <w:sz w:val="14"/>
        <w:szCs w:val="14"/>
      </w:rPr>
      <w:t>3</w:t>
    </w:r>
    <w:r w:rsidR="000E452D" w:rsidRPr="00B2209A">
      <w:rPr>
        <w:rFonts w:ascii="Arial" w:hAnsi="Arial" w:cs="Arial"/>
        <w:b/>
        <w:color w:val="7F7F7F"/>
        <w:sz w:val="14"/>
        <w:szCs w:val="14"/>
      </w:rPr>
      <w:fldChar w:fldCharType="end"/>
    </w:r>
    <w:r w:rsidRPr="00B2209A">
      <w:rPr>
        <w:rFonts w:ascii="Arial" w:hAnsi="Arial" w:cs="Arial"/>
        <w:b/>
        <w:color w:val="7F7F7F"/>
        <w:sz w:val="14"/>
        <w:szCs w:val="14"/>
      </w:rPr>
      <w:t xml:space="preserve"> / </w:t>
    </w:r>
    <w:r w:rsidR="000E452D" w:rsidRPr="00B2209A">
      <w:rPr>
        <w:rFonts w:ascii="Arial" w:hAnsi="Arial" w:cs="Arial"/>
        <w:b/>
        <w:color w:val="7F7F7F"/>
        <w:sz w:val="14"/>
        <w:szCs w:val="14"/>
      </w:rPr>
      <w:fldChar w:fldCharType="begin"/>
    </w:r>
    <w:r w:rsidRPr="00B2209A">
      <w:rPr>
        <w:rFonts w:ascii="Arial" w:hAnsi="Arial" w:cs="Arial"/>
        <w:b/>
        <w:color w:val="7F7F7F"/>
        <w:sz w:val="14"/>
        <w:szCs w:val="14"/>
      </w:rPr>
      <w:instrText xml:space="preserve"> NUMPAGES  </w:instrText>
    </w:r>
    <w:r w:rsidR="000E452D" w:rsidRPr="00B2209A">
      <w:rPr>
        <w:rFonts w:ascii="Arial" w:hAnsi="Arial" w:cs="Arial"/>
        <w:b/>
        <w:color w:val="7F7F7F"/>
        <w:sz w:val="14"/>
        <w:szCs w:val="14"/>
      </w:rPr>
      <w:fldChar w:fldCharType="separate"/>
    </w:r>
    <w:r w:rsidR="00AB1D67">
      <w:rPr>
        <w:rFonts w:ascii="Arial" w:hAnsi="Arial" w:cs="Arial"/>
        <w:b/>
        <w:noProof/>
        <w:color w:val="7F7F7F"/>
        <w:sz w:val="14"/>
        <w:szCs w:val="14"/>
      </w:rPr>
      <w:t>3</w:t>
    </w:r>
    <w:r w:rsidR="000E452D" w:rsidRPr="00B2209A">
      <w:rPr>
        <w:rFonts w:ascii="Arial" w:hAnsi="Arial" w:cs="Arial"/>
        <w:b/>
        <w:color w:val="7F7F7F"/>
        <w:sz w:val="14"/>
        <w:szCs w:val="14"/>
      </w:rPr>
      <w:fldChar w:fldCharType="end"/>
    </w:r>
    <w:r>
      <w:rPr>
        <w:rFonts w:ascii="Arial" w:hAnsi="Arial" w:cs="Arial"/>
        <w:b/>
        <w:color w:val="7F7F7F"/>
        <w:sz w:val="14"/>
        <w:szCs w:val="14"/>
      </w:rPr>
      <w:t xml:space="preserve"> </w:t>
    </w:r>
    <w:r w:rsidR="00AB1D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pt;height:76.75pt" o:allowoverlap="f">
          <v:imagedata r:id="rId1" o:title="3loga150DPI" cropleft="10207f"/>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139" w:rsidRPr="00E64FE2" w:rsidRDefault="00AB1D67" w:rsidP="00E64FE2">
    <w:pPr>
      <w:pStyle w:val="Zpa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8pt;height:76.75pt" o:allowoverlap="f">
          <v:imagedata r:id="rId1" o:title="3loga150DPI" cropleft="10207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C64" w:rsidRDefault="00C85C64" w:rsidP="001F3AED">
      <w:pPr>
        <w:spacing w:after="0" w:line="240" w:lineRule="auto"/>
      </w:pPr>
      <w:r>
        <w:separator/>
      </w:r>
    </w:p>
  </w:footnote>
  <w:footnote w:type="continuationSeparator" w:id="0">
    <w:p w:rsidR="00C85C64" w:rsidRDefault="00C85C64" w:rsidP="001F3AED">
      <w:pPr>
        <w:spacing w:after="0" w:line="240" w:lineRule="auto"/>
      </w:pPr>
      <w:r>
        <w:continuationSeparator/>
      </w:r>
    </w:p>
  </w:footnote>
  <w:footnote w:id="1">
    <w:p w:rsidR="00053026" w:rsidRPr="00AF6676" w:rsidRDefault="00053026" w:rsidP="00053026">
      <w:pPr>
        <w:pStyle w:val="Textpoznpodarou"/>
        <w:spacing w:line="240" w:lineRule="auto"/>
        <w:rPr>
          <w:rFonts w:ascii="Times New Roman" w:hAnsi="Times New Roman"/>
        </w:rPr>
      </w:pPr>
      <w:r w:rsidRPr="00AF6676">
        <w:rPr>
          <w:rStyle w:val="Znakapoznpodarou"/>
          <w:rFonts w:ascii="Times New Roman" w:hAnsi="Times New Roman"/>
        </w:rPr>
        <w:footnoteRef/>
      </w:r>
      <w:r w:rsidRPr="00AF6676">
        <w:rPr>
          <w:rFonts w:ascii="Times New Roman" w:hAnsi="Times New Roman"/>
        </w:rPr>
        <w:t xml:space="preserve"> V průběhu realizace projektu nelze měnit účel projektu, viz zákon č. 218/2000 Sb., </w:t>
      </w:r>
      <w:r w:rsidR="00AF6676">
        <w:rPr>
          <w:rFonts w:ascii="Times New Roman" w:hAnsi="Times New Roman"/>
        </w:rPr>
        <w:t>o rozpočtových pravidlech a </w:t>
      </w:r>
      <w:r w:rsidRPr="00AF6676">
        <w:rPr>
          <w:rFonts w:ascii="Times New Roman" w:hAnsi="Times New Roman"/>
        </w:rPr>
        <w:t>o změně některých souvisejících zákonů (rozpočtová pravidla).</w:t>
      </w:r>
    </w:p>
    <w:p w:rsidR="00053026" w:rsidRDefault="00053026">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40ACD"/>
    <w:multiLevelType w:val="hybridMultilevel"/>
    <w:tmpl w:val="D610C6A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58BC7E27"/>
    <w:multiLevelType w:val="hybridMultilevel"/>
    <w:tmpl w:val="E12E35C2"/>
    <w:lvl w:ilvl="0" w:tplc="B19C498C">
      <w:start w:val="2"/>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Arial"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Arial"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6F1A1966"/>
    <w:multiLevelType w:val="hybridMultilevel"/>
    <w:tmpl w:val="538A2D3A"/>
    <w:lvl w:ilvl="0" w:tplc="F25EAA6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3A7A"/>
    <w:rsid w:val="00053026"/>
    <w:rsid w:val="000E452D"/>
    <w:rsid w:val="001A0A0B"/>
    <w:rsid w:val="001F3AED"/>
    <w:rsid w:val="00216683"/>
    <w:rsid w:val="00293A7A"/>
    <w:rsid w:val="00380FFB"/>
    <w:rsid w:val="00403725"/>
    <w:rsid w:val="005312C5"/>
    <w:rsid w:val="00553139"/>
    <w:rsid w:val="00572EA7"/>
    <w:rsid w:val="00902F76"/>
    <w:rsid w:val="00921323"/>
    <w:rsid w:val="00A83E8B"/>
    <w:rsid w:val="00AA3BB9"/>
    <w:rsid w:val="00AB1D67"/>
    <w:rsid w:val="00AF6676"/>
    <w:rsid w:val="00BE4E1E"/>
    <w:rsid w:val="00C85C64"/>
    <w:rsid w:val="00CA04CB"/>
    <w:rsid w:val="00CE67A8"/>
    <w:rsid w:val="00E64FE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3C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51C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unhideWhenUsed/>
    <w:rsid w:val="00B35017"/>
    <w:pPr>
      <w:tabs>
        <w:tab w:val="center" w:pos="4536"/>
        <w:tab w:val="right" w:pos="9072"/>
      </w:tabs>
    </w:pPr>
  </w:style>
  <w:style w:type="character" w:customStyle="1" w:styleId="ZhlavChar">
    <w:name w:val="Záhlaví Char"/>
    <w:link w:val="Zhlav"/>
    <w:uiPriority w:val="99"/>
    <w:rsid w:val="00B35017"/>
    <w:rPr>
      <w:sz w:val="22"/>
      <w:szCs w:val="22"/>
      <w:lang w:eastAsia="en-US"/>
    </w:rPr>
  </w:style>
  <w:style w:type="paragraph" w:styleId="Zpat">
    <w:name w:val="footer"/>
    <w:basedOn w:val="Normln"/>
    <w:link w:val="ZpatChar"/>
    <w:uiPriority w:val="99"/>
    <w:unhideWhenUsed/>
    <w:rsid w:val="00B35017"/>
    <w:pPr>
      <w:tabs>
        <w:tab w:val="center" w:pos="4536"/>
        <w:tab w:val="right" w:pos="9072"/>
      </w:tabs>
    </w:pPr>
  </w:style>
  <w:style w:type="character" w:customStyle="1" w:styleId="ZpatChar">
    <w:name w:val="Zápatí Char"/>
    <w:link w:val="Zpat"/>
    <w:uiPriority w:val="99"/>
    <w:rsid w:val="00B35017"/>
    <w:rPr>
      <w:sz w:val="22"/>
      <w:szCs w:val="22"/>
      <w:lang w:eastAsia="en-US"/>
    </w:rPr>
  </w:style>
  <w:style w:type="paragraph" w:styleId="Textbubliny">
    <w:name w:val="Balloon Text"/>
    <w:basedOn w:val="Normln"/>
    <w:semiHidden/>
    <w:rsid w:val="001174D7"/>
    <w:rPr>
      <w:rFonts w:ascii="Tahoma" w:hAnsi="Tahoma" w:cs="Tahoma"/>
      <w:sz w:val="16"/>
      <w:szCs w:val="16"/>
    </w:rPr>
  </w:style>
  <w:style w:type="character" w:styleId="Odkaznakoment">
    <w:name w:val="annotation reference"/>
    <w:semiHidden/>
    <w:rsid w:val="00AE6366"/>
    <w:rPr>
      <w:sz w:val="16"/>
      <w:szCs w:val="16"/>
    </w:rPr>
  </w:style>
  <w:style w:type="paragraph" w:styleId="Textkomente">
    <w:name w:val="annotation text"/>
    <w:basedOn w:val="Normln"/>
    <w:semiHidden/>
    <w:rsid w:val="00AE6366"/>
    <w:rPr>
      <w:sz w:val="20"/>
      <w:szCs w:val="20"/>
    </w:rPr>
  </w:style>
  <w:style w:type="paragraph" w:styleId="Pedmtkomente">
    <w:name w:val="annotation subject"/>
    <w:basedOn w:val="Textkomente"/>
    <w:next w:val="Textkomente"/>
    <w:semiHidden/>
    <w:rsid w:val="00AE6366"/>
    <w:rPr>
      <w:b/>
      <w:bCs/>
    </w:rPr>
  </w:style>
  <w:style w:type="character" w:styleId="slostrnky">
    <w:name w:val="page number"/>
    <w:uiPriority w:val="99"/>
    <w:rsid w:val="003958AB"/>
    <w:rPr>
      <w:rFonts w:cs="Times New Roman"/>
    </w:rPr>
  </w:style>
  <w:style w:type="paragraph" w:styleId="Textpoznpodarou">
    <w:name w:val="footnote text"/>
    <w:basedOn w:val="Normln"/>
    <w:link w:val="TextpoznpodarouChar"/>
    <w:unhideWhenUsed/>
    <w:rsid w:val="00B939CD"/>
    <w:rPr>
      <w:sz w:val="20"/>
      <w:szCs w:val="20"/>
    </w:rPr>
  </w:style>
  <w:style w:type="character" w:customStyle="1" w:styleId="TextpoznpodarouChar">
    <w:name w:val="Text pozn. pod čarou Char"/>
    <w:link w:val="Textpoznpodarou"/>
    <w:rsid w:val="00B939CD"/>
    <w:rPr>
      <w:lang w:eastAsia="en-US"/>
    </w:rPr>
  </w:style>
  <w:style w:type="character" w:styleId="Znakapoznpodarou">
    <w:name w:val="footnote reference"/>
    <w:uiPriority w:val="99"/>
    <w:semiHidden/>
    <w:unhideWhenUsed/>
    <w:rsid w:val="00B939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386C-64A3-433C-8082-771748CD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711</Words>
  <Characters>4196</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Instrukce k Příloze č</vt:lpstr>
      <vt:lpstr>Instrukce k Příloze č</vt:lpstr>
    </vt:vector>
  </TitlesOfParts>
  <Company>Ministerstvo školství, mládeže a tělovýchovy</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Instrukce k Příloze č</dc:title>
  <dc:subject/>
  <dc:creator>uhlird</dc:creator>
  <cp:keywords/>
  <dc:description/>
  <cp:lastModifiedBy>Eva Kvasničková*</cp:lastModifiedBy>
  <cp:revision>7</cp:revision>
  <cp:lastPrinted>2012-01-19T15:25:00Z</cp:lastPrinted>
  <dcterms:created xsi:type="dcterms:W3CDTF">2013-08-01T14:57:00Z</dcterms:created>
  <dcterms:modified xsi:type="dcterms:W3CDTF">2013-08-02T13:47:00Z</dcterms:modified>
</cp:coreProperties>
</file>