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03" w:rsidRPr="00B95D9C" w:rsidRDefault="00CC72E5" w:rsidP="00F87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DODATEČNÉ INFORMACE Č.</w:t>
      </w:r>
      <w:r w:rsidR="009B3E8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</w:p>
    <w:p w:rsidR="00F87D03" w:rsidRPr="00F87D03" w:rsidRDefault="00F87D03" w:rsidP="00F87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87D03" w:rsidRDefault="00F87D03" w:rsidP="00F87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87D03">
        <w:rPr>
          <w:rFonts w:ascii="Times New Roman" w:hAnsi="Times New Roman" w:cs="Times New Roman"/>
          <w:color w:val="000000"/>
          <w:sz w:val="23"/>
          <w:szCs w:val="23"/>
        </w:rPr>
        <w:t>K veřejné zakázce malého rozsahu v řízení podle § 12 odst. 3 zákona č. 137/2006 Sb., o veřejných zakázkách, ve znění pozdějších předpisů (dále jen „ZVZ“):</w:t>
      </w:r>
    </w:p>
    <w:p w:rsidR="00CC72E5" w:rsidRDefault="00CC72E5" w:rsidP="00F87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C72E5" w:rsidRDefault="00CC72E5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C72E5" w:rsidRDefault="00CC72E5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Název zakázky: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Zajištění workshopů a školení II</w:t>
      </w:r>
    </w:p>
    <w:p w:rsidR="00CC72E5" w:rsidRDefault="00CC72E5" w:rsidP="00CC72E5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Druh zakázky: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zakázka malého rozsahu v řízení podle §12 odst.3 zákona č. 137/2006 Sb., o veřejných zakázkách, ve znění pozdějších předpisů (dále jen“ZVZ“)</w:t>
      </w:r>
    </w:p>
    <w:p w:rsidR="00624316" w:rsidRDefault="00624316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Název projektu: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Informatika v telemedicíně</w:t>
      </w:r>
    </w:p>
    <w:p w:rsidR="00624316" w:rsidRDefault="00624316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Číslo projektu: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CZ.1.07/2.2.00/28.0322</w:t>
      </w:r>
    </w:p>
    <w:p w:rsidR="00624316" w:rsidRDefault="00624316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24316" w:rsidRDefault="00624316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Název zadavatele: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Vysoká škola baňská – Technická univerzita Ostrava</w:t>
      </w:r>
    </w:p>
    <w:p w:rsidR="00624316" w:rsidRDefault="00624316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Sídlo zadavatele: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17. Listopadu 15/2172, 708 33 Ostrava- Poruba</w:t>
      </w:r>
    </w:p>
    <w:p w:rsidR="00624316" w:rsidRDefault="00624316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IČ: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61989100, DIČ: CZ61989100</w:t>
      </w:r>
    </w:p>
    <w:p w:rsidR="00624316" w:rsidRDefault="00624316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Zastoupená: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prof.</w:t>
      </w:r>
      <w:r w:rsidR="00AB2239">
        <w:rPr>
          <w:rFonts w:ascii="Times New Roman" w:hAnsi="Times New Roman" w:cs="Times New Roman"/>
          <w:color w:val="000000"/>
          <w:sz w:val="23"/>
          <w:szCs w:val="23"/>
        </w:rPr>
        <w:t xml:space="preserve"> RNDr. Václav Snášel, CSc., děkan FEI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624316" w:rsidRDefault="00AB2239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Zadavatel výše uvedené zakázky obdržel žádost o dodatečné informace k zadávacím podmínkám. Tímto poskytuje dodatečné informace všem </w:t>
      </w:r>
      <w:r w:rsidR="005566FE">
        <w:rPr>
          <w:rFonts w:ascii="Times New Roman" w:hAnsi="Times New Roman" w:cs="Times New Roman"/>
          <w:color w:val="000000"/>
          <w:sz w:val="23"/>
          <w:szCs w:val="23"/>
        </w:rPr>
        <w:t>uchazečům o předmětnou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zakázku.</w:t>
      </w:r>
    </w:p>
    <w:p w:rsidR="00AB2239" w:rsidRDefault="00AB2239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760BA" w:rsidRDefault="001760BA" w:rsidP="00CC7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B2239" w:rsidRPr="005566FE" w:rsidRDefault="005566FE" w:rsidP="005566F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color w:val="000000"/>
          <w:sz w:val="23"/>
          <w:szCs w:val="23"/>
          <w:u w:val="single"/>
        </w:rPr>
        <w:t>Dotaz č.1: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Z textu výzvy vyplývá („Přednášející osobu a program každé akce zajišťuje zadavatel a partner.“), že na každém školení a na každém workshopu bude jediný přednášející. Je to tak?</w:t>
      </w:r>
    </w:p>
    <w:p w:rsid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>na dotaz č. 1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ANO JE TO TAK</w:t>
      </w:r>
    </w:p>
    <w:p w:rsidR="005566FE" w:rsidRDefault="005566FE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Dotaz</w:t>
      </w:r>
      <w:r w:rsidR="005566FE">
        <w:rPr>
          <w:rFonts w:ascii="Times New Roman" w:hAnsi="Times New Roman" w:cs="Times New Roman"/>
          <w:sz w:val="23"/>
          <w:szCs w:val="23"/>
          <w:u w:val="single"/>
        </w:rPr>
        <w:t xml:space="preserve"> č. 2: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Vzhledem k tomu, že ve výzvě není obsažen požadavek, aby dodavatel navázal smluvní vztah s přednášejícím, nebude dodavatel přednášejícímu ani hradit žádný honorář. Je to tak?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2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DODAVATEL NEHRADÍ PŘEDNÁŠEJÍCÍMU ŽÁDNÝ HONORÁŘ</w:t>
      </w:r>
    </w:p>
    <w:p w:rsidR="005566FE" w:rsidRDefault="005566FE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Dotaz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č. 3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Z textu výzvy nevyplývají žádné požadavky na zajištění konferenční techniky dodavatelem. Znamená to, že konferenční technika nebude zapotřebí? Nebo že konf. techniku dá k dispozici zadavatel?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3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KONFERENCNÍ TECHNIKU ZAJISTÍ DODAVATEL – KONKRÉTNĚ DATAPROJEKTOR A PROMÍTACÍ PLÁTNO</w:t>
      </w:r>
    </w:p>
    <w:p w:rsidR="005566FE" w:rsidRDefault="005566FE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Dotaz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č 4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lastRenderedPageBreak/>
        <w:t>Je dodavatel povinen zajistit na jednotlivých akcích účast vlastního technika pro obsluhu konf. techniky? Nebo konf. techniku budou obsluhovat zaměstnanci zadavatele?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4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ZAJISTÍ DODAVATEL</w:t>
      </w:r>
    </w:p>
    <w:p w:rsidR="005566FE" w:rsidRDefault="005566FE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Dotaz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č. 5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pStyle w:val="Barevnseznamzvraznn11"/>
        <w:spacing w:after="60"/>
        <w:ind w:left="0"/>
        <w:jc w:val="both"/>
        <w:rPr>
          <w:sz w:val="23"/>
          <w:szCs w:val="23"/>
        </w:rPr>
      </w:pPr>
      <w:r w:rsidRPr="001760BA">
        <w:rPr>
          <w:sz w:val="23"/>
          <w:szCs w:val="23"/>
        </w:rPr>
        <w:t xml:space="preserve"> V odstavci „</w:t>
      </w:r>
      <w:r w:rsidRPr="001760BA">
        <w:rPr>
          <w:b/>
          <w:bCs/>
          <w:sz w:val="23"/>
          <w:szCs w:val="23"/>
        </w:rPr>
        <w:t>Součástí organizačního zajištění jednotlivých akcí je</w:t>
      </w:r>
      <w:r w:rsidRPr="001760BA">
        <w:rPr>
          <w:sz w:val="23"/>
          <w:szCs w:val="23"/>
        </w:rPr>
        <w:t>:“ se uvádí text: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„Zajištění propagace a inzerce kontrahovaných vzdělávacích akcí směrem k cílovým skupinám projektu v relevantních odborných časopisech, internetových portálech, letácích atd….. „ v dalším textu téhož odstavce jsou již doporučovány jen internetové portály. Bude tedy stačit inzerce a propagace pouze na internetových portálech, nebo musí dodavatel inzerovat i v tištěných časopisech?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5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MUSÍ INZEROVAT TAKÉ V TISTENÉM ČASOPISE NEBO NOVINÁCH MINIMÁLNĚ 50% POČTU AKCÍ.</w:t>
      </w:r>
    </w:p>
    <w:p w:rsidR="005566FE" w:rsidRDefault="005566FE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Dotaz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č. 6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</w:t>
      </w:r>
      <w:r w:rsidRPr="001760BA">
        <w:rPr>
          <w:rFonts w:ascii="Times New Roman" w:hAnsi="Times New Roman" w:cs="Times New Roman"/>
          <w:sz w:val="23"/>
          <w:szCs w:val="23"/>
        </w:rPr>
        <w:t>sou inzercí a propagací míněny bannery, nebo má inzerát informovat odbornou veřejnost ve větší míře a má jít o promo články?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6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 xml:space="preserve">INZERCE BUDE FORMOU BANNERŮ PRO VŠECHNY AKCE 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760BA" w:rsidRDefault="001760BA" w:rsidP="005566FE">
      <w:pPr>
        <w:pStyle w:val="Barevnseznamzvraznn11"/>
        <w:spacing w:after="60"/>
        <w:ind w:left="0"/>
        <w:jc w:val="both"/>
        <w:rPr>
          <w:sz w:val="23"/>
          <w:szCs w:val="23"/>
          <w:u w:val="single"/>
        </w:rPr>
      </w:pPr>
      <w:r w:rsidRPr="005566FE">
        <w:rPr>
          <w:sz w:val="23"/>
          <w:szCs w:val="23"/>
          <w:u w:val="single"/>
        </w:rPr>
        <w:t>Dotaz</w:t>
      </w:r>
      <w:r w:rsidR="005566FE" w:rsidRPr="005566FE">
        <w:rPr>
          <w:sz w:val="23"/>
          <w:szCs w:val="23"/>
          <w:u w:val="single"/>
        </w:rPr>
        <w:t xml:space="preserve"> č 7</w:t>
      </w:r>
      <w:r w:rsidRPr="005566FE">
        <w:rPr>
          <w:sz w:val="23"/>
          <w:szCs w:val="23"/>
          <w:u w:val="single"/>
        </w:rPr>
        <w:t>:</w:t>
      </w:r>
    </w:p>
    <w:p w:rsidR="001760BA" w:rsidRPr="001760BA" w:rsidRDefault="001760BA" w:rsidP="005566FE">
      <w:pPr>
        <w:pStyle w:val="Barevnseznamzvraznn11"/>
        <w:spacing w:after="60"/>
        <w:ind w:left="0"/>
        <w:jc w:val="both"/>
        <w:rPr>
          <w:sz w:val="23"/>
          <w:szCs w:val="23"/>
        </w:rPr>
      </w:pPr>
      <w:r w:rsidRPr="001760BA">
        <w:rPr>
          <w:sz w:val="23"/>
          <w:szCs w:val="23"/>
        </w:rPr>
        <w:t>V odstavci „</w:t>
      </w:r>
      <w:r w:rsidRPr="001760BA">
        <w:rPr>
          <w:b/>
          <w:bCs/>
          <w:sz w:val="23"/>
          <w:szCs w:val="23"/>
        </w:rPr>
        <w:t>Součástí organizačního zajištění jednotlivých akcí je</w:t>
      </w:r>
      <w:r w:rsidRPr="001760BA">
        <w:rPr>
          <w:sz w:val="23"/>
          <w:szCs w:val="23"/>
        </w:rPr>
        <w:t>:“ se uvádí text: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Registrace účastníků před akcí bude probíhat na internetových stránkách projektu bmeng.vsb.cz/telemedicina. Registrační portál bude zřízen vybraným dodavatelem, na stránkách projektu bmeng.vsb.cz/telemedicina bude uveden odkaz na tento registrační portál (odkaz bude realizován zadavatelem). Obsluhu registračního portálu zajistí dodavatel.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Z výše uvedené formulace nám není jasné, zda se účastníci budou registrovat na internetové stránce bmeng.vsb.cz/telemedicina, nebo zda na této stránce bude pouze uveden odkaz na registrační portál dodavatele. Prosíme o vyjasnění.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7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NA STRÁNCE bmeng.vsb.cz/telemedicína BUDE UVEDEN POUZE ODKAZ NA REGISTRČNÍ PORTÁL DODAVATELE, TAK ABY NEDOCHÁZELO KE VSTUPU TŘETÍ OSOBY DO STRÁNKY bmeng.vsb.cz/telemedicína ODKAZ UMÍSTÍ NA STRÁNKY TELEMDICINA ZAMESTNANEC ZADAVATELE</w:t>
      </w:r>
    </w:p>
    <w:p w:rsidR="005566FE" w:rsidRDefault="005566FE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Dotaz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č 8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 xml:space="preserve">8. V požadavcích na občerstvení pro účastníky je uvedeno: 2x kávová přestávka: čaj, káva, nealkoholické studené nápoje, zákusek/chlebíček, 1x hlavní jídlo - oběd. 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lastRenderedPageBreak/>
        <w:t xml:space="preserve">a) Dají zadavatel a partner dodavateli pro jednotlivá školení a workshopy k dispozici prostory s vhodným zázemím, které by umožnilo, aby měl dodavatel možnost sám pro účastníky vařit kávu/čaj? 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b) Bude v programu počítáno s dostatečně dlouhou přestávkou, aby účastníci měli možnost přejít na oběd např. do menzy, nebo zadavatel požaduje, aby byly obědy dodány do prostoru, kde bude probíhat školení/workshop?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c) V jakém rozsahu je nutné zajistit oběd? Stačí hlavní jídlo, nebo je nutná i polévka?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8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pStyle w:val="Odstavecseseznamem"/>
        <w:numPr>
          <w:ilvl w:val="0"/>
          <w:numId w:val="15"/>
        </w:numPr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 xml:space="preserve">PROSTOR S VHODNÝM ZÁZEMÍM NEBUDE POSKYTOVÁN.  BUDE SE JEDNAT O VÝUKOVÉ PROSTORY (UČEBNY, AULY) </w:t>
      </w:r>
    </w:p>
    <w:p w:rsidR="001760BA" w:rsidRPr="001760BA" w:rsidRDefault="001760BA" w:rsidP="005566FE">
      <w:pPr>
        <w:pStyle w:val="Odstavecseseznamem"/>
        <w:numPr>
          <w:ilvl w:val="0"/>
          <w:numId w:val="15"/>
        </w:numPr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OBĚDY BUDOU DODÁVÁNY DO PROSTORU, KDE BUDE PROBÍHAT ŠKOLENÍ/WORKSHOP</w:t>
      </w:r>
    </w:p>
    <w:p w:rsidR="001760BA" w:rsidRPr="001760BA" w:rsidRDefault="001760BA" w:rsidP="005566FE">
      <w:pPr>
        <w:pStyle w:val="Odstavecseseznamem"/>
        <w:numPr>
          <w:ilvl w:val="0"/>
          <w:numId w:val="15"/>
        </w:numPr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 xml:space="preserve">MINIMÁLNÍ ROZSAH OBĚDU: HLAVNÍ JÍDLO (PŘÍLOHA, MASO, PŘÍP. OMÁČKA),  ZELENINOVÉ TALÍŘE (FORMOU ŠVÉDSKÝCH STOLŮ) MINIMÁLNĚ 200G ZELENINY NA OSOBU, ZÁKUSEK, NEALKOHOLICKÝ NÁPOJ MINIMÁLNĚ 0,5l NA OSOBU (MINIMÁLNÍ GRAMÁŽE HLAVNÍHO JÍDLA NA OSOBU: maso bez kosti 170 g, s kostí 190 g, drůbež 250 g, ryba 180 g, Přílohy, hotový stav: vařené brambory 300 g, bramborový salát 300 g, těstoviny 300 g, rýže 250 g, houskový knedlík 5 ks (200 g)) 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Dotaz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č. 9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Ve výzvě k podání nábídek se uvádí: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Nabídka uchazeče bude mimo jiné obsahovat informace o:</w:t>
      </w:r>
    </w:p>
    <w:p w:rsidR="001760BA" w:rsidRPr="001760BA" w:rsidRDefault="001760BA" w:rsidP="005566FE">
      <w:pPr>
        <w:numPr>
          <w:ilvl w:val="0"/>
          <w:numId w:val="16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760BA">
        <w:rPr>
          <w:rFonts w:ascii="Times New Roman" w:hAnsi="Times New Roman" w:cs="Times New Roman"/>
          <w:i/>
          <w:iCs/>
          <w:sz w:val="23"/>
          <w:szCs w:val="23"/>
        </w:rPr>
        <w:t>formě v jaké budou dodány realizované odborné materiály; případná ukázka realizace formy není podmínkou pro podání nabídky či vyloučení ze soutěže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Na str. 2 výzvy je ovšem uvedeno, že odborné podklady budou účastníkům předávány na USB flash discích, z čehož plyne, že žádnou jinou možnost zadavatel nepřipouští. Jak tomu máme rozumět?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9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7B7686" w:rsidRDefault="005566FE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VÝZVA DEFINUJE FORMU, TUDÍŽ DODAVATEL UVEDE NAVRHOVANOU FORMU PLUS UVEDE TYP UVEDENÉ FORMY (TŘEBA TYP KLÍČENKA VELIKOST 8GB).</w:t>
      </w:r>
      <w:r w:rsidR="007B768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B3E8F" w:rsidRDefault="009B3E8F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Dotaz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č. 10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 xml:space="preserve">Na str. 7 v bodu </w:t>
      </w:r>
      <w:r w:rsidRPr="001760BA">
        <w:rPr>
          <w:rFonts w:ascii="Times New Roman" w:hAnsi="Times New Roman" w:cs="Times New Roman"/>
          <w:b/>
          <w:bCs/>
          <w:sz w:val="23"/>
          <w:szCs w:val="23"/>
        </w:rPr>
        <w:t xml:space="preserve">Požadavky na způsob zpracování nabídkové ceny </w:t>
      </w:r>
      <w:r w:rsidRPr="001760BA">
        <w:rPr>
          <w:rFonts w:ascii="Times New Roman" w:hAnsi="Times New Roman" w:cs="Times New Roman"/>
          <w:sz w:val="23"/>
          <w:szCs w:val="23"/>
        </w:rPr>
        <w:t>se uvádí, že „cena bude v jednotlivých položkách zahrnovat veškeré související náklady uchazeče spojené s kvalitním provedením celého předmětu plnění, jako např. provozní náklady, náklady na dopravu, montáž, zaškolení obsluh …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Můžete nám, prosím, vysvětlit, o jakou montáž a jaké zaškolení obsluh by se mělo jednat?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10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>JEDNÁ SE O NUTNÉ AKTIVITY SPOJENÍ S REALIZACÍ PŘEDMĚTU ZAKÁZKY NA MÍSTĚ (PŘÍKLADEM MŮŽE BÝT DOPRAVA, UMÍSTĚNÍ/MONTÁŽ, OBSLUHA ZAŘÍZENÍ NUTNÝCH PRO VÝROBU KÁVY, TEPLÉHO PULTU S HLAVNÍM JÍDLEM APOD.)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Dotaz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č. 11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1760BA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60BA">
        <w:rPr>
          <w:rFonts w:ascii="Times New Roman" w:hAnsi="Times New Roman" w:cs="Times New Roman"/>
          <w:sz w:val="23"/>
          <w:szCs w:val="23"/>
        </w:rPr>
        <w:t xml:space="preserve">Kdo a jakým způsobem zajistí akvizici účastníků tak, aby počet přihlášených odpovídal počtům uvedeným ve výzvě k podání nabídek? Zajistí informování potenciálních účastníků o připravovaných akcích zadavatel a partner? Jak se bude postupovat, pokud se účastníků přihlásí málo, nebo pokud se účastníků přihlásí víc, než je počet uvedený ve výzvě? </w:t>
      </w:r>
    </w:p>
    <w:p w:rsidR="001760BA" w:rsidRPr="005566FE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566FE">
        <w:rPr>
          <w:rFonts w:ascii="Times New Roman" w:hAnsi="Times New Roman" w:cs="Times New Roman"/>
          <w:sz w:val="23"/>
          <w:szCs w:val="23"/>
          <w:u w:val="single"/>
        </w:rPr>
        <w:t>Odpověď</w:t>
      </w:r>
      <w:r w:rsidR="005566FE" w:rsidRPr="005566FE">
        <w:rPr>
          <w:rFonts w:ascii="Times New Roman" w:hAnsi="Times New Roman" w:cs="Times New Roman"/>
          <w:sz w:val="23"/>
          <w:szCs w:val="23"/>
          <w:u w:val="single"/>
        </w:rPr>
        <w:t xml:space="preserve"> na dotaz č. 11</w:t>
      </w:r>
      <w:r w:rsidRPr="005566FE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1760BA" w:rsidRPr="007B7686" w:rsidRDefault="001760BA" w:rsidP="005566FE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B7686">
        <w:rPr>
          <w:rFonts w:ascii="Times New Roman" w:hAnsi="Times New Roman" w:cs="Times New Roman"/>
          <w:sz w:val="23"/>
          <w:szCs w:val="23"/>
        </w:rPr>
        <w:t>NA AKVIZICI ÚČASTNÍKŮ AKTIVNĚ SPOLUPRACUJE DODAVATEL SE ZADAVATELEM (A PARTNEREM) FORMOU INZERCE A OSLOVENÍ</w:t>
      </w:r>
      <w:r w:rsidR="005566FE">
        <w:rPr>
          <w:rFonts w:ascii="Times New Roman" w:hAnsi="Times New Roman" w:cs="Times New Roman"/>
          <w:sz w:val="23"/>
          <w:szCs w:val="23"/>
        </w:rPr>
        <w:t>M</w:t>
      </w:r>
      <w:r w:rsidRPr="007B7686">
        <w:rPr>
          <w:rFonts w:ascii="Times New Roman" w:hAnsi="Times New Roman" w:cs="Times New Roman"/>
          <w:sz w:val="23"/>
          <w:szCs w:val="23"/>
        </w:rPr>
        <w:t xml:space="preserve"> ÚČASTNÍ</w:t>
      </w:r>
      <w:r w:rsidR="005566FE">
        <w:rPr>
          <w:rFonts w:ascii="Times New Roman" w:hAnsi="Times New Roman" w:cs="Times New Roman"/>
          <w:sz w:val="23"/>
          <w:szCs w:val="23"/>
        </w:rPr>
        <w:t>KŮ</w:t>
      </w:r>
      <w:r w:rsidRPr="007B7686">
        <w:rPr>
          <w:rFonts w:ascii="Times New Roman" w:hAnsi="Times New Roman" w:cs="Times New Roman"/>
          <w:sz w:val="23"/>
          <w:szCs w:val="23"/>
        </w:rPr>
        <w:t xml:space="preserve"> EMAILEM. DÍKY REGISTRAČNÍMU PORTÁLU BUDE ZNÁMÝ POČET ÚČASTNÍKŮ NA DANOU AKCI PŘEDEM (BUDE STANOVEN DEADLINE PRO PŘIHLAŠOVÁNÍ MIN  </w:t>
      </w:r>
      <w:r w:rsidR="007B7686" w:rsidRPr="007B7686">
        <w:rPr>
          <w:rFonts w:ascii="Times New Roman" w:hAnsi="Times New Roman" w:cs="Times New Roman"/>
          <w:sz w:val="23"/>
          <w:szCs w:val="23"/>
        </w:rPr>
        <w:t>2</w:t>
      </w:r>
      <w:r w:rsidRPr="007B7686">
        <w:rPr>
          <w:rFonts w:ascii="Times New Roman" w:hAnsi="Times New Roman" w:cs="Times New Roman"/>
          <w:sz w:val="23"/>
          <w:szCs w:val="23"/>
        </w:rPr>
        <w:t xml:space="preserve"> D</w:t>
      </w:r>
      <w:r w:rsidR="007B7686" w:rsidRPr="007B7686">
        <w:rPr>
          <w:rFonts w:ascii="Times New Roman" w:hAnsi="Times New Roman" w:cs="Times New Roman"/>
          <w:sz w:val="23"/>
          <w:szCs w:val="23"/>
        </w:rPr>
        <w:t>NY</w:t>
      </w:r>
      <w:r w:rsidRPr="007B7686">
        <w:rPr>
          <w:rFonts w:ascii="Times New Roman" w:hAnsi="Times New Roman" w:cs="Times New Roman"/>
          <w:sz w:val="23"/>
          <w:szCs w:val="23"/>
        </w:rPr>
        <w:t xml:space="preserve"> PŘED AKCÍ) A VZHLEDEM K TOMU SE UPRAVÍ POČTY NAPŘ. DODANÝCH JÍDEL. POČET OSOB, KTERÉ SE MOHOU PŘIHLÁSIT NA KAŽDOU AKCI</w:t>
      </w:r>
      <w:r w:rsidR="005566FE">
        <w:rPr>
          <w:rFonts w:ascii="Times New Roman" w:hAnsi="Times New Roman" w:cs="Times New Roman"/>
          <w:sz w:val="23"/>
          <w:szCs w:val="23"/>
        </w:rPr>
        <w:t>,</w:t>
      </w:r>
      <w:r w:rsidRPr="007B7686">
        <w:rPr>
          <w:rFonts w:ascii="Times New Roman" w:hAnsi="Times New Roman" w:cs="Times New Roman"/>
          <w:sz w:val="23"/>
          <w:szCs w:val="23"/>
        </w:rPr>
        <w:t xml:space="preserve"> BUDE MOŽNO REDUKOVAT URČENÍM MAXIMÁLNÍHO POČTU ÚČASTNÍKŮ. CELKOVÝ POČET REALIZOVANÝCH AKCI JE ZÁVAZNÝ, UVEDENÝ POČET ÚČASTNÍKŮ JE POVAŽOVÁN JAKO ZÁVAZNÝ PRO ÚČELY VÝPOČTU CENY ZAKÁZKY A NEBUDE PŘEKROČEN VE SMYSLU DODÁVKY PŘEDMĚTU ZAKÁZKY.  </w:t>
      </w:r>
    </w:p>
    <w:p w:rsidR="007B7686" w:rsidRPr="007B7686" w:rsidRDefault="007B7686" w:rsidP="005566FE">
      <w:pPr>
        <w:jc w:val="both"/>
      </w:pPr>
    </w:p>
    <w:p w:rsidR="007B7686" w:rsidRPr="009B3E8F" w:rsidRDefault="007B7686" w:rsidP="005566FE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9B3E8F">
        <w:rPr>
          <w:rFonts w:ascii="Times New Roman" w:hAnsi="Times New Roman" w:cs="Times New Roman"/>
          <w:b/>
          <w:color w:val="000000"/>
          <w:sz w:val="23"/>
          <w:szCs w:val="23"/>
        </w:rPr>
        <w:t>V souvislosti s uvedenými odpověďmi prodlužujeme lhůtu pro podání nabídek</w:t>
      </w:r>
      <w:r w:rsidR="009B3E8F" w:rsidRPr="009B3E8F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dle článku 9 výzvy k podání nabídek do středy 04.09.2013. Místo a čas podání nabídek zůstávají stejné.</w:t>
      </w:r>
      <w:r w:rsidRPr="009B3E8F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5E6798" w:rsidRPr="009B3E8F" w:rsidRDefault="005E6798" w:rsidP="005566FE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B3E8F" w:rsidRDefault="009B3E8F" w:rsidP="005566FE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E6798" w:rsidRPr="009B3E8F" w:rsidRDefault="005E6798" w:rsidP="005566FE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B3E8F">
        <w:rPr>
          <w:rFonts w:ascii="Times New Roman" w:hAnsi="Times New Roman" w:cs="Times New Roman"/>
          <w:color w:val="000000"/>
          <w:sz w:val="23"/>
          <w:szCs w:val="23"/>
        </w:rPr>
        <w:t>V Ostravě dne 26.08.2013</w:t>
      </w:r>
    </w:p>
    <w:p w:rsidR="005E6798" w:rsidRPr="007B7686" w:rsidRDefault="005E6798" w:rsidP="005566FE">
      <w:pPr>
        <w:jc w:val="both"/>
      </w:pPr>
    </w:p>
    <w:p w:rsidR="00147F02" w:rsidRPr="007B7686" w:rsidRDefault="00147F02" w:rsidP="00556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147F02" w:rsidRPr="007B7686" w:rsidSect="00395C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F7" w:rsidRDefault="009527F7" w:rsidP="002F3FF4">
      <w:pPr>
        <w:spacing w:after="0" w:line="240" w:lineRule="auto"/>
      </w:pPr>
      <w:r>
        <w:separator/>
      </w:r>
    </w:p>
  </w:endnote>
  <w:endnote w:type="continuationSeparator" w:id="0">
    <w:p w:rsidR="009527F7" w:rsidRDefault="009527F7" w:rsidP="002F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450964"/>
      <w:docPartObj>
        <w:docPartGallery w:val="Page Numbers (Bottom of Page)"/>
        <w:docPartUnique/>
      </w:docPartObj>
    </w:sdtPr>
    <w:sdtEndPr/>
    <w:sdtContent>
      <w:p w:rsidR="00FA4270" w:rsidRDefault="00395CD6">
        <w:pPr>
          <w:pStyle w:val="Zpat"/>
          <w:jc w:val="right"/>
        </w:pPr>
        <w:r>
          <w:fldChar w:fldCharType="begin"/>
        </w:r>
        <w:r w:rsidR="00FA4270">
          <w:instrText>PAGE   \* MERGEFORMAT</w:instrText>
        </w:r>
        <w:r>
          <w:fldChar w:fldCharType="separate"/>
        </w:r>
        <w:r w:rsidR="0062507C">
          <w:rPr>
            <w:noProof/>
          </w:rPr>
          <w:t>1</w:t>
        </w:r>
        <w:r>
          <w:fldChar w:fldCharType="end"/>
        </w:r>
      </w:p>
    </w:sdtContent>
  </w:sdt>
  <w:p w:rsidR="00547E9F" w:rsidRPr="002F3FF4" w:rsidRDefault="00547E9F" w:rsidP="00E6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F7" w:rsidRDefault="009527F7" w:rsidP="002F3FF4">
      <w:pPr>
        <w:spacing w:after="0" w:line="240" w:lineRule="auto"/>
      </w:pPr>
      <w:r>
        <w:separator/>
      </w:r>
    </w:p>
  </w:footnote>
  <w:footnote w:type="continuationSeparator" w:id="0">
    <w:p w:rsidR="009527F7" w:rsidRDefault="009527F7" w:rsidP="002F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FF4" w:rsidRDefault="002F3FF4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26035</wp:posOffset>
          </wp:positionV>
          <wp:extent cx="6082665" cy="148653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9D"/>
    <w:multiLevelType w:val="hybridMultilevel"/>
    <w:tmpl w:val="6AD04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A081F"/>
    <w:multiLevelType w:val="hybridMultilevel"/>
    <w:tmpl w:val="9104E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173C1"/>
    <w:multiLevelType w:val="hybridMultilevel"/>
    <w:tmpl w:val="BF98D3EE"/>
    <w:lvl w:ilvl="0" w:tplc="D504B232">
      <w:start w:val="1"/>
      <w:numFmt w:val="upp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975599"/>
    <w:multiLevelType w:val="hybridMultilevel"/>
    <w:tmpl w:val="9C945FF4"/>
    <w:lvl w:ilvl="0" w:tplc="19B47ED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9C839"/>
    <w:multiLevelType w:val="hybridMultilevel"/>
    <w:tmpl w:val="C5B4DF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303193D"/>
    <w:multiLevelType w:val="hybridMultilevel"/>
    <w:tmpl w:val="4AA4DCFC"/>
    <w:lvl w:ilvl="0" w:tplc="368AAB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2A43E8"/>
    <w:multiLevelType w:val="hybridMultilevel"/>
    <w:tmpl w:val="444A559C"/>
    <w:lvl w:ilvl="0" w:tplc="95DA4B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27275"/>
    <w:multiLevelType w:val="hybridMultilevel"/>
    <w:tmpl w:val="5A2E31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7219B5"/>
    <w:multiLevelType w:val="hybridMultilevel"/>
    <w:tmpl w:val="F85227B2"/>
    <w:lvl w:ilvl="0" w:tplc="6A0E20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75714C"/>
    <w:multiLevelType w:val="hybridMultilevel"/>
    <w:tmpl w:val="87F6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B5348"/>
    <w:multiLevelType w:val="hybridMultilevel"/>
    <w:tmpl w:val="C5026D28"/>
    <w:lvl w:ilvl="0" w:tplc="E538553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A1428A0"/>
    <w:multiLevelType w:val="hybridMultilevel"/>
    <w:tmpl w:val="41500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B02AC"/>
    <w:multiLevelType w:val="hybridMultilevel"/>
    <w:tmpl w:val="777AF55C"/>
    <w:lvl w:ilvl="0" w:tplc="9D1CB0E8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  <w:i w:val="0"/>
        <w:sz w:val="24"/>
      </w:rPr>
    </w:lvl>
    <w:lvl w:ilvl="1" w:tplc="9D1CB0E8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  <w:num w:numId="13">
    <w:abstractNumId w:val="1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D03"/>
    <w:rsid w:val="0001217B"/>
    <w:rsid w:val="000375C4"/>
    <w:rsid w:val="00043671"/>
    <w:rsid w:val="00047915"/>
    <w:rsid w:val="0009200F"/>
    <w:rsid w:val="0009334A"/>
    <w:rsid w:val="000C2B62"/>
    <w:rsid w:val="000F26B7"/>
    <w:rsid w:val="00147605"/>
    <w:rsid w:val="00147F02"/>
    <w:rsid w:val="001760BA"/>
    <w:rsid w:val="001A1347"/>
    <w:rsid w:val="001E1E69"/>
    <w:rsid w:val="0020666B"/>
    <w:rsid w:val="002F3FF4"/>
    <w:rsid w:val="002F42D0"/>
    <w:rsid w:val="002F71DE"/>
    <w:rsid w:val="003253EA"/>
    <w:rsid w:val="00395CD6"/>
    <w:rsid w:val="003B5C9C"/>
    <w:rsid w:val="003F3F41"/>
    <w:rsid w:val="004308BC"/>
    <w:rsid w:val="004973B6"/>
    <w:rsid w:val="004A70E7"/>
    <w:rsid w:val="0051734D"/>
    <w:rsid w:val="00534040"/>
    <w:rsid w:val="00546B8D"/>
    <w:rsid w:val="00547E9F"/>
    <w:rsid w:val="005566FE"/>
    <w:rsid w:val="00577CE1"/>
    <w:rsid w:val="005E6798"/>
    <w:rsid w:val="005E71C8"/>
    <w:rsid w:val="00624316"/>
    <w:rsid w:val="0062507C"/>
    <w:rsid w:val="00627AB9"/>
    <w:rsid w:val="00674F8A"/>
    <w:rsid w:val="00682303"/>
    <w:rsid w:val="006C38CD"/>
    <w:rsid w:val="00710C8A"/>
    <w:rsid w:val="007239E7"/>
    <w:rsid w:val="00737952"/>
    <w:rsid w:val="007B7686"/>
    <w:rsid w:val="007E1CD6"/>
    <w:rsid w:val="008466BB"/>
    <w:rsid w:val="00885ABD"/>
    <w:rsid w:val="008B13C5"/>
    <w:rsid w:val="008C08BB"/>
    <w:rsid w:val="008F3737"/>
    <w:rsid w:val="00910C7B"/>
    <w:rsid w:val="009124E3"/>
    <w:rsid w:val="009225DA"/>
    <w:rsid w:val="009527F7"/>
    <w:rsid w:val="00975C46"/>
    <w:rsid w:val="00977653"/>
    <w:rsid w:val="00986CED"/>
    <w:rsid w:val="009B2B25"/>
    <w:rsid w:val="009B3E8F"/>
    <w:rsid w:val="009D1B91"/>
    <w:rsid w:val="00A5033A"/>
    <w:rsid w:val="00A80A54"/>
    <w:rsid w:val="00AA241C"/>
    <w:rsid w:val="00AB2239"/>
    <w:rsid w:val="00AD6738"/>
    <w:rsid w:val="00B2672F"/>
    <w:rsid w:val="00B374F9"/>
    <w:rsid w:val="00B542CF"/>
    <w:rsid w:val="00B95D9C"/>
    <w:rsid w:val="00BA162A"/>
    <w:rsid w:val="00BC4605"/>
    <w:rsid w:val="00C43EA1"/>
    <w:rsid w:val="00CC72E5"/>
    <w:rsid w:val="00CE0A4F"/>
    <w:rsid w:val="00D177F6"/>
    <w:rsid w:val="00D53505"/>
    <w:rsid w:val="00D70E7D"/>
    <w:rsid w:val="00D83481"/>
    <w:rsid w:val="00DF10F6"/>
    <w:rsid w:val="00DF49A1"/>
    <w:rsid w:val="00E43080"/>
    <w:rsid w:val="00E66CD8"/>
    <w:rsid w:val="00E9560D"/>
    <w:rsid w:val="00E97CF8"/>
    <w:rsid w:val="00ED3B59"/>
    <w:rsid w:val="00ED6C3D"/>
    <w:rsid w:val="00EF7DA0"/>
    <w:rsid w:val="00F10BC1"/>
    <w:rsid w:val="00F25CF0"/>
    <w:rsid w:val="00F31A6E"/>
    <w:rsid w:val="00F35C66"/>
    <w:rsid w:val="00F87D03"/>
    <w:rsid w:val="00FA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5C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87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87D03"/>
    <w:rPr>
      <w:color w:val="0000FF"/>
      <w:u w:val="single"/>
    </w:rPr>
  </w:style>
  <w:style w:type="paragraph" w:customStyle="1" w:styleId="TextovArialCE">
    <w:name w:val="Textový Arial CE"/>
    <w:basedOn w:val="Normln"/>
    <w:rsid w:val="00BC4605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4F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3FF4"/>
  </w:style>
  <w:style w:type="paragraph" w:styleId="Zpat">
    <w:name w:val="footer"/>
    <w:basedOn w:val="Normln"/>
    <w:link w:val="ZpatChar"/>
    <w:uiPriority w:val="99"/>
    <w:unhideWhenUsed/>
    <w:rsid w:val="002F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3FF4"/>
  </w:style>
  <w:style w:type="paragraph" w:customStyle="1" w:styleId="Barevnseznamzvraznn11">
    <w:name w:val="Barevný seznam – zvýraznění 11"/>
    <w:basedOn w:val="Normln"/>
    <w:uiPriority w:val="99"/>
    <w:qFormat/>
    <w:rsid w:val="00E66C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466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66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3B5C9C"/>
    <w:pPr>
      <w:ind w:left="720"/>
    </w:pPr>
    <w:rPr>
      <w:rFonts w:ascii="Calibri" w:eastAsia="Times New Roman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87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87D03"/>
    <w:rPr>
      <w:color w:val="0000FF"/>
      <w:u w:val="single"/>
    </w:rPr>
  </w:style>
  <w:style w:type="paragraph" w:customStyle="1" w:styleId="TextovArialCE">
    <w:name w:val="Textový Arial CE"/>
    <w:basedOn w:val="Normln"/>
    <w:rsid w:val="00BC4605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4F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3FF4"/>
  </w:style>
  <w:style w:type="paragraph" w:styleId="Zpat">
    <w:name w:val="footer"/>
    <w:basedOn w:val="Normln"/>
    <w:link w:val="ZpatChar"/>
    <w:uiPriority w:val="99"/>
    <w:unhideWhenUsed/>
    <w:rsid w:val="002F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3FF4"/>
  </w:style>
  <w:style w:type="paragraph" w:customStyle="1" w:styleId="Barevnseznamzvraznn11">
    <w:name w:val="Barevný seznam – zvýraznění 11"/>
    <w:basedOn w:val="Normln"/>
    <w:uiPriority w:val="99"/>
    <w:qFormat/>
    <w:rsid w:val="00E66C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466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66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3B5C9C"/>
    <w:pPr>
      <w:ind w:left="720"/>
    </w:pPr>
    <w:rPr>
      <w:rFonts w:ascii="Calibri" w:eastAsia="Times New Roman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woj0028</cp:lastModifiedBy>
  <cp:revision>2</cp:revision>
  <cp:lastPrinted>2013-08-13T12:16:00Z</cp:lastPrinted>
  <dcterms:created xsi:type="dcterms:W3CDTF">2013-08-26T09:55:00Z</dcterms:created>
  <dcterms:modified xsi:type="dcterms:W3CDTF">2013-08-26T09:55:00Z</dcterms:modified>
</cp:coreProperties>
</file>