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43" w:rsidRDefault="00561843" w:rsidP="00742410">
      <w:pPr>
        <w:spacing w:before="160"/>
        <w:jc w:val="both"/>
        <w:rPr>
          <w:rFonts w:cs="Tahoma"/>
          <w:b/>
          <w:caps/>
          <w:sz w:val="28"/>
        </w:rPr>
      </w:pPr>
      <w:bookmarkStart w:id="0" w:name="_GoBack"/>
      <w:bookmarkEnd w:id="0"/>
    </w:p>
    <w:p w:rsidR="00561843" w:rsidRDefault="00561843" w:rsidP="00742410">
      <w:pPr>
        <w:spacing w:before="160"/>
        <w:jc w:val="both"/>
        <w:rPr>
          <w:rFonts w:cs="Tahoma"/>
          <w:b/>
          <w:caps/>
          <w:sz w:val="28"/>
        </w:rPr>
      </w:pPr>
    </w:p>
    <w:p w:rsidR="00561843" w:rsidRDefault="00561843" w:rsidP="00742410">
      <w:pPr>
        <w:spacing w:before="160"/>
        <w:jc w:val="both"/>
        <w:rPr>
          <w:rFonts w:cs="Tahoma"/>
          <w:b/>
          <w:caps/>
          <w:sz w:val="28"/>
        </w:rPr>
      </w:pPr>
    </w:p>
    <w:p w:rsidR="00561843" w:rsidRDefault="00561843" w:rsidP="00742410">
      <w:pPr>
        <w:spacing w:before="160"/>
        <w:jc w:val="both"/>
        <w:rPr>
          <w:rFonts w:cs="Tahoma"/>
          <w:b/>
          <w:caps/>
          <w:sz w:val="28"/>
        </w:rPr>
      </w:pPr>
    </w:p>
    <w:p w:rsidR="00561843" w:rsidRDefault="00561843" w:rsidP="00742410">
      <w:pPr>
        <w:spacing w:before="160"/>
        <w:jc w:val="both"/>
        <w:rPr>
          <w:rFonts w:cs="Tahoma"/>
          <w:b/>
          <w:caps/>
          <w:sz w:val="28"/>
        </w:rPr>
      </w:pPr>
    </w:p>
    <w:p w:rsidR="00561843" w:rsidRDefault="00561843" w:rsidP="00742410">
      <w:pPr>
        <w:spacing w:before="160"/>
        <w:jc w:val="both"/>
        <w:rPr>
          <w:rFonts w:cs="Tahoma"/>
          <w:b/>
          <w:caps/>
          <w:sz w:val="28"/>
        </w:rPr>
      </w:pPr>
    </w:p>
    <w:p w:rsidR="00561843" w:rsidRDefault="00561843" w:rsidP="00742410">
      <w:pPr>
        <w:spacing w:before="160"/>
        <w:jc w:val="both"/>
        <w:rPr>
          <w:rFonts w:cs="Tahoma"/>
          <w:b/>
          <w:caps/>
          <w:sz w:val="28"/>
        </w:rPr>
      </w:pPr>
    </w:p>
    <w:p w:rsidR="00561843" w:rsidRDefault="00561843" w:rsidP="00AE3051">
      <w:pPr>
        <w:spacing w:before="160"/>
        <w:jc w:val="both"/>
        <w:rPr>
          <w:rFonts w:ascii="Times New Roman" w:hAnsi="Times New Roman"/>
          <w:b/>
          <w:caps/>
          <w:sz w:val="24"/>
          <w:szCs w:val="24"/>
        </w:rPr>
      </w:pPr>
      <w:r w:rsidRPr="00B52FC7">
        <w:rPr>
          <w:rFonts w:ascii="Times New Roman" w:hAnsi="Times New Roman"/>
          <w:b/>
          <w:caps/>
          <w:sz w:val="24"/>
          <w:szCs w:val="24"/>
        </w:rPr>
        <w:t xml:space="preserve">Stav genderové rovnosti </w:t>
      </w:r>
      <w:r>
        <w:rPr>
          <w:rFonts w:ascii="Times New Roman" w:hAnsi="Times New Roman"/>
          <w:b/>
          <w:caps/>
          <w:sz w:val="24"/>
          <w:szCs w:val="24"/>
        </w:rPr>
        <w:t xml:space="preserve">a Návrh střednědobého strategického plánu v oblasti genderové rovnosti </w:t>
      </w:r>
      <w:r w:rsidRPr="00B52FC7">
        <w:rPr>
          <w:rFonts w:ascii="Times New Roman" w:hAnsi="Times New Roman"/>
          <w:b/>
          <w:caps/>
          <w:sz w:val="24"/>
          <w:szCs w:val="24"/>
        </w:rPr>
        <w:t>v resortu M</w:t>
      </w:r>
      <w:r>
        <w:rPr>
          <w:rFonts w:ascii="Times New Roman" w:hAnsi="Times New Roman"/>
          <w:b/>
          <w:caps/>
          <w:sz w:val="24"/>
          <w:szCs w:val="24"/>
        </w:rPr>
        <w:t>inisterstva školství, mládeže a tělovýchovy</w:t>
      </w:r>
    </w:p>
    <w:p w:rsidR="00561843" w:rsidRDefault="00561843" w:rsidP="00742410">
      <w:pPr>
        <w:spacing w:before="160"/>
        <w:jc w:val="both"/>
        <w:rPr>
          <w:rFonts w:cs="Tahoma"/>
          <w:b/>
          <w:caps/>
          <w:sz w:val="28"/>
        </w:rPr>
      </w:pPr>
    </w:p>
    <w:p w:rsidR="00561843" w:rsidRDefault="00561843" w:rsidP="00742410">
      <w:pPr>
        <w:pStyle w:val="Nadpisobsahu"/>
        <w:rPr>
          <w:rFonts w:ascii="Calibri" w:hAnsi="Calibri" w:cs="Tahoma"/>
          <w:color w:val="auto"/>
          <w:sz w:val="22"/>
          <w:szCs w:val="22"/>
        </w:rPr>
      </w:pPr>
    </w:p>
    <w:p w:rsidR="00561843" w:rsidRDefault="00561843" w:rsidP="00742410">
      <w:pPr>
        <w:pStyle w:val="Nadpisobsahu"/>
        <w:rPr>
          <w:rFonts w:ascii="Calibri" w:hAnsi="Calibri" w:cs="Tahoma"/>
          <w:color w:val="auto"/>
          <w:sz w:val="22"/>
          <w:szCs w:val="22"/>
        </w:rPr>
      </w:pPr>
    </w:p>
    <w:p w:rsidR="00561843" w:rsidRDefault="00561843" w:rsidP="00742410">
      <w:pPr>
        <w:pStyle w:val="Nadpisobsahu"/>
        <w:rPr>
          <w:rFonts w:ascii="Calibri" w:hAnsi="Calibri" w:cs="Tahoma"/>
          <w:color w:val="auto"/>
          <w:sz w:val="22"/>
          <w:szCs w:val="22"/>
        </w:rPr>
      </w:pPr>
    </w:p>
    <w:p w:rsidR="00561843" w:rsidRDefault="00561843" w:rsidP="00742410">
      <w:pPr>
        <w:pStyle w:val="Nadpisobsahu"/>
        <w:rPr>
          <w:rFonts w:ascii="Calibri" w:hAnsi="Calibri" w:cs="Tahoma"/>
          <w:color w:val="auto"/>
          <w:sz w:val="22"/>
          <w:szCs w:val="22"/>
        </w:rPr>
      </w:pPr>
    </w:p>
    <w:p w:rsidR="00561843" w:rsidRDefault="00561843" w:rsidP="00742410">
      <w:pPr>
        <w:pStyle w:val="Nadpisobsahu"/>
        <w:rPr>
          <w:rFonts w:ascii="Calibri" w:hAnsi="Calibri" w:cs="Tahoma"/>
          <w:color w:val="auto"/>
          <w:sz w:val="22"/>
          <w:szCs w:val="22"/>
        </w:rPr>
      </w:pPr>
    </w:p>
    <w:p w:rsidR="00561843" w:rsidRDefault="00561843" w:rsidP="00742410">
      <w:pPr>
        <w:pStyle w:val="Nadpisobsahu"/>
        <w:rPr>
          <w:rFonts w:ascii="Calibri" w:hAnsi="Calibri" w:cs="Tahoma"/>
          <w:color w:val="auto"/>
          <w:sz w:val="22"/>
          <w:szCs w:val="22"/>
        </w:rPr>
      </w:pPr>
    </w:p>
    <w:p w:rsidR="00561843" w:rsidRDefault="00561843" w:rsidP="00742410">
      <w:pPr>
        <w:pStyle w:val="Nadpisobsahu"/>
        <w:rPr>
          <w:rFonts w:ascii="Calibri" w:hAnsi="Calibri" w:cs="Tahoma"/>
          <w:color w:val="auto"/>
          <w:sz w:val="22"/>
          <w:szCs w:val="22"/>
        </w:rPr>
      </w:pPr>
    </w:p>
    <w:p w:rsidR="00561843" w:rsidRDefault="00561843" w:rsidP="00742410">
      <w:pPr>
        <w:pStyle w:val="Nadpisobsahu"/>
        <w:rPr>
          <w:rFonts w:ascii="Calibri" w:hAnsi="Calibri" w:cs="Tahoma"/>
          <w:color w:val="auto"/>
          <w:sz w:val="22"/>
          <w:szCs w:val="22"/>
        </w:rPr>
      </w:pPr>
    </w:p>
    <w:p w:rsidR="00561843" w:rsidRDefault="00561843" w:rsidP="00742410">
      <w:pPr>
        <w:pStyle w:val="Nadpisobsahu"/>
        <w:rPr>
          <w:rFonts w:ascii="Calibri" w:hAnsi="Calibri" w:cs="Tahoma"/>
          <w:color w:val="auto"/>
          <w:sz w:val="22"/>
          <w:szCs w:val="22"/>
        </w:rPr>
      </w:pPr>
    </w:p>
    <w:p w:rsidR="00561843" w:rsidRPr="00742410" w:rsidRDefault="00561843" w:rsidP="00742410"/>
    <w:p w:rsidR="00561843" w:rsidRPr="00742410" w:rsidRDefault="00561843" w:rsidP="00742410">
      <w:pPr>
        <w:pStyle w:val="Obsah1"/>
      </w:pPr>
      <w:r w:rsidRPr="00742410">
        <w:t>OBSAH:</w:t>
      </w:r>
    </w:p>
    <w:p w:rsidR="00561843" w:rsidRDefault="00561843">
      <w:pPr>
        <w:pStyle w:val="Obsah1"/>
        <w:rPr>
          <w:rFonts w:ascii="Calibri" w:hAnsi="Calibri"/>
          <w:b w:val="0"/>
          <w:noProof/>
          <w:sz w:val="22"/>
          <w:szCs w:val="22"/>
        </w:rPr>
      </w:pPr>
      <w:r w:rsidRPr="00742410">
        <w:lastRenderedPageBreak/>
        <w:fldChar w:fldCharType="begin"/>
      </w:r>
      <w:r w:rsidRPr="00742410">
        <w:instrText xml:space="preserve"> TOC \o "1-3" \h \z \u </w:instrText>
      </w:r>
      <w:r w:rsidRPr="00742410">
        <w:fldChar w:fldCharType="separate"/>
      </w:r>
      <w:hyperlink w:anchor="_Toc361886374" w:history="1">
        <w:r w:rsidRPr="002B4104">
          <w:rPr>
            <w:rStyle w:val="Hypertextovodkaz"/>
            <w:noProof/>
          </w:rPr>
          <w:t>1.</w:t>
        </w:r>
        <w:r>
          <w:rPr>
            <w:rFonts w:ascii="Calibri" w:hAnsi="Calibri"/>
            <w:b w:val="0"/>
            <w:noProof/>
            <w:sz w:val="22"/>
            <w:szCs w:val="22"/>
          </w:rPr>
          <w:tab/>
        </w:r>
        <w:r w:rsidRPr="002B4104">
          <w:rPr>
            <w:rStyle w:val="Hypertextovodkaz"/>
            <w:noProof/>
          </w:rPr>
          <w:t>ÚVOD</w:t>
        </w:r>
        <w:r>
          <w:rPr>
            <w:noProof/>
            <w:webHidden/>
          </w:rPr>
          <w:tab/>
        </w:r>
        <w:r>
          <w:rPr>
            <w:noProof/>
            <w:webHidden/>
          </w:rPr>
          <w:fldChar w:fldCharType="begin"/>
        </w:r>
        <w:r>
          <w:rPr>
            <w:noProof/>
            <w:webHidden/>
          </w:rPr>
          <w:instrText xml:space="preserve"> PAGEREF _Toc361886374 \h </w:instrText>
        </w:r>
        <w:r>
          <w:rPr>
            <w:noProof/>
            <w:webHidden/>
          </w:rPr>
        </w:r>
        <w:r>
          <w:rPr>
            <w:noProof/>
            <w:webHidden/>
          </w:rPr>
          <w:fldChar w:fldCharType="separate"/>
        </w:r>
        <w:r w:rsidR="00855D8C">
          <w:rPr>
            <w:noProof/>
            <w:webHidden/>
          </w:rPr>
          <w:t>4</w:t>
        </w:r>
        <w:r>
          <w:rPr>
            <w:noProof/>
            <w:webHidden/>
          </w:rPr>
          <w:fldChar w:fldCharType="end"/>
        </w:r>
      </w:hyperlink>
    </w:p>
    <w:p w:rsidR="00561843" w:rsidRDefault="00300C9A">
      <w:pPr>
        <w:pStyle w:val="Obsah1"/>
        <w:rPr>
          <w:rFonts w:ascii="Calibri" w:hAnsi="Calibri"/>
          <w:b w:val="0"/>
          <w:noProof/>
          <w:sz w:val="22"/>
          <w:szCs w:val="22"/>
        </w:rPr>
      </w:pPr>
      <w:hyperlink w:anchor="_Toc361886375" w:history="1">
        <w:r w:rsidR="00561843" w:rsidRPr="002B4104">
          <w:rPr>
            <w:rStyle w:val="Hypertextovodkaz"/>
            <w:caps/>
            <w:noProof/>
          </w:rPr>
          <w:t>2.</w:t>
        </w:r>
        <w:r w:rsidR="00561843">
          <w:rPr>
            <w:rFonts w:ascii="Calibri" w:hAnsi="Calibri"/>
            <w:b w:val="0"/>
            <w:noProof/>
            <w:sz w:val="22"/>
            <w:szCs w:val="22"/>
          </w:rPr>
          <w:tab/>
        </w:r>
        <w:r w:rsidR="00561843" w:rsidRPr="002B4104">
          <w:rPr>
            <w:rStyle w:val="Hypertextovodkaz"/>
            <w:caps/>
            <w:noProof/>
          </w:rPr>
          <w:t>RÁMCOVÉ VYMEZENÍ GENDEROVÉ ROVNOSTI VE VZDĚLÁVÁNÍ</w:t>
        </w:r>
        <w:r w:rsidR="00561843">
          <w:rPr>
            <w:noProof/>
            <w:webHidden/>
          </w:rPr>
          <w:tab/>
        </w:r>
        <w:r w:rsidR="00561843">
          <w:rPr>
            <w:noProof/>
            <w:webHidden/>
          </w:rPr>
          <w:fldChar w:fldCharType="begin"/>
        </w:r>
        <w:r w:rsidR="00561843">
          <w:rPr>
            <w:noProof/>
            <w:webHidden/>
          </w:rPr>
          <w:instrText xml:space="preserve"> PAGEREF _Toc361886375 \h </w:instrText>
        </w:r>
        <w:r w:rsidR="00561843">
          <w:rPr>
            <w:noProof/>
            <w:webHidden/>
          </w:rPr>
        </w:r>
        <w:r w:rsidR="00561843">
          <w:rPr>
            <w:noProof/>
            <w:webHidden/>
          </w:rPr>
          <w:fldChar w:fldCharType="separate"/>
        </w:r>
        <w:r w:rsidR="00855D8C">
          <w:rPr>
            <w:noProof/>
            <w:webHidden/>
          </w:rPr>
          <w:t>6</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76" w:history="1">
        <w:r w:rsidR="00561843" w:rsidRPr="002B4104">
          <w:rPr>
            <w:rStyle w:val="Hypertextovodkaz"/>
            <w:caps/>
            <w:noProof/>
          </w:rPr>
          <w:t>3.</w:t>
        </w:r>
        <w:r w:rsidR="00561843">
          <w:rPr>
            <w:rFonts w:ascii="Calibri" w:hAnsi="Calibri"/>
            <w:b w:val="0"/>
            <w:noProof/>
            <w:sz w:val="22"/>
            <w:szCs w:val="22"/>
          </w:rPr>
          <w:tab/>
        </w:r>
        <w:r w:rsidR="00561843" w:rsidRPr="002B4104">
          <w:rPr>
            <w:rStyle w:val="Hypertextovodkaz"/>
            <w:caps/>
            <w:noProof/>
          </w:rPr>
          <w:t>INSTITUCIONÁLNÍ ZAJIŠTĚNÍ POLITIKY GENDEROVÉ ROVNOSTI VE VZDĚLÁVÁNÍ</w:t>
        </w:r>
        <w:r w:rsidR="00561843">
          <w:rPr>
            <w:noProof/>
            <w:webHidden/>
          </w:rPr>
          <w:tab/>
        </w:r>
        <w:r w:rsidR="00561843">
          <w:rPr>
            <w:noProof/>
            <w:webHidden/>
          </w:rPr>
          <w:fldChar w:fldCharType="begin"/>
        </w:r>
        <w:r w:rsidR="00561843">
          <w:rPr>
            <w:noProof/>
            <w:webHidden/>
          </w:rPr>
          <w:instrText xml:space="preserve"> PAGEREF _Toc361886376 \h </w:instrText>
        </w:r>
        <w:r w:rsidR="00561843">
          <w:rPr>
            <w:noProof/>
            <w:webHidden/>
          </w:rPr>
        </w:r>
        <w:r w:rsidR="00561843">
          <w:rPr>
            <w:noProof/>
            <w:webHidden/>
          </w:rPr>
          <w:fldChar w:fldCharType="separate"/>
        </w:r>
        <w:r w:rsidR="00855D8C">
          <w:rPr>
            <w:noProof/>
            <w:webHidden/>
          </w:rPr>
          <w:t>7</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77" w:history="1">
        <w:r w:rsidR="00561843" w:rsidRPr="002B4104">
          <w:rPr>
            <w:rStyle w:val="Hypertextovodkaz"/>
            <w:caps/>
            <w:noProof/>
          </w:rPr>
          <w:t>4.</w:t>
        </w:r>
        <w:r w:rsidR="00561843">
          <w:rPr>
            <w:rFonts w:ascii="Calibri" w:hAnsi="Calibri"/>
            <w:b w:val="0"/>
            <w:noProof/>
            <w:sz w:val="22"/>
            <w:szCs w:val="22"/>
          </w:rPr>
          <w:tab/>
        </w:r>
        <w:r w:rsidR="00561843" w:rsidRPr="002B4104">
          <w:rPr>
            <w:rStyle w:val="Hypertextovodkaz"/>
            <w:caps/>
            <w:noProof/>
          </w:rPr>
          <w:t>zastoupení žen a mužů v učitelské populaci</w:t>
        </w:r>
        <w:r w:rsidR="00561843">
          <w:rPr>
            <w:noProof/>
            <w:webHidden/>
          </w:rPr>
          <w:tab/>
        </w:r>
        <w:r w:rsidR="00561843">
          <w:rPr>
            <w:noProof/>
            <w:webHidden/>
          </w:rPr>
          <w:fldChar w:fldCharType="begin"/>
        </w:r>
        <w:r w:rsidR="00561843">
          <w:rPr>
            <w:noProof/>
            <w:webHidden/>
          </w:rPr>
          <w:instrText xml:space="preserve"> PAGEREF _Toc361886377 \h </w:instrText>
        </w:r>
        <w:r w:rsidR="00561843">
          <w:rPr>
            <w:noProof/>
            <w:webHidden/>
          </w:rPr>
        </w:r>
        <w:r w:rsidR="00561843">
          <w:rPr>
            <w:noProof/>
            <w:webHidden/>
          </w:rPr>
          <w:fldChar w:fldCharType="separate"/>
        </w:r>
        <w:r w:rsidR="00855D8C">
          <w:rPr>
            <w:noProof/>
            <w:webHidden/>
          </w:rPr>
          <w:t>8</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78" w:history="1">
        <w:r w:rsidR="00561843" w:rsidRPr="002B4104">
          <w:rPr>
            <w:rStyle w:val="Hypertextovodkaz"/>
            <w:caps/>
            <w:noProof/>
          </w:rPr>
          <w:t>5.</w:t>
        </w:r>
        <w:r w:rsidR="00561843">
          <w:rPr>
            <w:rFonts w:ascii="Calibri" w:hAnsi="Calibri"/>
            <w:b w:val="0"/>
            <w:noProof/>
            <w:sz w:val="22"/>
            <w:szCs w:val="22"/>
          </w:rPr>
          <w:tab/>
        </w:r>
        <w:r w:rsidR="00561843" w:rsidRPr="002B4104">
          <w:rPr>
            <w:rStyle w:val="Hypertextovodkaz"/>
            <w:caps/>
            <w:noProof/>
          </w:rPr>
          <w:t>zastoupení dívek a chlapců v žákovské populaci</w:t>
        </w:r>
        <w:r w:rsidR="00561843">
          <w:rPr>
            <w:noProof/>
            <w:webHidden/>
          </w:rPr>
          <w:tab/>
        </w:r>
        <w:r w:rsidR="00561843">
          <w:rPr>
            <w:noProof/>
            <w:webHidden/>
          </w:rPr>
          <w:fldChar w:fldCharType="begin"/>
        </w:r>
        <w:r w:rsidR="00561843">
          <w:rPr>
            <w:noProof/>
            <w:webHidden/>
          </w:rPr>
          <w:instrText xml:space="preserve"> PAGEREF _Toc361886378 \h </w:instrText>
        </w:r>
        <w:r w:rsidR="00561843">
          <w:rPr>
            <w:noProof/>
            <w:webHidden/>
          </w:rPr>
        </w:r>
        <w:r w:rsidR="00561843">
          <w:rPr>
            <w:noProof/>
            <w:webHidden/>
          </w:rPr>
          <w:fldChar w:fldCharType="separate"/>
        </w:r>
        <w:r w:rsidR="00855D8C">
          <w:rPr>
            <w:noProof/>
            <w:webHidden/>
          </w:rPr>
          <w:t>9</w:t>
        </w:r>
        <w:r w:rsidR="00561843">
          <w:rPr>
            <w:noProof/>
            <w:webHidden/>
          </w:rPr>
          <w:fldChar w:fldCharType="end"/>
        </w:r>
      </w:hyperlink>
    </w:p>
    <w:p w:rsidR="00561843" w:rsidRPr="00135D4C" w:rsidRDefault="00300C9A">
      <w:pPr>
        <w:pStyle w:val="Obsah2"/>
        <w:tabs>
          <w:tab w:val="left" w:pos="880"/>
          <w:tab w:val="right" w:leader="dot" w:pos="9062"/>
        </w:tabs>
        <w:rPr>
          <w:rFonts w:ascii="Times New Roman" w:hAnsi="Times New Roman"/>
          <w:noProof/>
          <w:sz w:val="24"/>
          <w:szCs w:val="24"/>
        </w:rPr>
      </w:pPr>
      <w:hyperlink w:anchor="_Toc361886379" w:history="1">
        <w:r w:rsidR="00561843" w:rsidRPr="002B4104">
          <w:rPr>
            <w:rStyle w:val="Hypertextovodkaz"/>
            <w:rFonts w:ascii="Times New Roman" w:hAnsi="Times New Roman"/>
            <w:noProof/>
          </w:rPr>
          <w:t>5.1.</w:t>
        </w:r>
        <w:r w:rsidR="00561843">
          <w:rPr>
            <w:rFonts w:ascii="Calibri" w:hAnsi="Calibri"/>
            <w:noProof/>
            <w:sz w:val="22"/>
            <w:szCs w:val="22"/>
          </w:rPr>
          <w:tab/>
        </w:r>
        <w:r w:rsidR="00561843" w:rsidRPr="002B4104">
          <w:rPr>
            <w:rStyle w:val="Hypertextovodkaz"/>
            <w:rFonts w:ascii="Times New Roman" w:hAnsi="Times New Roman"/>
            <w:noProof/>
          </w:rPr>
          <w:t>Podíl dívek a chlapců na jednotlivých stupních a typech škol</w:t>
        </w:r>
        <w:r w:rsidR="00561843">
          <w:rPr>
            <w:noProof/>
            <w:webHidden/>
          </w:rPr>
          <w:tab/>
        </w:r>
        <w:r w:rsidR="00561843">
          <w:rPr>
            <w:noProof/>
            <w:webHidden/>
          </w:rPr>
          <w:fldChar w:fldCharType="begin"/>
        </w:r>
        <w:r w:rsidR="00561843">
          <w:rPr>
            <w:noProof/>
            <w:webHidden/>
          </w:rPr>
          <w:instrText xml:space="preserve"> PAGEREF _Toc361886379 \h </w:instrText>
        </w:r>
        <w:r w:rsidR="00561843">
          <w:rPr>
            <w:noProof/>
            <w:webHidden/>
          </w:rPr>
        </w:r>
        <w:r w:rsidR="00561843">
          <w:rPr>
            <w:noProof/>
            <w:webHidden/>
          </w:rPr>
          <w:fldChar w:fldCharType="separate"/>
        </w:r>
        <w:r w:rsidR="00855D8C">
          <w:rPr>
            <w:noProof/>
            <w:webHidden/>
          </w:rPr>
          <w:t>9</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80" w:history="1">
        <w:r w:rsidR="00561843" w:rsidRPr="002B4104">
          <w:rPr>
            <w:rStyle w:val="Hypertextovodkaz"/>
            <w:rFonts w:ascii="Times New Roman" w:hAnsi="Times New Roman"/>
            <w:noProof/>
          </w:rPr>
          <w:t>5.2.</w:t>
        </w:r>
        <w:r w:rsidR="00561843">
          <w:rPr>
            <w:rFonts w:ascii="Calibri" w:hAnsi="Calibri"/>
            <w:noProof/>
            <w:sz w:val="22"/>
            <w:szCs w:val="22"/>
          </w:rPr>
          <w:tab/>
        </w:r>
        <w:r w:rsidR="00561843" w:rsidRPr="002B4104">
          <w:rPr>
            <w:rStyle w:val="Hypertextovodkaz"/>
            <w:rFonts w:ascii="Times New Roman" w:hAnsi="Times New Roman"/>
            <w:noProof/>
          </w:rPr>
          <w:t>Překážky pro rovné zastoupení dívek a chlapců</w:t>
        </w:r>
        <w:r w:rsidR="00561843">
          <w:rPr>
            <w:noProof/>
            <w:webHidden/>
          </w:rPr>
          <w:tab/>
        </w:r>
        <w:r w:rsidR="00561843">
          <w:rPr>
            <w:noProof/>
            <w:webHidden/>
          </w:rPr>
          <w:fldChar w:fldCharType="begin"/>
        </w:r>
        <w:r w:rsidR="00561843">
          <w:rPr>
            <w:noProof/>
            <w:webHidden/>
          </w:rPr>
          <w:instrText xml:space="preserve"> PAGEREF _Toc361886380 \h </w:instrText>
        </w:r>
        <w:r w:rsidR="00561843">
          <w:rPr>
            <w:noProof/>
            <w:webHidden/>
          </w:rPr>
        </w:r>
        <w:r w:rsidR="00561843">
          <w:rPr>
            <w:noProof/>
            <w:webHidden/>
          </w:rPr>
          <w:fldChar w:fldCharType="separate"/>
        </w:r>
        <w:r w:rsidR="00855D8C">
          <w:rPr>
            <w:noProof/>
            <w:webHidden/>
          </w:rPr>
          <w:t>11</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81" w:history="1">
        <w:r w:rsidR="00561843" w:rsidRPr="002B4104">
          <w:rPr>
            <w:rStyle w:val="Hypertextovodkaz"/>
            <w:rFonts w:ascii="Times New Roman" w:hAnsi="Times New Roman"/>
            <w:noProof/>
          </w:rPr>
          <w:t>5.3.</w:t>
        </w:r>
        <w:r w:rsidR="00561843">
          <w:rPr>
            <w:rFonts w:ascii="Calibri" w:hAnsi="Calibri"/>
            <w:noProof/>
            <w:sz w:val="22"/>
            <w:szCs w:val="22"/>
          </w:rPr>
          <w:tab/>
        </w:r>
        <w:r w:rsidR="00561843" w:rsidRPr="002B4104">
          <w:rPr>
            <w:rStyle w:val="Hypertextovodkaz"/>
            <w:rFonts w:ascii="Times New Roman" w:hAnsi="Times New Roman"/>
            <w:noProof/>
          </w:rPr>
          <w:t>Prodlevy ve studiu</w:t>
        </w:r>
        <w:r w:rsidR="00561843">
          <w:rPr>
            <w:noProof/>
            <w:webHidden/>
          </w:rPr>
          <w:tab/>
        </w:r>
        <w:r w:rsidR="00561843">
          <w:rPr>
            <w:noProof/>
            <w:webHidden/>
          </w:rPr>
          <w:fldChar w:fldCharType="begin"/>
        </w:r>
        <w:r w:rsidR="00561843">
          <w:rPr>
            <w:noProof/>
            <w:webHidden/>
          </w:rPr>
          <w:instrText xml:space="preserve"> PAGEREF _Toc361886381 \h </w:instrText>
        </w:r>
        <w:r w:rsidR="00561843">
          <w:rPr>
            <w:noProof/>
            <w:webHidden/>
          </w:rPr>
        </w:r>
        <w:r w:rsidR="00561843">
          <w:rPr>
            <w:noProof/>
            <w:webHidden/>
          </w:rPr>
          <w:fldChar w:fldCharType="separate"/>
        </w:r>
        <w:r w:rsidR="00855D8C">
          <w:rPr>
            <w:noProof/>
            <w:webHidden/>
          </w:rPr>
          <w:t>12</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82" w:history="1">
        <w:r w:rsidR="00561843" w:rsidRPr="002B4104">
          <w:rPr>
            <w:rStyle w:val="Hypertextovodkaz"/>
            <w:caps/>
            <w:noProof/>
          </w:rPr>
          <w:t>6.</w:t>
        </w:r>
        <w:r w:rsidR="00561843">
          <w:rPr>
            <w:rFonts w:ascii="Calibri" w:hAnsi="Calibri"/>
            <w:b w:val="0"/>
            <w:noProof/>
            <w:sz w:val="22"/>
            <w:szCs w:val="22"/>
          </w:rPr>
          <w:tab/>
        </w:r>
        <w:r w:rsidR="00561843" w:rsidRPr="002B4104">
          <w:rPr>
            <w:rStyle w:val="Hypertextovodkaz"/>
            <w:caps/>
            <w:noProof/>
          </w:rPr>
          <w:t>školní výsledky dívek a chlapců</w:t>
        </w:r>
        <w:r w:rsidR="00561843">
          <w:rPr>
            <w:noProof/>
            <w:webHidden/>
          </w:rPr>
          <w:tab/>
        </w:r>
        <w:r w:rsidR="00561843">
          <w:rPr>
            <w:noProof/>
            <w:webHidden/>
          </w:rPr>
          <w:fldChar w:fldCharType="begin"/>
        </w:r>
        <w:r w:rsidR="00561843">
          <w:rPr>
            <w:noProof/>
            <w:webHidden/>
          </w:rPr>
          <w:instrText xml:space="preserve"> PAGEREF _Toc361886382 \h </w:instrText>
        </w:r>
        <w:r w:rsidR="00561843">
          <w:rPr>
            <w:noProof/>
            <w:webHidden/>
          </w:rPr>
        </w:r>
        <w:r w:rsidR="00561843">
          <w:rPr>
            <w:noProof/>
            <w:webHidden/>
          </w:rPr>
          <w:fldChar w:fldCharType="separate"/>
        </w:r>
        <w:r w:rsidR="00855D8C">
          <w:rPr>
            <w:noProof/>
            <w:webHidden/>
          </w:rPr>
          <w:t>12</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83" w:history="1">
        <w:r w:rsidR="00561843" w:rsidRPr="002B4104">
          <w:rPr>
            <w:rStyle w:val="Hypertextovodkaz"/>
            <w:rFonts w:ascii="Times New Roman" w:hAnsi="Times New Roman"/>
            <w:noProof/>
          </w:rPr>
          <w:t>6.1.</w:t>
        </w:r>
        <w:r w:rsidR="00561843">
          <w:rPr>
            <w:rFonts w:ascii="Calibri" w:hAnsi="Calibri"/>
            <w:noProof/>
            <w:sz w:val="22"/>
            <w:szCs w:val="22"/>
          </w:rPr>
          <w:tab/>
        </w:r>
        <w:r w:rsidR="00561843" w:rsidRPr="002B4104">
          <w:rPr>
            <w:rStyle w:val="Hypertextovodkaz"/>
            <w:rFonts w:ascii="Times New Roman" w:hAnsi="Times New Roman"/>
            <w:noProof/>
          </w:rPr>
          <w:t>Školní hodnocení</w:t>
        </w:r>
        <w:r w:rsidR="00561843">
          <w:rPr>
            <w:noProof/>
            <w:webHidden/>
          </w:rPr>
          <w:tab/>
        </w:r>
        <w:r w:rsidR="00561843">
          <w:rPr>
            <w:noProof/>
            <w:webHidden/>
          </w:rPr>
          <w:fldChar w:fldCharType="begin"/>
        </w:r>
        <w:r w:rsidR="00561843">
          <w:rPr>
            <w:noProof/>
            <w:webHidden/>
          </w:rPr>
          <w:instrText xml:space="preserve"> PAGEREF _Toc361886383 \h </w:instrText>
        </w:r>
        <w:r w:rsidR="00561843">
          <w:rPr>
            <w:noProof/>
            <w:webHidden/>
          </w:rPr>
        </w:r>
        <w:r w:rsidR="00561843">
          <w:rPr>
            <w:noProof/>
            <w:webHidden/>
          </w:rPr>
          <w:fldChar w:fldCharType="separate"/>
        </w:r>
        <w:r w:rsidR="00855D8C">
          <w:rPr>
            <w:noProof/>
            <w:webHidden/>
          </w:rPr>
          <w:t>12</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84" w:history="1">
        <w:r w:rsidR="00561843" w:rsidRPr="002B4104">
          <w:rPr>
            <w:rStyle w:val="Hypertextovodkaz"/>
            <w:rFonts w:ascii="Times New Roman" w:hAnsi="Times New Roman"/>
            <w:noProof/>
          </w:rPr>
          <w:t>6.2.</w:t>
        </w:r>
        <w:r w:rsidR="00561843">
          <w:rPr>
            <w:rFonts w:ascii="Calibri" w:hAnsi="Calibri"/>
            <w:noProof/>
            <w:sz w:val="22"/>
            <w:szCs w:val="22"/>
          </w:rPr>
          <w:tab/>
        </w:r>
        <w:r w:rsidR="00561843" w:rsidRPr="002B4104">
          <w:rPr>
            <w:rStyle w:val="Hypertextovodkaz"/>
            <w:rFonts w:ascii="Times New Roman" w:hAnsi="Times New Roman"/>
            <w:noProof/>
          </w:rPr>
          <w:t>Výsledky v mezinárodních/národních projektech</w:t>
        </w:r>
        <w:r w:rsidR="00561843">
          <w:rPr>
            <w:noProof/>
            <w:webHidden/>
          </w:rPr>
          <w:tab/>
        </w:r>
        <w:r w:rsidR="00561843">
          <w:rPr>
            <w:noProof/>
            <w:webHidden/>
          </w:rPr>
          <w:fldChar w:fldCharType="begin"/>
        </w:r>
        <w:r w:rsidR="00561843">
          <w:rPr>
            <w:noProof/>
            <w:webHidden/>
          </w:rPr>
          <w:instrText xml:space="preserve"> PAGEREF _Toc361886384 \h </w:instrText>
        </w:r>
        <w:r w:rsidR="00561843">
          <w:rPr>
            <w:noProof/>
            <w:webHidden/>
          </w:rPr>
        </w:r>
        <w:r w:rsidR="00561843">
          <w:rPr>
            <w:noProof/>
            <w:webHidden/>
          </w:rPr>
          <w:fldChar w:fldCharType="separate"/>
        </w:r>
        <w:r w:rsidR="00855D8C">
          <w:rPr>
            <w:noProof/>
            <w:webHidden/>
          </w:rPr>
          <w:t>13</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85" w:history="1">
        <w:r w:rsidR="00561843" w:rsidRPr="002B4104">
          <w:rPr>
            <w:rStyle w:val="Hypertextovodkaz"/>
            <w:rFonts w:ascii="Times New Roman" w:hAnsi="Times New Roman"/>
            <w:noProof/>
          </w:rPr>
          <w:t>6.3.</w:t>
        </w:r>
        <w:r w:rsidR="00561843">
          <w:rPr>
            <w:rFonts w:ascii="Calibri" w:hAnsi="Calibri"/>
            <w:noProof/>
            <w:sz w:val="22"/>
            <w:szCs w:val="22"/>
          </w:rPr>
          <w:tab/>
        </w:r>
        <w:r w:rsidR="00561843" w:rsidRPr="002B4104">
          <w:rPr>
            <w:rStyle w:val="Hypertextovodkaz"/>
            <w:rFonts w:ascii="Times New Roman" w:hAnsi="Times New Roman"/>
            <w:noProof/>
          </w:rPr>
          <w:t>Úspěšnost v přijímacím řízení</w:t>
        </w:r>
        <w:r w:rsidR="00561843">
          <w:rPr>
            <w:noProof/>
            <w:webHidden/>
          </w:rPr>
          <w:tab/>
        </w:r>
        <w:r w:rsidR="00561843">
          <w:rPr>
            <w:noProof/>
            <w:webHidden/>
          </w:rPr>
          <w:fldChar w:fldCharType="begin"/>
        </w:r>
        <w:r w:rsidR="00561843">
          <w:rPr>
            <w:noProof/>
            <w:webHidden/>
          </w:rPr>
          <w:instrText xml:space="preserve"> PAGEREF _Toc361886385 \h </w:instrText>
        </w:r>
        <w:r w:rsidR="00561843">
          <w:rPr>
            <w:noProof/>
            <w:webHidden/>
          </w:rPr>
        </w:r>
        <w:r w:rsidR="00561843">
          <w:rPr>
            <w:noProof/>
            <w:webHidden/>
          </w:rPr>
          <w:fldChar w:fldCharType="separate"/>
        </w:r>
        <w:r w:rsidR="00855D8C">
          <w:rPr>
            <w:noProof/>
            <w:webHidden/>
          </w:rPr>
          <w:t>15</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86" w:history="1">
        <w:r w:rsidR="00561843" w:rsidRPr="002B4104">
          <w:rPr>
            <w:rStyle w:val="Hypertextovodkaz"/>
            <w:caps/>
            <w:noProof/>
          </w:rPr>
          <w:t>7.</w:t>
        </w:r>
        <w:r w:rsidR="00561843">
          <w:rPr>
            <w:rFonts w:ascii="Calibri" w:hAnsi="Calibri"/>
            <w:b w:val="0"/>
            <w:noProof/>
            <w:sz w:val="22"/>
            <w:szCs w:val="22"/>
          </w:rPr>
          <w:tab/>
        </w:r>
        <w:r w:rsidR="00561843" w:rsidRPr="002B4104">
          <w:rPr>
            <w:rStyle w:val="Hypertextovodkaz"/>
            <w:caps/>
            <w:noProof/>
          </w:rPr>
          <w:t>volba další studijní a profesní dráhy</w:t>
        </w:r>
        <w:r w:rsidR="00561843">
          <w:rPr>
            <w:noProof/>
            <w:webHidden/>
          </w:rPr>
          <w:tab/>
        </w:r>
        <w:r w:rsidR="00561843">
          <w:rPr>
            <w:noProof/>
            <w:webHidden/>
          </w:rPr>
          <w:fldChar w:fldCharType="begin"/>
        </w:r>
        <w:r w:rsidR="00561843">
          <w:rPr>
            <w:noProof/>
            <w:webHidden/>
          </w:rPr>
          <w:instrText xml:space="preserve"> PAGEREF _Toc361886386 \h </w:instrText>
        </w:r>
        <w:r w:rsidR="00561843">
          <w:rPr>
            <w:noProof/>
            <w:webHidden/>
          </w:rPr>
        </w:r>
        <w:r w:rsidR="00561843">
          <w:rPr>
            <w:noProof/>
            <w:webHidden/>
          </w:rPr>
          <w:fldChar w:fldCharType="separate"/>
        </w:r>
        <w:r w:rsidR="00855D8C">
          <w:rPr>
            <w:noProof/>
            <w:webHidden/>
          </w:rPr>
          <w:t>16</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87" w:history="1">
        <w:r w:rsidR="00561843" w:rsidRPr="002B4104">
          <w:rPr>
            <w:rStyle w:val="Hypertextovodkaz"/>
            <w:rFonts w:ascii="Times New Roman" w:hAnsi="Times New Roman"/>
            <w:noProof/>
          </w:rPr>
          <w:t>7.1.</w:t>
        </w:r>
        <w:r w:rsidR="00561843">
          <w:rPr>
            <w:rFonts w:ascii="Calibri" w:hAnsi="Calibri"/>
            <w:noProof/>
            <w:sz w:val="22"/>
            <w:szCs w:val="22"/>
          </w:rPr>
          <w:tab/>
        </w:r>
        <w:r w:rsidR="00561843" w:rsidRPr="002B4104">
          <w:rPr>
            <w:rStyle w:val="Hypertextovodkaz"/>
            <w:rFonts w:ascii="Times New Roman" w:hAnsi="Times New Roman"/>
            <w:noProof/>
          </w:rPr>
          <w:t>Genderové rozčlenění vzdělávacího systému</w:t>
        </w:r>
        <w:r w:rsidR="00561843">
          <w:rPr>
            <w:noProof/>
            <w:webHidden/>
          </w:rPr>
          <w:tab/>
        </w:r>
        <w:r w:rsidR="00561843">
          <w:rPr>
            <w:noProof/>
            <w:webHidden/>
          </w:rPr>
          <w:fldChar w:fldCharType="begin"/>
        </w:r>
        <w:r w:rsidR="00561843">
          <w:rPr>
            <w:noProof/>
            <w:webHidden/>
          </w:rPr>
          <w:instrText xml:space="preserve"> PAGEREF _Toc361886387 \h </w:instrText>
        </w:r>
        <w:r w:rsidR="00561843">
          <w:rPr>
            <w:noProof/>
            <w:webHidden/>
          </w:rPr>
        </w:r>
        <w:r w:rsidR="00561843">
          <w:rPr>
            <w:noProof/>
            <w:webHidden/>
          </w:rPr>
          <w:fldChar w:fldCharType="separate"/>
        </w:r>
        <w:r w:rsidR="00855D8C">
          <w:rPr>
            <w:noProof/>
            <w:webHidden/>
          </w:rPr>
          <w:t>16</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88" w:history="1">
        <w:r w:rsidR="00561843" w:rsidRPr="002B4104">
          <w:rPr>
            <w:rStyle w:val="Hypertextovodkaz"/>
            <w:rFonts w:ascii="Times New Roman" w:hAnsi="Times New Roman"/>
            <w:noProof/>
          </w:rPr>
          <w:t>7.2.</w:t>
        </w:r>
        <w:r w:rsidR="00561843">
          <w:rPr>
            <w:rFonts w:ascii="Calibri" w:hAnsi="Calibri"/>
            <w:noProof/>
            <w:sz w:val="22"/>
            <w:szCs w:val="22"/>
          </w:rPr>
          <w:tab/>
        </w:r>
        <w:r w:rsidR="00561843" w:rsidRPr="002B4104">
          <w:rPr>
            <w:rStyle w:val="Hypertextovodkaz"/>
            <w:rFonts w:ascii="Times New Roman" w:hAnsi="Times New Roman"/>
            <w:noProof/>
          </w:rPr>
          <w:t>Systém podpory pro volbu povolání</w:t>
        </w:r>
        <w:r w:rsidR="00561843">
          <w:rPr>
            <w:noProof/>
            <w:webHidden/>
          </w:rPr>
          <w:tab/>
        </w:r>
        <w:r w:rsidR="00561843">
          <w:rPr>
            <w:noProof/>
            <w:webHidden/>
          </w:rPr>
          <w:fldChar w:fldCharType="begin"/>
        </w:r>
        <w:r w:rsidR="00561843">
          <w:rPr>
            <w:noProof/>
            <w:webHidden/>
          </w:rPr>
          <w:instrText xml:space="preserve"> PAGEREF _Toc361886388 \h </w:instrText>
        </w:r>
        <w:r w:rsidR="00561843">
          <w:rPr>
            <w:noProof/>
            <w:webHidden/>
          </w:rPr>
        </w:r>
        <w:r w:rsidR="00561843">
          <w:rPr>
            <w:noProof/>
            <w:webHidden/>
          </w:rPr>
          <w:fldChar w:fldCharType="separate"/>
        </w:r>
        <w:r w:rsidR="00855D8C">
          <w:rPr>
            <w:noProof/>
            <w:webHidden/>
          </w:rPr>
          <w:t>18</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89" w:history="1">
        <w:r w:rsidR="00561843" w:rsidRPr="002B4104">
          <w:rPr>
            <w:rStyle w:val="Hypertextovodkaz"/>
            <w:caps/>
            <w:noProof/>
          </w:rPr>
          <w:t>8.</w:t>
        </w:r>
        <w:r w:rsidR="00561843">
          <w:rPr>
            <w:rFonts w:ascii="Calibri" w:hAnsi="Calibri"/>
            <w:b w:val="0"/>
            <w:noProof/>
            <w:sz w:val="22"/>
            <w:szCs w:val="22"/>
          </w:rPr>
          <w:tab/>
        </w:r>
        <w:r w:rsidR="00561843" w:rsidRPr="002B4104">
          <w:rPr>
            <w:rStyle w:val="Hypertextovodkaz"/>
            <w:caps/>
            <w:noProof/>
          </w:rPr>
          <w:t>genderová rovnost ve formálním kurikulu</w:t>
        </w:r>
        <w:r w:rsidR="00561843">
          <w:rPr>
            <w:noProof/>
            <w:webHidden/>
          </w:rPr>
          <w:tab/>
        </w:r>
        <w:r w:rsidR="00561843">
          <w:rPr>
            <w:noProof/>
            <w:webHidden/>
          </w:rPr>
          <w:fldChar w:fldCharType="begin"/>
        </w:r>
        <w:r w:rsidR="00561843">
          <w:rPr>
            <w:noProof/>
            <w:webHidden/>
          </w:rPr>
          <w:instrText xml:space="preserve"> PAGEREF _Toc361886389 \h </w:instrText>
        </w:r>
        <w:r w:rsidR="00561843">
          <w:rPr>
            <w:noProof/>
            <w:webHidden/>
          </w:rPr>
        </w:r>
        <w:r w:rsidR="00561843">
          <w:rPr>
            <w:noProof/>
            <w:webHidden/>
          </w:rPr>
          <w:fldChar w:fldCharType="separate"/>
        </w:r>
        <w:r w:rsidR="00855D8C">
          <w:rPr>
            <w:noProof/>
            <w:webHidden/>
          </w:rPr>
          <w:t>19</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90" w:history="1">
        <w:r w:rsidR="00561843" w:rsidRPr="002B4104">
          <w:rPr>
            <w:rStyle w:val="Hypertextovodkaz"/>
            <w:rFonts w:ascii="Times New Roman" w:hAnsi="Times New Roman"/>
            <w:noProof/>
          </w:rPr>
          <w:t>8.1.</w:t>
        </w:r>
        <w:r w:rsidR="00561843">
          <w:rPr>
            <w:rFonts w:ascii="Calibri" w:hAnsi="Calibri"/>
            <w:noProof/>
            <w:sz w:val="22"/>
            <w:szCs w:val="22"/>
          </w:rPr>
          <w:tab/>
        </w:r>
        <w:r w:rsidR="00561843" w:rsidRPr="002B4104">
          <w:rPr>
            <w:rStyle w:val="Hypertextovodkaz"/>
            <w:rFonts w:ascii="Times New Roman" w:hAnsi="Times New Roman"/>
            <w:noProof/>
          </w:rPr>
          <w:t>Genderová rovnost v Rámcových vzdělávacích programech a Školních vzdělávacích programech</w:t>
        </w:r>
        <w:r w:rsidR="00561843">
          <w:rPr>
            <w:noProof/>
            <w:webHidden/>
          </w:rPr>
          <w:tab/>
        </w:r>
        <w:r w:rsidR="00561843">
          <w:rPr>
            <w:noProof/>
            <w:webHidden/>
          </w:rPr>
          <w:fldChar w:fldCharType="begin"/>
        </w:r>
        <w:r w:rsidR="00561843">
          <w:rPr>
            <w:noProof/>
            <w:webHidden/>
          </w:rPr>
          <w:instrText xml:space="preserve"> PAGEREF _Toc361886390 \h </w:instrText>
        </w:r>
        <w:r w:rsidR="00561843">
          <w:rPr>
            <w:noProof/>
            <w:webHidden/>
          </w:rPr>
        </w:r>
        <w:r w:rsidR="00561843">
          <w:rPr>
            <w:noProof/>
            <w:webHidden/>
          </w:rPr>
          <w:fldChar w:fldCharType="separate"/>
        </w:r>
        <w:r w:rsidR="00855D8C">
          <w:rPr>
            <w:noProof/>
            <w:webHidden/>
          </w:rPr>
          <w:t>19</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91" w:history="1">
        <w:r w:rsidR="00561843" w:rsidRPr="002B4104">
          <w:rPr>
            <w:rStyle w:val="Hypertextovodkaz"/>
            <w:rFonts w:ascii="Times New Roman" w:hAnsi="Times New Roman"/>
            <w:noProof/>
          </w:rPr>
          <w:t>8.2.</w:t>
        </w:r>
        <w:r w:rsidR="00561843">
          <w:rPr>
            <w:rFonts w:ascii="Calibri" w:hAnsi="Calibri"/>
            <w:noProof/>
            <w:sz w:val="22"/>
            <w:szCs w:val="22"/>
          </w:rPr>
          <w:tab/>
        </w:r>
        <w:r w:rsidR="00561843" w:rsidRPr="002B4104">
          <w:rPr>
            <w:rStyle w:val="Hypertextovodkaz"/>
            <w:rFonts w:ascii="Times New Roman" w:hAnsi="Times New Roman"/>
            <w:noProof/>
          </w:rPr>
          <w:t>Genderová rovnost v učebnicích</w:t>
        </w:r>
        <w:r w:rsidR="00561843">
          <w:rPr>
            <w:noProof/>
            <w:webHidden/>
          </w:rPr>
          <w:tab/>
        </w:r>
        <w:r w:rsidR="00561843">
          <w:rPr>
            <w:noProof/>
            <w:webHidden/>
          </w:rPr>
          <w:fldChar w:fldCharType="begin"/>
        </w:r>
        <w:r w:rsidR="00561843">
          <w:rPr>
            <w:noProof/>
            <w:webHidden/>
          </w:rPr>
          <w:instrText xml:space="preserve"> PAGEREF _Toc361886391 \h </w:instrText>
        </w:r>
        <w:r w:rsidR="00561843">
          <w:rPr>
            <w:noProof/>
            <w:webHidden/>
          </w:rPr>
        </w:r>
        <w:r w:rsidR="00561843">
          <w:rPr>
            <w:noProof/>
            <w:webHidden/>
          </w:rPr>
          <w:fldChar w:fldCharType="separate"/>
        </w:r>
        <w:r w:rsidR="00855D8C">
          <w:rPr>
            <w:noProof/>
            <w:webHidden/>
          </w:rPr>
          <w:t>21</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92" w:history="1">
        <w:r w:rsidR="00561843" w:rsidRPr="002B4104">
          <w:rPr>
            <w:rStyle w:val="Hypertextovodkaz"/>
            <w:caps/>
            <w:noProof/>
          </w:rPr>
          <w:t>9.</w:t>
        </w:r>
        <w:r w:rsidR="00561843">
          <w:rPr>
            <w:rFonts w:ascii="Calibri" w:hAnsi="Calibri"/>
            <w:b w:val="0"/>
            <w:noProof/>
            <w:sz w:val="22"/>
            <w:szCs w:val="22"/>
          </w:rPr>
          <w:tab/>
        </w:r>
        <w:r w:rsidR="00561843" w:rsidRPr="002B4104">
          <w:rPr>
            <w:rStyle w:val="Hypertextovodkaz"/>
            <w:caps/>
            <w:noProof/>
          </w:rPr>
          <w:t>genderová rovnost v učitelské přípravě</w:t>
        </w:r>
        <w:r w:rsidR="00561843">
          <w:rPr>
            <w:noProof/>
            <w:webHidden/>
          </w:rPr>
          <w:tab/>
        </w:r>
        <w:r w:rsidR="00561843">
          <w:rPr>
            <w:noProof/>
            <w:webHidden/>
          </w:rPr>
          <w:fldChar w:fldCharType="begin"/>
        </w:r>
        <w:r w:rsidR="00561843">
          <w:rPr>
            <w:noProof/>
            <w:webHidden/>
          </w:rPr>
          <w:instrText xml:space="preserve"> PAGEREF _Toc361886392 \h </w:instrText>
        </w:r>
        <w:r w:rsidR="00561843">
          <w:rPr>
            <w:noProof/>
            <w:webHidden/>
          </w:rPr>
        </w:r>
        <w:r w:rsidR="00561843">
          <w:rPr>
            <w:noProof/>
            <w:webHidden/>
          </w:rPr>
          <w:fldChar w:fldCharType="separate"/>
        </w:r>
        <w:r w:rsidR="00855D8C">
          <w:rPr>
            <w:noProof/>
            <w:webHidden/>
          </w:rPr>
          <w:t>22</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93" w:history="1">
        <w:r w:rsidR="00561843" w:rsidRPr="002B4104">
          <w:rPr>
            <w:rStyle w:val="Hypertextovodkaz"/>
            <w:rFonts w:ascii="Times New Roman" w:hAnsi="Times New Roman"/>
            <w:noProof/>
          </w:rPr>
          <w:t>9.1.</w:t>
        </w:r>
        <w:r w:rsidR="00561843">
          <w:rPr>
            <w:rFonts w:ascii="Calibri" w:hAnsi="Calibri"/>
            <w:noProof/>
            <w:sz w:val="22"/>
            <w:szCs w:val="22"/>
          </w:rPr>
          <w:tab/>
        </w:r>
        <w:r w:rsidR="00561843" w:rsidRPr="002B4104">
          <w:rPr>
            <w:rStyle w:val="Hypertextovodkaz"/>
            <w:rFonts w:ascii="Times New Roman" w:hAnsi="Times New Roman"/>
            <w:noProof/>
          </w:rPr>
          <w:t>Pregraduální učitelská příprava</w:t>
        </w:r>
        <w:r w:rsidR="00561843">
          <w:rPr>
            <w:noProof/>
            <w:webHidden/>
          </w:rPr>
          <w:tab/>
        </w:r>
        <w:r w:rsidR="00561843">
          <w:rPr>
            <w:noProof/>
            <w:webHidden/>
          </w:rPr>
          <w:fldChar w:fldCharType="begin"/>
        </w:r>
        <w:r w:rsidR="00561843">
          <w:rPr>
            <w:noProof/>
            <w:webHidden/>
          </w:rPr>
          <w:instrText xml:space="preserve"> PAGEREF _Toc361886393 \h </w:instrText>
        </w:r>
        <w:r w:rsidR="00561843">
          <w:rPr>
            <w:noProof/>
            <w:webHidden/>
          </w:rPr>
        </w:r>
        <w:r w:rsidR="00561843">
          <w:rPr>
            <w:noProof/>
            <w:webHidden/>
          </w:rPr>
          <w:fldChar w:fldCharType="separate"/>
        </w:r>
        <w:r w:rsidR="00855D8C">
          <w:rPr>
            <w:noProof/>
            <w:webHidden/>
          </w:rPr>
          <w:t>22</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94" w:history="1">
        <w:r w:rsidR="00561843" w:rsidRPr="002B4104">
          <w:rPr>
            <w:rStyle w:val="Hypertextovodkaz"/>
            <w:rFonts w:ascii="Times New Roman" w:hAnsi="Times New Roman"/>
            <w:noProof/>
          </w:rPr>
          <w:t>9.2.</w:t>
        </w:r>
        <w:r w:rsidR="00561843">
          <w:rPr>
            <w:rFonts w:ascii="Calibri" w:hAnsi="Calibri"/>
            <w:noProof/>
            <w:sz w:val="22"/>
            <w:szCs w:val="22"/>
          </w:rPr>
          <w:tab/>
        </w:r>
        <w:r w:rsidR="00561843" w:rsidRPr="002B4104">
          <w:rPr>
            <w:rStyle w:val="Hypertextovodkaz"/>
            <w:rFonts w:ascii="Times New Roman" w:hAnsi="Times New Roman"/>
            <w:noProof/>
          </w:rPr>
          <w:t>Celoživotní vzdělávání učitelů a učitelek</w:t>
        </w:r>
        <w:r w:rsidR="00561843">
          <w:rPr>
            <w:noProof/>
            <w:webHidden/>
          </w:rPr>
          <w:tab/>
        </w:r>
        <w:r w:rsidR="00561843">
          <w:rPr>
            <w:noProof/>
            <w:webHidden/>
          </w:rPr>
          <w:fldChar w:fldCharType="begin"/>
        </w:r>
        <w:r w:rsidR="00561843">
          <w:rPr>
            <w:noProof/>
            <w:webHidden/>
          </w:rPr>
          <w:instrText xml:space="preserve"> PAGEREF _Toc361886394 \h </w:instrText>
        </w:r>
        <w:r w:rsidR="00561843">
          <w:rPr>
            <w:noProof/>
            <w:webHidden/>
          </w:rPr>
        </w:r>
        <w:r w:rsidR="00561843">
          <w:rPr>
            <w:noProof/>
            <w:webHidden/>
          </w:rPr>
          <w:fldChar w:fldCharType="separate"/>
        </w:r>
        <w:r w:rsidR="00855D8C">
          <w:rPr>
            <w:noProof/>
            <w:webHidden/>
          </w:rPr>
          <w:t>23</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95" w:history="1">
        <w:r w:rsidR="00561843" w:rsidRPr="002B4104">
          <w:rPr>
            <w:rStyle w:val="Hypertextovodkaz"/>
            <w:caps/>
            <w:noProof/>
          </w:rPr>
          <w:t>10.</w:t>
        </w:r>
        <w:r w:rsidR="00561843">
          <w:rPr>
            <w:rFonts w:ascii="Calibri" w:hAnsi="Calibri"/>
            <w:b w:val="0"/>
            <w:noProof/>
            <w:sz w:val="22"/>
            <w:szCs w:val="22"/>
          </w:rPr>
          <w:tab/>
        </w:r>
        <w:r w:rsidR="00561843" w:rsidRPr="002B4104">
          <w:rPr>
            <w:rStyle w:val="Hypertextovodkaz"/>
            <w:caps/>
            <w:noProof/>
          </w:rPr>
          <w:t>finanční prostředky alokované na školství</w:t>
        </w:r>
        <w:r w:rsidR="00561843">
          <w:rPr>
            <w:noProof/>
            <w:webHidden/>
          </w:rPr>
          <w:tab/>
        </w:r>
        <w:r w:rsidR="00561843">
          <w:rPr>
            <w:noProof/>
            <w:webHidden/>
          </w:rPr>
          <w:fldChar w:fldCharType="begin"/>
        </w:r>
        <w:r w:rsidR="00561843">
          <w:rPr>
            <w:noProof/>
            <w:webHidden/>
          </w:rPr>
          <w:instrText xml:space="preserve"> PAGEREF _Toc361886395 \h </w:instrText>
        </w:r>
        <w:r w:rsidR="00561843">
          <w:rPr>
            <w:noProof/>
            <w:webHidden/>
          </w:rPr>
        </w:r>
        <w:r w:rsidR="00561843">
          <w:rPr>
            <w:noProof/>
            <w:webHidden/>
          </w:rPr>
          <w:fldChar w:fldCharType="separate"/>
        </w:r>
        <w:r w:rsidR="00855D8C">
          <w:rPr>
            <w:noProof/>
            <w:webHidden/>
          </w:rPr>
          <w:t>24</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96" w:history="1">
        <w:r w:rsidR="00561843" w:rsidRPr="002B4104">
          <w:rPr>
            <w:rStyle w:val="Hypertextovodkaz"/>
            <w:rFonts w:ascii="Times New Roman" w:hAnsi="Times New Roman"/>
            <w:noProof/>
          </w:rPr>
          <w:t>10.1.</w:t>
        </w:r>
        <w:r w:rsidR="00561843">
          <w:rPr>
            <w:rFonts w:ascii="Calibri" w:hAnsi="Calibri"/>
            <w:noProof/>
            <w:sz w:val="22"/>
            <w:szCs w:val="22"/>
          </w:rPr>
          <w:tab/>
        </w:r>
        <w:r w:rsidR="00561843" w:rsidRPr="002B4104">
          <w:rPr>
            <w:rStyle w:val="Hypertextovodkaz"/>
            <w:rFonts w:ascii="Times New Roman" w:hAnsi="Times New Roman"/>
            <w:noProof/>
          </w:rPr>
          <w:t>Podíl prostředků z HDP v porovnání s EU/OECD (podle stupně škol)</w:t>
        </w:r>
        <w:r w:rsidR="00561843">
          <w:rPr>
            <w:noProof/>
            <w:webHidden/>
          </w:rPr>
          <w:tab/>
        </w:r>
        <w:r w:rsidR="00561843">
          <w:rPr>
            <w:noProof/>
            <w:webHidden/>
          </w:rPr>
          <w:fldChar w:fldCharType="begin"/>
        </w:r>
        <w:r w:rsidR="00561843">
          <w:rPr>
            <w:noProof/>
            <w:webHidden/>
          </w:rPr>
          <w:instrText xml:space="preserve"> PAGEREF _Toc361886396 \h </w:instrText>
        </w:r>
        <w:r w:rsidR="00561843">
          <w:rPr>
            <w:noProof/>
            <w:webHidden/>
          </w:rPr>
        </w:r>
        <w:r w:rsidR="00561843">
          <w:rPr>
            <w:noProof/>
            <w:webHidden/>
          </w:rPr>
          <w:fldChar w:fldCharType="separate"/>
        </w:r>
        <w:r w:rsidR="00855D8C">
          <w:rPr>
            <w:noProof/>
            <w:webHidden/>
          </w:rPr>
          <w:t>24</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397" w:history="1">
        <w:r w:rsidR="00561843" w:rsidRPr="002B4104">
          <w:rPr>
            <w:rStyle w:val="Hypertextovodkaz"/>
            <w:rFonts w:ascii="Times New Roman" w:hAnsi="Times New Roman"/>
            <w:noProof/>
          </w:rPr>
          <w:t>10.2.</w:t>
        </w:r>
        <w:r w:rsidR="00561843">
          <w:rPr>
            <w:rFonts w:ascii="Calibri" w:hAnsi="Calibri"/>
            <w:noProof/>
            <w:sz w:val="22"/>
            <w:szCs w:val="22"/>
          </w:rPr>
          <w:tab/>
        </w:r>
        <w:r w:rsidR="00561843" w:rsidRPr="002B4104">
          <w:rPr>
            <w:rStyle w:val="Hypertextovodkaz"/>
            <w:rFonts w:ascii="Times New Roman" w:hAnsi="Times New Roman"/>
            <w:noProof/>
          </w:rPr>
          <w:t>Mzdy učitelů a učitelek</w:t>
        </w:r>
        <w:r w:rsidR="00561843">
          <w:rPr>
            <w:noProof/>
            <w:webHidden/>
          </w:rPr>
          <w:tab/>
        </w:r>
        <w:r w:rsidR="00561843">
          <w:rPr>
            <w:noProof/>
            <w:webHidden/>
          </w:rPr>
          <w:fldChar w:fldCharType="begin"/>
        </w:r>
        <w:r w:rsidR="00561843">
          <w:rPr>
            <w:noProof/>
            <w:webHidden/>
          </w:rPr>
          <w:instrText xml:space="preserve"> PAGEREF _Toc361886397 \h </w:instrText>
        </w:r>
        <w:r w:rsidR="00561843">
          <w:rPr>
            <w:noProof/>
            <w:webHidden/>
          </w:rPr>
        </w:r>
        <w:r w:rsidR="00561843">
          <w:rPr>
            <w:noProof/>
            <w:webHidden/>
          </w:rPr>
          <w:fldChar w:fldCharType="separate"/>
        </w:r>
        <w:r w:rsidR="00855D8C">
          <w:rPr>
            <w:b/>
            <w:bCs/>
            <w:noProof/>
            <w:webHidden/>
          </w:rPr>
          <w:t>Chyba! Záložka není definována.</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98" w:history="1">
        <w:r w:rsidR="00561843" w:rsidRPr="002B4104">
          <w:rPr>
            <w:rStyle w:val="Hypertextovodkaz"/>
            <w:caps/>
            <w:noProof/>
          </w:rPr>
          <w:t>11.</w:t>
        </w:r>
        <w:r w:rsidR="00561843">
          <w:rPr>
            <w:rFonts w:ascii="Calibri" w:hAnsi="Calibri"/>
            <w:b w:val="0"/>
            <w:noProof/>
            <w:sz w:val="22"/>
            <w:szCs w:val="22"/>
          </w:rPr>
          <w:tab/>
        </w:r>
        <w:r w:rsidR="00561843" w:rsidRPr="002B4104">
          <w:rPr>
            <w:rStyle w:val="Hypertextovodkaz"/>
            <w:caps/>
            <w:noProof/>
          </w:rPr>
          <w:t>genderová rovnost ve sportu</w:t>
        </w:r>
        <w:r w:rsidR="00561843">
          <w:rPr>
            <w:noProof/>
            <w:webHidden/>
          </w:rPr>
          <w:tab/>
        </w:r>
        <w:r w:rsidR="00561843">
          <w:rPr>
            <w:noProof/>
            <w:webHidden/>
          </w:rPr>
          <w:fldChar w:fldCharType="begin"/>
        </w:r>
        <w:r w:rsidR="00561843">
          <w:rPr>
            <w:noProof/>
            <w:webHidden/>
          </w:rPr>
          <w:instrText xml:space="preserve"> PAGEREF _Toc361886398 \h </w:instrText>
        </w:r>
        <w:r w:rsidR="00561843">
          <w:rPr>
            <w:noProof/>
            <w:webHidden/>
          </w:rPr>
        </w:r>
        <w:r w:rsidR="00561843">
          <w:rPr>
            <w:noProof/>
            <w:webHidden/>
          </w:rPr>
          <w:fldChar w:fldCharType="separate"/>
        </w:r>
        <w:r w:rsidR="00855D8C">
          <w:rPr>
            <w:noProof/>
            <w:webHidden/>
          </w:rPr>
          <w:t>28</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399" w:history="1">
        <w:r w:rsidR="00561843" w:rsidRPr="002B4104">
          <w:rPr>
            <w:rStyle w:val="Hypertextovodkaz"/>
            <w:noProof/>
          </w:rPr>
          <w:t>12.</w:t>
        </w:r>
        <w:r w:rsidR="00561843">
          <w:rPr>
            <w:rFonts w:ascii="Calibri" w:hAnsi="Calibri"/>
            <w:b w:val="0"/>
            <w:noProof/>
            <w:sz w:val="22"/>
            <w:szCs w:val="22"/>
          </w:rPr>
          <w:tab/>
        </w:r>
        <w:r w:rsidR="00561843" w:rsidRPr="002B4104">
          <w:rPr>
            <w:rStyle w:val="Hypertextovodkaz"/>
            <w:noProof/>
          </w:rPr>
          <w:t>GENDEROVÁ ROVNOST VE VĚDĚ A VÝZKUMU</w:t>
        </w:r>
        <w:r w:rsidR="00561843">
          <w:rPr>
            <w:noProof/>
            <w:webHidden/>
          </w:rPr>
          <w:tab/>
        </w:r>
        <w:r w:rsidR="00561843">
          <w:rPr>
            <w:noProof/>
            <w:webHidden/>
          </w:rPr>
          <w:fldChar w:fldCharType="begin"/>
        </w:r>
        <w:r w:rsidR="00561843">
          <w:rPr>
            <w:noProof/>
            <w:webHidden/>
          </w:rPr>
          <w:instrText xml:space="preserve"> PAGEREF _Toc361886399 \h </w:instrText>
        </w:r>
        <w:r w:rsidR="00561843">
          <w:rPr>
            <w:noProof/>
            <w:webHidden/>
          </w:rPr>
        </w:r>
        <w:r w:rsidR="00561843">
          <w:rPr>
            <w:noProof/>
            <w:webHidden/>
          </w:rPr>
          <w:fldChar w:fldCharType="separate"/>
        </w:r>
        <w:r w:rsidR="00855D8C">
          <w:rPr>
            <w:noProof/>
            <w:webHidden/>
          </w:rPr>
          <w:t>29</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400" w:history="1">
        <w:r w:rsidR="00561843" w:rsidRPr="002B4104">
          <w:rPr>
            <w:rStyle w:val="Hypertextovodkaz"/>
            <w:rFonts w:ascii="Times New Roman" w:hAnsi="Times New Roman"/>
            <w:noProof/>
          </w:rPr>
          <w:t>12.1.</w:t>
        </w:r>
        <w:r w:rsidR="00561843">
          <w:rPr>
            <w:rFonts w:ascii="Calibri" w:hAnsi="Calibri"/>
            <w:noProof/>
            <w:sz w:val="22"/>
            <w:szCs w:val="22"/>
          </w:rPr>
          <w:tab/>
        </w:r>
        <w:r w:rsidR="00561843" w:rsidRPr="002B4104">
          <w:rPr>
            <w:rStyle w:val="Hypertextovodkaz"/>
            <w:rFonts w:ascii="Times New Roman" w:hAnsi="Times New Roman"/>
            <w:noProof/>
          </w:rPr>
          <w:t>Státní politika rovných příležitostí</w:t>
        </w:r>
        <w:r w:rsidR="00561843">
          <w:rPr>
            <w:noProof/>
            <w:webHidden/>
          </w:rPr>
          <w:tab/>
        </w:r>
        <w:r w:rsidR="00561843">
          <w:rPr>
            <w:noProof/>
            <w:webHidden/>
          </w:rPr>
          <w:fldChar w:fldCharType="begin"/>
        </w:r>
        <w:r w:rsidR="00561843">
          <w:rPr>
            <w:noProof/>
            <w:webHidden/>
          </w:rPr>
          <w:instrText xml:space="preserve"> PAGEREF _Toc361886400 \h </w:instrText>
        </w:r>
        <w:r w:rsidR="00561843">
          <w:rPr>
            <w:noProof/>
            <w:webHidden/>
          </w:rPr>
        </w:r>
        <w:r w:rsidR="00561843">
          <w:rPr>
            <w:noProof/>
            <w:webHidden/>
          </w:rPr>
          <w:fldChar w:fldCharType="separate"/>
        </w:r>
        <w:r w:rsidR="00855D8C">
          <w:rPr>
            <w:noProof/>
            <w:webHidden/>
          </w:rPr>
          <w:t>29</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401" w:history="1">
        <w:r w:rsidR="00561843" w:rsidRPr="002B4104">
          <w:rPr>
            <w:rStyle w:val="Hypertextovodkaz"/>
            <w:rFonts w:ascii="Times New Roman" w:hAnsi="Times New Roman"/>
            <w:noProof/>
          </w:rPr>
          <w:t>12.2.</w:t>
        </w:r>
        <w:r w:rsidR="00561843">
          <w:rPr>
            <w:rFonts w:ascii="Calibri" w:hAnsi="Calibri"/>
            <w:noProof/>
            <w:sz w:val="22"/>
            <w:szCs w:val="22"/>
          </w:rPr>
          <w:tab/>
        </w:r>
        <w:r w:rsidR="00561843" w:rsidRPr="002B4104">
          <w:rPr>
            <w:rStyle w:val="Hypertextovodkaz"/>
            <w:rFonts w:ascii="Times New Roman" w:hAnsi="Times New Roman"/>
            <w:noProof/>
          </w:rPr>
          <w:t>Horizontální segregace</w:t>
        </w:r>
        <w:r w:rsidR="00561843">
          <w:rPr>
            <w:noProof/>
            <w:webHidden/>
          </w:rPr>
          <w:tab/>
        </w:r>
        <w:r w:rsidR="00561843">
          <w:rPr>
            <w:noProof/>
            <w:webHidden/>
          </w:rPr>
          <w:fldChar w:fldCharType="begin"/>
        </w:r>
        <w:r w:rsidR="00561843">
          <w:rPr>
            <w:noProof/>
            <w:webHidden/>
          </w:rPr>
          <w:instrText xml:space="preserve"> PAGEREF _Toc361886401 \h </w:instrText>
        </w:r>
        <w:r w:rsidR="00561843">
          <w:rPr>
            <w:noProof/>
            <w:webHidden/>
          </w:rPr>
        </w:r>
        <w:r w:rsidR="00561843">
          <w:rPr>
            <w:noProof/>
            <w:webHidden/>
          </w:rPr>
          <w:fldChar w:fldCharType="separate"/>
        </w:r>
        <w:r w:rsidR="00855D8C">
          <w:rPr>
            <w:noProof/>
            <w:webHidden/>
          </w:rPr>
          <w:t>30</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402" w:history="1">
        <w:r w:rsidR="00561843" w:rsidRPr="002B4104">
          <w:rPr>
            <w:rStyle w:val="Hypertextovodkaz"/>
            <w:rFonts w:ascii="Times New Roman" w:hAnsi="Times New Roman"/>
            <w:noProof/>
          </w:rPr>
          <w:t>12.3.</w:t>
        </w:r>
        <w:r w:rsidR="00561843">
          <w:rPr>
            <w:rFonts w:ascii="Calibri" w:hAnsi="Calibri"/>
            <w:noProof/>
            <w:sz w:val="22"/>
            <w:szCs w:val="22"/>
          </w:rPr>
          <w:tab/>
        </w:r>
        <w:r w:rsidR="00561843" w:rsidRPr="002B4104">
          <w:rPr>
            <w:rStyle w:val="Hypertextovodkaz"/>
            <w:rFonts w:ascii="Times New Roman" w:hAnsi="Times New Roman"/>
            <w:noProof/>
          </w:rPr>
          <w:t>Vertikální segregace</w:t>
        </w:r>
        <w:r w:rsidR="00561843">
          <w:rPr>
            <w:noProof/>
            <w:webHidden/>
          </w:rPr>
          <w:tab/>
        </w:r>
        <w:r w:rsidR="00561843">
          <w:rPr>
            <w:noProof/>
            <w:webHidden/>
          </w:rPr>
          <w:fldChar w:fldCharType="begin"/>
        </w:r>
        <w:r w:rsidR="00561843">
          <w:rPr>
            <w:noProof/>
            <w:webHidden/>
          </w:rPr>
          <w:instrText xml:space="preserve"> PAGEREF _Toc361886402 \h </w:instrText>
        </w:r>
        <w:r w:rsidR="00561843">
          <w:rPr>
            <w:noProof/>
            <w:webHidden/>
          </w:rPr>
        </w:r>
        <w:r w:rsidR="00561843">
          <w:rPr>
            <w:noProof/>
            <w:webHidden/>
          </w:rPr>
          <w:fldChar w:fldCharType="separate"/>
        </w:r>
        <w:r w:rsidR="00855D8C">
          <w:rPr>
            <w:noProof/>
            <w:webHidden/>
          </w:rPr>
          <w:t>30</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403" w:history="1">
        <w:r w:rsidR="00561843" w:rsidRPr="002B4104">
          <w:rPr>
            <w:rStyle w:val="Hypertextovodkaz"/>
            <w:rFonts w:ascii="Times New Roman" w:hAnsi="Times New Roman"/>
            <w:noProof/>
          </w:rPr>
          <w:t>12.4.</w:t>
        </w:r>
        <w:r w:rsidR="00561843">
          <w:rPr>
            <w:rFonts w:ascii="Calibri" w:hAnsi="Calibri"/>
            <w:noProof/>
            <w:sz w:val="22"/>
            <w:szCs w:val="22"/>
          </w:rPr>
          <w:tab/>
        </w:r>
        <w:r w:rsidR="00561843" w:rsidRPr="002B4104">
          <w:rPr>
            <w:rStyle w:val="Hypertextovodkaz"/>
            <w:rFonts w:ascii="Times New Roman" w:hAnsi="Times New Roman"/>
            <w:noProof/>
          </w:rPr>
          <w:t>Gender pay gap</w:t>
        </w:r>
        <w:r w:rsidR="00561843">
          <w:rPr>
            <w:noProof/>
            <w:webHidden/>
          </w:rPr>
          <w:tab/>
        </w:r>
        <w:r w:rsidR="00561843">
          <w:rPr>
            <w:noProof/>
            <w:webHidden/>
          </w:rPr>
          <w:fldChar w:fldCharType="begin"/>
        </w:r>
        <w:r w:rsidR="00561843">
          <w:rPr>
            <w:noProof/>
            <w:webHidden/>
          </w:rPr>
          <w:instrText xml:space="preserve"> PAGEREF _Toc361886403 \h </w:instrText>
        </w:r>
        <w:r w:rsidR="00561843">
          <w:rPr>
            <w:noProof/>
            <w:webHidden/>
          </w:rPr>
        </w:r>
        <w:r w:rsidR="00561843">
          <w:rPr>
            <w:noProof/>
            <w:webHidden/>
          </w:rPr>
          <w:fldChar w:fldCharType="separate"/>
        </w:r>
        <w:r w:rsidR="00855D8C">
          <w:rPr>
            <w:noProof/>
            <w:webHidden/>
          </w:rPr>
          <w:t>30</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404" w:history="1">
        <w:r w:rsidR="00561843" w:rsidRPr="002B4104">
          <w:rPr>
            <w:rStyle w:val="Hypertextovodkaz"/>
            <w:rFonts w:ascii="Times New Roman" w:hAnsi="Times New Roman"/>
            <w:noProof/>
          </w:rPr>
          <w:t>12.5.</w:t>
        </w:r>
        <w:r w:rsidR="00561843">
          <w:rPr>
            <w:rFonts w:ascii="Calibri" w:hAnsi="Calibri"/>
            <w:noProof/>
            <w:sz w:val="22"/>
            <w:szCs w:val="22"/>
          </w:rPr>
          <w:tab/>
        </w:r>
        <w:r w:rsidR="00561843" w:rsidRPr="002B4104">
          <w:rPr>
            <w:rStyle w:val="Hypertextovodkaz"/>
            <w:rFonts w:ascii="Times New Roman" w:hAnsi="Times New Roman"/>
            <w:noProof/>
          </w:rPr>
          <w:t>Kombinace soukromého a pracovního života</w:t>
        </w:r>
        <w:r w:rsidR="00561843">
          <w:rPr>
            <w:noProof/>
            <w:webHidden/>
          </w:rPr>
          <w:tab/>
        </w:r>
        <w:r w:rsidR="00561843">
          <w:rPr>
            <w:noProof/>
            <w:webHidden/>
          </w:rPr>
          <w:fldChar w:fldCharType="begin"/>
        </w:r>
        <w:r w:rsidR="00561843">
          <w:rPr>
            <w:noProof/>
            <w:webHidden/>
          </w:rPr>
          <w:instrText xml:space="preserve"> PAGEREF _Toc361886404 \h </w:instrText>
        </w:r>
        <w:r w:rsidR="00561843">
          <w:rPr>
            <w:noProof/>
            <w:webHidden/>
          </w:rPr>
        </w:r>
        <w:r w:rsidR="00561843">
          <w:rPr>
            <w:noProof/>
            <w:webHidden/>
          </w:rPr>
          <w:fldChar w:fldCharType="separate"/>
        </w:r>
        <w:r w:rsidR="00855D8C">
          <w:rPr>
            <w:noProof/>
            <w:webHidden/>
          </w:rPr>
          <w:t>31</w:t>
        </w:r>
        <w:r w:rsidR="00561843">
          <w:rPr>
            <w:noProof/>
            <w:webHidden/>
          </w:rPr>
          <w:fldChar w:fldCharType="end"/>
        </w:r>
      </w:hyperlink>
    </w:p>
    <w:p w:rsidR="00561843" w:rsidRDefault="00300C9A">
      <w:pPr>
        <w:pStyle w:val="Obsah2"/>
        <w:tabs>
          <w:tab w:val="left" w:pos="880"/>
          <w:tab w:val="right" w:leader="dot" w:pos="9062"/>
        </w:tabs>
        <w:rPr>
          <w:rFonts w:ascii="Calibri" w:hAnsi="Calibri"/>
          <w:noProof/>
          <w:sz w:val="22"/>
          <w:szCs w:val="22"/>
        </w:rPr>
      </w:pPr>
      <w:hyperlink w:anchor="_Toc361886405" w:history="1">
        <w:r w:rsidR="00561843" w:rsidRPr="002B4104">
          <w:rPr>
            <w:rStyle w:val="Hypertextovodkaz"/>
            <w:rFonts w:ascii="Times New Roman" w:hAnsi="Times New Roman"/>
            <w:noProof/>
          </w:rPr>
          <w:t>12.6.</w:t>
        </w:r>
        <w:r w:rsidR="00561843">
          <w:rPr>
            <w:rFonts w:ascii="Calibri" w:hAnsi="Calibri"/>
            <w:noProof/>
            <w:sz w:val="22"/>
            <w:szCs w:val="22"/>
          </w:rPr>
          <w:tab/>
        </w:r>
        <w:r w:rsidR="00561843" w:rsidRPr="002B4104">
          <w:rPr>
            <w:rStyle w:val="Hypertextovodkaz"/>
            <w:rFonts w:ascii="Times New Roman" w:hAnsi="Times New Roman"/>
            <w:noProof/>
          </w:rPr>
          <w:t>Genderová dimenze produkce znalosti</w:t>
        </w:r>
        <w:r w:rsidR="00561843">
          <w:rPr>
            <w:noProof/>
            <w:webHidden/>
          </w:rPr>
          <w:tab/>
        </w:r>
        <w:r w:rsidR="00561843">
          <w:rPr>
            <w:noProof/>
            <w:webHidden/>
          </w:rPr>
          <w:fldChar w:fldCharType="begin"/>
        </w:r>
        <w:r w:rsidR="00561843">
          <w:rPr>
            <w:noProof/>
            <w:webHidden/>
          </w:rPr>
          <w:instrText xml:space="preserve"> PAGEREF _Toc361886405 \h </w:instrText>
        </w:r>
        <w:r w:rsidR="00561843">
          <w:rPr>
            <w:noProof/>
            <w:webHidden/>
          </w:rPr>
        </w:r>
        <w:r w:rsidR="00561843">
          <w:rPr>
            <w:noProof/>
            <w:webHidden/>
          </w:rPr>
          <w:fldChar w:fldCharType="separate"/>
        </w:r>
        <w:r w:rsidR="00855D8C">
          <w:rPr>
            <w:noProof/>
            <w:webHidden/>
          </w:rPr>
          <w:t>32</w:t>
        </w:r>
        <w:r w:rsidR="00561843">
          <w:rPr>
            <w:noProof/>
            <w:webHidden/>
          </w:rPr>
          <w:fldChar w:fldCharType="end"/>
        </w:r>
      </w:hyperlink>
    </w:p>
    <w:p w:rsidR="00561843" w:rsidRDefault="00300C9A">
      <w:pPr>
        <w:pStyle w:val="Obsah1"/>
        <w:rPr>
          <w:rFonts w:ascii="Calibri" w:hAnsi="Calibri"/>
          <w:b w:val="0"/>
          <w:noProof/>
          <w:sz w:val="22"/>
          <w:szCs w:val="22"/>
        </w:rPr>
      </w:pPr>
      <w:hyperlink w:anchor="_Toc361886406" w:history="1">
        <w:r w:rsidR="00561843" w:rsidRPr="002B4104">
          <w:rPr>
            <w:rStyle w:val="Hypertextovodkaz"/>
            <w:noProof/>
          </w:rPr>
          <w:t>13.</w:t>
        </w:r>
        <w:r w:rsidR="00561843">
          <w:rPr>
            <w:rFonts w:ascii="Calibri" w:hAnsi="Calibri"/>
            <w:b w:val="0"/>
            <w:noProof/>
            <w:sz w:val="22"/>
            <w:szCs w:val="22"/>
          </w:rPr>
          <w:tab/>
        </w:r>
        <w:r w:rsidR="00561843" w:rsidRPr="002B4104">
          <w:rPr>
            <w:rStyle w:val="Hypertextovodkaz"/>
            <w:noProof/>
          </w:rPr>
          <w:t>ZÁVĚR</w:t>
        </w:r>
        <w:r w:rsidR="00561843">
          <w:rPr>
            <w:noProof/>
            <w:webHidden/>
          </w:rPr>
          <w:tab/>
        </w:r>
        <w:r w:rsidR="00561843">
          <w:rPr>
            <w:noProof/>
            <w:webHidden/>
          </w:rPr>
          <w:fldChar w:fldCharType="begin"/>
        </w:r>
        <w:r w:rsidR="00561843">
          <w:rPr>
            <w:noProof/>
            <w:webHidden/>
          </w:rPr>
          <w:instrText xml:space="preserve"> PAGEREF _Toc361886406 \h </w:instrText>
        </w:r>
        <w:r w:rsidR="00561843">
          <w:rPr>
            <w:noProof/>
            <w:webHidden/>
          </w:rPr>
        </w:r>
        <w:r w:rsidR="00561843">
          <w:rPr>
            <w:noProof/>
            <w:webHidden/>
          </w:rPr>
          <w:fldChar w:fldCharType="separate"/>
        </w:r>
        <w:r w:rsidR="00855D8C">
          <w:rPr>
            <w:noProof/>
            <w:webHidden/>
          </w:rPr>
          <w:t>32</w:t>
        </w:r>
        <w:r w:rsidR="00561843">
          <w:rPr>
            <w:noProof/>
            <w:webHidden/>
          </w:rPr>
          <w:fldChar w:fldCharType="end"/>
        </w:r>
      </w:hyperlink>
    </w:p>
    <w:p w:rsidR="00135D4C" w:rsidRDefault="00561843" w:rsidP="00135D4C">
      <w:pPr>
        <w:pStyle w:val="Nadpis1"/>
        <w:spacing w:before="160" w:after="0" w:line="260" w:lineRule="exact"/>
        <w:jc w:val="both"/>
      </w:pPr>
      <w:r w:rsidRPr="00742410">
        <w:fldChar w:fldCharType="end"/>
      </w:r>
      <w:bookmarkStart w:id="1" w:name="_Toc362812847"/>
    </w:p>
    <w:p w:rsidR="00135D4C" w:rsidRDefault="00135D4C" w:rsidP="00135D4C">
      <w:pPr>
        <w:pStyle w:val="Nadpis1"/>
        <w:spacing w:before="160" w:after="0" w:line="260" w:lineRule="exact"/>
        <w:jc w:val="both"/>
      </w:pPr>
    </w:p>
    <w:p w:rsidR="00135D4C" w:rsidRDefault="00135D4C" w:rsidP="00135D4C">
      <w:pPr>
        <w:pStyle w:val="Nadpis1"/>
        <w:spacing w:before="160" w:after="0" w:line="260" w:lineRule="exact"/>
        <w:jc w:val="both"/>
      </w:pPr>
    </w:p>
    <w:p w:rsidR="00135D4C" w:rsidRDefault="00135D4C" w:rsidP="00135D4C">
      <w:pPr>
        <w:rPr>
          <w:lang w:eastAsia="cs-CZ"/>
        </w:rPr>
      </w:pPr>
    </w:p>
    <w:p w:rsidR="00135D4C" w:rsidRDefault="00135D4C" w:rsidP="00135D4C">
      <w:pPr>
        <w:rPr>
          <w:lang w:eastAsia="cs-CZ"/>
        </w:rPr>
      </w:pPr>
    </w:p>
    <w:p w:rsidR="00135D4C" w:rsidRDefault="00135D4C" w:rsidP="00135D4C">
      <w:pPr>
        <w:rPr>
          <w:lang w:eastAsia="cs-CZ"/>
        </w:rPr>
      </w:pPr>
    </w:p>
    <w:p w:rsidR="00135D4C" w:rsidRDefault="00135D4C" w:rsidP="00135D4C">
      <w:pPr>
        <w:rPr>
          <w:lang w:eastAsia="cs-CZ"/>
        </w:rPr>
      </w:pPr>
    </w:p>
    <w:p w:rsidR="00135D4C" w:rsidRDefault="00135D4C" w:rsidP="00135D4C">
      <w:pPr>
        <w:rPr>
          <w:lang w:eastAsia="cs-CZ"/>
        </w:rPr>
      </w:pPr>
    </w:p>
    <w:p w:rsidR="00135D4C" w:rsidRDefault="00135D4C" w:rsidP="00135D4C">
      <w:pPr>
        <w:rPr>
          <w:lang w:eastAsia="cs-CZ"/>
        </w:rPr>
      </w:pPr>
    </w:p>
    <w:p w:rsidR="00135D4C" w:rsidRPr="00135D4C" w:rsidRDefault="00135D4C" w:rsidP="00135D4C">
      <w:pPr>
        <w:rPr>
          <w:lang w:eastAsia="cs-CZ"/>
        </w:rPr>
      </w:pPr>
    </w:p>
    <w:p w:rsidR="00135D4C" w:rsidRPr="00C45F43" w:rsidRDefault="00135D4C" w:rsidP="00135D4C">
      <w:pPr>
        <w:pStyle w:val="Nadpis1"/>
        <w:spacing w:before="160" w:after="0" w:line="260" w:lineRule="exact"/>
        <w:jc w:val="both"/>
        <w:rPr>
          <w:rFonts w:ascii="Times New Roman" w:hAnsi="Times New Roman" w:cs="Times New Roman"/>
          <w:sz w:val="24"/>
          <w:szCs w:val="24"/>
        </w:rPr>
      </w:pPr>
      <w:r w:rsidRPr="00135D4C">
        <w:rPr>
          <w:rFonts w:ascii="Times New Roman" w:hAnsi="Times New Roman" w:cs="Times New Roman"/>
          <w:sz w:val="24"/>
          <w:szCs w:val="24"/>
        </w:rPr>
        <w:lastRenderedPageBreak/>
        <w:t xml:space="preserve"> </w:t>
      </w:r>
      <w:r w:rsidRPr="00C45F43">
        <w:rPr>
          <w:rFonts w:ascii="Times New Roman" w:hAnsi="Times New Roman" w:cs="Times New Roman"/>
          <w:sz w:val="24"/>
          <w:szCs w:val="24"/>
        </w:rPr>
        <w:t>Seznam použitých zkratek</w:t>
      </w:r>
      <w:bookmarkEnd w:id="1"/>
    </w:p>
    <w:p w:rsidR="00135D4C" w:rsidRDefault="00135D4C" w:rsidP="00135D4C">
      <w:pPr>
        <w:rPr>
          <w:rFonts w:ascii="Times New Roman" w:hAnsi="Times New Roman"/>
          <w:sz w:val="24"/>
          <w:szCs w:val="24"/>
        </w:rPr>
      </w:pP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AV ČR</w:t>
      </w:r>
      <w:r w:rsidRPr="00C45F43">
        <w:rPr>
          <w:rFonts w:ascii="Times New Roman" w:hAnsi="Times New Roman"/>
          <w:sz w:val="24"/>
          <w:szCs w:val="24"/>
        </w:rPr>
        <w:tab/>
      </w:r>
      <w:r w:rsidRPr="00C45F43">
        <w:rPr>
          <w:rFonts w:ascii="Times New Roman" w:hAnsi="Times New Roman"/>
          <w:sz w:val="24"/>
          <w:szCs w:val="24"/>
        </w:rPr>
        <w:tab/>
        <w:t>Akademie věd České republiky</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CZ-NACE</w:t>
      </w:r>
      <w:r w:rsidRPr="00C45F43">
        <w:rPr>
          <w:rFonts w:ascii="Times New Roman" w:hAnsi="Times New Roman"/>
          <w:sz w:val="24"/>
          <w:szCs w:val="24"/>
        </w:rPr>
        <w:tab/>
      </w:r>
      <w:r w:rsidRPr="00C45F43">
        <w:rPr>
          <w:rFonts w:ascii="Times New Roman" w:hAnsi="Times New Roman"/>
          <w:sz w:val="24"/>
          <w:szCs w:val="24"/>
        </w:rPr>
        <w:tab/>
      </w:r>
      <w:r w:rsidRPr="00C45F43">
        <w:rPr>
          <w:rStyle w:val="st"/>
          <w:rFonts w:ascii="Times New Roman" w:hAnsi="Times New Roman"/>
          <w:color w:val="222222"/>
          <w:sz w:val="24"/>
          <w:szCs w:val="24"/>
        </w:rPr>
        <w:t>Klasifikace ekonomických činností</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ČR</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Česká republika</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ČSÚ</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Český statistický úřad</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ČŠI</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Česká školní inspekce</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ERA</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European Research Area</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EU</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Evropská unie</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HDP</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Hrubý domácí produkt</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MPSV</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Ministerstvo práce a sociálních věcí</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MŠMT</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Ministerstvo školství, mládeže a tělovýchovy</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NÚV</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Národní ústav vzdělávání</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NIDV</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Národní institut pro další vzdělávání</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NKC-ŽV</w:t>
      </w:r>
      <w:r w:rsidRPr="00C45F43">
        <w:rPr>
          <w:rFonts w:ascii="Times New Roman" w:hAnsi="Times New Roman"/>
          <w:sz w:val="24"/>
          <w:szCs w:val="24"/>
        </w:rPr>
        <w:tab/>
      </w:r>
      <w:r w:rsidRPr="00C45F43">
        <w:rPr>
          <w:rFonts w:ascii="Times New Roman" w:hAnsi="Times New Roman"/>
          <w:sz w:val="24"/>
          <w:szCs w:val="24"/>
        </w:rPr>
        <w:tab/>
        <w:t xml:space="preserve">Národní kontaktní centrum – ženy a věda </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OECD</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r>
      <w:r w:rsidRPr="00C45F43">
        <w:rPr>
          <w:rStyle w:val="st"/>
          <w:rFonts w:ascii="Times New Roman" w:hAnsi="Times New Roman"/>
          <w:color w:val="222222"/>
          <w:sz w:val="24"/>
          <w:szCs w:val="24"/>
        </w:rPr>
        <w:t>Organisation for Economic Co-operation and Development</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PISA</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color w:val="222222"/>
          <w:sz w:val="24"/>
          <w:szCs w:val="24"/>
          <w:lang w:val="en"/>
        </w:rPr>
        <w:t>Programme for International Student Assessment</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RVP</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Rámcový vzdělávací program</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RVP G</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Rámcový vzdělávací program pro gymnázia</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RVP OV</w:t>
      </w:r>
      <w:r w:rsidRPr="00C45F43">
        <w:rPr>
          <w:rFonts w:ascii="Times New Roman" w:hAnsi="Times New Roman"/>
          <w:sz w:val="24"/>
          <w:szCs w:val="24"/>
        </w:rPr>
        <w:tab/>
      </w:r>
      <w:r w:rsidRPr="00C45F43">
        <w:rPr>
          <w:rFonts w:ascii="Times New Roman" w:hAnsi="Times New Roman"/>
          <w:sz w:val="24"/>
          <w:szCs w:val="24"/>
        </w:rPr>
        <w:tab/>
        <w:t>Rámcový vzdělávací program pro odborné vzdělávání</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 xml:space="preserve">RVP PV </w:t>
      </w:r>
      <w:r w:rsidRPr="00C45F43">
        <w:rPr>
          <w:rFonts w:ascii="Times New Roman" w:hAnsi="Times New Roman"/>
          <w:sz w:val="24"/>
          <w:szCs w:val="24"/>
        </w:rPr>
        <w:tab/>
      </w:r>
      <w:r w:rsidRPr="00C45F43">
        <w:rPr>
          <w:rFonts w:ascii="Times New Roman" w:hAnsi="Times New Roman"/>
          <w:sz w:val="24"/>
          <w:szCs w:val="24"/>
        </w:rPr>
        <w:tab/>
        <w:t>Rámcový vzdělávací program pro předškolní vzdělávání</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RVZ ZV</w:t>
      </w:r>
      <w:r w:rsidRPr="00C45F43">
        <w:rPr>
          <w:rFonts w:ascii="Times New Roman" w:hAnsi="Times New Roman"/>
          <w:sz w:val="24"/>
          <w:szCs w:val="24"/>
        </w:rPr>
        <w:tab/>
      </w:r>
      <w:r w:rsidRPr="00C45F43">
        <w:rPr>
          <w:rFonts w:ascii="Times New Roman" w:hAnsi="Times New Roman"/>
          <w:sz w:val="24"/>
          <w:szCs w:val="24"/>
        </w:rPr>
        <w:tab/>
        <w:t>Rámcový vzdělávací program pro základní vzdělávání</w:t>
      </w:r>
    </w:p>
    <w:p w:rsidR="00135D4C" w:rsidRPr="00C45F43" w:rsidRDefault="00135D4C" w:rsidP="00135D4C">
      <w:pPr>
        <w:rPr>
          <w:rFonts w:ascii="Times New Roman" w:hAnsi="Times New Roman"/>
          <w:sz w:val="24"/>
          <w:szCs w:val="24"/>
        </w:rPr>
      </w:pPr>
      <w:r>
        <w:rPr>
          <w:rFonts w:ascii="Times New Roman" w:hAnsi="Times New Roman"/>
          <w:sz w:val="24"/>
          <w:szCs w:val="24"/>
        </w:rPr>
        <w:t>ŠVP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Školní vzdělávací program</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TIMMS</w:t>
      </w:r>
      <w:r w:rsidRPr="00C45F43">
        <w:rPr>
          <w:rFonts w:ascii="Times New Roman" w:hAnsi="Times New Roman"/>
          <w:sz w:val="24"/>
          <w:szCs w:val="24"/>
        </w:rPr>
        <w:tab/>
      </w:r>
      <w:r w:rsidRPr="00C45F43">
        <w:rPr>
          <w:rFonts w:ascii="Times New Roman" w:hAnsi="Times New Roman"/>
          <w:sz w:val="24"/>
          <w:szCs w:val="24"/>
        </w:rPr>
        <w:tab/>
        <w:t>Trends in International Mathematics and Science Study</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ÚIV</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Ústav pro informace ve vzdělávání</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UNICEF</w:t>
      </w:r>
      <w:r w:rsidRPr="00C45F43">
        <w:rPr>
          <w:rFonts w:ascii="Times New Roman" w:hAnsi="Times New Roman"/>
          <w:sz w:val="24"/>
          <w:szCs w:val="24"/>
        </w:rPr>
        <w:tab/>
      </w:r>
      <w:r w:rsidRPr="00C45F43">
        <w:rPr>
          <w:rFonts w:ascii="Times New Roman" w:hAnsi="Times New Roman"/>
          <w:sz w:val="24"/>
          <w:szCs w:val="24"/>
        </w:rPr>
        <w:tab/>
        <w:t>United Nations Children’s Fund</w:t>
      </w:r>
    </w:p>
    <w:p w:rsidR="00135D4C" w:rsidRPr="00C45F43" w:rsidRDefault="00135D4C" w:rsidP="00135D4C">
      <w:pPr>
        <w:rPr>
          <w:rFonts w:ascii="Times New Roman" w:hAnsi="Times New Roman"/>
          <w:sz w:val="24"/>
          <w:szCs w:val="24"/>
        </w:rPr>
      </w:pPr>
      <w:r w:rsidRPr="00C45F43">
        <w:rPr>
          <w:rFonts w:ascii="Times New Roman" w:hAnsi="Times New Roman"/>
          <w:sz w:val="24"/>
          <w:szCs w:val="24"/>
        </w:rPr>
        <w:t>VaVI</w:t>
      </w:r>
      <w:r w:rsidRPr="00C45F43">
        <w:rPr>
          <w:rFonts w:ascii="Times New Roman" w:hAnsi="Times New Roman"/>
          <w:sz w:val="24"/>
          <w:szCs w:val="24"/>
        </w:rPr>
        <w:tab/>
      </w:r>
      <w:r w:rsidRPr="00C45F43">
        <w:rPr>
          <w:rFonts w:ascii="Times New Roman" w:hAnsi="Times New Roman"/>
          <w:sz w:val="24"/>
          <w:szCs w:val="24"/>
        </w:rPr>
        <w:tab/>
      </w:r>
      <w:r w:rsidRPr="00C45F43">
        <w:rPr>
          <w:rFonts w:ascii="Times New Roman" w:hAnsi="Times New Roman"/>
          <w:sz w:val="24"/>
          <w:szCs w:val="24"/>
        </w:rPr>
        <w:tab/>
        <w:t>Výzkum, vývoj a inovace</w:t>
      </w:r>
    </w:p>
    <w:p w:rsidR="00561843" w:rsidRPr="00742410"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sz w:val="24"/>
          <w:szCs w:val="24"/>
        </w:rPr>
      </w:pPr>
      <w:r w:rsidRPr="00742410">
        <w:rPr>
          <w:rFonts w:ascii="Times New Roman" w:hAnsi="Times New Roman" w:cs="Times New Roman"/>
          <w:sz w:val="24"/>
          <w:szCs w:val="24"/>
        </w:rPr>
        <w:br w:type="page"/>
      </w:r>
      <w:bookmarkStart w:id="2" w:name="_Toc361886374"/>
      <w:r w:rsidRPr="00742410">
        <w:rPr>
          <w:rFonts w:ascii="Times New Roman" w:hAnsi="Times New Roman" w:cs="Times New Roman"/>
          <w:sz w:val="24"/>
          <w:szCs w:val="24"/>
        </w:rPr>
        <w:lastRenderedPageBreak/>
        <w:t>ÚVOD</w:t>
      </w:r>
      <w:bookmarkEnd w:id="2"/>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Evropská unie a Organizace spojených národů v současné době považují genderovou rovnost </w:t>
      </w:r>
      <w:r>
        <w:rPr>
          <w:rFonts w:ascii="Times New Roman" w:hAnsi="Times New Roman"/>
          <w:sz w:val="24"/>
          <w:szCs w:val="24"/>
        </w:rPr>
        <w:t>za </w:t>
      </w:r>
      <w:r w:rsidRPr="00742410">
        <w:rPr>
          <w:rFonts w:ascii="Times New Roman" w:hAnsi="Times New Roman"/>
          <w:sz w:val="24"/>
          <w:szCs w:val="24"/>
        </w:rPr>
        <w:t xml:space="preserve">jednu z nejvyšších politických priorit. Postuluje to řada klíčových dokumentů, mezi nimiž dominuje </w:t>
      </w:r>
      <w:r w:rsidRPr="00742410">
        <w:rPr>
          <w:rFonts w:ascii="Times New Roman" w:hAnsi="Times New Roman"/>
          <w:i/>
          <w:sz w:val="24"/>
          <w:szCs w:val="24"/>
        </w:rPr>
        <w:t>Evropa 2020</w:t>
      </w:r>
      <w:r w:rsidRPr="00742410">
        <w:rPr>
          <w:rStyle w:val="Znakapoznpodarou"/>
          <w:rFonts w:ascii="Times New Roman" w:hAnsi="Times New Roman"/>
          <w:i/>
          <w:sz w:val="24"/>
          <w:szCs w:val="24"/>
        </w:rPr>
        <w:footnoteReference w:id="1"/>
      </w:r>
      <w:r w:rsidRPr="00742410">
        <w:rPr>
          <w:rFonts w:ascii="Times New Roman" w:hAnsi="Times New Roman"/>
          <w:i/>
          <w:sz w:val="24"/>
          <w:szCs w:val="24"/>
        </w:rPr>
        <w:t>,</w:t>
      </w:r>
      <w:r w:rsidRPr="00742410">
        <w:rPr>
          <w:rFonts w:ascii="Times New Roman" w:hAnsi="Times New Roman"/>
          <w:sz w:val="24"/>
          <w:szCs w:val="24"/>
        </w:rPr>
        <w:t xml:space="preserve"> </w:t>
      </w:r>
      <w:r w:rsidRPr="00742410">
        <w:rPr>
          <w:rFonts w:ascii="Times New Roman" w:hAnsi="Times New Roman"/>
          <w:i/>
          <w:sz w:val="24"/>
          <w:szCs w:val="24"/>
        </w:rPr>
        <w:t>Lisabonská smlouva</w:t>
      </w:r>
      <w:r w:rsidRPr="00742410">
        <w:rPr>
          <w:rFonts w:ascii="Times New Roman" w:hAnsi="Times New Roman"/>
          <w:sz w:val="24"/>
          <w:szCs w:val="24"/>
        </w:rPr>
        <w:t xml:space="preserve"> a </w:t>
      </w:r>
      <w:r w:rsidRPr="00742410">
        <w:rPr>
          <w:rFonts w:ascii="Times New Roman" w:hAnsi="Times New Roman"/>
          <w:i/>
          <w:sz w:val="24"/>
          <w:szCs w:val="24"/>
        </w:rPr>
        <w:t>Úmluva o odstranění všech forem diskriminace žen</w:t>
      </w:r>
      <w:r w:rsidRPr="00742410">
        <w:rPr>
          <w:rStyle w:val="Znakapoznpodarou"/>
          <w:rFonts w:ascii="Times New Roman" w:hAnsi="Times New Roman"/>
          <w:sz w:val="24"/>
          <w:szCs w:val="24"/>
        </w:rPr>
        <w:footnoteReference w:id="2"/>
      </w:r>
      <w:r w:rsidRPr="00742410">
        <w:rPr>
          <w:rFonts w:ascii="Times New Roman" w:hAnsi="Times New Roman"/>
          <w:sz w:val="24"/>
          <w:szCs w:val="24"/>
        </w:rPr>
        <w:t xml:space="preserve">. Důvody pro politiku genderové rovnosti vyplývají jednak z obecné hodnotové orientace evropské kultury, která tradičně odmítá znevýhodňování jakýchkoliv skupin obyvatelstva, jednak z aktuálních ekonomických analýz, které ukazují, že genderová rovnost pozitivně koreluje s hospodářskou produktivitou.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Odstranění genderových nerovností (spolu s dalšími typy nerovností) je žádoucí jak kvůli naplnění ideje svobodné životní volby každého člověka, tak i kvůli prosperitě celé společnosti, která má humanistický i ekonomický aspekt. Zahraniční studie jasně dokládají, že společnosti s vysokou mírou genderové rovnosti dokáží lépe využívat lidské zdroje, a proto dosahují dlouhodobě vyšších hospodářských výsledků, vyšší sociální koheze a celkově vyšší kvality života (Willkinson, Picket 2009, Holter, Svare, Egeland 2009). To reflektuje i Rada Evropské unie, konkrétně Rada pro konkurenceschopnost (Competitiveness Council), která ve svých závěrech ze dne 26. listopadu 2011 deklaruje usilování o genderovou rovnost za podmínku inovačních strategií</w:t>
      </w:r>
      <w:r w:rsidRPr="00742410">
        <w:rPr>
          <w:rStyle w:val="Znakapoznpodarou"/>
          <w:rFonts w:ascii="Times New Roman" w:hAnsi="Times New Roman"/>
          <w:sz w:val="24"/>
          <w:szCs w:val="24"/>
        </w:rPr>
        <w:footnoteReference w:id="3"/>
      </w:r>
      <w:r w:rsidRPr="00742410">
        <w:rPr>
          <w:rFonts w:ascii="Times New Roman" w:hAnsi="Times New Roman"/>
          <w:sz w:val="24"/>
          <w:szCs w:val="24"/>
        </w:rPr>
        <w:t xml:space="preserve">.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Česká republika se zavázala aktivně a ve shodě s mezinárodními dokumenty</w:t>
      </w:r>
      <w:r w:rsidRPr="00742410">
        <w:rPr>
          <w:rStyle w:val="Znakapoznpodarou"/>
          <w:rFonts w:ascii="Times New Roman" w:hAnsi="Times New Roman"/>
          <w:sz w:val="24"/>
          <w:szCs w:val="24"/>
        </w:rPr>
        <w:footnoteReference w:id="4"/>
      </w:r>
      <w:r w:rsidRPr="00742410">
        <w:rPr>
          <w:rFonts w:ascii="Times New Roman" w:hAnsi="Times New Roman"/>
          <w:sz w:val="24"/>
          <w:szCs w:val="24"/>
        </w:rPr>
        <w:t xml:space="preserve"> prosazovat genderovou </w:t>
      </w:r>
      <w:r w:rsidRPr="0063705B">
        <w:rPr>
          <w:rFonts w:ascii="Times New Roman" w:hAnsi="Times New Roman"/>
          <w:sz w:val="24"/>
          <w:szCs w:val="24"/>
        </w:rPr>
        <w:t xml:space="preserve">rovnost </w:t>
      </w:r>
      <w:r w:rsidR="0063705B" w:rsidRPr="0063705B">
        <w:rPr>
          <w:rFonts w:ascii="Times New Roman" w:hAnsi="Times New Roman"/>
          <w:sz w:val="24"/>
          <w:szCs w:val="24"/>
        </w:rPr>
        <w:t>svým prvním programovým dokumentem schváleným Usnesením vlády ČR ze dne 8. dubna 1998 č. 236, o Prioritách a postupu vlády při p</w:t>
      </w:r>
      <w:r w:rsidR="0063705B">
        <w:rPr>
          <w:rFonts w:ascii="Times New Roman" w:hAnsi="Times New Roman"/>
          <w:sz w:val="24"/>
          <w:szCs w:val="24"/>
        </w:rPr>
        <w:t xml:space="preserve">rosazování rovnosti mužů </w:t>
      </w:r>
      <w:r w:rsidR="0063705B">
        <w:rPr>
          <w:rFonts w:ascii="Times New Roman" w:hAnsi="Times New Roman"/>
          <w:sz w:val="24"/>
          <w:szCs w:val="24"/>
        </w:rPr>
        <w:br/>
        <w:t>a žen.</w:t>
      </w:r>
      <w:r w:rsidR="0063705B" w:rsidRPr="0063705B">
        <w:rPr>
          <w:rFonts w:ascii="Times New Roman" w:hAnsi="Times New Roman"/>
          <w:sz w:val="24"/>
          <w:szCs w:val="24"/>
        </w:rPr>
        <w:t xml:space="preserve"> </w:t>
      </w:r>
      <w:r w:rsidRPr="0063705B">
        <w:rPr>
          <w:rFonts w:ascii="Times New Roman" w:hAnsi="Times New Roman"/>
          <w:sz w:val="24"/>
          <w:szCs w:val="24"/>
        </w:rPr>
        <w:t>Od</w:t>
      </w:r>
      <w:r w:rsidRPr="00742410">
        <w:rPr>
          <w:rFonts w:ascii="Times New Roman" w:hAnsi="Times New Roman"/>
          <w:sz w:val="24"/>
          <w:szCs w:val="24"/>
        </w:rPr>
        <w:t xml:space="preserve"> té do</w:t>
      </w:r>
      <w:r>
        <w:rPr>
          <w:rFonts w:ascii="Times New Roman" w:hAnsi="Times New Roman"/>
          <w:sz w:val="24"/>
          <w:szCs w:val="24"/>
        </w:rPr>
        <w:t xml:space="preserve">by Vláda ČR každoročně vytváří </w:t>
      </w:r>
      <w:r w:rsidRPr="00742410">
        <w:rPr>
          <w:rFonts w:ascii="Times New Roman" w:hAnsi="Times New Roman"/>
          <w:sz w:val="24"/>
          <w:szCs w:val="24"/>
        </w:rPr>
        <w:t>a schvaluje obdobný dokument stanovující plán politických opatření pro nejbližší období. Navrhovaná opatření se pohybují v širším právním rámci České republiky, který počínaje Ústavou ČR přes antidiskriminační zákon</w:t>
      </w:r>
      <w:r>
        <w:rPr>
          <w:rStyle w:val="Znakapoznpodarou"/>
          <w:rFonts w:ascii="Times New Roman" w:hAnsi="Times New Roman"/>
          <w:sz w:val="24"/>
          <w:szCs w:val="24"/>
        </w:rPr>
        <w:footnoteReference w:id="5"/>
      </w:r>
      <w:r w:rsidRPr="00742410">
        <w:rPr>
          <w:rFonts w:ascii="Times New Roman" w:hAnsi="Times New Roman"/>
          <w:sz w:val="24"/>
          <w:szCs w:val="24"/>
        </w:rPr>
        <w:t xml:space="preserve"> až po dílčí resortní zákony i podzák</w:t>
      </w:r>
      <w:r>
        <w:rPr>
          <w:rFonts w:ascii="Times New Roman" w:hAnsi="Times New Roman"/>
          <w:sz w:val="24"/>
          <w:szCs w:val="24"/>
        </w:rPr>
        <w:t xml:space="preserve">onné normy odmítá diskriminaci </w:t>
      </w:r>
      <w:r w:rsidRPr="00742410">
        <w:rPr>
          <w:rFonts w:ascii="Times New Roman" w:hAnsi="Times New Roman"/>
          <w:sz w:val="24"/>
          <w:szCs w:val="24"/>
        </w:rPr>
        <w:t xml:space="preserve">na základě pohlaví. Politika genderové rovnosti tak plně koresponduje s dlouhodobou právní orientací České republiky.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Od roku 1998 je oblast rovných příležitostí žen a mužů specificky řešena v jednotlivých resortech, včetně Ministerstva školství, mládeže a tělovýchovy (MŠMT). MŠMT v návaznosti na vládní dokument každoročně připravuje </w:t>
      </w:r>
      <w:r w:rsidRPr="00742410">
        <w:rPr>
          <w:rFonts w:ascii="Times New Roman" w:hAnsi="Times New Roman"/>
          <w:i/>
          <w:sz w:val="24"/>
          <w:szCs w:val="24"/>
        </w:rPr>
        <w:t>Priority a postupy MŠMT při prosazování rovných příležitostí mužů a žen</w:t>
      </w:r>
      <w:r w:rsidRPr="00742410">
        <w:rPr>
          <w:rFonts w:ascii="Times New Roman" w:hAnsi="Times New Roman"/>
          <w:sz w:val="24"/>
          <w:szCs w:val="24"/>
        </w:rPr>
        <w:t>, v němž formuluje směr a dílčí úkoly pro politiku genderové rovnosti ve své gesci. I zde platí, že se dokument pohybuje v prostoru vymezeném právními normami,</w:t>
      </w:r>
      <w:r>
        <w:rPr>
          <w:rFonts w:ascii="Times New Roman" w:hAnsi="Times New Roman"/>
          <w:sz w:val="24"/>
          <w:szCs w:val="24"/>
        </w:rPr>
        <w:t xml:space="preserve"> </w:t>
      </w:r>
      <w:r>
        <w:rPr>
          <w:rFonts w:ascii="Times New Roman" w:hAnsi="Times New Roman"/>
          <w:sz w:val="24"/>
          <w:szCs w:val="24"/>
        </w:rPr>
        <w:lastRenderedPageBreak/>
        <w:t>k</w:t>
      </w:r>
      <w:r w:rsidRPr="00742410">
        <w:rPr>
          <w:rFonts w:ascii="Times New Roman" w:hAnsi="Times New Roman"/>
          <w:sz w:val="24"/>
          <w:szCs w:val="24"/>
        </w:rPr>
        <w:t>teré deklarují požadavek</w:t>
      </w:r>
      <w:r>
        <w:rPr>
          <w:rFonts w:ascii="Times New Roman" w:hAnsi="Times New Roman"/>
          <w:sz w:val="24"/>
          <w:szCs w:val="24"/>
        </w:rPr>
        <w:t xml:space="preserve"> rovných příležitostí (zejména š</w:t>
      </w:r>
      <w:r w:rsidRPr="00742410">
        <w:rPr>
          <w:rFonts w:ascii="Times New Roman" w:hAnsi="Times New Roman"/>
          <w:sz w:val="24"/>
          <w:szCs w:val="24"/>
        </w:rPr>
        <w:t>kolský zákon</w:t>
      </w:r>
      <w:r w:rsidRPr="00742410">
        <w:rPr>
          <w:rStyle w:val="Znakapoznpodarou"/>
          <w:rFonts w:ascii="Times New Roman" w:hAnsi="Times New Roman"/>
          <w:sz w:val="24"/>
          <w:szCs w:val="24"/>
        </w:rPr>
        <w:footnoteReference w:id="6"/>
      </w:r>
      <w:r>
        <w:rPr>
          <w:rFonts w:ascii="Times New Roman" w:hAnsi="Times New Roman"/>
          <w:sz w:val="24"/>
          <w:szCs w:val="24"/>
        </w:rPr>
        <w:t xml:space="preserve"> a dále m</w:t>
      </w:r>
      <w:r w:rsidRPr="00742410">
        <w:rPr>
          <w:rFonts w:ascii="Times New Roman" w:hAnsi="Times New Roman"/>
          <w:sz w:val="24"/>
          <w:szCs w:val="24"/>
        </w:rPr>
        <w:t>etodický pokyn MŠMT</w:t>
      </w:r>
      <w:r w:rsidRPr="00742410">
        <w:rPr>
          <w:rStyle w:val="Znakapoznpodarou"/>
          <w:rFonts w:ascii="Times New Roman" w:hAnsi="Times New Roman"/>
          <w:sz w:val="24"/>
          <w:szCs w:val="24"/>
        </w:rPr>
        <w:footnoteReference w:id="7"/>
      </w:r>
      <w:r w:rsidRPr="00742410">
        <w:rPr>
          <w:rFonts w:ascii="Times New Roman" w:hAnsi="Times New Roman"/>
          <w:sz w:val="24"/>
          <w:szCs w:val="24"/>
        </w:rPr>
        <w:t xml:space="preserve">).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Z formálního hlediska povinnost věnovat se politice genderové rovnosti ve vzdělávání, vědě </w:t>
      </w:r>
      <w:r>
        <w:rPr>
          <w:rFonts w:ascii="Times New Roman" w:hAnsi="Times New Roman"/>
          <w:sz w:val="24"/>
          <w:szCs w:val="24"/>
        </w:rPr>
        <w:t>a </w:t>
      </w:r>
      <w:r w:rsidRPr="00742410">
        <w:rPr>
          <w:rFonts w:ascii="Times New Roman" w:hAnsi="Times New Roman"/>
          <w:sz w:val="24"/>
          <w:szCs w:val="24"/>
        </w:rPr>
        <w:t xml:space="preserve">sportu vyplývá jednak z vládních dokumentů, které následují mezinárodní dokumenty </w:t>
      </w:r>
      <w:r>
        <w:rPr>
          <w:rFonts w:ascii="Times New Roman" w:hAnsi="Times New Roman"/>
          <w:sz w:val="24"/>
          <w:szCs w:val="24"/>
        </w:rPr>
        <w:t>a </w:t>
      </w:r>
      <w:r w:rsidRPr="00742410">
        <w:rPr>
          <w:rFonts w:ascii="Times New Roman" w:hAnsi="Times New Roman"/>
          <w:sz w:val="24"/>
          <w:szCs w:val="24"/>
        </w:rPr>
        <w:t>závazky, jednak z resortních dokumentů a zákonů. Z věcného hlediska je politika genderové rovnosti v resortu MŠMT opřena o výše zmíněné argumenty, z nichž jeden směřuje k prohlubování demokratických základů naší společnosti a druhý k sociálně-ekonomickým přínosům nastolení</w:t>
      </w:r>
      <w:r>
        <w:rPr>
          <w:rFonts w:ascii="Times New Roman" w:hAnsi="Times New Roman"/>
          <w:sz w:val="24"/>
          <w:szCs w:val="24"/>
        </w:rPr>
        <w:t xml:space="preserve"> rovných příležitostí pro ženy </w:t>
      </w:r>
      <w:r w:rsidRPr="00742410">
        <w:rPr>
          <w:rFonts w:ascii="Times New Roman" w:hAnsi="Times New Roman"/>
          <w:sz w:val="24"/>
          <w:szCs w:val="24"/>
        </w:rPr>
        <w:t>a muže. Oba jsou nadmíru platné právě v kontextu vzdělávání a v kontextu vědy a výzkumu, neboť prosperita obou oblastí závisí na možnosti využívat a rozvíjet veškerý potenciál, kterým osoby</w:t>
      </w:r>
      <w:r>
        <w:rPr>
          <w:rStyle w:val="Znakapoznpodarou"/>
          <w:rFonts w:ascii="Times New Roman" w:hAnsi="Times New Roman"/>
          <w:sz w:val="24"/>
          <w:szCs w:val="24"/>
        </w:rPr>
        <w:footnoteReference w:id="8"/>
      </w:r>
      <w:r w:rsidRPr="00742410">
        <w:rPr>
          <w:rFonts w:ascii="Times New Roman" w:hAnsi="Times New Roman"/>
          <w:sz w:val="24"/>
          <w:szCs w:val="24"/>
        </w:rPr>
        <w:t xml:space="preserve"> pohybující v těchto oblastech disponují. Při přípravě aktuálních školských i vědních reforem by proto neměla zůstat otázka genderové rovnosti stranou.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Aby byla politika genderové rovnosti v resortu MŠMT náležitě efektivn</w:t>
      </w:r>
      <w:r>
        <w:rPr>
          <w:rFonts w:ascii="Times New Roman" w:hAnsi="Times New Roman"/>
          <w:sz w:val="24"/>
          <w:szCs w:val="24"/>
        </w:rPr>
        <w:t xml:space="preserve">í a vedla k popsaným sociálním </w:t>
      </w:r>
      <w:r w:rsidRPr="00742410">
        <w:rPr>
          <w:rFonts w:ascii="Times New Roman" w:hAnsi="Times New Roman"/>
          <w:sz w:val="24"/>
          <w:szCs w:val="24"/>
        </w:rPr>
        <w:t xml:space="preserve">i ekonomickým cílům, musí jí být věnována systematická pozornost. Genderová agenda by měla mít dostatečné personální i finanční zajištění a měla by být logicky vystavěna na empirických základech. Resortní dokumenty </w:t>
      </w:r>
      <w:r w:rsidRPr="00742410">
        <w:rPr>
          <w:rFonts w:ascii="Times New Roman" w:hAnsi="Times New Roman"/>
          <w:i/>
          <w:sz w:val="24"/>
          <w:szCs w:val="24"/>
        </w:rPr>
        <w:t xml:space="preserve">Priority a postupy MŠMT při prosazování rovných příležitostí mužů a žen </w:t>
      </w:r>
      <w:r w:rsidRPr="00742410">
        <w:rPr>
          <w:rFonts w:ascii="Times New Roman" w:hAnsi="Times New Roman"/>
          <w:sz w:val="24"/>
          <w:szCs w:val="24"/>
        </w:rPr>
        <w:t>tento předpoklad nemohou naplňovat, neboť formulují dílčí politické kroky, které o</w:t>
      </w:r>
      <w:r>
        <w:rPr>
          <w:rFonts w:ascii="Times New Roman" w:hAnsi="Times New Roman"/>
          <w:sz w:val="24"/>
          <w:szCs w:val="24"/>
        </w:rPr>
        <w:t xml:space="preserve">všem nejsou opřeny </w:t>
      </w:r>
      <w:r w:rsidRPr="00742410">
        <w:rPr>
          <w:rFonts w:ascii="Times New Roman" w:hAnsi="Times New Roman"/>
          <w:sz w:val="24"/>
          <w:szCs w:val="24"/>
        </w:rPr>
        <w:t>o aktuální fakta a nevztahují se k jasně definovanému, dl</w:t>
      </w:r>
      <w:r>
        <w:rPr>
          <w:rFonts w:ascii="Times New Roman" w:hAnsi="Times New Roman"/>
          <w:sz w:val="24"/>
          <w:szCs w:val="24"/>
        </w:rPr>
        <w:t xml:space="preserve">ouhodobému cíli demokratického </w:t>
      </w:r>
      <w:r w:rsidRPr="00742410">
        <w:rPr>
          <w:rFonts w:ascii="Times New Roman" w:hAnsi="Times New Roman"/>
          <w:sz w:val="24"/>
          <w:szCs w:val="24"/>
        </w:rPr>
        <w:t xml:space="preserve">socio-ekonomického rozvoje. Zároveň je nutné o tématu zahájit dlouhodobou a systematickou odbornou diskusi s účastí všech relevantních stran, zejména MŠMT, přímo řízených organizací, zřizovatelů škol, akademických pracovišť a pedagogického terénu.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Ve snaze posílit prosazování politiky genderové rovnosti v gesci MŠMT byla připravena tato studie. Jejím účelem je popsat aktuální stav v hlavních tematických oblastech, které by měly být řešeny v rámci politiky genderové rovnosti v resortu MŠMT. Materiál je koncipován s ohledem na dvojí možné využití. Jedním je návrh struktury agendy genderové rovnosti </w:t>
      </w:r>
      <w:r>
        <w:rPr>
          <w:rFonts w:ascii="Times New Roman" w:hAnsi="Times New Roman"/>
          <w:sz w:val="24"/>
          <w:szCs w:val="24"/>
        </w:rPr>
        <w:t>v </w:t>
      </w:r>
      <w:r w:rsidRPr="00742410">
        <w:rPr>
          <w:rFonts w:ascii="Times New Roman" w:hAnsi="Times New Roman"/>
          <w:sz w:val="24"/>
          <w:szCs w:val="24"/>
        </w:rPr>
        <w:t xml:space="preserve">gesci MŠMT, která následně slouží k přípravě dlouhodobého strategického dokumentu </w:t>
      </w:r>
      <w:r>
        <w:rPr>
          <w:rFonts w:ascii="Times New Roman" w:hAnsi="Times New Roman"/>
          <w:sz w:val="24"/>
          <w:szCs w:val="24"/>
        </w:rPr>
        <w:t>i </w:t>
      </w:r>
      <w:r w:rsidRPr="00742410">
        <w:rPr>
          <w:rFonts w:ascii="Times New Roman" w:hAnsi="Times New Roman"/>
          <w:sz w:val="24"/>
          <w:szCs w:val="24"/>
        </w:rPr>
        <w:t xml:space="preserve">krátkodobých konkrétních politických opatření. Druhým využitím je identifikace nedostatku informací o některých oblastech, která by měla být napravena realizací tematických výzkumných šetření proto, aby budoucí politická opatření vážící se k dané oblasti měla empirickou oporu.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Problematika genderové rovnosti je velice komplexní z hlediska hloubky i šířky. Pomocí politických opatření nelze zároveň pokrývat celý výčet problémů, a to jednak proto, že řada z nich je hierarchicky uspořádána (tj. jejich odstranění závisí na úspěšném řešení předcházejících problémů), a dále proto, že některé z nich náleží do sféry každodenních praktik a osobních rozhodnutí, kterou lze pomocí politických zásahů ovlivňovat jen </w:t>
      </w:r>
      <w:r w:rsidRPr="00742410">
        <w:rPr>
          <w:rFonts w:ascii="Times New Roman" w:hAnsi="Times New Roman"/>
          <w:sz w:val="24"/>
          <w:szCs w:val="24"/>
        </w:rPr>
        <w:lastRenderedPageBreak/>
        <w:t>v omezené míře. Z uvedených důvodů přijala tato studie pragmatickou perspektivu a z celé šířky témat se soustřeďuje na ta, která mohou být řešitelná pomocí politiky na úrovni MŠMT a která jsou zároveň aktuální v současném českém kontextu.</w:t>
      </w:r>
    </w:p>
    <w:p w:rsidR="00561843" w:rsidRPr="00742410" w:rsidRDefault="00561843" w:rsidP="00A11D23">
      <w:pPr>
        <w:widowControl w:val="0"/>
        <w:autoSpaceDE w:val="0"/>
        <w:autoSpaceDN w:val="0"/>
        <w:adjustRightInd w:val="0"/>
        <w:spacing w:before="160"/>
        <w:jc w:val="both"/>
        <w:rPr>
          <w:rFonts w:ascii="Times New Roman" w:hAnsi="Times New Roman"/>
          <w:sz w:val="24"/>
          <w:szCs w:val="24"/>
        </w:rPr>
      </w:pPr>
    </w:p>
    <w:p w:rsidR="00561843" w:rsidRPr="00742410"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caps/>
          <w:sz w:val="24"/>
          <w:szCs w:val="24"/>
        </w:rPr>
      </w:pPr>
      <w:bookmarkStart w:id="3" w:name="_Toc361886375"/>
      <w:r w:rsidRPr="00742410">
        <w:rPr>
          <w:rFonts w:ascii="Times New Roman" w:hAnsi="Times New Roman" w:cs="Times New Roman"/>
          <w:caps/>
          <w:sz w:val="24"/>
          <w:szCs w:val="24"/>
        </w:rPr>
        <w:t>RÁMCOVÉ VYMEZENÍ GENDEROVÉ ROVNOSTI VE VZDĚLÁVÁNÍ</w:t>
      </w:r>
      <w:bookmarkEnd w:id="3"/>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Genderová rovnost představuje stav, kdy postavení žen a mužů ve společnosti je obdobné </w:t>
      </w:r>
      <w:r>
        <w:rPr>
          <w:rFonts w:ascii="Times New Roman" w:hAnsi="Times New Roman"/>
          <w:sz w:val="24"/>
          <w:szCs w:val="24"/>
        </w:rPr>
        <w:t>z </w:t>
      </w:r>
      <w:r w:rsidRPr="00742410">
        <w:rPr>
          <w:rFonts w:ascii="Times New Roman" w:hAnsi="Times New Roman"/>
          <w:sz w:val="24"/>
          <w:szCs w:val="24"/>
        </w:rPr>
        <w:t xml:space="preserve">hlediska redistribuce moci a zdrojů, reprezentace ve veřejném prostoru a uznání. Vedle této strukturální roviny má genderová rovnost i významný individuální rozměr. V rámci něho je cílem absence či alespoň rozvolněnost genderových stereotypů, které omezují svobodu jednotlivců a vedou ke znevýhodnění konkrétních žen a mužů, kteří se svými dispozicemi či zájmy vymykají obvyklým představám o femininitě a maskulinitě. Genderové stereotypy můžeme popsat jako předpoklady, že vlastnosti, schopnosti, chování a další atributy životních stylů žen a mužů jsou vzájemně zcela odlišné a vyplývají z biologických rozdílů. Muži </w:t>
      </w:r>
      <w:r w:rsidR="00AA3C8A">
        <w:rPr>
          <w:rFonts w:ascii="Times New Roman" w:hAnsi="Times New Roman"/>
          <w:sz w:val="24"/>
          <w:szCs w:val="24"/>
        </w:rPr>
        <w:br/>
      </w:r>
      <w:r w:rsidRPr="00742410">
        <w:rPr>
          <w:rFonts w:ascii="Times New Roman" w:hAnsi="Times New Roman"/>
          <w:sz w:val="24"/>
          <w:szCs w:val="24"/>
        </w:rPr>
        <w:t xml:space="preserve">a maskulinita jsou přitom ve většině oblastí společenského života považovány za hodnotnější než ženy a femininita. Maskulinita a femininita jsou podle genderových stereotypů dichotomické a komplementární kvality, jejichž spojení je založeno především na biologické reprodukci a zprostředkovaně tedy na sexualitě. Významným rysem genderových stereotypů je proto heteronormativita. Z toho důvodu genderové stereotypy znevýhodňují také osoby </w:t>
      </w:r>
      <w:r w:rsidR="00AA3C8A">
        <w:rPr>
          <w:rFonts w:ascii="Times New Roman" w:hAnsi="Times New Roman"/>
          <w:sz w:val="24"/>
          <w:szCs w:val="24"/>
        </w:rPr>
        <w:br/>
      </w:r>
      <w:r w:rsidRPr="00742410">
        <w:rPr>
          <w:rFonts w:ascii="Times New Roman" w:hAnsi="Times New Roman"/>
          <w:sz w:val="24"/>
          <w:szCs w:val="24"/>
        </w:rPr>
        <w:t xml:space="preserve">s jinou než heterosexuální orientací. Z uvedeného vyplývá, že genderová rovnost je označení komplexnější než označení rovné příležitosti žen a mužů, které je obvykle užívané </w:t>
      </w:r>
      <w:r>
        <w:rPr>
          <w:rFonts w:ascii="Times New Roman" w:hAnsi="Times New Roman"/>
          <w:sz w:val="24"/>
          <w:szCs w:val="24"/>
        </w:rPr>
        <w:t>v </w:t>
      </w:r>
      <w:r w:rsidRPr="00742410">
        <w:rPr>
          <w:rFonts w:ascii="Times New Roman" w:hAnsi="Times New Roman"/>
          <w:sz w:val="24"/>
          <w:szCs w:val="24"/>
        </w:rPr>
        <w:t>českých politických dokumentech. Rovné příležitosti jsou významově užším, a proto z hlediska školské politiky méně vhodným konceptem.</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Cílem školské politiky by mělo být eliminovat negativní důsledky genderových stereotypů, </w:t>
      </w:r>
      <w:r>
        <w:rPr>
          <w:rFonts w:ascii="Times New Roman" w:hAnsi="Times New Roman"/>
          <w:sz w:val="24"/>
          <w:szCs w:val="24"/>
        </w:rPr>
        <w:t>tj. </w:t>
      </w:r>
      <w:r w:rsidRPr="00742410">
        <w:rPr>
          <w:rFonts w:ascii="Times New Roman" w:hAnsi="Times New Roman"/>
          <w:sz w:val="24"/>
          <w:szCs w:val="24"/>
        </w:rPr>
        <w:t>zjednodušujících a generalizujících představ o tom, jací jsou a jací by měli být muži</w:t>
      </w:r>
      <w:r>
        <w:rPr>
          <w:rFonts w:ascii="Times New Roman" w:hAnsi="Times New Roman"/>
          <w:sz w:val="24"/>
          <w:szCs w:val="24"/>
        </w:rPr>
        <w:t xml:space="preserve"> a ženy</w:t>
      </w:r>
      <w:r w:rsidRPr="00742410">
        <w:rPr>
          <w:rFonts w:ascii="Times New Roman" w:hAnsi="Times New Roman"/>
          <w:sz w:val="24"/>
          <w:szCs w:val="24"/>
        </w:rPr>
        <w:t xml:space="preserve">. Prosazení rovnosti ve vzdělávání může nabývat tří základních podob – rovnost v přístupu, rovnost v podmínkách a rovnost ve výsledcích (Coleman, 1998, Greger, 2010, Hutmacher </w:t>
      </w:r>
      <w:r>
        <w:rPr>
          <w:rFonts w:ascii="Times New Roman" w:hAnsi="Times New Roman"/>
          <w:sz w:val="24"/>
          <w:szCs w:val="24"/>
        </w:rPr>
        <w:t>a </w:t>
      </w:r>
      <w:r w:rsidRPr="00742410">
        <w:rPr>
          <w:rFonts w:ascii="Times New Roman" w:hAnsi="Times New Roman"/>
          <w:sz w:val="24"/>
          <w:szCs w:val="24"/>
        </w:rPr>
        <w:t>kol., 2001, Moreno Hererra, 2004). Rovnost v přístupu znamená, že všichni lidé</w:t>
      </w:r>
      <w:r>
        <w:rPr>
          <w:rFonts w:ascii="Times New Roman" w:hAnsi="Times New Roman"/>
          <w:sz w:val="24"/>
          <w:szCs w:val="24"/>
        </w:rPr>
        <w:t xml:space="preserve"> mají stejnou možnost vstoupit </w:t>
      </w:r>
      <w:r w:rsidRPr="00742410">
        <w:rPr>
          <w:rFonts w:ascii="Times New Roman" w:hAnsi="Times New Roman"/>
          <w:sz w:val="24"/>
          <w:szCs w:val="24"/>
        </w:rPr>
        <w:t>do školského systému nebo se alespoň o vstup ucházet. Rovnost v podmínkách znamená, že všem lidem je ve školském systému věnována stejná péče, ať</w:t>
      </w:r>
      <w:r>
        <w:rPr>
          <w:rFonts w:ascii="Times New Roman" w:hAnsi="Times New Roman"/>
          <w:sz w:val="24"/>
          <w:szCs w:val="24"/>
        </w:rPr>
        <w:t xml:space="preserve"> už z materiálního, sociálního </w:t>
      </w:r>
      <w:r w:rsidRPr="00742410">
        <w:rPr>
          <w:rFonts w:ascii="Times New Roman" w:hAnsi="Times New Roman"/>
          <w:sz w:val="24"/>
          <w:szCs w:val="24"/>
        </w:rPr>
        <w:t>či didaktického hlediska. Ro</w:t>
      </w:r>
      <w:r>
        <w:rPr>
          <w:rFonts w:ascii="Times New Roman" w:hAnsi="Times New Roman"/>
          <w:sz w:val="24"/>
          <w:szCs w:val="24"/>
        </w:rPr>
        <w:t>vnost ve výsledcích znamená, že </w:t>
      </w:r>
      <w:r w:rsidRPr="00742410">
        <w:rPr>
          <w:rFonts w:ascii="Times New Roman" w:hAnsi="Times New Roman"/>
          <w:sz w:val="24"/>
          <w:szCs w:val="24"/>
        </w:rPr>
        <w:t>všichni lidé dosahují stejné hloubky vzdělání a stejného rozvoje svého potenciálu. Protože struktura nadání dívek a c</w:t>
      </w:r>
      <w:r>
        <w:rPr>
          <w:rFonts w:ascii="Times New Roman" w:hAnsi="Times New Roman"/>
          <w:sz w:val="24"/>
          <w:szCs w:val="24"/>
        </w:rPr>
        <w:t xml:space="preserve">hlapců nevykazuje </w:t>
      </w:r>
      <w:r w:rsidRPr="00742410">
        <w:rPr>
          <w:rFonts w:ascii="Times New Roman" w:hAnsi="Times New Roman"/>
          <w:sz w:val="24"/>
          <w:szCs w:val="24"/>
        </w:rPr>
        <w:t xml:space="preserve">a priori signifikantní rozdíly a rozdíly </w:t>
      </w:r>
      <w:r>
        <w:rPr>
          <w:rFonts w:ascii="Times New Roman" w:hAnsi="Times New Roman"/>
          <w:sz w:val="24"/>
          <w:szCs w:val="24"/>
        </w:rPr>
        <w:t>ve </w:t>
      </w:r>
      <w:r w:rsidRPr="00742410">
        <w:rPr>
          <w:rFonts w:ascii="Times New Roman" w:hAnsi="Times New Roman"/>
          <w:sz w:val="24"/>
          <w:szCs w:val="24"/>
        </w:rPr>
        <w:t>výkonech vznikají až pod vlivem socio-kulturních vlivů (Hyde, 2005), bylo by možné očekávat, že při nestereotypním výcho</w:t>
      </w:r>
      <w:r>
        <w:rPr>
          <w:rFonts w:ascii="Times New Roman" w:hAnsi="Times New Roman"/>
          <w:sz w:val="24"/>
          <w:szCs w:val="24"/>
        </w:rPr>
        <w:t xml:space="preserve">vném vedení bude skupina dívek </w:t>
      </w:r>
      <w:r w:rsidRPr="00742410">
        <w:rPr>
          <w:rFonts w:ascii="Times New Roman" w:hAnsi="Times New Roman"/>
          <w:sz w:val="24"/>
          <w:szCs w:val="24"/>
        </w:rPr>
        <w:t xml:space="preserve">a skupina chlapců vykazovat podobné složení a hloubku schopností.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Pro dosažení rovnosti ve školské realitě je pro případ všech tří pojetí důležité, aby požadavky byly naplněny nejen na formální a explicitní rovině (tj. například přijmout zákony, které zaručují všem skupinám obyvatelstva vstoupit či se přihlásit ke studiu), ale také na implicitní a neformální rovině. Její podstatu tvoří stereotypní očekávání a zvyklosti, které ovlivňují jak fungování škol, tak i volby jednotlivců. Například rovnost v přístupu by neměla být vyvozována pouze z toho, že lidé mají možnost se ke studiu přihlásit, ale i z toho, zda </w:t>
      </w:r>
      <w:r w:rsidRPr="00742410">
        <w:rPr>
          <w:rFonts w:ascii="Times New Roman" w:hAnsi="Times New Roman"/>
          <w:sz w:val="24"/>
          <w:szCs w:val="24"/>
        </w:rPr>
        <w:lastRenderedPageBreak/>
        <w:t xml:space="preserve">skutečně tuto možnost využívají. V případě, že určitá kategorie osob tuto možnost nevyužívá (což lze chápat </w:t>
      </w:r>
      <w:r>
        <w:rPr>
          <w:rFonts w:ascii="Times New Roman" w:hAnsi="Times New Roman"/>
          <w:sz w:val="24"/>
          <w:szCs w:val="24"/>
        </w:rPr>
        <w:t xml:space="preserve">jako nerovnost ve výsledcích), </w:t>
      </w:r>
      <w:r w:rsidRPr="00742410">
        <w:rPr>
          <w:rFonts w:ascii="Times New Roman" w:hAnsi="Times New Roman"/>
          <w:sz w:val="24"/>
          <w:szCs w:val="24"/>
        </w:rPr>
        <w:t>je pravděpodobné, že školství zahrnuje určité systémové překážky, kt</w:t>
      </w:r>
      <w:r>
        <w:rPr>
          <w:rFonts w:ascii="Times New Roman" w:hAnsi="Times New Roman"/>
          <w:sz w:val="24"/>
          <w:szCs w:val="24"/>
        </w:rPr>
        <w:t xml:space="preserve">eré by měly být identifikovány </w:t>
      </w:r>
      <w:r w:rsidRPr="00742410">
        <w:rPr>
          <w:rFonts w:ascii="Times New Roman" w:hAnsi="Times New Roman"/>
          <w:sz w:val="24"/>
          <w:szCs w:val="24"/>
        </w:rPr>
        <w:t>a odstraněny. Z tohoto výkladu je patrné, že jednotlivá pojetí rov</w:t>
      </w:r>
      <w:r>
        <w:rPr>
          <w:rFonts w:ascii="Times New Roman" w:hAnsi="Times New Roman"/>
          <w:sz w:val="24"/>
          <w:szCs w:val="24"/>
        </w:rPr>
        <w:t xml:space="preserve">nosti nejsou na sobě nezávislá </w:t>
      </w:r>
      <w:r w:rsidRPr="00742410">
        <w:rPr>
          <w:rFonts w:ascii="Times New Roman" w:hAnsi="Times New Roman"/>
          <w:sz w:val="24"/>
          <w:szCs w:val="24"/>
        </w:rPr>
        <w:t xml:space="preserve">a netvoří ani lineární škálu, nýbrž že jsou naopak propojena v komplexní síť, v níž jeden typ rovnosti je zjistitelný </w:t>
      </w:r>
      <w:r>
        <w:rPr>
          <w:rFonts w:ascii="Times New Roman" w:hAnsi="Times New Roman"/>
          <w:sz w:val="24"/>
          <w:szCs w:val="24"/>
        </w:rPr>
        <w:t>a </w:t>
      </w:r>
      <w:r w:rsidRPr="00742410">
        <w:rPr>
          <w:rFonts w:ascii="Times New Roman" w:hAnsi="Times New Roman"/>
          <w:sz w:val="24"/>
          <w:szCs w:val="24"/>
        </w:rPr>
        <w:t xml:space="preserve">uskutečnitelný jedině prostřednictvím ostatních.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Podle řady mezinárodních i evropských institucí (např. UNICEF) za</w:t>
      </w:r>
      <w:r>
        <w:rPr>
          <w:rFonts w:ascii="Times New Roman" w:hAnsi="Times New Roman"/>
          <w:sz w:val="24"/>
          <w:szCs w:val="24"/>
        </w:rPr>
        <w:t xml:space="preserve">hrnuje stav genderové rovnosti </w:t>
      </w:r>
      <w:r w:rsidRPr="00742410">
        <w:rPr>
          <w:rFonts w:ascii="Times New Roman" w:hAnsi="Times New Roman"/>
          <w:sz w:val="24"/>
          <w:szCs w:val="24"/>
        </w:rPr>
        <w:t xml:space="preserve">ve vzdělávání dva aspekty – genderovou paritu, tj. obdobné zastoupení dívek </w:t>
      </w:r>
      <w:r>
        <w:rPr>
          <w:rFonts w:ascii="Times New Roman" w:hAnsi="Times New Roman"/>
          <w:sz w:val="24"/>
          <w:szCs w:val="24"/>
        </w:rPr>
        <w:t>a </w:t>
      </w:r>
      <w:r w:rsidRPr="00742410">
        <w:rPr>
          <w:rFonts w:ascii="Times New Roman" w:hAnsi="Times New Roman"/>
          <w:sz w:val="24"/>
          <w:szCs w:val="24"/>
        </w:rPr>
        <w:t xml:space="preserve">chlapců v různých vzdělávacích trajektoriích, a genderovou rovnost v podmínkách </w:t>
      </w:r>
      <w:r>
        <w:rPr>
          <w:rFonts w:ascii="Times New Roman" w:hAnsi="Times New Roman"/>
          <w:sz w:val="24"/>
          <w:szCs w:val="24"/>
        </w:rPr>
        <w:t>a </w:t>
      </w:r>
      <w:r w:rsidRPr="00742410">
        <w:rPr>
          <w:rFonts w:ascii="Times New Roman" w:hAnsi="Times New Roman"/>
          <w:sz w:val="24"/>
          <w:szCs w:val="24"/>
        </w:rPr>
        <w:t>průběhu vzdělávání</w:t>
      </w:r>
      <w:r w:rsidRPr="00742410">
        <w:rPr>
          <w:rStyle w:val="Znakapoznpodarou"/>
          <w:rFonts w:ascii="Times New Roman" w:hAnsi="Times New Roman"/>
          <w:sz w:val="24"/>
          <w:szCs w:val="24"/>
        </w:rPr>
        <w:footnoteReference w:id="9"/>
      </w:r>
      <w:r w:rsidRPr="00742410">
        <w:rPr>
          <w:rFonts w:ascii="Times New Roman" w:hAnsi="Times New Roman"/>
          <w:sz w:val="24"/>
          <w:szCs w:val="24"/>
        </w:rPr>
        <w:t xml:space="preserve">. Další instituce k tomuto pojetí (tj. rovné a spravedlivé zacházení s dívkami a chlapci) ještě přidávají požadavek, aby ve školním vzdělávání </w:t>
      </w:r>
      <w:r>
        <w:rPr>
          <w:rFonts w:ascii="Times New Roman" w:hAnsi="Times New Roman"/>
          <w:sz w:val="24"/>
          <w:szCs w:val="24"/>
        </w:rPr>
        <w:t>žáci a žákyně, studenti a studentky získali</w:t>
      </w:r>
      <w:r w:rsidRPr="00742410">
        <w:rPr>
          <w:rFonts w:ascii="Times New Roman" w:hAnsi="Times New Roman"/>
          <w:sz w:val="24"/>
          <w:szCs w:val="24"/>
        </w:rPr>
        <w:t xml:space="preserve"> informaci o existenci a povaze genderových stereotypů. Dojde-li k popisu a zvědomění genderových stereotypů, umožňuje se dětem, aby je následně mohly (ale i nemusely) záměrně odmítnout</w:t>
      </w:r>
      <w:r w:rsidRPr="00742410">
        <w:rPr>
          <w:rStyle w:val="Znakapoznpodarou"/>
          <w:rFonts w:ascii="Times New Roman" w:hAnsi="Times New Roman"/>
          <w:sz w:val="24"/>
          <w:szCs w:val="24"/>
        </w:rPr>
        <w:footnoteReference w:id="10"/>
      </w:r>
      <w:r w:rsidRPr="00742410">
        <w:rPr>
          <w:rFonts w:ascii="Times New Roman" w:hAnsi="Times New Roman"/>
          <w:sz w:val="24"/>
          <w:szCs w:val="24"/>
        </w:rPr>
        <w:t xml:space="preserve"> a tím snížit jejich negativní důsledky pro vzdělávací výsledky a volbu další trajektorie</w:t>
      </w:r>
      <w:r w:rsidRPr="00742410">
        <w:rPr>
          <w:rStyle w:val="Znakapoznpodarou"/>
          <w:rFonts w:ascii="Times New Roman" w:hAnsi="Times New Roman"/>
          <w:sz w:val="24"/>
          <w:szCs w:val="24"/>
        </w:rPr>
        <w:footnoteReference w:id="11"/>
      </w:r>
      <w:r w:rsidRPr="00742410">
        <w:rPr>
          <w:rFonts w:ascii="Times New Roman" w:hAnsi="Times New Roman"/>
          <w:sz w:val="24"/>
          <w:szCs w:val="24"/>
        </w:rPr>
        <w:t>.</w:t>
      </w:r>
    </w:p>
    <w:p w:rsidR="00561843" w:rsidRPr="00742410" w:rsidRDefault="00561843" w:rsidP="00B13DF3">
      <w:pPr>
        <w:spacing w:before="160"/>
        <w:jc w:val="both"/>
        <w:rPr>
          <w:rFonts w:ascii="Times New Roman" w:hAnsi="Times New Roman"/>
          <w:sz w:val="24"/>
          <w:szCs w:val="24"/>
        </w:rPr>
      </w:pPr>
      <w:r w:rsidRPr="00742410">
        <w:rPr>
          <w:rFonts w:ascii="Times New Roman" w:hAnsi="Times New Roman"/>
          <w:sz w:val="24"/>
          <w:szCs w:val="24"/>
        </w:rPr>
        <w:t>V českém vzdělávacím systému je rovnost chlapc</w:t>
      </w:r>
      <w:r>
        <w:rPr>
          <w:rFonts w:ascii="Times New Roman" w:hAnsi="Times New Roman"/>
          <w:sz w:val="24"/>
          <w:szCs w:val="24"/>
        </w:rPr>
        <w:t>ů a dívek zaručena Ústavou ČR, š</w:t>
      </w:r>
      <w:r w:rsidRPr="00742410">
        <w:rPr>
          <w:rFonts w:ascii="Times New Roman" w:hAnsi="Times New Roman"/>
          <w:sz w:val="24"/>
          <w:szCs w:val="24"/>
        </w:rPr>
        <w:t>kolským zákonem, podzákonnými normami i kurikulárními dokumenty. Ovš</w:t>
      </w:r>
      <w:r>
        <w:rPr>
          <w:rFonts w:ascii="Times New Roman" w:hAnsi="Times New Roman"/>
          <w:sz w:val="24"/>
          <w:szCs w:val="24"/>
        </w:rPr>
        <w:t xml:space="preserve">em vzhledem k nízkému povědomí </w:t>
      </w:r>
      <w:r w:rsidRPr="00742410">
        <w:rPr>
          <w:rFonts w:ascii="Times New Roman" w:hAnsi="Times New Roman"/>
          <w:sz w:val="24"/>
          <w:szCs w:val="24"/>
        </w:rPr>
        <w:t>o genderové problematice a omezené metodické podpoře vyučujících v zavádění genderově nestereotypního obsahu a metod výuky není genderová rovnosti ve školním vyučování zcela naplňována. Pozornost je proto třeba věnovat nejen oficiální, explicit</w:t>
      </w:r>
      <w:r>
        <w:rPr>
          <w:rFonts w:ascii="Times New Roman" w:hAnsi="Times New Roman"/>
          <w:sz w:val="24"/>
          <w:szCs w:val="24"/>
        </w:rPr>
        <w:t>ní rovině školského systému, ale</w:t>
      </w:r>
      <w:r w:rsidRPr="00742410">
        <w:rPr>
          <w:rFonts w:ascii="Times New Roman" w:hAnsi="Times New Roman"/>
          <w:sz w:val="24"/>
          <w:szCs w:val="24"/>
        </w:rPr>
        <w:t xml:space="preserve"> také (a zejména) neformální a implicitní rov</w:t>
      </w:r>
      <w:r>
        <w:rPr>
          <w:rFonts w:ascii="Times New Roman" w:hAnsi="Times New Roman"/>
          <w:sz w:val="24"/>
          <w:szCs w:val="24"/>
        </w:rPr>
        <w:t>ině každodenní školní reality.</w:t>
      </w:r>
    </w:p>
    <w:p w:rsidR="00561843" w:rsidRPr="00740749" w:rsidRDefault="00740749" w:rsidP="00740749">
      <w:pPr>
        <w:pStyle w:val="Nadpis1"/>
        <w:numPr>
          <w:ilvl w:val="0"/>
          <w:numId w:val="6"/>
        </w:numPr>
        <w:spacing w:before="160" w:after="0" w:line="260" w:lineRule="exact"/>
        <w:jc w:val="both"/>
        <w:rPr>
          <w:rFonts w:ascii="Times New Roman" w:hAnsi="Times New Roman" w:cs="Times New Roman"/>
          <w:caps/>
          <w:sz w:val="24"/>
          <w:szCs w:val="24"/>
        </w:rPr>
      </w:pPr>
      <w:bookmarkStart w:id="4" w:name="_Toc361886376"/>
      <w:r>
        <w:rPr>
          <w:rFonts w:ascii="Times New Roman" w:hAnsi="Times New Roman" w:cs="Times New Roman"/>
          <w:caps/>
          <w:sz w:val="24"/>
          <w:szCs w:val="24"/>
        </w:rPr>
        <w:t xml:space="preserve">INSTITUCIONÁLNÍ </w:t>
      </w:r>
      <w:r w:rsidR="00561843" w:rsidRPr="00740749">
        <w:rPr>
          <w:rFonts w:ascii="Times New Roman" w:hAnsi="Times New Roman" w:cs="Times New Roman"/>
          <w:caps/>
          <w:sz w:val="24"/>
          <w:szCs w:val="24"/>
        </w:rPr>
        <w:t>ZAJIŠTĚNÍ</w:t>
      </w:r>
      <w:r>
        <w:rPr>
          <w:rFonts w:ascii="Times New Roman" w:hAnsi="Times New Roman" w:cs="Times New Roman"/>
          <w:caps/>
          <w:sz w:val="24"/>
          <w:szCs w:val="24"/>
        </w:rPr>
        <w:t xml:space="preserve"> </w:t>
      </w:r>
      <w:r w:rsidRPr="00740749">
        <w:rPr>
          <w:rFonts w:ascii="Times New Roman" w:hAnsi="Times New Roman" w:cs="Times New Roman"/>
          <w:caps/>
          <w:sz w:val="24"/>
          <w:szCs w:val="24"/>
        </w:rPr>
        <w:t>POLITIKY</w:t>
      </w:r>
      <w:r>
        <w:rPr>
          <w:rFonts w:ascii="Times New Roman" w:hAnsi="Times New Roman" w:cs="Times New Roman"/>
          <w:caps/>
          <w:sz w:val="24"/>
          <w:szCs w:val="24"/>
        </w:rPr>
        <w:t xml:space="preserve"> </w:t>
      </w:r>
      <w:r w:rsidRPr="00740749">
        <w:rPr>
          <w:rFonts w:ascii="Times New Roman" w:hAnsi="Times New Roman" w:cs="Times New Roman"/>
          <w:caps/>
          <w:sz w:val="24"/>
          <w:szCs w:val="24"/>
        </w:rPr>
        <w:t>GENDEROVÉ</w:t>
      </w:r>
      <w:r>
        <w:rPr>
          <w:rFonts w:ascii="Times New Roman" w:hAnsi="Times New Roman" w:cs="Times New Roman"/>
          <w:caps/>
          <w:sz w:val="24"/>
          <w:szCs w:val="24"/>
        </w:rPr>
        <w:t xml:space="preserve"> </w:t>
      </w:r>
      <w:r w:rsidRPr="00740749">
        <w:rPr>
          <w:rFonts w:ascii="Times New Roman" w:hAnsi="Times New Roman" w:cs="Times New Roman"/>
          <w:caps/>
          <w:sz w:val="24"/>
          <w:szCs w:val="24"/>
        </w:rPr>
        <w:t>ROVNOST</w:t>
      </w:r>
      <w:r>
        <w:rPr>
          <w:rFonts w:ascii="Times New Roman" w:hAnsi="Times New Roman" w:cs="Times New Roman"/>
          <w:caps/>
          <w:sz w:val="24"/>
          <w:szCs w:val="24"/>
        </w:rPr>
        <w:t xml:space="preserve">I </w:t>
      </w:r>
      <w:r w:rsidRPr="00740749">
        <w:rPr>
          <w:rFonts w:ascii="Times New Roman" w:hAnsi="Times New Roman" w:cs="Times New Roman"/>
          <w:caps/>
          <w:sz w:val="24"/>
          <w:szCs w:val="24"/>
        </w:rPr>
        <w:t>VE</w:t>
      </w:r>
      <w:r>
        <w:rPr>
          <w:rFonts w:ascii="Times New Roman" w:hAnsi="Times New Roman" w:cs="Times New Roman"/>
          <w:caps/>
          <w:sz w:val="24"/>
          <w:szCs w:val="24"/>
        </w:rPr>
        <w:t xml:space="preserve"> </w:t>
      </w:r>
      <w:r w:rsidR="00561843" w:rsidRPr="00740749">
        <w:rPr>
          <w:rFonts w:ascii="Times New Roman" w:hAnsi="Times New Roman" w:cs="Times New Roman"/>
          <w:caps/>
          <w:sz w:val="24"/>
          <w:szCs w:val="24"/>
        </w:rPr>
        <w:t>VZDĚLÁVÁNÍ</w:t>
      </w:r>
      <w:bookmarkEnd w:id="4"/>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Jak bylo řečeno v úvodu, MŠMT se explicitně hlásí k rovným příleži</w:t>
      </w:r>
      <w:r>
        <w:rPr>
          <w:rFonts w:ascii="Times New Roman" w:hAnsi="Times New Roman"/>
          <w:sz w:val="24"/>
          <w:szCs w:val="24"/>
        </w:rPr>
        <w:t xml:space="preserve">tostem žen a mužů již více než </w:t>
      </w:r>
      <w:r w:rsidRPr="00742410">
        <w:rPr>
          <w:rFonts w:ascii="Times New Roman" w:hAnsi="Times New Roman"/>
          <w:sz w:val="24"/>
          <w:szCs w:val="24"/>
        </w:rPr>
        <w:t xml:space="preserve">12 let. Po většinu tohoto období byla agenda rovných příležitostí pro muže </w:t>
      </w:r>
      <w:r>
        <w:rPr>
          <w:rFonts w:ascii="Times New Roman" w:hAnsi="Times New Roman"/>
          <w:sz w:val="24"/>
          <w:szCs w:val="24"/>
        </w:rPr>
        <w:t>a ženy na </w:t>
      </w:r>
      <w:r w:rsidRPr="00742410">
        <w:rPr>
          <w:rFonts w:ascii="Times New Roman" w:hAnsi="Times New Roman"/>
          <w:sz w:val="24"/>
          <w:szCs w:val="24"/>
        </w:rPr>
        <w:t xml:space="preserve">MŠMT zajišťována v rámci funkce koordinátora/ky pro oblast rovných příležitostí žen </w:t>
      </w:r>
      <w:r>
        <w:rPr>
          <w:rFonts w:ascii="Times New Roman" w:hAnsi="Times New Roman"/>
          <w:sz w:val="24"/>
          <w:szCs w:val="24"/>
        </w:rPr>
        <w:t>a </w:t>
      </w:r>
      <w:r w:rsidRPr="00742410">
        <w:rPr>
          <w:rFonts w:ascii="Times New Roman" w:hAnsi="Times New Roman"/>
          <w:sz w:val="24"/>
          <w:szCs w:val="24"/>
        </w:rPr>
        <w:t xml:space="preserve">mužů (tzv. gender focal point), která představovala zhruba poloviční pracovní úvazek. </w:t>
      </w:r>
      <w:r>
        <w:rPr>
          <w:rFonts w:ascii="Times New Roman" w:hAnsi="Times New Roman"/>
          <w:sz w:val="24"/>
          <w:szCs w:val="24"/>
        </w:rPr>
        <w:t>V </w:t>
      </w:r>
      <w:r w:rsidRPr="00742410">
        <w:rPr>
          <w:rFonts w:ascii="Times New Roman" w:hAnsi="Times New Roman"/>
          <w:sz w:val="24"/>
          <w:szCs w:val="24"/>
        </w:rPr>
        <w:t>roce 2007 došlo ke zřízení Skupiny pro sociální programy ve školství</w:t>
      </w:r>
      <w:r>
        <w:rPr>
          <w:rFonts w:ascii="Times New Roman" w:hAnsi="Times New Roman"/>
          <w:sz w:val="24"/>
          <w:szCs w:val="24"/>
        </w:rPr>
        <w:t xml:space="preserve"> </w:t>
      </w:r>
      <w:r w:rsidRPr="00742410">
        <w:rPr>
          <w:rFonts w:ascii="Times New Roman" w:hAnsi="Times New Roman"/>
          <w:sz w:val="24"/>
          <w:szCs w:val="24"/>
        </w:rPr>
        <w:t>(skupiny VI), jejíž součástí bylo</w:t>
      </w:r>
      <w:r>
        <w:rPr>
          <w:rFonts w:ascii="Times New Roman" w:hAnsi="Times New Roman"/>
          <w:sz w:val="24"/>
          <w:szCs w:val="24"/>
        </w:rPr>
        <w:t xml:space="preserve"> </w:t>
      </w:r>
      <w:r w:rsidRPr="00742410">
        <w:rPr>
          <w:rFonts w:ascii="Times New Roman" w:hAnsi="Times New Roman"/>
          <w:sz w:val="24"/>
          <w:szCs w:val="24"/>
        </w:rPr>
        <w:t xml:space="preserve">i oddělení rovných příležitostí. Ta se posléze transformovala, takže agenda genderové rovnosti náležela k Odboru speciálního vzdělávání, prevence a institucionální výchovy (odbor 27), aniž by však existovalo samostatné oddělení rovných příležitostí. Aktuálně je agenda umístěna do Odboru vzdělávací soustavy (odbor 20), oddělení koncepce vzdělávací soustavy, kde je nadále zajišťována prostřednictvím funkce koordinátora/ky </w:t>
      </w:r>
      <w:r>
        <w:rPr>
          <w:rFonts w:ascii="Times New Roman" w:hAnsi="Times New Roman"/>
          <w:sz w:val="24"/>
          <w:szCs w:val="24"/>
        </w:rPr>
        <w:t>pro </w:t>
      </w:r>
      <w:r w:rsidRPr="00742410">
        <w:rPr>
          <w:rFonts w:ascii="Times New Roman" w:hAnsi="Times New Roman"/>
          <w:sz w:val="24"/>
          <w:szCs w:val="24"/>
        </w:rPr>
        <w:t xml:space="preserve">oblast rovných příležitostí žen a mužů s rozsahem cca 1/3 úvazku. </w:t>
      </w:r>
    </w:p>
    <w:p w:rsidR="00561843"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V posledních letech prodělalo institucionální zajištění agendy genderové rovnosti relativně rychlé změny, které se sebou přinesly i obtížné plánování a prosazování politických kroků v dané oblasti. Vysoká proměnlivost podmínek, které navíc momentálně vykazují tendenci </w:t>
      </w:r>
      <w:r w:rsidRPr="00742410">
        <w:rPr>
          <w:rFonts w:ascii="Times New Roman" w:hAnsi="Times New Roman"/>
          <w:sz w:val="24"/>
          <w:szCs w:val="24"/>
        </w:rPr>
        <w:lastRenderedPageBreak/>
        <w:t xml:space="preserve">k omezování zdrojů, má rovněž symbolický význam z hlediska vnímání významu genderové rovnosti veřejností. Možné posílení a stabilizace organizačního zajištění je důležitým krokem pro zkvalitňování politiky genderové rovnosti i důkazem váhy, kterou MŠMT této agendě přikládá. </w:t>
      </w:r>
    </w:p>
    <w:p w:rsidR="00561843" w:rsidRPr="00742410" w:rsidRDefault="00561843" w:rsidP="00A11D23">
      <w:pPr>
        <w:spacing w:before="160"/>
        <w:jc w:val="both"/>
        <w:rPr>
          <w:rFonts w:ascii="Times New Roman" w:hAnsi="Times New Roman"/>
          <w:sz w:val="24"/>
          <w:szCs w:val="24"/>
        </w:rPr>
      </w:pPr>
    </w:p>
    <w:p w:rsidR="00561843" w:rsidRPr="00742410" w:rsidRDefault="00561843" w:rsidP="00A11D23">
      <w:pPr>
        <w:pStyle w:val="Nadpis1"/>
        <w:numPr>
          <w:ilvl w:val="0"/>
          <w:numId w:val="6"/>
        </w:numPr>
        <w:tabs>
          <w:tab w:val="clear" w:pos="720"/>
          <w:tab w:val="num" w:pos="360"/>
        </w:tabs>
        <w:spacing w:before="160" w:after="0" w:line="276" w:lineRule="auto"/>
        <w:ind w:hanging="720"/>
        <w:jc w:val="both"/>
        <w:rPr>
          <w:rFonts w:ascii="Times New Roman" w:hAnsi="Times New Roman" w:cs="Times New Roman"/>
          <w:caps/>
          <w:sz w:val="24"/>
          <w:szCs w:val="24"/>
        </w:rPr>
      </w:pPr>
      <w:bookmarkStart w:id="5" w:name="_Toc296872965"/>
      <w:bookmarkStart w:id="6" w:name="_Toc361886377"/>
      <w:r w:rsidRPr="00742410">
        <w:rPr>
          <w:rFonts w:ascii="Times New Roman" w:hAnsi="Times New Roman" w:cs="Times New Roman"/>
          <w:caps/>
          <w:sz w:val="24"/>
          <w:szCs w:val="24"/>
        </w:rPr>
        <w:t>zastoupení žen a mužů v učitelské populaci</w:t>
      </w:r>
      <w:bookmarkEnd w:id="5"/>
      <w:r>
        <w:rPr>
          <w:rStyle w:val="Znakapoznpodarou"/>
          <w:rFonts w:ascii="Times New Roman" w:hAnsi="Times New Roman"/>
          <w:caps/>
          <w:sz w:val="24"/>
          <w:szCs w:val="24"/>
        </w:rPr>
        <w:footnoteReference w:id="12"/>
      </w:r>
      <w:bookmarkEnd w:id="6"/>
    </w:p>
    <w:p w:rsidR="00561843"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Ženy tvoří </w:t>
      </w:r>
      <w:r>
        <w:rPr>
          <w:rFonts w:ascii="Times New Roman" w:hAnsi="Times New Roman"/>
          <w:sz w:val="24"/>
          <w:szCs w:val="24"/>
        </w:rPr>
        <w:t>78</w:t>
      </w:r>
      <w:r w:rsidRPr="00742410">
        <w:rPr>
          <w:rFonts w:ascii="Times New Roman" w:hAnsi="Times New Roman"/>
          <w:sz w:val="24"/>
          <w:szCs w:val="24"/>
        </w:rPr>
        <w:t xml:space="preserve"> % osob zaměstnaných ve školství</w:t>
      </w:r>
      <w:r>
        <w:rPr>
          <w:rFonts w:ascii="Times New Roman" w:hAnsi="Times New Roman"/>
          <w:sz w:val="24"/>
          <w:szCs w:val="24"/>
        </w:rPr>
        <w:t xml:space="preserve"> na učitelské pozici</w:t>
      </w:r>
      <w:r w:rsidRPr="00742410">
        <w:rPr>
          <w:rFonts w:ascii="Times New Roman" w:hAnsi="Times New Roman"/>
          <w:sz w:val="24"/>
          <w:szCs w:val="24"/>
        </w:rPr>
        <w:t>. Podíl žen a mužů se mění v závislosti na stupni škol. V mateřských školách ženy výhradně dominují. Čím vyšší je stupeň vzdělávání, tím je větší podíl mužů; až na úrovni vysokých škol muži naopak převažují. Aktuální údaje uvádí tabulka č. 1.</w:t>
      </w:r>
      <w:r w:rsidRPr="00687A5F">
        <w:rPr>
          <w:rFonts w:ascii="Times New Roman" w:hAnsi="Times New Roman"/>
          <w:sz w:val="24"/>
          <w:szCs w:val="24"/>
        </w:rPr>
        <w:t xml:space="preserve"> </w:t>
      </w:r>
    </w:p>
    <w:p w:rsidR="00561843" w:rsidRPr="00687A5F" w:rsidRDefault="00561843" w:rsidP="00C9378D">
      <w:pPr>
        <w:spacing w:before="160"/>
        <w:jc w:val="center"/>
        <w:rPr>
          <w:rFonts w:ascii="Times New Roman" w:hAnsi="Times New Roman"/>
          <w:b/>
          <w:sz w:val="24"/>
          <w:szCs w:val="24"/>
        </w:rPr>
      </w:pPr>
      <w:r w:rsidRPr="00687A5F">
        <w:rPr>
          <w:rFonts w:ascii="Times New Roman" w:hAnsi="Times New Roman"/>
          <w:b/>
          <w:sz w:val="24"/>
          <w:szCs w:val="24"/>
        </w:rPr>
        <w:t xml:space="preserve">Tabulka č. 1: </w:t>
      </w:r>
      <w:r>
        <w:rPr>
          <w:rFonts w:ascii="Times New Roman" w:hAnsi="Times New Roman"/>
          <w:b/>
          <w:sz w:val="24"/>
          <w:szCs w:val="24"/>
        </w:rPr>
        <w:t xml:space="preserve">Učitelky a učitelé v </w:t>
      </w:r>
      <w:r w:rsidRPr="00687A5F">
        <w:rPr>
          <w:rFonts w:ascii="Times New Roman" w:hAnsi="Times New Roman"/>
          <w:b/>
          <w:sz w:val="24"/>
          <w:szCs w:val="24"/>
        </w:rPr>
        <w:t>jednotlivých typech a druzíc</w:t>
      </w:r>
      <w:r>
        <w:rPr>
          <w:rFonts w:ascii="Times New Roman" w:hAnsi="Times New Roman"/>
          <w:b/>
          <w:sz w:val="24"/>
          <w:szCs w:val="24"/>
        </w:rPr>
        <w:t xml:space="preserve">h škol </w:t>
      </w:r>
      <w:r>
        <w:rPr>
          <w:rFonts w:ascii="Times New Roman" w:hAnsi="Times New Roman"/>
          <w:b/>
          <w:sz w:val="24"/>
          <w:szCs w:val="24"/>
        </w:rPr>
        <w:br/>
        <w:t xml:space="preserve">ve školním </w:t>
      </w:r>
      <w:r w:rsidRPr="00687A5F">
        <w:rPr>
          <w:rFonts w:ascii="Times New Roman" w:hAnsi="Times New Roman"/>
          <w:b/>
          <w:sz w:val="24"/>
          <w:szCs w:val="24"/>
        </w:rPr>
        <w:t>roce 201</w:t>
      </w:r>
      <w:r w:rsidR="00404787">
        <w:rPr>
          <w:rFonts w:ascii="Times New Roman" w:hAnsi="Times New Roman"/>
          <w:b/>
          <w:sz w:val="24"/>
          <w:szCs w:val="24"/>
        </w:rPr>
        <w:t>2</w:t>
      </w:r>
      <w:r w:rsidRPr="00687A5F">
        <w:rPr>
          <w:rFonts w:ascii="Times New Roman" w:hAnsi="Times New Roman"/>
          <w:b/>
          <w:sz w:val="24"/>
          <w:szCs w:val="24"/>
        </w:rPr>
        <w:t>/2013</w:t>
      </w:r>
      <w:r w:rsidR="00404787">
        <w:rPr>
          <w:rFonts w:ascii="Times New Roman" w:hAnsi="Times New Roman"/>
          <w:b/>
          <w:sz w:val="24"/>
          <w:szCs w:val="24"/>
        </w:rPr>
        <w:t xml:space="preserve"> </w:t>
      </w:r>
    </w:p>
    <w:tbl>
      <w:tblPr>
        <w:tblpPr w:leftFromText="141" w:rightFromText="141" w:vertAnchor="page" w:horzAnchor="margin" w:tblpXSpec="center" w:tblpY="5855"/>
        <w:tblW w:w="8292" w:type="dxa"/>
        <w:tblCellMar>
          <w:left w:w="70" w:type="dxa"/>
          <w:right w:w="70" w:type="dxa"/>
        </w:tblCellMar>
        <w:tblLook w:val="0000" w:firstRow="0" w:lastRow="0" w:firstColumn="0" w:lastColumn="0" w:noHBand="0" w:noVBand="0"/>
      </w:tblPr>
      <w:tblGrid>
        <w:gridCol w:w="2541"/>
        <w:gridCol w:w="3377"/>
        <w:gridCol w:w="1076"/>
        <w:gridCol w:w="1298"/>
      </w:tblGrid>
      <w:tr w:rsidR="00561843" w:rsidRPr="001F460A" w:rsidTr="00C9378D">
        <w:trPr>
          <w:trHeight w:val="959"/>
        </w:trPr>
        <w:tc>
          <w:tcPr>
            <w:tcW w:w="2541" w:type="dxa"/>
            <w:tcBorders>
              <w:top w:val="single" w:sz="4" w:space="0" w:color="auto"/>
              <w:left w:val="single" w:sz="4" w:space="0" w:color="auto"/>
              <w:bottom w:val="single" w:sz="4" w:space="0" w:color="000000"/>
              <w:right w:val="single" w:sz="4" w:space="0" w:color="auto"/>
            </w:tcBorders>
            <w:shd w:val="clear" w:color="auto" w:fill="F2F2F2"/>
            <w:noWrap/>
            <w:vAlign w:val="center"/>
          </w:tcPr>
          <w:p w:rsidR="00561843" w:rsidRPr="001F460A" w:rsidRDefault="00561843" w:rsidP="00C9378D">
            <w:pPr>
              <w:pStyle w:val="Bezmezer"/>
              <w:rPr>
                <w:rFonts w:ascii="Times New Roman" w:hAnsi="Times New Roman"/>
                <w:b/>
                <w:sz w:val="24"/>
                <w:szCs w:val="24"/>
              </w:rPr>
            </w:pPr>
            <w:r w:rsidRPr="001F460A">
              <w:rPr>
                <w:rFonts w:ascii="Times New Roman" w:hAnsi="Times New Roman"/>
                <w:b/>
                <w:sz w:val="24"/>
                <w:szCs w:val="24"/>
              </w:rPr>
              <w:t>Stupeň vzdělávání</w:t>
            </w:r>
          </w:p>
        </w:tc>
        <w:tc>
          <w:tcPr>
            <w:tcW w:w="3377" w:type="dxa"/>
            <w:tcBorders>
              <w:top w:val="single" w:sz="4" w:space="0" w:color="auto"/>
              <w:left w:val="single" w:sz="4" w:space="0" w:color="auto"/>
              <w:right w:val="single" w:sz="4" w:space="0" w:color="auto"/>
            </w:tcBorders>
            <w:shd w:val="clear" w:color="auto" w:fill="F2F2F2"/>
            <w:vAlign w:val="center"/>
          </w:tcPr>
          <w:p w:rsidR="00561843" w:rsidRPr="001F460A" w:rsidRDefault="00561843" w:rsidP="00C9378D">
            <w:pPr>
              <w:pStyle w:val="Bezmezer"/>
              <w:rPr>
                <w:rFonts w:ascii="Times New Roman" w:hAnsi="Times New Roman"/>
                <w:b/>
                <w:sz w:val="24"/>
                <w:szCs w:val="24"/>
              </w:rPr>
            </w:pPr>
            <w:r w:rsidRPr="001F460A">
              <w:rPr>
                <w:rFonts w:ascii="Times New Roman" w:hAnsi="Times New Roman"/>
                <w:b/>
                <w:sz w:val="24"/>
                <w:szCs w:val="24"/>
              </w:rPr>
              <w:t xml:space="preserve">učitelé/učitelky </w:t>
            </w:r>
            <w:r w:rsidRPr="001F460A">
              <w:rPr>
                <w:rFonts w:ascii="Times New Roman" w:hAnsi="Times New Roman"/>
                <w:b/>
                <w:sz w:val="24"/>
                <w:szCs w:val="24"/>
              </w:rPr>
              <w:br/>
              <w:t>celkem</w:t>
            </w:r>
          </w:p>
        </w:tc>
        <w:tc>
          <w:tcPr>
            <w:tcW w:w="0" w:type="auto"/>
            <w:tcBorders>
              <w:top w:val="single" w:sz="4" w:space="0" w:color="auto"/>
              <w:left w:val="single" w:sz="4" w:space="0" w:color="auto"/>
              <w:right w:val="single" w:sz="4" w:space="0" w:color="auto"/>
            </w:tcBorders>
            <w:shd w:val="clear" w:color="auto" w:fill="F2F2F2"/>
            <w:vAlign w:val="center"/>
          </w:tcPr>
          <w:p w:rsidR="00561843" w:rsidRPr="001F460A" w:rsidRDefault="00561843" w:rsidP="00C9378D">
            <w:pPr>
              <w:pStyle w:val="Bezmezer"/>
              <w:rPr>
                <w:rFonts w:ascii="Times New Roman" w:hAnsi="Times New Roman"/>
                <w:b/>
                <w:sz w:val="24"/>
                <w:szCs w:val="24"/>
              </w:rPr>
            </w:pPr>
            <w:r w:rsidRPr="001F460A">
              <w:rPr>
                <w:rFonts w:ascii="Times New Roman" w:hAnsi="Times New Roman"/>
                <w:b/>
                <w:sz w:val="24"/>
                <w:szCs w:val="24"/>
              </w:rPr>
              <w:t>ženy (%)</w:t>
            </w:r>
          </w:p>
        </w:tc>
        <w:tc>
          <w:tcPr>
            <w:tcW w:w="1298" w:type="dxa"/>
            <w:tcBorders>
              <w:top w:val="single" w:sz="4" w:space="0" w:color="auto"/>
              <w:left w:val="single" w:sz="4" w:space="0" w:color="auto"/>
              <w:right w:val="single" w:sz="4" w:space="0" w:color="auto"/>
            </w:tcBorders>
            <w:shd w:val="clear" w:color="auto" w:fill="F2F2F2"/>
            <w:vAlign w:val="center"/>
          </w:tcPr>
          <w:p w:rsidR="00561843" w:rsidRPr="001F460A" w:rsidRDefault="00561843" w:rsidP="00C9378D">
            <w:pPr>
              <w:pStyle w:val="Bezmezer"/>
              <w:rPr>
                <w:rFonts w:ascii="Times New Roman" w:hAnsi="Times New Roman"/>
                <w:b/>
                <w:sz w:val="24"/>
                <w:szCs w:val="24"/>
              </w:rPr>
            </w:pPr>
            <w:r w:rsidRPr="001F460A">
              <w:rPr>
                <w:rFonts w:ascii="Times New Roman" w:hAnsi="Times New Roman"/>
                <w:b/>
                <w:sz w:val="24"/>
                <w:szCs w:val="24"/>
              </w:rPr>
              <w:t>muži (%)</w:t>
            </w:r>
          </w:p>
        </w:tc>
      </w:tr>
      <w:tr w:rsidR="00561843" w:rsidRPr="001F460A" w:rsidTr="00C9378D">
        <w:trPr>
          <w:trHeight w:val="326"/>
        </w:trPr>
        <w:tc>
          <w:tcPr>
            <w:tcW w:w="2541"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 xml:space="preserve">Mateřské školy </w:t>
            </w:r>
          </w:p>
        </w:tc>
        <w:tc>
          <w:tcPr>
            <w:tcW w:w="3377"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26 781</w:t>
            </w:r>
          </w:p>
        </w:tc>
        <w:tc>
          <w:tcPr>
            <w:tcW w:w="0" w:type="auto"/>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99,7 %</w:t>
            </w:r>
          </w:p>
        </w:tc>
        <w:tc>
          <w:tcPr>
            <w:tcW w:w="1298"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0,3 %</w:t>
            </w:r>
          </w:p>
        </w:tc>
      </w:tr>
      <w:tr w:rsidR="00561843" w:rsidRPr="001F460A" w:rsidTr="00C9378D">
        <w:trPr>
          <w:trHeight w:val="326"/>
        </w:trPr>
        <w:tc>
          <w:tcPr>
            <w:tcW w:w="2541"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Základní školy</w:t>
            </w:r>
          </w:p>
        </w:tc>
        <w:tc>
          <w:tcPr>
            <w:tcW w:w="3377"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57 815</w:t>
            </w:r>
          </w:p>
        </w:tc>
        <w:tc>
          <w:tcPr>
            <w:tcW w:w="0" w:type="auto"/>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84,3 %</w:t>
            </w:r>
          </w:p>
        </w:tc>
        <w:tc>
          <w:tcPr>
            <w:tcW w:w="1298"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15,7 %</w:t>
            </w:r>
          </w:p>
        </w:tc>
      </w:tr>
      <w:tr w:rsidR="00561843" w:rsidRPr="001F460A" w:rsidTr="00C9378D">
        <w:trPr>
          <w:trHeight w:val="326"/>
        </w:trPr>
        <w:tc>
          <w:tcPr>
            <w:tcW w:w="2541"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 xml:space="preserve">Střední školy </w:t>
            </w:r>
          </w:p>
        </w:tc>
        <w:tc>
          <w:tcPr>
            <w:tcW w:w="3377"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43 876</w:t>
            </w:r>
          </w:p>
        </w:tc>
        <w:tc>
          <w:tcPr>
            <w:tcW w:w="0" w:type="auto"/>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59,1 %</w:t>
            </w:r>
          </w:p>
        </w:tc>
        <w:tc>
          <w:tcPr>
            <w:tcW w:w="1298"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40,9 %</w:t>
            </w:r>
          </w:p>
        </w:tc>
      </w:tr>
      <w:tr w:rsidR="00561843" w:rsidRPr="001F460A" w:rsidTr="00C9378D">
        <w:trPr>
          <w:trHeight w:val="326"/>
        </w:trPr>
        <w:tc>
          <w:tcPr>
            <w:tcW w:w="2541"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Vyšší odborné školy</w:t>
            </w:r>
          </w:p>
        </w:tc>
        <w:tc>
          <w:tcPr>
            <w:tcW w:w="3377"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1 891</w:t>
            </w:r>
          </w:p>
        </w:tc>
        <w:tc>
          <w:tcPr>
            <w:tcW w:w="0" w:type="auto"/>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60,7 %</w:t>
            </w:r>
          </w:p>
        </w:tc>
        <w:tc>
          <w:tcPr>
            <w:tcW w:w="1298"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39,3 %</w:t>
            </w:r>
          </w:p>
        </w:tc>
      </w:tr>
      <w:tr w:rsidR="00561843" w:rsidRPr="001F460A" w:rsidTr="00C9378D">
        <w:trPr>
          <w:trHeight w:val="326"/>
        </w:trPr>
        <w:tc>
          <w:tcPr>
            <w:tcW w:w="2541"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 xml:space="preserve">Vysoké školy </w:t>
            </w:r>
          </w:p>
        </w:tc>
        <w:tc>
          <w:tcPr>
            <w:tcW w:w="3377"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21 816</w:t>
            </w:r>
          </w:p>
        </w:tc>
        <w:tc>
          <w:tcPr>
            <w:tcW w:w="0" w:type="auto"/>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35,3 %</w:t>
            </w:r>
          </w:p>
        </w:tc>
        <w:tc>
          <w:tcPr>
            <w:tcW w:w="1298" w:type="dxa"/>
            <w:tcBorders>
              <w:top w:val="single" w:sz="4" w:space="0" w:color="auto"/>
              <w:left w:val="single" w:sz="4" w:space="0" w:color="auto"/>
              <w:bottom w:val="single" w:sz="4" w:space="0" w:color="auto"/>
              <w:right w:val="single" w:sz="4" w:space="0" w:color="auto"/>
            </w:tcBorders>
          </w:tcPr>
          <w:p w:rsidR="00561843" w:rsidRPr="001F460A" w:rsidRDefault="00561843" w:rsidP="00C9378D">
            <w:pPr>
              <w:pStyle w:val="Bezmezer"/>
              <w:rPr>
                <w:rFonts w:ascii="Times New Roman" w:hAnsi="Times New Roman"/>
                <w:sz w:val="24"/>
                <w:szCs w:val="24"/>
              </w:rPr>
            </w:pPr>
            <w:r w:rsidRPr="001F460A">
              <w:rPr>
                <w:rFonts w:ascii="Times New Roman" w:hAnsi="Times New Roman"/>
                <w:sz w:val="24"/>
                <w:szCs w:val="24"/>
              </w:rPr>
              <w:t>64,7 %</w:t>
            </w:r>
          </w:p>
        </w:tc>
      </w:tr>
    </w:tbl>
    <w:p w:rsidR="00561843" w:rsidRDefault="00561843" w:rsidP="00687A5F">
      <w:pPr>
        <w:pStyle w:val="Bezmezer"/>
        <w:rPr>
          <w:rFonts w:ascii="Times New Roman" w:hAnsi="Times New Roman"/>
          <w:sz w:val="20"/>
          <w:szCs w:val="20"/>
        </w:rPr>
      </w:pPr>
    </w:p>
    <w:p w:rsidR="00561843" w:rsidRPr="00687A5F" w:rsidRDefault="00561843" w:rsidP="0070680B">
      <w:pPr>
        <w:pStyle w:val="Bezmezer"/>
        <w:rPr>
          <w:rFonts w:ascii="Times New Roman" w:hAnsi="Times New Roman"/>
          <w:sz w:val="20"/>
          <w:szCs w:val="20"/>
        </w:rPr>
      </w:pPr>
      <w:r w:rsidRPr="00687A5F">
        <w:rPr>
          <w:rFonts w:ascii="Times New Roman" w:hAnsi="Times New Roman"/>
          <w:sz w:val="20"/>
          <w:szCs w:val="20"/>
        </w:rPr>
        <w:t>Pramen: Zaostřeno na muže a ženy – Učitelé na jedn</w:t>
      </w:r>
      <w:r>
        <w:rPr>
          <w:rFonts w:ascii="Times New Roman" w:hAnsi="Times New Roman"/>
          <w:sz w:val="20"/>
          <w:szCs w:val="20"/>
        </w:rPr>
        <w:t xml:space="preserve">otlivých typech a druzích škol </w:t>
      </w:r>
      <w:r w:rsidRPr="00687A5F">
        <w:rPr>
          <w:rFonts w:ascii="Times New Roman" w:hAnsi="Times New Roman"/>
          <w:sz w:val="20"/>
          <w:szCs w:val="20"/>
        </w:rPr>
        <w:t>podle pohlaví 2011/2012, CZSO.</w:t>
      </w:r>
    </w:p>
    <w:p w:rsidR="00561843" w:rsidRDefault="00561843" w:rsidP="00A11D23">
      <w:pPr>
        <w:pStyle w:val="Textpoznpodarou"/>
        <w:spacing w:line="276" w:lineRule="auto"/>
        <w:jc w:val="both"/>
        <w:rPr>
          <w:rFonts w:ascii="Times New Roman" w:hAnsi="Times New Roman"/>
          <w:sz w:val="24"/>
          <w:szCs w:val="24"/>
        </w:rPr>
      </w:pPr>
    </w:p>
    <w:p w:rsidR="00561843" w:rsidRPr="00742410" w:rsidRDefault="00561843" w:rsidP="00A11D23">
      <w:pPr>
        <w:pStyle w:val="Textpoznpodarou"/>
        <w:spacing w:line="276" w:lineRule="auto"/>
        <w:jc w:val="both"/>
        <w:rPr>
          <w:rFonts w:ascii="Times New Roman" w:hAnsi="Times New Roman"/>
          <w:sz w:val="24"/>
          <w:szCs w:val="24"/>
        </w:rPr>
      </w:pPr>
      <w:r w:rsidRPr="00742410">
        <w:rPr>
          <w:rFonts w:ascii="Times New Roman" w:hAnsi="Times New Roman"/>
          <w:sz w:val="24"/>
          <w:szCs w:val="24"/>
        </w:rPr>
        <w:t>Údaje v tabulce zach</w:t>
      </w:r>
      <w:r>
        <w:rPr>
          <w:rFonts w:ascii="Times New Roman" w:hAnsi="Times New Roman"/>
          <w:sz w:val="24"/>
          <w:szCs w:val="24"/>
        </w:rPr>
        <w:t>ycují podíl žen a mužů na učitelské pozici</w:t>
      </w:r>
      <w:r w:rsidRPr="00742410">
        <w:rPr>
          <w:rFonts w:ascii="Times New Roman" w:hAnsi="Times New Roman"/>
          <w:sz w:val="24"/>
          <w:szCs w:val="24"/>
        </w:rPr>
        <w:t>. Mezi vyučujícími v mateřských školách je podíl mužů pouze 0,3 %. V pedagogických sborech středních škol včetně konzervatoří a vyšších odborných škol tvoří muži 36 %. V případě vysokých škol je podíl žen mezi akademickými pracovníky/zemi 40 %. Detailnější pohled na vyso</w:t>
      </w:r>
      <w:r>
        <w:rPr>
          <w:rFonts w:ascii="Times New Roman" w:hAnsi="Times New Roman"/>
          <w:sz w:val="24"/>
          <w:szCs w:val="24"/>
        </w:rPr>
        <w:t xml:space="preserve">ké školy ukazuje, že podíl žen </w:t>
      </w:r>
      <w:r w:rsidRPr="00742410">
        <w:rPr>
          <w:rFonts w:ascii="Times New Roman" w:hAnsi="Times New Roman"/>
          <w:sz w:val="24"/>
          <w:szCs w:val="24"/>
        </w:rPr>
        <w:t xml:space="preserve">a mužů variuje také v závislosti na dosažené akademické hodnosti. Na úrovni asistentů/ek tvoří muži 52 %, jejich podíl stoupá na pozici odborných asistentů (více než 60 % mužů versus necelých 40 % žen). V dalších kategoriích akademických pracovníků je podíl žen přibližně čtvrtinový a nižší (kategorie „pedagogičtí pracovnici výzkumu </w:t>
      </w:r>
      <w:r w:rsidR="00AA3C8A">
        <w:rPr>
          <w:rFonts w:ascii="Times New Roman" w:hAnsi="Times New Roman"/>
          <w:sz w:val="24"/>
          <w:szCs w:val="24"/>
        </w:rPr>
        <w:br/>
      </w:r>
      <w:r w:rsidRPr="00742410">
        <w:rPr>
          <w:rFonts w:ascii="Times New Roman" w:hAnsi="Times New Roman"/>
          <w:sz w:val="24"/>
          <w:szCs w:val="24"/>
        </w:rPr>
        <w:t xml:space="preserve">a vývoje“ se rozlišuje až od roku 2007). Na pozici „vysokoškolský profesor“ působí </w:t>
      </w:r>
      <w:r>
        <w:rPr>
          <w:rFonts w:ascii="Times New Roman" w:hAnsi="Times New Roman"/>
          <w:sz w:val="24"/>
          <w:szCs w:val="24"/>
        </w:rPr>
        <w:t xml:space="preserve">méně než </w:t>
      </w:r>
      <w:r w:rsidRPr="00742410">
        <w:rPr>
          <w:rFonts w:ascii="Times New Roman" w:hAnsi="Times New Roman"/>
          <w:sz w:val="24"/>
          <w:szCs w:val="24"/>
        </w:rPr>
        <w:t>12 % žen.</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Skutečnost, že podíl mužů stoupá se stupněm školy, je způsobena z části tím, že velká část středních, vyšších a vysokých škol je již odborně zaměřených a muži ve</w:t>
      </w:r>
      <w:r>
        <w:rPr>
          <w:rFonts w:ascii="Times New Roman" w:hAnsi="Times New Roman"/>
          <w:sz w:val="24"/>
          <w:szCs w:val="24"/>
        </w:rPr>
        <w:t xml:space="preserve"> větší míře než ženy vyučují prá</w:t>
      </w:r>
      <w:r w:rsidRPr="00742410">
        <w:rPr>
          <w:rFonts w:ascii="Times New Roman" w:hAnsi="Times New Roman"/>
          <w:sz w:val="24"/>
          <w:szCs w:val="24"/>
        </w:rPr>
        <w:t xml:space="preserve">vě odborné a praktické předměty (to platí zvláště na úrovni středního učňovského </w:t>
      </w:r>
      <w:r w:rsidRPr="00742410">
        <w:rPr>
          <w:rFonts w:ascii="Times New Roman" w:hAnsi="Times New Roman"/>
          <w:sz w:val="24"/>
          <w:szCs w:val="24"/>
        </w:rPr>
        <w:lastRenderedPageBreak/>
        <w:t>školství). Svou roli hraje také představa o povaze pedagogické práce s různě starými dětmi. Zatímco u mladších dětí se předpokládá, že práce učitelky/učitele se podobá více péči rodičů/matky (odkazuje k tomu i název mateřská škola), u starších dětí a mládeže se důraz přesouvá na ins</w:t>
      </w:r>
      <w:r>
        <w:rPr>
          <w:rFonts w:ascii="Times New Roman" w:hAnsi="Times New Roman"/>
          <w:sz w:val="24"/>
          <w:szCs w:val="24"/>
        </w:rPr>
        <w:t xml:space="preserve">trumentální transfer informací </w:t>
      </w:r>
      <w:r w:rsidRPr="00742410">
        <w:rPr>
          <w:rFonts w:ascii="Times New Roman" w:hAnsi="Times New Roman"/>
          <w:sz w:val="24"/>
          <w:szCs w:val="24"/>
        </w:rPr>
        <w:t>a ubývá péče, která je tradičně spojována s femininitou. Dalším faktorem, který se na daném trendu podílí, je nárůst prestiže učitelství na vyšších stupních vzdělávání. Jak ukazují zahraniční studie, tento faktor se promítá mimo jiné i do finančního ohodnocování a do míry spokojenosti vyučujících</w:t>
      </w:r>
      <w:r>
        <w:rPr>
          <w:rFonts w:ascii="Times New Roman" w:hAnsi="Times New Roman"/>
          <w:sz w:val="24"/>
          <w:szCs w:val="24"/>
        </w:rPr>
        <w:t xml:space="preserve"> (Kraimer 2008, </w:t>
      </w:r>
      <w:r w:rsidRPr="00BC7385">
        <w:rPr>
          <w:rFonts w:ascii="Times New Roman" w:hAnsi="Times New Roman"/>
          <w:sz w:val="24"/>
          <w:szCs w:val="24"/>
        </w:rPr>
        <w:t>Women and Work Commission 2005</w:t>
      </w:r>
      <w:r>
        <w:rPr>
          <w:rFonts w:ascii="Times New Roman" w:hAnsi="Times New Roman"/>
          <w:sz w:val="24"/>
          <w:szCs w:val="24"/>
        </w:rPr>
        <w:t>)</w:t>
      </w:r>
      <w:r w:rsidRPr="00742410">
        <w:rPr>
          <w:rFonts w:ascii="Times New Roman" w:hAnsi="Times New Roman"/>
          <w:sz w:val="24"/>
          <w:szCs w:val="24"/>
        </w:rPr>
        <w:t xml:space="preserve">.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Situace je podobná ve všech evropských zemích, tj. především na úrovni primárního </w:t>
      </w:r>
      <w:r>
        <w:rPr>
          <w:rFonts w:ascii="Times New Roman" w:hAnsi="Times New Roman"/>
          <w:sz w:val="24"/>
          <w:szCs w:val="24"/>
        </w:rPr>
        <w:t>a </w:t>
      </w:r>
      <w:r w:rsidRPr="00742410">
        <w:rPr>
          <w:rFonts w:ascii="Times New Roman" w:hAnsi="Times New Roman"/>
          <w:sz w:val="24"/>
          <w:szCs w:val="24"/>
        </w:rPr>
        <w:t>sekundárního školství převládají ženy. Konkrétní poměr žen a mužů se však v jednotlivých zemích liší. Poměr žen v učitelských profesích primárního a nižšího sekundárního školství je oproti průměru OECD vyšší.</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Zastoupení mužů a žen se liší rovněž podle hierarchie pracovních pozic. Ačkoli ženy převažují na všech stupních školství kromě terciárního, jejich zastoupení v řídících funkcích je menší, než by odpovídalo jejich celkovému podílu v učitelství. Na pozici ředitelů i zástupců ředitelů v regionálním školství muži tvoří přibližně 1/3. I v mezinárodním srovnání platí, že mezi vedoucími pracovníky/icemi škol je zastoupení mužů podstatně vyšší než mezi řadovými vyučujícími (Eurydice 2011). Nerovnoměrný podíl svědčí o odlišných podmínkách pro </w:t>
      </w:r>
      <w:r>
        <w:rPr>
          <w:rFonts w:ascii="Times New Roman" w:hAnsi="Times New Roman"/>
          <w:sz w:val="24"/>
          <w:szCs w:val="24"/>
        </w:rPr>
        <w:t xml:space="preserve">muže a </w:t>
      </w:r>
      <w:r w:rsidRPr="00742410">
        <w:rPr>
          <w:rFonts w:ascii="Times New Roman" w:hAnsi="Times New Roman"/>
          <w:sz w:val="24"/>
          <w:szCs w:val="24"/>
        </w:rPr>
        <w:t xml:space="preserve">ženy </w:t>
      </w:r>
      <w:r>
        <w:rPr>
          <w:rFonts w:ascii="Times New Roman" w:hAnsi="Times New Roman"/>
          <w:sz w:val="24"/>
          <w:szCs w:val="24"/>
        </w:rPr>
        <w:t xml:space="preserve">při ucházení o vedoucí místa </w:t>
      </w:r>
      <w:r w:rsidRPr="00742410">
        <w:rPr>
          <w:rFonts w:ascii="Times New Roman" w:hAnsi="Times New Roman"/>
          <w:sz w:val="24"/>
          <w:szCs w:val="24"/>
        </w:rPr>
        <w:t>a zároveň o panující atmosféře ve školství, která odráží širší společenské genderové nerovnosti</w:t>
      </w:r>
      <w:r w:rsidRPr="00742410">
        <w:rPr>
          <w:rStyle w:val="Znakapoznpodarou"/>
          <w:rFonts w:ascii="Times New Roman" w:hAnsi="Times New Roman"/>
          <w:sz w:val="24"/>
          <w:szCs w:val="24"/>
        </w:rPr>
        <w:footnoteReference w:id="13"/>
      </w:r>
      <w:r>
        <w:rPr>
          <w:rFonts w:ascii="Times New Roman" w:hAnsi="Times New Roman"/>
          <w:sz w:val="24"/>
          <w:szCs w:val="24"/>
        </w:rPr>
        <w:t>.</w:t>
      </w:r>
    </w:p>
    <w:p w:rsidR="00561843" w:rsidRPr="00742410" w:rsidRDefault="00561843" w:rsidP="00A11D23">
      <w:pPr>
        <w:spacing w:before="160"/>
        <w:jc w:val="both"/>
        <w:rPr>
          <w:rFonts w:ascii="Times New Roman" w:hAnsi="Times New Roman"/>
          <w:sz w:val="24"/>
          <w:szCs w:val="24"/>
        </w:rPr>
      </w:pPr>
    </w:p>
    <w:p w:rsidR="00561843"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caps/>
          <w:sz w:val="24"/>
          <w:szCs w:val="24"/>
        </w:rPr>
      </w:pPr>
      <w:bookmarkStart w:id="7" w:name="_Toc361886378"/>
      <w:r w:rsidRPr="00742410">
        <w:rPr>
          <w:rFonts w:ascii="Times New Roman" w:hAnsi="Times New Roman" w:cs="Times New Roman"/>
          <w:caps/>
          <w:sz w:val="24"/>
          <w:szCs w:val="24"/>
        </w:rPr>
        <w:t>zastoupení dívek a chlapců v žákovské populaci</w:t>
      </w:r>
      <w:bookmarkEnd w:id="7"/>
    </w:p>
    <w:p w:rsidR="001A4B2C" w:rsidRPr="001A4B2C" w:rsidRDefault="001A4B2C" w:rsidP="001A4B2C">
      <w:pPr>
        <w:rPr>
          <w:lang w:eastAsia="cs-CZ"/>
        </w:rPr>
      </w:pP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8" w:name="_Toc361886379"/>
      <w:r>
        <w:rPr>
          <w:rFonts w:ascii="Times New Roman" w:hAnsi="Times New Roman" w:cs="Times New Roman"/>
          <w:sz w:val="24"/>
          <w:szCs w:val="24"/>
        </w:rPr>
        <w:t>P</w:t>
      </w:r>
      <w:r w:rsidRPr="00742410">
        <w:rPr>
          <w:rFonts w:ascii="Times New Roman" w:hAnsi="Times New Roman" w:cs="Times New Roman"/>
          <w:sz w:val="24"/>
          <w:szCs w:val="24"/>
        </w:rPr>
        <w:t>odíl dívek a chlapců na jednotlivých stupních a typech škol</w:t>
      </w:r>
      <w:bookmarkEnd w:id="8"/>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Z formálního hlediska nabízí český školský systém rovný přístup dívek a chlapců ke vzdělání, neboť žádný stupeň, ani obor studia nepoužívá a priori kritérium genderu pro možnost přihlášení a přijetí ke studiu. Přesto školský systém obsahuje řadu rozdílů v podílu dívek </w:t>
      </w:r>
      <w:r>
        <w:rPr>
          <w:rFonts w:ascii="Times New Roman" w:hAnsi="Times New Roman"/>
          <w:sz w:val="24"/>
          <w:szCs w:val="24"/>
        </w:rPr>
        <w:t>a </w:t>
      </w:r>
      <w:r w:rsidRPr="00742410">
        <w:rPr>
          <w:rFonts w:ascii="Times New Roman" w:hAnsi="Times New Roman"/>
          <w:sz w:val="24"/>
          <w:szCs w:val="24"/>
        </w:rPr>
        <w:t xml:space="preserve">chlapců, a to jak z hlediska vzdělávacího stupně, tak oboru. Tyto rozdíly vznikají kombinací genderově specifické volby na straně studujících a jejich rodičů (podrobněji viz kapitola 7) </w:t>
      </w:r>
      <w:r>
        <w:rPr>
          <w:rFonts w:ascii="Times New Roman" w:hAnsi="Times New Roman"/>
          <w:sz w:val="24"/>
          <w:szCs w:val="24"/>
        </w:rPr>
        <w:t>a </w:t>
      </w:r>
      <w:r w:rsidRPr="00742410">
        <w:rPr>
          <w:rFonts w:ascii="Times New Roman" w:hAnsi="Times New Roman"/>
          <w:sz w:val="24"/>
          <w:szCs w:val="24"/>
        </w:rPr>
        <w:t xml:space="preserve">genderově zatížených neformálních požadavků, které školy, resp. jednotliví vyučující ovlivnění genderovými stereotypy využívají při propagaci studia a přijímacím řízení. Jak ukazuje následující graf č. 1, až do úrovně středního školství je celkový podíl dívek a chlapců relativně vyrovnaný. Bližší pozornost by měla být věnována terciárnímu vzdělávání, které celkově vykazuje výraznější rozdíly (přes 10 procentních bodů). </w:t>
      </w:r>
    </w:p>
    <w:p w:rsidR="00561843" w:rsidRPr="00742410" w:rsidRDefault="00AA3C8A" w:rsidP="00742410">
      <w:pPr>
        <w:autoSpaceDE w:val="0"/>
        <w:autoSpaceDN w:val="0"/>
        <w:adjustRightInd w:val="0"/>
        <w:spacing w:before="160"/>
        <w:jc w:val="center"/>
        <w:rPr>
          <w:rFonts w:ascii="Times New Roman" w:hAnsi="Times New Roman"/>
          <w:sz w:val="24"/>
          <w:szCs w:val="24"/>
        </w:rPr>
      </w:pPr>
      <w:r>
        <w:rPr>
          <w:rFonts w:ascii="Times New Roman" w:hAnsi="Times New Roman"/>
          <w:noProof/>
          <w:sz w:val="24"/>
          <w:szCs w:val="24"/>
          <w:lang w:eastAsia="cs-CZ"/>
        </w:rPr>
        <w:lastRenderedPageBreak/>
        <w:drawing>
          <wp:inline distT="0" distB="0" distL="0" distR="0">
            <wp:extent cx="4464050" cy="2713990"/>
            <wp:effectExtent l="0" t="0" r="12700" b="10160"/>
            <wp:docPr id="1" name="Graf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1843" w:rsidRPr="00687A5F" w:rsidRDefault="00561843" w:rsidP="00742410">
      <w:pPr>
        <w:autoSpaceDE w:val="0"/>
        <w:autoSpaceDN w:val="0"/>
        <w:adjustRightInd w:val="0"/>
        <w:spacing w:before="160"/>
        <w:jc w:val="center"/>
        <w:rPr>
          <w:rFonts w:ascii="Times New Roman" w:hAnsi="Times New Roman"/>
          <w:sz w:val="20"/>
          <w:szCs w:val="20"/>
        </w:rPr>
      </w:pPr>
      <w:r w:rsidRPr="00687A5F">
        <w:rPr>
          <w:rFonts w:ascii="Times New Roman" w:hAnsi="Times New Roman"/>
          <w:sz w:val="20"/>
          <w:szCs w:val="20"/>
        </w:rPr>
        <w:t>Pramen: Statistická ročenka školství – Výkonové ukazatele 2012/2013. ÚIV, 2012.</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I v případě nižších vzdělávacích stupňů jsou však existující celkové </w:t>
      </w:r>
      <w:r>
        <w:rPr>
          <w:rFonts w:ascii="Times New Roman" w:hAnsi="Times New Roman"/>
          <w:sz w:val="24"/>
          <w:szCs w:val="24"/>
        </w:rPr>
        <w:t xml:space="preserve">i dílčí rozdíly v podílu dívek </w:t>
      </w:r>
      <w:r w:rsidRPr="00742410">
        <w:rPr>
          <w:rFonts w:ascii="Times New Roman" w:hAnsi="Times New Roman"/>
          <w:sz w:val="24"/>
          <w:szCs w:val="24"/>
        </w:rPr>
        <w:t xml:space="preserve">a chlapců hodné bližšího rozboru. Genderové rozdíly se objevují již při nástupu dětí </w:t>
      </w:r>
      <w:r>
        <w:rPr>
          <w:rFonts w:ascii="Times New Roman" w:hAnsi="Times New Roman"/>
          <w:sz w:val="24"/>
          <w:szCs w:val="24"/>
        </w:rPr>
        <w:t>do </w:t>
      </w:r>
      <w:r w:rsidRPr="00742410">
        <w:rPr>
          <w:rFonts w:ascii="Times New Roman" w:hAnsi="Times New Roman"/>
          <w:sz w:val="24"/>
          <w:szCs w:val="24"/>
        </w:rPr>
        <w:t>prvního ročníku. Statistiky ukazují, že dívek nastupujících ve věku 6 let školní docházku je výrazně více než chlapců. Naopak ve věku 7 let a starším je podíl chlapců vyšší než podíl dívek. Relativně vysoký podíl odkladů povinné školní docházky a jejich nerovnoměrná distribuce mezi chlapce</w:t>
      </w:r>
      <w:r>
        <w:rPr>
          <w:rFonts w:ascii="Times New Roman" w:hAnsi="Times New Roman"/>
          <w:sz w:val="24"/>
          <w:szCs w:val="24"/>
        </w:rPr>
        <w:t xml:space="preserve"> a díky</w:t>
      </w:r>
      <w:r w:rsidRPr="00742410">
        <w:rPr>
          <w:rFonts w:ascii="Times New Roman" w:hAnsi="Times New Roman"/>
          <w:sz w:val="24"/>
          <w:szCs w:val="24"/>
        </w:rPr>
        <w:t xml:space="preserve"> zasluhuje podrobnější rozbory, které by zvažovaly i jiné výklady než obvyklý poukaz na pomalejší vývoj chlapců (např. odlišnost genderové socializace v rodině a v předškolních zařízeních, neutralitu diagnosti</w:t>
      </w:r>
      <w:r>
        <w:rPr>
          <w:rFonts w:ascii="Times New Roman" w:hAnsi="Times New Roman"/>
          <w:sz w:val="24"/>
          <w:szCs w:val="24"/>
        </w:rPr>
        <w:t>ckých nástrojů a postupů atd.).</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Vzdělávací systém podléhá relativně silnému genderovému zatížení. To v nižší míře existuje již na úrovni povinné školní docházky a projevuje se v mírně odlišném podílu dívek </w:t>
      </w:r>
      <w:r>
        <w:rPr>
          <w:rFonts w:ascii="Times New Roman" w:hAnsi="Times New Roman"/>
          <w:sz w:val="24"/>
          <w:szCs w:val="24"/>
        </w:rPr>
        <w:t>a </w:t>
      </w:r>
      <w:r w:rsidRPr="00742410">
        <w:rPr>
          <w:rFonts w:ascii="Times New Roman" w:hAnsi="Times New Roman"/>
          <w:sz w:val="24"/>
          <w:szCs w:val="24"/>
        </w:rPr>
        <w:t>chlapců na školách s rozšířenou výukou určitých předmětů. Tradičně jsou chlapci ve větší míře zastoupeni na školách se sportovním, matematickým a přírodovědným zaměřením, zatímco dívky na školách orientovaných na cizí jazyky, hudební a výtvarnou výchovu. Silnější rozdělení genderových trajektorií pak nastává ve středním školství a vysokém školství, které má již přímější vazbu na trh práce, v němž se znatelně projevuje rozdělení povolání na typicky ženská a typicky mužská. Genderovému členění</w:t>
      </w:r>
      <w:r>
        <w:rPr>
          <w:rFonts w:ascii="Times New Roman" w:hAnsi="Times New Roman"/>
          <w:sz w:val="24"/>
          <w:szCs w:val="24"/>
        </w:rPr>
        <w:t xml:space="preserve"> školství se věnuje kapitola 7.</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Na úrovni základních škol je třeba zvažovat kombinaci různých znevýhodňujících znaků, především genderu a etnicity, které vzájemně svůj negativní vliv posilují (GAC, 2009). Je důležité poznamenat, že mezinárodní instituce, jako je UNICEF, a prestižní zahraniční univerzity a další odborné organizace, zdůrazňují provázanost genderu a dalších faktorů. Genderová rovnost tedy vždy musí být řešena v souvislosti </w:t>
      </w:r>
      <w:r>
        <w:rPr>
          <w:rFonts w:ascii="Times New Roman" w:hAnsi="Times New Roman"/>
          <w:sz w:val="24"/>
          <w:szCs w:val="24"/>
        </w:rPr>
        <w:t>s rovností sociální a etnickou.</w:t>
      </w:r>
    </w:p>
    <w:p w:rsidR="00561843" w:rsidRPr="00742410" w:rsidRDefault="00561843" w:rsidP="00742410">
      <w:pPr>
        <w:autoSpaceDE w:val="0"/>
        <w:autoSpaceDN w:val="0"/>
        <w:adjustRightInd w:val="0"/>
        <w:spacing w:before="160"/>
        <w:jc w:val="both"/>
        <w:rPr>
          <w:rFonts w:ascii="Times New Roman" w:hAnsi="Times New Roman"/>
          <w:sz w:val="24"/>
          <w:szCs w:val="24"/>
        </w:rPr>
      </w:pP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9" w:name="_Toc361886380"/>
      <w:r>
        <w:rPr>
          <w:rFonts w:ascii="Times New Roman" w:hAnsi="Times New Roman" w:cs="Times New Roman"/>
          <w:sz w:val="24"/>
          <w:szCs w:val="24"/>
        </w:rPr>
        <w:lastRenderedPageBreak/>
        <w:t>P</w:t>
      </w:r>
      <w:r w:rsidRPr="00742410">
        <w:rPr>
          <w:rFonts w:ascii="Times New Roman" w:hAnsi="Times New Roman" w:cs="Times New Roman"/>
          <w:sz w:val="24"/>
          <w:szCs w:val="24"/>
        </w:rPr>
        <w:t>řekážky pro rovné zastoupení dívek a chlapců</w:t>
      </w:r>
      <w:bookmarkEnd w:id="9"/>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V posledních letech se objevil názor, že diskriminování ve vzdělávání jsou spíše chlapci, neboť j</w:t>
      </w:r>
      <w:r w:rsidR="00B54325">
        <w:rPr>
          <w:rFonts w:ascii="Times New Roman" w:hAnsi="Times New Roman"/>
          <w:sz w:val="24"/>
          <w:szCs w:val="24"/>
        </w:rPr>
        <w:t xml:space="preserve">ejich počet je </w:t>
      </w:r>
      <w:r w:rsidRPr="00742410">
        <w:rPr>
          <w:rFonts w:ascii="Times New Roman" w:hAnsi="Times New Roman"/>
          <w:sz w:val="24"/>
          <w:szCs w:val="24"/>
        </w:rPr>
        <w:t>v oblasti učňovského školství bez maturity</w:t>
      </w:r>
      <w:r w:rsidR="00B54325">
        <w:rPr>
          <w:rFonts w:ascii="Times New Roman" w:hAnsi="Times New Roman"/>
          <w:sz w:val="24"/>
          <w:szCs w:val="24"/>
        </w:rPr>
        <w:t xml:space="preserve"> vyšší</w:t>
      </w:r>
      <w:r w:rsidRPr="00742410">
        <w:rPr>
          <w:rFonts w:ascii="Times New Roman" w:hAnsi="Times New Roman"/>
          <w:sz w:val="24"/>
          <w:szCs w:val="24"/>
        </w:rPr>
        <w:t xml:space="preserve"> (a dosahují v průměru nižšího školního prospěchu než dívky). Genderová analýza ovšem ukazuje, </w:t>
      </w:r>
      <w:r>
        <w:rPr>
          <w:rFonts w:ascii="Times New Roman" w:hAnsi="Times New Roman"/>
          <w:sz w:val="24"/>
          <w:szCs w:val="24"/>
        </w:rPr>
        <w:t>že </w:t>
      </w:r>
      <w:r w:rsidRPr="00742410">
        <w:rPr>
          <w:rFonts w:ascii="Times New Roman" w:hAnsi="Times New Roman"/>
          <w:sz w:val="24"/>
          <w:szCs w:val="24"/>
        </w:rPr>
        <w:t>znevýhodnění mužů nastává v kombinaci se sociálním původem, který má na chlapce silnější vliv než na dívky. Vzdělání funguje jako mechanismus udržující muže z elitních sociálních skupin na horních p</w:t>
      </w:r>
      <w:r>
        <w:rPr>
          <w:rFonts w:ascii="Times New Roman" w:hAnsi="Times New Roman"/>
          <w:sz w:val="24"/>
          <w:szCs w:val="24"/>
        </w:rPr>
        <w:t xml:space="preserve">říčkách společenského žebříčku </w:t>
      </w:r>
      <w:r w:rsidRPr="00742410">
        <w:rPr>
          <w:rFonts w:ascii="Times New Roman" w:hAnsi="Times New Roman"/>
          <w:sz w:val="24"/>
          <w:szCs w:val="24"/>
        </w:rPr>
        <w:t>a muže ze znevýhodněných sociálních skupin u sociálního dna (tz</w:t>
      </w:r>
      <w:r>
        <w:rPr>
          <w:rFonts w:ascii="Times New Roman" w:hAnsi="Times New Roman"/>
          <w:sz w:val="24"/>
          <w:szCs w:val="24"/>
        </w:rPr>
        <w:t xml:space="preserve">v. bimodální status vzdělávání </w:t>
      </w:r>
      <w:r w:rsidRPr="00742410">
        <w:rPr>
          <w:rFonts w:ascii="Times New Roman" w:hAnsi="Times New Roman"/>
          <w:sz w:val="24"/>
          <w:szCs w:val="24"/>
        </w:rPr>
        <w:t>u chlapců)</w:t>
      </w:r>
      <w:r w:rsidRPr="00742410">
        <w:rPr>
          <w:rStyle w:val="Znakapoznpodarou"/>
          <w:rFonts w:ascii="Times New Roman" w:hAnsi="Times New Roman"/>
          <w:sz w:val="24"/>
          <w:szCs w:val="24"/>
        </w:rPr>
        <w:footnoteReference w:id="14"/>
      </w:r>
      <w:r w:rsidRPr="00742410">
        <w:rPr>
          <w:rFonts w:ascii="Times New Roman" w:hAnsi="Times New Roman"/>
          <w:sz w:val="24"/>
          <w:szCs w:val="24"/>
        </w:rPr>
        <w:t xml:space="preserve">. V druhém případě tak lze skutečně hovořit o znevýhodňování mužů, respektive určité části mužů prostřednictvím vzdělávacího systému. To však neznamená, že by vzdělávací systém plošně zvýhodňoval všechny ženy. Ženy sice začaly v posledních dekádách dosahovat vyššího vzdělání, avšak to neznamenalo proměnu v jejich nerovném postavení ve všech segmentech školského systému (zvláště na vyšších vzdělávacích stupních, zejména v doktorském studiu) </w:t>
      </w:r>
      <w:r>
        <w:rPr>
          <w:rFonts w:ascii="Times New Roman" w:hAnsi="Times New Roman"/>
          <w:sz w:val="24"/>
          <w:szCs w:val="24"/>
        </w:rPr>
        <w:t>a </w:t>
      </w:r>
      <w:r w:rsidRPr="00742410">
        <w:rPr>
          <w:rFonts w:ascii="Times New Roman" w:hAnsi="Times New Roman"/>
          <w:sz w:val="24"/>
          <w:szCs w:val="24"/>
        </w:rPr>
        <w:t xml:space="preserve">zvláště za jeho hranicemi. Zároveň také finanční návratnost studia pro chlapce je mnohem výhodnější než pro dívky. </w:t>
      </w:r>
    </w:p>
    <w:p w:rsidR="00561843" w:rsidRPr="00742410" w:rsidRDefault="00561843" w:rsidP="00742410">
      <w:pPr>
        <w:autoSpaceDE w:val="0"/>
        <w:autoSpaceDN w:val="0"/>
        <w:adjustRightInd w:val="0"/>
        <w:spacing w:before="160"/>
        <w:jc w:val="both"/>
        <w:rPr>
          <w:rFonts w:ascii="Times New Roman" w:hAnsi="Times New Roman"/>
          <w:sz w:val="24"/>
          <w:szCs w:val="24"/>
        </w:rPr>
      </w:pPr>
      <w:r>
        <w:rPr>
          <w:rFonts w:ascii="Times New Roman" w:hAnsi="Times New Roman"/>
          <w:sz w:val="24"/>
          <w:szCs w:val="24"/>
        </w:rPr>
        <w:t xml:space="preserve">Statistické údaje ukazují, že vyšší vzdělání přináší jednotlivcům statisticky vyšší šanci </w:t>
      </w:r>
      <w:r w:rsidR="00A73A88">
        <w:rPr>
          <w:rFonts w:ascii="Times New Roman" w:hAnsi="Times New Roman"/>
          <w:sz w:val="24"/>
          <w:szCs w:val="24"/>
        </w:rPr>
        <w:br/>
      </w:r>
      <w:r>
        <w:rPr>
          <w:rFonts w:ascii="Times New Roman" w:hAnsi="Times New Roman"/>
          <w:sz w:val="24"/>
          <w:szCs w:val="24"/>
        </w:rPr>
        <w:t xml:space="preserve">na vyšší výdělek. Nicméně to neplatí bez ohledu na gender. V České republice bude skupina více vzdělaných žen vydělávat více než skupina méně vzdělaných žen, ale nenutně již více, než skupina více vzdělaných mužů. </w:t>
      </w:r>
      <w:r w:rsidRPr="00742410">
        <w:rPr>
          <w:rFonts w:ascii="Times New Roman" w:hAnsi="Times New Roman"/>
          <w:sz w:val="24"/>
          <w:szCs w:val="24"/>
        </w:rPr>
        <w:t>V každé vzdělanostní kategorii vydělávají ženy méně než muži. Podle Českého statistického úřadu  činila v roce 2011 průměrná hrubá mzda ženy s maturitou 23 175 Kč, průměrná hrubá mzda stejně vzdělaného muže byla 28 441 Kč, vysokoškolačky braly v průměru 35 230 Kč, vysokoškoláci 48 882 Kč</w:t>
      </w:r>
      <w:r w:rsidRPr="00742410">
        <w:rPr>
          <w:rStyle w:val="Znakapoznpodarou"/>
          <w:rFonts w:ascii="Times New Roman" w:hAnsi="Times New Roman"/>
          <w:sz w:val="24"/>
          <w:szCs w:val="24"/>
        </w:rPr>
        <w:footnoteReference w:id="15"/>
      </w:r>
      <w:r w:rsidRPr="00742410">
        <w:rPr>
          <w:rFonts w:ascii="Times New Roman" w:hAnsi="Times New Roman"/>
          <w:sz w:val="24"/>
          <w:szCs w:val="24"/>
        </w:rPr>
        <w:t xml:space="preserve">. Dokonce čím déle ženy ve vzdělávacím systému setrvávají a čím vyššího stupně vzdělání dosahují, tím větší bude rozdíl mezi jejich příjmem a příjmem jejich stejně vzdělaných vrstevníků-mužů. V případě středního vzdělání s maturitou činí průměrná mzda žen 81 % průměrné mzdy mužů, v případě vysokoškolského vzdělání 72 %. Situace je </w:t>
      </w:r>
      <w:r>
        <w:rPr>
          <w:rFonts w:ascii="Times New Roman" w:hAnsi="Times New Roman"/>
          <w:sz w:val="24"/>
          <w:szCs w:val="24"/>
        </w:rPr>
        <w:t>o to paradoxnější, že dokonce i </w:t>
      </w:r>
      <w:r w:rsidRPr="00742410">
        <w:rPr>
          <w:rFonts w:ascii="Times New Roman" w:hAnsi="Times New Roman"/>
          <w:sz w:val="24"/>
          <w:szCs w:val="24"/>
        </w:rPr>
        <w:t>ženy s vyšším vzděláním vydělávají v průměru méně než muži, kteří skončili s osvědčením z nižšího vzdělávacího stupně. Na straně druhé je pravda, že chlapci převyšují počty dívek v učebních oborech bez maturity, mladí muži s nízkým vzděláním jsou ohroženi nezaměstnaností, jsou náchylnější k deliktům kriminálního charakteru a dostávají se do různých sociálně problémových situací.</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lastRenderedPageBreak/>
        <w:t>Vyvstává tedy netriviální a vnitřně ambivalentní otázka, zda vzdělávací systém znevýhodňuje chlapce, nebo dívky, a komu by se mělo prosazováním rovných příležitostí ve vzdělávání pomoci</w:t>
      </w:r>
      <w:r w:rsidRPr="00742410">
        <w:rPr>
          <w:rStyle w:val="Znakapoznpodarou"/>
          <w:rFonts w:ascii="Times New Roman" w:hAnsi="Times New Roman"/>
          <w:sz w:val="24"/>
          <w:szCs w:val="24"/>
        </w:rPr>
        <w:footnoteReference w:id="16"/>
      </w:r>
      <w:r w:rsidRPr="00742410">
        <w:rPr>
          <w:rFonts w:ascii="Times New Roman" w:hAnsi="Times New Roman"/>
          <w:sz w:val="24"/>
          <w:szCs w:val="24"/>
        </w:rPr>
        <w:t xml:space="preserve">. V první řadě je třeba opustit představu, že prosazování rovných příležitostí znamená boj chlapci versus dívky. </w:t>
      </w:r>
      <w:r w:rsidRPr="00AB2ADF">
        <w:rPr>
          <w:rFonts w:ascii="Times New Roman" w:hAnsi="Times New Roman"/>
          <w:b/>
          <w:sz w:val="24"/>
          <w:szCs w:val="24"/>
        </w:rPr>
        <w:t>Genderově citlivá výuka a výchova, která je odvozena od požadavků rovnosti, má pomoci k všestrannému rozvoji jak dívek, tak chlapců,</w:t>
      </w:r>
      <w:r w:rsidRPr="00742410">
        <w:rPr>
          <w:rFonts w:ascii="Times New Roman" w:hAnsi="Times New Roman"/>
          <w:sz w:val="24"/>
          <w:szCs w:val="24"/>
        </w:rPr>
        <w:t xml:space="preserve"> </w:t>
      </w:r>
      <w:r>
        <w:rPr>
          <w:rFonts w:ascii="Times New Roman" w:hAnsi="Times New Roman"/>
          <w:sz w:val="24"/>
          <w:szCs w:val="24"/>
        </w:rPr>
        <w:t>a to i </w:t>
      </w:r>
      <w:r w:rsidRPr="00742410">
        <w:rPr>
          <w:rFonts w:ascii="Times New Roman" w:hAnsi="Times New Roman"/>
          <w:sz w:val="24"/>
          <w:szCs w:val="24"/>
        </w:rPr>
        <w:t xml:space="preserve">v oblastech, které jsou považovány za doménu asociovanou výhradně s jednou genderovou skupinou. </w:t>
      </w:r>
      <w:r w:rsidRPr="00AB2ADF">
        <w:rPr>
          <w:rFonts w:ascii="Times New Roman" w:hAnsi="Times New Roman"/>
          <w:b/>
          <w:sz w:val="24"/>
          <w:szCs w:val="24"/>
        </w:rPr>
        <w:t>Pokud není gender rozpoznán a promýšlen, dochází ve vzdělávacím procesu k nevědomé reprodukci nerovností, které limitují jak dívky, tak chlapce.</w:t>
      </w:r>
      <w:r w:rsidRPr="00742410">
        <w:rPr>
          <w:rFonts w:ascii="Times New Roman" w:hAnsi="Times New Roman"/>
          <w:sz w:val="24"/>
          <w:szCs w:val="24"/>
        </w:rPr>
        <w:t xml:space="preserve"> To má neblahé dopady nejen pro osobní rozvoj jednotlivých žáků a žák</w:t>
      </w:r>
      <w:r>
        <w:rPr>
          <w:rFonts w:ascii="Times New Roman" w:hAnsi="Times New Roman"/>
          <w:sz w:val="24"/>
          <w:szCs w:val="24"/>
        </w:rPr>
        <w:t>yň</w:t>
      </w:r>
      <w:r w:rsidRPr="00742410">
        <w:rPr>
          <w:rFonts w:ascii="Times New Roman" w:hAnsi="Times New Roman"/>
          <w:sz w:val="24"/>
          <w:szCs w:val="24"/>
        </w:rPr>
        <w:t xml:space="preserve">, ale rovněž pro kvalitu demokracie a hospodářskou úroveň celé společnosti. Všestranný rozvoj dovoluje, aby chlapci </w:t>
      </w:r>
      <w:r>
        <w:rPr>
          <w:rFonts w:ascii="Times New Roman" w:hAnsi="Times New Roman"/>
          <w:sz w:val="24"/>
          <w:szCs w:val="24"/>
        </w:rPr>
        <w:t xml:space="preserve">a dívky </w:t>
      </w:r>
      <w:r w:rsidRPr="00742410">
        <w:rPr>
          <w:rFonts w:ascii="Times New Roman" w:hAnsi="Times New Roman"/>
          <w:sz w:val="24"/>
          <w:szCs w:val="24"/>
        </w:rPr>
        <w:t xml:space="preserve">prováděli skutečně svobodnou volbu své další studijní, pracovní a obecně životní trajektorie. Tato trajektorie může směřovat jak do standardních domén tradičně asociovaných s muži, respektive s ženami, tak i do domén opačných. Podstatné je, že rozhodnutí studující provádí s plným vědomím genderových stereotypů a tedy s možností se těmto sociálním tlakům vzepřít, pokud nevyhovují jejich dispozicím a zájmům. </w:t>
      </w:r>
    </w:p>
    <w:p w:rsidR="00561843" w:rsidRPr="00742410" w:rsidRDefault="00561843" w:rsidP="00742410">
      <w:pPr>
        <w:spacing w:before="160"/>
        <w:jc w:val="both"/>
        <w:rPr>
          <w:rFonts w:ascii="Times New Roman" w:hAnsi="Times New Roman"/>
          <w:sz w:val="24"/>
          <w:szCs w:val="24"/>
        </w:rPr>
      </w:pP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10" w:name="_Toc361886381"/>
      <w:r>
        <w:rPr>
          <w:rFonts w:ascii="Times New Roman" w:hAnsi="Times New Roman" w:cs="Times New Roman"/>
          <w:sz w:val="24"/>
          <w:szCs w:val="24"/>
        </w:rPr>
        <w:t>P</w:t>
      </w:r>
      <w:r w:rsidRPr="00742410">
        <w:rPr>
          <w:rFonts w:ascii="Times New Roman" w:hAnsi="Times New Roman" w:cs="Times New Roman"/>
          <w:sz w:val="24"/>
          <w:szCs w:val="24"/>
        </w:rPr>
        <w:t>rodlevy ve studiu</w:t>
      </w:r>
      <w:bookmarkEnd w:id="10"/>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Z českých i mezinárodních údajů vyplývá, že chlapci převažují v té skupině</w:t>
      </w:r>
      <w:r w:rsidR="00295930">
        <w:rPr>
          <w:rFonts w:ascii="Times New Roman" w:hAnsi="Times New Roman"/>
          <w:sz w:val="24"/>
          <w:szCs w:val="24"/>
        </w:rPr>
        <w:t xml:space="preserve"> žáků</w:t>
      </w:r>
      <w:r w:rsidRPr="00742410">
        <w:rPr>
          <w:rFonts w:ascii="Times New Roman" w:hAnsi="Times New Roman"/>
          <w:sz w:val="24"/>
          <w:szCs w:val="24"/>
        </w:rPr>
        <w:t xml:space="preserve">, kteří jsou dlouhodobě školně neúspěšní, opakují studium a předčasně opouští vzdělávací systém.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V českých základních i středních školách tvoří chlapci 60 % studujících, kteří opakují některý ročník (ÚIV, 2012). Jejich podíl mezi těmi, kteří předčasně opustili vzdělávací systém, je však téměř srovnatelný s dívkami – 5,4 % dívek a 5,7 % chlapců (E</w:t>
      </w:r>
      <w:r>
        <w:rPr>
          <w:rFonts w:ascii="Times New Roman" w:hAnsi="Times New Roman"/>
          <w:sz w:val="24"/>
          <w:szCs w:val="24"/>
        </w:rPr>
        <w:t>u</w:t>
      </w:r>
      <w:r w:rsidRPr="00742410">
        <w:rPr>
          <w:rFonts w:ascii="Times New Roman" w:hAnsi="Times New Roman"/>
          <w:sz w:val="24"/>
          <w:szCs w:val="24"/>
        </w:rPr>
        <w:t xml:space="preserve">rydice, 2010). Specifikem ČR je vysoký podíl chlapců mezi dětmi, které nastupují do povinné školní docházky s ročním odkladem. Podle ÚIV (2012) tvoří chlapci v této skupině až 66 % a tento podíl se dlouhodobě téměř nemění.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Všechny tři typy údajů (odchody, opakování a odklady) buď naznačují, že dívky a chlapci mají značně odlišné schopnosti a motivaci k plnění školních požadavků, nebo že existují rozdílná kritéria, kterými jsou ve vzdělávání dívky a chlapci posuzováni. Na existenci </w:t>
      </w:r>
      <w:r>
        <w:rPr>
          <w:rFonts w:ascii="Times New Roman" w:hAnsi="Times New Roman"/>
          <w:sz w:val="24"/>
          <w:szCs w:val="24"/>
        </w:rPr>
        <w:t>odlišných představ vyučujících o žácích</w:t>
      </w:r>
      <w:r w:rsidRPr="00742410">
        <w:rPr>
          <w:rFonts w:ascii="Times New Roman" w:hAnsi="Times New Roman"/>
          <w:sz w:val="24"/>
          <w:szCs w:val="24"/>
        </w:rPr>
        <w:t xml:space="preserve"> a žákyních opakovaně upozornily české výzkumy</w:t>
      </w:r>
      <w:r w:rsidRPr="00742410">
        <w:rPr>
          <w:rStyle w:val="Znakapoznpodarou"/>
          <w:rFonts w:ascii="Times New Roman" w:hAnsi="Times New Roman"/>
          <w:sz w:val="24"/>
          <w:szCs w:val="24"/>
        </w:rPr>
        <w:footnoteReference w:id="17"/>
      </w:r>
      <w:r w:rsidRPr="00742410">
        <w:rPr>
          <w:rFonts w:ascii="Times New Roman" w:hAnsi="Times New Roman"/>
          <w:sz w:val="24"/>
          <w:szCs w:val="24"/>
        </w:rPr>
        <w:t>.</w:t>
      </w:r>
    </w:p>
    <w:p w:rsidR="00561843" w:rsidRPr="00742410" w:rsidRDefault="00561843" w:rsidP="00742410">
      <w:pPr>
        <w:spacing w:before="160"/>
        <w:jc w:val="both"/>
        <w:rPr>
          <w:rFonts w:ascii="Times New Roman" w:hAnsi="Times New Roman"/>
          <w:sz w:val="24"/>
          <w:szCs w:val="24"/>
        </w:rPr>
      </w:pPr>
    </w:p>
    <w:p w:rsidR="00561843" w:rsidRPr="00742410"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caps/>
          <w:sz w:val="24"/>
          <w:szCs w:val="24"/>
        </w:rPr>
      </w:pPr>
      <w:bookmarkStart w:id="11" w:name="_Toc361886382"/>
      <w:r w:rsidRPr="00742410">
        <w:rPr>
          <w:rFonts w:ascii="Times New Roman" w:hAnsi="Times New Roman" w:cs="Times New Roman"/>
          <w:caps/>
          <w:sz w:val="24"/>
          <w:szCs w:val="24"/>
        </w:rPr>
        <w:t>školní výsledky dívek a chlapců</w:t>
      </w:r>
      <w:bookmarkEnd w:id="11"/>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12" w:name="_Toc361886383"/>
      <w:r>
        <w:rPr>
          <w:rFonts w:ascii="Times New Roman" w:hAnsi="Times New Roman" w:cs="Times New Roman"/>
          <w:sz w:val="24"/>
          <w:szCs w:val="24"/>
        </w:rPr>
        <w:t>Š</w:t>
      </w:r>
      <w:r w:rsidRPr="00742410">
        <w:rPr>
          <w:rFonts w:ascii="Times New Roman" w:hAnsi="Times New Roman" w:cs="Times New Roman"/>
          <w:sz w:val="24"/>
          <w:szCs w:val="24"/>
        </w:rPr>
        <w:t>kolní hodnocení</w:t>
      </w:r>
      <w:bookmarkEnd w:id="12"/>
      <w:r w:rsidRPr="00742410">
        <w:rPr>
          <w:rFonts w:ascii="Times New Roman" w:hAnsi="Times New Roman" w:cs="Times New Roman"/>
          <w:sz w:val="24"/>
          <w:szCs w:val="24"/>
        </w:rPr>
        <w:t xml:space="preserve"> </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Školní klasifikace slouží k hodnocení žákovských výkonů, a tím poskytuje zpětnou vazbu </w:t>
      </w:r>
      <w:r>
        <w:rPr>
          <w:rFonts w:ascii="Times New Roman" w:hAnsi="Times New Roman"/>
          <w:sz w:val="24"/>
          <w:szCs w:val="24"/>
        </w:rPr>
        <w:t>o </w:t>
      </w:r>
      <w:r w:rsidRPr="00742410">
        <w:rPr>
          <w:rFonts w:ascii="Times New Roman" w:hAnsi="Times New Roman"/>
          <w:sz w:val="24"/>
          <w:szCs w:val="24"/>
        </w:rPr>
        <w:t>efektivitě vzdělávacího procesu vyučujícím, rodičům a samotným žákům/yním. V zahraničních i českých výzkumech bylo opakovaně zjištěno, že známky, kterých ve škole dosahují chlapci</w:t>
      </w:r>
      <w:r>
        <w:rPr>
          <w:rFonts w:ascii="Times New Roman" w:hAnsi="Times New Roman"/>
          <w:sz w:val="24"/>
          <w:szCs w:val="24"/>
        </w:rPr>
        <w:t xml:space="preserve"> a dívky</w:t>
      </w:r>
      <w:r w:rsidRPr="00742410">
        <w:rPr>
          <w:rFonts w:ascii="Times New Roman" w:hAnsi="Times New Roman"/>
          <w:sz w:val="24"/>
          <w:szCs w:val="24"/>
        </w:rPr>
        <w:t xml:space="preserve">, se liší. Dívky dosahují v průměru lepších známek než chlapci, a to </w:t>
      </w:r>
      <w:r w:rsidRPr="00742410">
        <w:rPr>
          <w:rFonts w:ascii="Times New Roman" w:hAnsi="Times New Roman"/>
          <w:sz w:val="24"/>
          <w:szCs w:val="24"/>
        </w:rPr>
        <w:lastRenderedPageBreak/>
        <w:t>ve všech předmětech a na všech vzdělávacích stupních (Eurydice, 2011, Průcha, 1997, Moravcová, 20</w:t>
      </w:r>
      <w:r>
        <w:rPr>
          <w:rFonts w:ascii="Times New Roman" w:hAnsi="Times New Roman"/>
          <w:sz w:val="24"/>
          <w:szCs w:val="24"/>
        </w:rPr>
        <w:t xml:space="preserve">02, Smetáčková, 2006). V grafu </w:t>
      </w:r>
      <w:r w:rsidRPr="00742410">
        <w:rPr>
          <w:rFonts w:ascii="Times New Roman" w:hAnsi="Times New Roman"/>
          <w:sz w:val="24"/>
          <w:szCs w:val="24"/>
        </w:rPr>
        <w:t xml:space="preserve">č. 2 jsou znázorněny průměrné známky v 9. ročníku základní školy, které se ukázaly ve výzkumu </w:t>
      </w:r>
      <w:r w:rsidRPr="00742410">
        <w:rPr>
          <w:rFonts w:ascii="Times New Roman" w:hAnsi="Times New Roman"/>
          <w:i/>
          <w:sz w:val="24"/>
          <w:szCs w:val="24"/>
        </w:rPr>
        <w:t xml:space="preserve">Genderové aspekty přechodu žáků </w:t>
      </w:r>
      <w:r>
        <w:rPr>
          <w:rFonts w:ascii="Times New Roman" w:hAnsi="Times New Roman"/>
          <w:i/>
          <w:sz w:val="24"/>
          <w:szCs w:val="24"/>
        </w:rPr>
        <w:t>a </w:t>
      </w:r>
      <w:r w:rsidRPr="00742410">
        <w:rPr>
          <w:rFonts w:ascii="Times New Roman" w:hAnsi="Times New Roman"/>
          <w:i/>
          <w:sz w:val="24"/>
          <w:szCs w:val="24"/>
        </w:rPr>
        <w:t>žákyň mezi vzdělávacími stupni</w:t>
      </w:r>
      <w:r w:rsidRPr="00742410">
        <w:rPr>
          <w:rFonts w:ascii="Times New Roman" w:hAnsi="Times New Roman"/>
          <w:sz w:val="24"/>
          <w:szCs w:val="24"/>
        </w:rPr>
        <w:t xml:space="preserve"> (Smetáčková, 2006)</w:t>
      </w:r>
      <w:r w:rsidRPr="00742410">
        <w:rPr>
          <w:rStyle w:val="Znakapoznpodarou"/>
          <w:rFonts w:ascii="Times New Roman" w:hAnsi="Times New Roman"/>
          <w:sz w:val="24"/>
          <w:szCs w:val="24"/>
        </w:rPr>
        <w:footnoteReference w:id="18"/>
      </w:r>
      <w:r w:rsidRPr="00742410">
        <w:rPr>
          <w:rFonts w:ascii="Times New Roman" w:hAnsi="Times New Roman"/>
          <w:sz w:val="24"/>
          <w:szCs w:val="24"/>
        </w:rPr>
        <w:t>.  Obdobné rozdíly v průměrných známkách dokládají i další projekty, mimo jiné i mezinárodní šetření TIMMS a PISA.</w:t>
      </w:r>
    </w:p>
    <w:p w:rsidR="00561843" w:rsidRPr="00742410" w:rsidRDefault="00AA3C8A" w:rsidP="00742410">
      <w:pPr>
        <w:autoSpaceDE w:val="0"/>
        <w:autoSpaceDN w:val="0"/>
        <w:adjustRightInd w:val="0"/>
        <w:spacing w:before="160"/>
        <w:jc w:val="center"/>
        <w:rPr>
          <w:rFonts w:ascii="Times New Roman" w:hAnsi="Times New Roman"/>
          <w:sz w:val="24"/>
          <w:szCs w:val="24"/>
        </w:rPr>
      </w:pPr>
      <w:r>
        <w:rPr>
          <w:rFonts w:ascii="Times New Roman" w:hAnsi="Times New Roman"/>
          <w:noProof/>
          <w:sz w:val="24"/>
          <w:szCs w:val="24"/>
          <w:lang w:eastAsia="cs-CZ"/>
        </w:rPr>
        <w:drawing>
          <wp:inline distT="0" distB="0" distL="0" distR="0">
            <wp:extent cx="4822190" cy="2122170"/>
            <wp:effectExtent l="0" t="0" r="0" b="0"/>
            <wp:docPr id="2" name="objek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1843" w:rsidRPr="00687A5F" w:rsidRDefault="00561843" w:rsidP="00742410">
      <w:pPr>
        <w:autoSpaceDE w:val="0"/>
        <w:autoSpaceDN w:val="0"/>
        <w:adjustRightInd w:val="0"/>
        <w:spacing w:before="160"/>
        <w:jc w:val="center"/>
        <w:rPr>
          <w:rFonts w:ascii="Times New Roman" w:hAnsi="Times New Roman"/>
          <w:sz w:val="20"/>
          <w:szCs w:val="20"/>
        </w:rPr>
      </w:pPr>
      <w:r w:rsidRPr="00687A5F">
        <w:rPr>
          <w:rFonts w:ascii="Times New Roman" w:hAnsi="Times New Roman"/>
          <w:sz w:val="20"/>
          <w:szCs w:val="20"/>
        </w:rPr>
        <w:t xml:space="preserve">Pramen: Genderové aspekty přechodu žáků/yň mezi vzdělávacími stupni. </w:t>
      </w:r>
      <w:r w:rsidRPr="00687A5F">
        <w:rPr>
          <w:rFonts w:ascii="Times New Roman" w:hAnsi="Times New Roman"/>
          <w:sz w:val="20"/>
          <w:szCs w:val="20"/>
        </w:rPr>
        <w:br/>
        <w:t>Sociologický ústav AV ČR, 2006.</w:t>
      </w:r>
    </w:p>
    <w:p w:rsidR="00561843" w:rsidRPr="00742410" w:rsidRDefault="00561843" w:rsidP="00742410">
      <w:pPr>
        <w:autoSpaceDE w:val="0"/>
        <w:autoSpaceDN w:val="0"/>
        <w:adjustRightInd w:val="0"/>
        <w:spacing w:before="160"/>
        <w:jc w:val="both"/>
        <w:rPr>
          <w:rFonts w:ascii="Times New Roman" w:hAnsi="Times New Roman"/>
          <w:sz w:val="24"/>
          <w:szCs w:val="24"/>
        </w:rPr>
      </w:pP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Příčiny rozdílu spočívají primárně v povaze genderové socializace a v klasifikačních kritériích. Ta obvykle zahrnují </w:t>
      </w:r>
      <w:r>
        <w:rPr>
          <w:rFonts w:ascii="Times New Roman" w:hAnsi="Times New Roman"/>
          <w:sz w:val="24"/>
          <w:szCs w:val="24"/>
        </w:rPr>
        <w:t>nejen znalosti a dovednosti žáků</w:t>
      </w:r>
      <w:r w:rsidRPr="00742410">
        <w:rPr>
          <w:rFonts w:ascii="Times New Roman" w:hAnsi="Times New Roman"/>
          <w:sz w:val="24"/>
          <w:szCs w:val="24"/>
        </w:rPr>
        <w:t xml:space="preserve">/yň, ale také jejich chování </w:t>
      </w:r>
      <w:r w:rsidR="008D53C6">
        <w:rPr>
          <w:rFonts w:ascii="Times New Roman" w:hAnsi="Times New Roman"/>
          <w:sz w:val="24"/>
          <w:szCs w:val="24"/>
        </w:rPr>
        <w:br/>
      </w:r>
      <w:r w:rsidRPr="00742410">
        <w:rPr>
          <w:rFonts w:ascii="Times New Roman" w:hAnsi="Times New Roman"/>
          <w:sz w:val="24"/>
          <w:szCs w:val="24"/>
        </w:rPr>
        <w:t xml:space="preserve">k vyučujícím, pilnost, úpravu výstupu atd. (Skelton a kol., 2006). Posuzované oblasti pravděpodobně lépe odpovídají dívkami osvojenému stylu školní práce, a proto jsou právě dívky hodnoceny jako úspěšnější. Současně jsou tato pravidla pro dívky „čitelnější“ než pro chlapce. Vyučující velice často žákům/yním otevřeně </w:t>
      </w:r>
      <w:r>
        <w:rPr>
          <w:rFonts w:ascii="Times New Roman" w:hAnsi="Times New Roman"/>
          <w:sz w:val="24"/>
          <w:szCs w:val="24"/>
        </w:rPr>
        <w:t xml:space="preserve">nesdělují </w:t>
      </w:r>
      <w:r w:rsidRPr="00742410">
        <w:rPr>
          <w:rFonts w:ascii="Times New Roman" w:hAnsi="Times New Roman"/>
          <w:sz w:val="24"/>
          <w:szCs w:val="24"/>
        </w:rPr>
        <w:t>používané klasifikační normy a jejich krité</w:t>
      </w:r>
      <w:r>
        <w:rPr>
          <w:rFonts w:ascii="Times New Roman" w:hAnsi="Times New Roman"/>
          <w:sz w:val="24"/>
          <w:szCs w:val="24"/>
        </w:rPr>
        <w:t xml:space="preserve">ria. Žáci/kyně musí tyto normy </w:t>
      </w:r>
      <w:r w:rsidRPr="00742410">
        <w:rPr>
          <w:rFonts w:ascii="Times New Roman" w:hAnsi="Times New Roman"/>
          <w:sz w:val="24"/>
          <w:szCs w:val="24"/>
        </w:rPr>
        <w:t xml:space="preserve">a jejich kritéria dešifrovat z chování vyučujících. </w:t>
      </w:r>
    </w:p>
    <w:p w:rsidR="00561843" w:rsidRDefault="00561843" w:rsidP="00466373">
      <w:pPr>
        <w:spacing w:before="160"/>
        <w:jc w:val="both"/>
        <w:rPr>
          <w:rFonts w:ascii="Times New Roman" w:hAnsi="Times New Roman"/>
          <w:sz w:val="24"/>
          <w:szCs w:val="24"/>
        </w:rPr>
      </w:pPr>
      <w:r w:rsidRPr="00742410">
        <w:rPr>
          <w:rFonts w:ascii="Times New Roman" w:hAnsi="Times New Roman"/>
          <w:sz w:val="24"/>
          <w:szCs w:val="24"/>
        </w:rPr>
        <w:t>Interakce vyučujících s žactvem ovlivňuje také přesvědčení, že chlapci dospívají později než dívky, což vede k větší toleranci k chybám a ke špatným studijním výsledkům chlapců. Dívky, a to především ty nadané s vysokými studijními ambicemi, jsou svázány strachem</w:t>
      </w:r>
      <w:r>
        <w:rPr>
          <w:rFonts w:ascii="Times New Roman" w:hAnsi="Times New Roman"/>
          <w:sz w:val="24"/>
          <w:szCs w:val="24"/>
        </w:rPr>
        <w:t xml:space="preserve"> z </w:t>
      </w:r>
      <w:r w:rsidRPr="00742410">
        <w:rPr>
          <w:rFonts w:ascii="Times New Roman" w:hAnsi="Times New Roman"/>
          <w:sz w:val="24"/>
          <w:szCs w:val="24"/>
        </w:rPr>
        <w:t>toho, aby neudělaly chybu, která by nebyla pedagogem</w:t>
      </w:r>
      <w:r>
        <w:rPr>
          <w:rFonts w:ascii="Times New Roman" w:hAnsi="Times New Roman"/>
          <w:sz w:val="24"/>
          <w:szCs w:val="24"/>
        </w:rPr>
        <w:t>/pedagožkou</w:t>
      </w:r>
      <w:r w:rsidRPr="00742410">
        <w:rPr>
          <w:rFonts w:ascii="Times New Roman" w:hAnsi="Times New Roman"/>
          <w:sz w:val="24"/>
          <w:szCs w:val="24"/>
        </w:rPr>
        <w:t xml:space="preserve"> vnímána jako ojedinělé šlápnutí vedle, nýbrž naopak jako důkaz jejich intelektuální nedostatečnosti (Herrmann, 2000). Hodnota dívčích dobrých známek je také často vyučujícími devalvována a vnímána jako výsledek memorování a nikoli hlubšího pochopení probírané látky (Smetáčková, 2006), což se následně promí</w:t>
      </w:r>
      <w:r>
        <w:rPr>
          <w:rFonts w:ascii="Times New Roman" w:hAnsi="Times New Roman"/>
          <w:sz w:val="24"/>
          <w:szCs w:val="24"/>
        </w:rPr>
        <w:t>tá do menšího sebevědomí dívek.</w:t>
      </w:r>
    </w:p>
    <w:p w:rsidR="00561843" w:rsidRDefault="00561843" w:rsidP="00466373">
      <w:pPr>
        <w:spacing w:before="160"/>
        <w:jc w:val="both"/>
        <w:rPr>
          <w:rFonts w:ascii="Times New Roman" w:hAnsi="Times New Roman"/>
          <w:sz w:val="24"/>
          <w:szCs w:val="24"/>
        </w:rPr>
      </w:pPr>
    </w:p>
    <w:p w:rsidR="001A4B2C" w:rsidRPr="00742410" w:rsidRDefault="001A4B2C" w:rsidP="00466373">
      <w:pPr>
        <w:spacing w:before="160"/>
        <w:jc w:val="both"/>
        <w:rPr>
          <w:rFonts w:ascii="Times New Roman" w:hAnsi="Times New Roman"/>
          <w:sz w:val="24"/>
          <w:szCs w:val="24"/>
        </w:rPr>
      </w:pP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13" w:name="_Toc361886384"/>
      <w:r>
        <w:rPr>
          <w:rFonts w:ascii="Times New Roman" w:hAnsi="Times New Roman" w:cs="Times New Roman"/>
          <w:sz w:val="24"/>
          <w:szCs w:val="24"/>
        </w:rPr>
        <w:lastRenderedPageBreak/>
        <w:t>V</w:t>
      </w:r>
      <w:r w:rsidRPr="00742410">
        <w:rPr>
          <w:rFonts w:ascii="Times New Roman" w:hAnsi="Times New Roman" w:cs="Times New Roman"/>
          <w:sz w:val="24"/>
          <w:szCs w:val="24"/>
        </w:rPr>
        <w:t>ýsledky v mezinárodních/národních projektech</w:t>
      </w:r>
      <w:bookmarkEnd w:id="13"/>
    </w:p>
    <w:p w:rsidR="00561843" w:rsidRPr="00742410" w:rsidRDefault="00561843" w:rsidP="00742410">
      <w:pPr>
        <w:spacing w:before="160" w:after="60"/>
        <w:jc w:val="both"/>
        <w:rPr>
          <w:rFonts w:ascii="Times New Roman" w:hAnsi="Times New Roman"/>
          <w:sz w:val="24"/>
          <w:szCs w:val="24"/>
        </w:rPr>
      </w:pPr>
      <w:r w:rsidRPr="00742410">
        <w:rPr>
          <w:rFonts w:ascii="Times New Roman" w:hAnsi="Times New Roman"/>
          <w:sz w:val="24"/>
          <w:szCs w:val="24"/>
        </w:rPr>
        <w:t>Mezinárodní i národní výzkumy zjišťující výsledky dívek a chlapců ve vzdělávání opakovaně prokazují existenci rozdílu. Ten však jen částečně koresponduje s rozdí</w:t>
      </w:r>
      <w:r>
        <w:rPr>
          <w:rFonts w:ascii="Times New Roman" w:hAnsi="Times New Roman"/>
          <w:sz w:val="24"/>
          <w:szCs w:val="24"/>
        </w:rPr>
        <w:t xml:space="preserve">lem ve školním prospěchu dívek </w:t>
      </w:r>
      <w:r w:rsidRPr="00742410">
        <w:rPr>
          <w:rFonts w:ascii="Times New Roman" w:hAnsi="Times New Roman"/>
          <w:sz w:val="24"/>
          <w:szCs w:val="24"/>
        </w:rPr>
        <w:t>a chlapců. Z hlediska předmětových domén platí, že dívky (při uplatnění externích evaluačních nástrojů) dosahují lepších výsledků ve čtení, zatímco chlapci v přírodních vědách a v matematice. Výsledky čtenářských testů jsou relativně stabilní. Výsledky v matematice mírně variují napříč časem, zeměmi a projekty. Základním trendem nicméně je, že matematika vykazuje největší genderové rozdíly a že velikost těchto rozdílů</w:t>
      </w:r>
      <w:r>
        <w:rPr>
          <w:rFonts w:ascii="Times New Roman" w:hAnsi="Times New Roman"/>
          <w:sz w:val="24"/>
          <w:szCs w:val="24"/>
        </w:rPr>
        <w:t xml:space="preserve"> </w:t>
      </w:r>
      <w:r w:rsidRPr="00742410">
        <w:rPr>
          <w:rFonts w:ascii="Times New Roman" w:hAnsi="Times New Roman"/>
          <w:sz w:val="24"/>
          <w:szCs w:val="24"/>
        </w:rPr>
        <w:t xml:space="preserve">je závislá na věku dětí. V případě mladších dětí jsou rozdíly mezi dívkami a chlapci spíše menší, s postupujícím věkem dětí však rostou. </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Mezinárodní srovnávací výzkumy naznačují trend zhoršování výsledků českých žáků a žákyň. Projekty PISA a TIMMS se shodují na následujících zjištěních. V přírodovědné gramotnosti odpovídají výsledky českých dětí mezinárodnímu průměru. Ve čtenářské gramotnosti jsou výsledky českých dětí pod mezinárodním průměrem. V matematické gramotnosti jsou výsledky českých dětí na hranici mezinárodního průměru a podprůměru. Několik posledních testování PISA a TIMMS potvrdila nízkou úroveň průměrných výsledků ve všech třech doménách a relat</w:t>
      </w:r>
      <w:r>
        <w:rPr>
          <w:rFonts w:ascii="Times New Roman" w:hAnsi="Times New Roman"/>
          <w:sz w:val="24"/>
          <w:szCs w:val="24"/>
        </w:rPr>
        <w:t xml:space="preserve">ivně záporný postoj žáků/žákyň </w:t>
      </w:r>
      <w:r w:rsidRPr="00742410">
        <w:rPr>
          <w:rFonts w:ascii="Times New Roman" w:hAnsi="Times New Roman"/>
          <w:sz w:val="24"/>
          <w:szCs w:val="24"/>
        </w:rPr>
        <w:t xml:space="preserve">ke vzdělávání. </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Dlouhodobě přitom platí, že tzv. gender gap</w:t>
      </w:r>
      <w:r>
        <w:rPr>
          <w:rStyle w:val="Znakapoznpodarou"/>
          <w:rFonts w:ascii="Times New Roman" w:hAnsi="Times New Roman"/>
          <w:sz w:val="24"/>
          <w:szCs w:val="24"/>
        </w:rPr>
        <w:footnoteReference w:id="19"/>
      </w:r>
      <w:r w:rsidRPr="00742410">
        <w:rPr>
          <w:rFonts w:ascii="Times New Roman" w:hAnsi="Times New Roman"/>
          <w:sz w:val="24"/>
          <w:szCs w:val="24"/>
        </w:rPr>
        <w:t xml:space="preserve"> je v České republice jeden z největších (Eurydice, 2009). Výsledky v přírodovědné gramotnosti vykazují nejmenší genderový rozdíl, ve čtenářské gramotnosti jsou dívky v průměru úspěšnější, zatímco v matematické gramotnosti jsou naopak úspěšnější chlapci</w:t>
      </w:r>
      <w:r w:rsidRPr="00742410">
        <w:rPr>
          <w:rFonts w:ascii="Times New Roman" w:hAnsi="Times New Roman"/>
          <w:sz w:val="24"/>
          <w:szCs w:val="24"/>
          <w:vertAlign w:val="superscript"/>
        </w:rPr>
        <w:footnoteReference w:id="20"/>
      </w:r>
      <w:r w:rsidRPr="00742410">
        <w:rPr>
          <w:rFonts w:ascii="Times New Roman" w:hAnsi="Times New Roman"/>
          <w:sz w:val="24"/>
          <w:szCs w:val="24"/>
        </w:rPr>
        <w:t>. Výsledky posledních šetření, které indikují nízkou úroveň českých dětí, z genderového hlediska naznačují, že pokles výkonů nevykazují ve stejné míře chlapci a dívky. Nižší úspěšnost v porovnání s uplynulými lety je patrná zejména mezi chlapci. Například v testu čtenářské gramotnosti PISA došlo mezi lety 2000 a</w:t>
      </w:r>
      <w:r>
        <w:rPr>
          <w:rFonts w:ascii="Times New Roman" w:hAnsi="Times New Roman"/>
          <w:sz w:val="24"/>
          <w:szCs w:val="24"/>
        </w:rPr>
        <w:t> </w:t>
      </w:r>
      <w:r w:rsidRPr="00742410">
        <w:rPr>
          <w:rFonts w:ascii="Times New Roman" w:hAnsi="Times New Roman"/>
          <w:sz w:val="24"/>
          <w:szCs w:val="24"/>
        </w:rPr>
        <w:t xml:space="preserve">2009 ke zhoršení chlapecké úspěšnosti o 17 bodů, zatímco dívčí úspěšnosti „jen“ o 6 bodů. V případě matematické gramotnosti </w:t>
      </w:r>
      <w:r>
        <w:rPr>
          <w:rFonts w:ascii="Times New Roman" w:hAnsi="Times New Roman"/>
          <w:sz w:val="24"/>
          <w:szCs w:val="24"/>
        </w:rPr>
        <w:t xml:space="preserve">PISA byl pokles mezi lety </w:t>
      </w:r>
      <w:smartTag w:uri="urn:schemas-microsoft-com:office:smarttags" w:element="metricconverter">
        <w:smartTagPr>
          <w:attr w:name="ProductID" w:val="2003 a"/>
        </w:smartTagPr>
        <w:r>
          <w:rPr>
            <w:rFonts w:ascii="Times New Roman" w:hAnsi="Times New Roman"/>
            <w:sz w:val="24"/>
            <w:szCs w:val="24"/>
          </w:rPr>
          <w:t xml:space="preserve">2003 </w:t>
        </w:r>
        <w:r w:rsidRPr="00742410">
          <w:rPr>
            <w:rFonts w:ascii="Times New Roman" w:hAnsi="Times New Roman"/>
            <w:sz w:val="24"/>
            <w:szCs w:val="24"/>
          </w:rPr>
          <w:t>a</w:t>
        </w:r>
      </w:smartTag>
      <w:r w:rsidRPr="00742410">
        <w:rPr>
          <w:rFonts w:ascii="Times New Roman" w:hAnsi="Times New Roman"/>
          <w:sz w:val="24"/>
          <w:szCs w:val="24"/>
        </w:rPr>
        <w:t xml:space="preserve"> 2009 o 29 bodů </w:t>
      </w:r>
      <w:r>
        <w:rPr>
          <w:rFonts w:ascii="Times New Roman" w:hAnsi="Times New Roman"/>
          <w:sz w:val="24"/>
          <w:szCs w:val="24"/>
        </w:rPr>
        <w:t>u </w:t>
      </w:r>
      <w:r w:rsidRPr="00742410">
        <w:rPr>
          <w:rFonts w:ascii="Times New Roman" w:hAnsi="Times New Roman"/>
          <w:sz w:val="24"/>
          <w:szCs w:val="24"/>
        </w:rPr>
        <w:t>chlapců a o 19 bodů u dívek. Stejně tak matematický test TIMMS ukázal výrazné zhoršení starších chlapců. Analýzy výsledků naznačují negati</w:t>
      </w:r>
      <w:r>
        <w:rPr>
          <w:rFonts w:ascii="Times New Roman" w:hAnsi="Times New Roman"/>
          <w:sz w:val="24"/>
          <w:szCs w:val="24"/>
        </w:rPr>
        <w:t>vní vliv při kombinaci genderu a </w:t>
      </w:r>
      <w:r w:rsidRPr="00742410">
        <w:rPr>
          <w:rFonts w:ascii="Times New Roman" w:hAnsi="Times New Roman"/>
          <w:sz w:val="24"/>
          <w:szCs w:val="24"/>
        </w:rPr>
        <w:t xml:space="preserve">sociálního původu (viz kapitolu 5.2.). Původ tohoto odlišného vzorce ve výkonnosti dívek </w:t>
      </w:r>
      <w:r>
        <w:rPr>
          <w:rFonts w:ascii="Times New Roman" w:hAnsi="Times New Roman"/>
          <w:sz w:val="24"/>
          <w:szCs w:val="24"/>
        </w:rPr>
        <w:t>a </w:t>
      </w:r>
      <w:r w:rsidRPr="00742410">
        <w:rPr>
          <w:rFonts w:ascii="Times New Roman" w:hAnsi="Times New Roman"/>
          <w:sz w:val="24"/>
          <w:szCs w:val="24"/>
        </w:rPr>
        <w:t>chlapců si zasluhuje bližší zkoumání, které by uvažovalo vztah mezi genderovou socializací a v ní vznikajících vzdělanostních aspirací a učebních (pracovních) návyků a aktuální podobou školní výuky, včetně kurikulárních a didaktických nároků</w:t>
      </w:r>
      <w:r w:rsidRPr="00742410">
        <w:rPr>
          <w:rStyle w:val="Znakapoznpodarou"/>
          <w:rFonts w:ascii="Times New Roman" w:hAnsi="Times New Roman"/>
          <w:sz w:val="24"/>
          <w:szCs w:val="24"/>
        </w:rPr>
        <w:footnoteReference w:id="21"/>
      </w:r>
      <w:r w:rsidRPr="00742410">
        <w:rPr>
          <w:rFonts w:ascii="Times New Roman" w:hAnsi="Times New Roman"/>
          <w:sz w:val="24"/>
          <w:szCs w:val="24"/>
        </w:rPr>
        <w:t xml:space="preserve">. </w:t>
      </w: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14" w:name="_Toc361886385"/>
      <w:r>
        <w:rPr>
          <w:rFonts w:ascii="Times New Roman" w:hAnsi="Times New Roman" w:cs="Times New Roman"/>
          <w:sz w:val="24"/>
          <w:szCs w:val="24"/>
        </w:rPr>
        <w:lastRenderedPageBreak/>
        <w:t>Ú</w:t>
      </w:r>
      <w:r w:rsidRPr="00742410">
        <w:rPr>
          <w:rFonts w:ascii="Times New Roman" w:hAnsi="Times New Roman" w:cs="Times New Roman"/>
          <w:sz w:val="24"/>
          <w:szCs w:val="24"/>
        </w:rPr>
        <w:t>spěšnost v přijímacím řízení</w:t>
      </w:r>
      <w:bookmarkEnd w:id="14"/>
      <w:r w:rsidRPr="00742410">
        <w:rPr>
          <w:rFonts w:ascii="Times New Roman" w:hAnsi="Times New Roman" w:cs="Times New Roman"/>
          <w:sz w:val="24"/>
          <w:szCs w:val="24"/>
        </w:rPr>
        <w:t xml:space="preserve"> </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Podle Statistických ročenek školství se téměř 60 % chlapců hlásí na obory ukončené maturitní zkouškou a přes 40 % chlapců se rozhoduje pro obory ukončené výučním listem. V případě dívek je rozdíl při volbě „maturitního“ nebo „nematuritního“ oboru ještě větší. Dívky preferují přibližně ze 70 % obory ukončené maturitní zkouškou, na obory ukončené výučním listem se hlásí jen necelých 30 % dívek. Tento rozdíl je částečně dán vyššími vzdělávacími aspiracemi dívek, zároveň však také nabízenou strukturou studijních oborů, kde z historických příčin mezi obory, které jsou vnímány jako vhodné pro ženy, převažují obory ukončené maturitou. Oborové (historicky ustavené) složení jednotlivých úrovní vzdělávacího systému </w:t>
      </w:r>
      <w:r>
        <w:rPr>
          <w:rFonts w:ascii="Times New Roman" w:hAnsi="Times New Roman"/>
          <w:sz w:val="24"/>
          <w:szCs w:val="24"/>
        </w:rPr>
        <w:t>a </w:t>
      </w:r>
      <w:r w:rsidRPr="00742410">
        <w:rPr>
          <w:rFonts w:ascii="Times New Roman" w:hAnsi="Times New Roman"/>
          <w:sz w:val="24"/>
          <w:szCs w:val="24"/>
        </w:rPr>
        <w:t>jeho gender</w:t>
      </w:r>
      <w:r>
        <w:rPr>
          <w:rFonts w:ascii="Times New Roman" w:hAnsi="Times New Roman"/>
          <w:sz w:val="24"/>
          <w:szCs w:val="24"/>
        </w:rPr>
        <w:t xml:space="preserve">ové konsekvence se tak promítá </w:t>
      </w:r>
      <w:r w:rsidRPr="00742410">
        <w:rPr>
          <w:rFonts w:ascii="Times New Roman" w:hAnsi="Times New Roman"/>
          <w:sz w:val="24"/>
          <w:szCs w:val="24"/>
        </w:rPr>
        <w:t xml:space="preserve">do vzdělanostní struktury české populace, v níž dlouhodobě ženy v průměru dosahují vyššího vzdělání. </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Úspěšnost přijetí přihlášených chlapců i dívek v časové řadě roste, což je dáno demografickým vývojem, tj. zmenšujícím se počtem dětí. Dlouhodobě platí, že úspěšnost přijetí je v případě dívek mírně nižší než v případě chlapců (cca o 2-3 procentní body). Konkrétně v roce 2012 podle Statické ročenky školství tvořily dívky 49,2 % těch, kteří si podali přihlášky ke studiu na střední škole</w:t>
      </w:r>
      <w:r w:rsidRPr="00742410">
        <w:rPr>
          <w:rStyle w:val="Znakapoznpodarou"/>
          <w:rFonts w:ascii="Times New Roman" w:hAnsi="Times New Roman"/>
          <w:sz w:val="24"/>
          <w:szCs w:val="24"/>
        </w:rPr>
        <w:footnoteReference w:id="22"/>
      </w:r>
      <w:r w:rsidRPr="00742410">
        <w:rPr>
          <w:rFonts w:ascii="Times New Roman" w:hAnsi="Times New Roman"/>
          <w:sz w:val="24"/>
          <w:szCs w:val="24"/>
        </w:rPr>
        <w:t xml:space="preserve">. Mezi těmi, kteří byli přijati ke studiu pro rok 2012/2013, byl poměr dívek 47,4 %. Mezi těmi, kteří byli přijati v 1. kole, tvořily dívky </w:t>
      </w:r>
      <w:r>
        <w:rPr>
          <w:rFonts w:ascii="Times New Roman" w:hAnsi="Times New Roman"/>
          <w:sz w:val="24"/>
          <w:szCs w:val="24"/>
        </w:rPr>
        <w:t>46,9 </w:t>
      </w:r>
      <w:r w:rsidRPr="00742410">
        <w:rPr>
          <w:rFonts w:ascii="Times New Roman" w:hAnsi="Times New Roman"/>
          <w:sz w:val="24"/>
          <w:szCs w:val="24"/>
        </w:rPr>
        <w:t xml:space="preserve">%. Ačkoliv je tento rozdíl malý (statisticky nesignifikantní), může naznačovat trend, v němž se odráží jednak genderové rozčlenění vzdělávacího systému a z ní vyplývající odlišné vzdělanostní směřování větší části dívek a chlapců (dívky se hlásí na obory, po nichž je větší poptávka), jednak vyšší zájem škol o přijímání chlapců (zvláště škol s tradiční převahou dívek). Pro návrh opatření adekvátních opatření je však třeba provést důkladnější analýzu, respektive zrealizovat specifické šetření. </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Zájem o studium na gymnáziích vyjádřený počtem přihlášek je tradičně vyšší mezi dívkami – v případě osmiletých gymnázií se hlásí 52,5 % dívek, v </w:t>
      </w:r>
      <w:r>
        <w:rPr>
          <w:rFonts w:ascii="Times New Roman" w:hAnsi="Times New Roman"/>
          <w:sz w:val="24"/>
          <w:szCs w:val="24"/>
        </w:rPr>
        <w:t>případě čtyřletých dokonce 62,2 </w:t>
      </w:r>
      <w:r w:rsidRPr="00742410">
        <w:rPr>
          <w:rFonts w:ascii="Times New Roman" w:hAnsi="Times New Roman"/>
          <w:sz w:val="24"/>
          <w:szCs w:val="24"/>
        </w:rPr>
        <w:t xml:space="preserve">% dívek. Gymnázia představují všeobecně vzdělávací školu, u níž chybí navázání na tzv. ženský či mužský segment trhu práce. Úspěšnost přijetí dívek a chlapců je přibližně shodná </w:t>
      </w:r>
      <w:r>
        <w:rPr>
          <w:rFonts w:ascii="Times New Roman" w:hAnsi="Times New Roman"/>
          <w:sz w:val="24"/>
          <w:szCs w:val="24"/>
        </w:rPr>
        <w:t>a </w:t>
      </w:r>
      <w:r w:rsidRPr="00742410">
        <w:rPr>
          <w:rFonts w:ascii="Times New Roman" w:hAnsi="Times New Roman"/>
          <w:sz w:val="24"/>
          <w:szCs w:val="24"/>
        </w:rPr>
        <w:t>odpovídá tak víceméně podílu přihlášených – úspěšnost dívek je pouze mírně nižší než úspěšnost chlapců. Podle Statistické ročenky školství tvořily dívky v celkovém počtu přijatých studujících ve školním roce 2012/2013 u osmiletých gymnázií 51,8 % a u čtyřletých gymnázií 61,7 %.</w:t>
      </w:r>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Genderová struktura osob ucházejících se o studium na vysoké škole se v průběhu let příliš nemění. O něco více jsou zde zastoupeny ženy, které mezi přihlášenými tvoří zhruba 60 %. V uplynulých letech se podíl žen mezi přihlášenými velmi nepatrně snížil, zatímco naopak mezi přijatými a zapsanými se nepatrně zvýšil. Aktuální podíl mužů a žen mezi studuj</w:t>
      </w:r>
      <w:r>
        <w:rPr>
          <w:rFonts w:ascii="Times New Roman" w:hAnsi="Times New Roman"/>
          <w:sz w:val="24"/>
          <w:szCs w:val="24"/>
        </w:rPr>
        <w:t xml:space="preserve">ícími na vysokých školách činí </w:t>
      </w:r>
      <w:r w:rsidRPr="00742410">
        <w:rPr>
          <w:rFonts w:ascii="Times New Roman" w:hAnsi="Times New Roman"/>
          <w:sz w:val="24"/>
          <w:szCs w:val="24"/>
        </w:rPr>
        <w:t xml:space="preserve">43,8 % ku 56,2 %. </w:t>
      </w:r>
    </w:p>
    <w:p w:rsidR="00561843" w:rsidRPr="00742410" w:rsidRDefault="00561843" w:rsidP="00742410">
      <w:pPr>
        <w:spacing w:before="160"/>
        <w:jc w:val="both"/>
        <w:rPr>
          <w:rFonts w:ascii="Times New Roman" w:hAnsi="Times New Roman"/>
          <w:sz w:val="24"/>
          <w:szCs w:val="24"/>
        </w:rPr>
      </w:pPr>
    </w:p>
    <w:p w:rsidR="00561843"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caps/>
          <w:sz w:val="24"/>
          <w:szCs w:val="24"/>
        </w:rPr>
      </w:pPr>
      <w:bookmarkStart w:id="15" w:name="_Toc361886386"/>
      <w:r w:rsidRPr="00742410">
        <w:rPr>
          <w:rFonts w:ascii="Times New Roman" w:hAnsi="Times New Roman" w:cs="Times New Roman"/>
          <w:caps/>
          <w:sz w:val="24"/>
          <w:szCs w:val="24"/>
        </w:rPr>
        <w:lastRenderedPageBreak/>
        <w:t>volba další studijní a profesní dráhy</w:t>
      </w:r>
      <w:bookmarkEnd w:id="15"/>
    </w:p>
    <w:p w:rsidR="001A4B2C" w:rsidRPr="001A4B2C" w:rsidRDefault="001A4B2C" w:rsidP="001A4B2C">
      <w:pPr>
        <w:rPr>
          <w:lang w:eastAsia="cs-CZ"/>
        </w:rPr>
      </w:pP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16" w:name="_Toc361886387"/>
      <w:r w:rsidRPr="00742410">
        <w:rPr>
          <w:rFonts w:ascii="Times New Roman" w:hAnsi="Times New Roman" w:cs="Times New Roman"/>
          <w:sz w:val="24"/>
          <w:szCs w:val="24"/>
        </w:rPr>
        <w:t>Genderové rozčlenění vzdělávacího systému</w:t>
      </w:r>
      <w:bookmarkEnd w:id="16"/>
    </w:p>
    <w:p w:rsidR="00561843" w:rsidRPr="00742410" w:rsidRDefault="00561843" w:rsidP="00742410">
      <w:pPr>
        <w:spacing w:before="160" w:after="120"/>
        <w:jc w:val="both"/>
        <w:rPr>
          <w:rFonts w:ascii="Times New Roman" w:hAnsi="Times New Roman"/>
          <w:sz w:val="24"/>
          <w:szCs w:val="24"/>
        </w:rPr>
      </w:pPr>
      <w:r w:rsidRPr="00742410">
        <w:rPr>
          <w:rFonts w:ascii="Times New Roman" w:hAnsi="Times New Roman"/>
          <w:sz w:val="24"/>
          <w:szCs w:val="24"/>
        </w:rPr>
        <w:t xml:space="preserve">Vzdělávací systém je vnitřně rozčleněn na genderovém principu a to ve dvou směrech – vertikálním, který se týká stupně dosaženého vzdělání, a horizontálním, který zahrnuje oborové zaměření. Problém genderové nerovnosti v českém vzdělávacím systému spočívá především v horizontálním rozdělení, tzv. oborové genderové segregaci (Valentová, Šmídová, Katrňák, 2007). Statistiky přinášející údaje o vzdělávání i o pracovním trhu poukazují na přetrvávající genderové členění podle oborů. Již na úrovni středních škol dochází k rozdělování chlapců a dívek podle oborů a setkáváme s tzv. dívčími a chlapeckými školami. Celkově platí, že na úrovni středních škol dívky mírně převažují na všeobecně-vzdělávacích oborech – v oborech gymnázií tvořily ve školním roce 2012/2013 dívky 57,3 % (podíl se dlouhodobě nemění). V oborech odborného vzdělávání naopak převažují chlapci – představují 53,7 % populace. Uvnitř odborného vzdělávání je však rozdíl v oborech s maturitou, kde dívky činí 53 %, a oborech s výučním listem, kde chlapci tvoří 65 %. Dívky výrazně převažují na školách zdravotních, sociálních a ve službách, jako jsou kadeřnictví </w:t>
      </w:r>
      <w:r>
        <w:rPr>
          <w:rFonts w:ascii="Times New Roman" w:hAnsi="Times New Roman"/>
          <w:sz w:val="24"/>
          <w:szCs w:val="24"/>
        </w:rPr>
        <w:t xml:space="preserve">či kosmetika, chlapci dominují </w:t>
      </w:r>
      <w:r w:rsidRPr="00742410">
        <w:rPr>
          <w:rFonts w:ascii="Times New Roman" w:hAnsi="Times New Roman"/>
          <w:sz w:val="24"/>
          <w:szCs w:val="24"/>
        </w:rPr>
        <w:t>na technických oborech. Genderové členění školství je předobrazem oborové segregace na pracovním trhu. Aktuální podíl dívek a chlapců na jednotlivých oborech uvádí tabulka č. 3, která zachycuje počty žáků/žákyň odborných středních škol v oborech s maturitní zkouškou podle skupin oborů ve školním roce 2011/2012. A tabulka č. 4, která se vztahuje k počtům studujících žen a mužů na vysokých školách podle oborů.</w:t>
      </w:r>
    </w:p>
    <w:p w:rsidR="00561843" w:rsidRPr="00742410" w:rsidRDefault="00561843" w:rsidP="00742410">
      <w:pPr>
        <w:spacing w:before="160" w:line="260" w:lineRule="exact"/>
        <w:jc w:val="center"/>
        <w:rPr>
          <w:rFonts w:ascii="Times New Roman" w:hAnsi="Times New Roman"/>
          <w:sz w:val="24"/>
          <w:szCs w:val="24"/>
        </w:rPr>
      </w:pPr>
    </w:p>
    <w:p w:rsidR="00561843" w:rsidRDefault="00561843" w:rsidP="001A4B2C">
      <w:pPr>
        <w:spacing w:before="160" w:line="260" w:lineRule="exact"/>
        <w:rPr>
          <w:rFonts w:ascii="Times New Roman" w:hAnsi="Times New Roman"/>
          <w:b/>
          <w:sz w:val="20"/>
          <w:szCs w:val="20"/>
        </w:rPr>
      </w:pPr>
      <w:r w:rsidRPr="0070680B">
        <w:rPr>
          <w:rFonts w:ascii="Times New Roman" w:hAnsi="Times New Roman"/>
          <w:b/>
          <w:sz w:val="24"/>
          <w:szCs w:val="24"/>
        </w:rPr>
        <w:t xml:space="preserve">Tabulka č. 3: </w:t>
      </w:r>
      <w:r w:rsidRPr="001A4B2C">
        <w:rPr>
          <w:rFonts w:ascii="Times New Roman" w:hAnsi="Times New Roman"/>
          <w:b/>
          <w:sz w:val="20"/>
          <w:szCs w:val="20"/>
        </w:rPr>
        <w:t>Žákyně a žáci odborných středních škol v oborech s matu</w:t>
      </w:r>
      <w:r w:rsidR="001A4B2C" w:rsidRPr="001A4B2C">
        <w:rPr>
          <w:rFonts w:ascii="Times New Roman" w:hAnsi="Times New Roman"/>
          <w:b/>
          <w:sz w:val="20"/>
          <w:szCs w:val="20"/>
        </w:rPr>
        <w:t>ritní zkouškou</w:t>
      </w:r>
      <w:r w:rsidR="001A4B2C">
        <w:rPr>
          <w:rFonts w:ascii="Times New Roman" w:hAnsi="Times New Roman"/>
          <w:b/>
          <w:sz w:val="20"/>
          <w:szCs w:val="20"/>
        </w:rPr>
        <w:t xml:space="preserve"> </w:t>
      </w:r>
      <w:r w:rsidRPr="001A4B2C">
        <w:rPr>
          <w:rFonts w:ascii="Times New Roman" w:hAnsi="Times New Roman"/>
          <w:b/>
          <w:sz w:val="20"/>
          <w:szCs w:val="20"/>
        </w:rPr>
        <w:t>podle skupin oborů ve školním roce 2011/2012</w:t>
      </w:r>
    </w:p>
    <w:p w:rsidR="001A4B2C" w:rsidRPr="001A4B2C" w:rsidRDefault="001A4B2C" w:rsidP="001A4B2C">
      <w:pPr>
        <w:spacing w:before="160" w:line="260" w:lineRule="exact"/>
        <w:rPr>
          <w:rFonts w:ascii="Times New Roman" w:hAnsi="Times New Roman"/>
          <w:b/>
          <w:sz w:val="20"/>
          <w:szCs w:val="20"/>
        </w:rPr>
      </w:pPr>
    </w:p>
    <w:tbl>
      <w:tblPr>
        <w:tblpPr w:leftFromText="141" w:rightFromText="141" w:vertAnchor="text" w:horzAnchor="margin" w:tblpY="57"/>
        <w:tblW w:w="8662" w:type="dxa"/>
        <w:tblCellMar>
          <w:left w:w="70" w:type="dxa"/>
          <w:right w:w="70" w:type="dxa"/>
        </w:tblCellMar>
        <w:tblLook w:val="00A0" w:firstRow="1" w:lastRow="0" w:firstColumn="1" w:lastColumn="0" w:noHBand="0" w:noVBand="0"/>
      </w:tblPr>
      <w:tblGrid>
        <w:gridCol w:w="4126"/>
        <w:gridCol w:w="1134"/>
        <w:gridCol w:w="1134"/>
        <w:gridCol w:w="1134"/>
        <w:gridCol w:w="1134"/>
      </w:tblGrid>
      <w:tr w:rsidR="00561843" w:rsidRPr="001F460A" w:rsidTr="00211741">
        <w:trPr>
          <w:trHeight w:val="450"/>
        </w:trPr>
        <w:tc>
          <w:tcPr>
            <w:tcW w:w="4126"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
                <w:sz w:val="24"/>
                <w:szCs w:val="24"/>
              </w:rPr>
            </w:pPr>
            <w:r w:rsidRPr="001F460A">
              <w:rPr>
                <w:rFonts w:ascii="Times New Roman" w:hAnsi="Times New Roman"/>
                <w:b/>
                <w:sz w:val="24"/>
                <w:szCs w:val="24"/>
              </w:rPr>
              <w:t>Skupina oborů</w:t>
            </w:r>
          </w:p>
        </w:tc>
        <w:tc>
          <w:tcPr>
            <w:tcW w:w="4536" w:type="dxa"/>
            <w:gridSpan w:val="4"/>
            <w:tcBorders>
              <w:top w:val="single" w:sz="4" w:space="0" w:color="auto"/>
              <w:left w:val="nil"/>
              <w:bottom w:val="single" w:sz="4" w:space="0" w:color="auto"/>
              <w:right w:val="single" w:sz="4" w:space="0" w:color="000000"/>
            </w:tcBorders>
            <w:shd w:val="clear" w:color="auto" w:fill="F2F2F2"/>
            <w:vAlign w:val="center"/>
          </w:tcPr>
          <w:p w:rsidR="00561843" w:rsidRPr="001F460A" w:rsidRDefault="00561843" w:rsidP="00211741">
            <w:pPr>
              <w:spacing w:before="20" w:after="20"/>
              <w:jc w:val="center"/>
              <w:rPr>
                <w:rFonts w:ascii="Times New Roman" w:hAnsi="Times New Roman"/>
                <w:b/>
                <w:sz w:val="24"/>
                <w:szCs w:val="24"/>
              </w:rPr>
            </w:pPr>
            <w:r w:rsidRPr="001F460A">
              <w:rPr>
                <w:rFonts w:ascii="Times New Roman" w:hAnsi="Times New Roman"/>
                <w:b/>
                <w:sz w:val="24"/>
                <w:szCs w:val="24"/>
              </w:rPr>
              <w:t>Studující</w:t>
            </w:r>
          </w:p>
        </w:tc>
      </w:tr>
      <w:tr w:rsidR="00561843" w:rsidRPr="001F460A" w:rsidTr="00211741">
        <w:trPr>
          <w:trHeight w:val="450"/>
        </w:trPr>
        <w:tc>
          <w:tcPr>
            <w:tcW w:w="4126" w:type="dxa"/>
            <w:vMerge/>
            <w:tcBorders>
              <w:top w:val="single" w:sz="4" w:space="0" w:color="auto"/>
              <w:left w:val="single" w:sz="4" w:space="0" w:color="auto"/>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
                <w:sz w:val="24"/>
                <w:szCs w:val="24"/>
              </w:rPr>
            </w:pPr>
          </w:p>
        </w:tc>
        <w:tc>
          <w:tcPr>
            <w:tcW w:w="1134" w:type="dxa"/>
            <w:tcBorders>
              <w:top w:val="nil"/>
              <w:left w:val="nil"/>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
                <w:sz w:val="24"/>
                <w:szCs w:val="24"/>
              </w:rPr>
            </w:pPr>
            <w:r w:rsidRPr="001F460A">
              <w:rPr>
                <w:rFonts w:ascii="Times New Roman" w:hAnsi="Times New Roman"/>
                <w:b/>
                <w:sz w:val="24"/>
                <w:szCs w:val="24"/>
              </w:rPr>
              <w:t>ženy</w:t>
            </w:r>
          </w:p>
        </w:tc>
        <w:tc>
          <w:tcPr>
            <w:tcW w:w="1134" w:type="dxa"/>
            <w:tcBorders>
              <w:top w:val="nil"/>
              <w:left w:val="nil"/>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
                <w:sz w:val="24"/>
                <w:szCs w:val="24"/>
              </w:rPr>
            </w:pPr>
            <w:r w:rsidRPr="001F460A">
              <w:rPr>
                <w:rFonts w:ascii="Times New Roman" w:hAnsi="Times New Roman"/>
                <w:b/>
                <w:sz w:val="24"/>
                <w:szCs w:val="24"/>
              </w:rPr>
              <w:t>muži</w:t>
            </w:r>
          </w:p>
        </w:tc>
        <w:tc>
          <w:tcPr>
            <w:tcW w:w="1134" w:type="dxa"/>
            <w:tcBorders>
              <w:top w:val="nil"/>
              <w:left w:val="nil"/>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
                <w:sz w:val="24"/>
                <w:szCs w:val="24"/>
              </w:rPr>
            </w:pPr>
            <w:r w:rsidRPr="001F460A">
              <w:rPr>
                <w:rFonts w:ascii="Times New Roman" w:hAnsi="Times New Roman"/>
                <w:b/>
                <w:sz w:val="24"/>
                <w:szCs w:val="24"/>
              </w:rPr>
              <w:t>ženy v %</w:t>
            </w:r>
          </w:p>
        </w:tc>
        <w:tc>
          <w:tcPr>
            <w:tcW w:w="1134" w:type="dxa"/>
            <w:tcBorders>
              <w:top w:val="nil"/>
              <w:left w:val="nil"/>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
                <w:sz w:val="24"/>
                <w:szCs w:val="24"/>
              </w:rPr>
            </w:pPr>
            <w:r w:rsidRPr="001F460A">
              <w:rPr>
                <w:rFonts w:ascii="Times New Roman" w:hAnsi="Times New Roman"/>
                <w:b/>
                <w:sz w:val="24"/>
                <w:szCs w:val="24"/>
              </w:rPr>
              <w:t>muži v %</w:t>
            </w:r>
          </w:p>
        </w:tc>
      </w:tr>
      <w:tr w:rsidR="00561843" w:rsidRPr="001F460A" w:rsidTr="00211741">
        <w:trPr>
          <w:trHeight w:val="421"/>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Obory středních škol s maturitní zkouškou</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133 831</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126 686</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51,4%</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48,6%</w:t>
            </w:r>
          </w:p>
        </w:tc>
      </w:tr>
      <w:tr w:rsidR="00561843" w:rsidRPr="001F460A" w:rsidTr="00211741">
        <w:trPr>
          <w:trHeight w:val="414"/>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Přírodní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2 090</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10 153</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17,1%</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82,9%</w:t>
            </w:r>
          </w:p>
        </w:tc>
      </w:tr>
      <w:tr w:rsidR="00561843" w:rsidRPr="001F460A" w:rsidTr="00211741">
        <w:trPr>
          <w:trHeight w:val="420"/>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 xml:space="preserve">Techn. vědy a nauky 1. č. </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2 679</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40 955</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6,1%</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93,9%</w:t>
            </w:r>
          </w:p>
        </w:tc>
      </w:tr>
      <w:tr w:rsidR="00561843" w:rsidRPr="001F460A" w:rsidTr="00211741">
        <w:trPr>
          <w:trHeight w:val="412"/>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 xml:space="preserve">Techn. vědy a nauky 2. č. </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7 630</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20 609</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27,0%</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73,0%</w:t>
            </w:r>
          </w:p>
        </w:tc>
      </w:tr>
      <w:tr w:rsidR="00561843" w:rsidRPr="001F460A" w:rsidTr="00211741">
        <w:trPr>
          <w:trHeight w:val="406"/>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 xml:space="preserve">Zemědělství - lesnictví, veterinární vědy </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5 608</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4 223</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57,0%</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43,0%</w:t>
            </w:r>
          </w:p>
        </w:tc>
      </w:tr>
      <w:tr w:rsidR="00561843" w:rsidRPr="001F460A" w:rsidTr="00211741">
        <w:trPr>
          <w:trHeight w:val="410"/>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 xml:space="preserve">Zdravotnictví, lékařské a farmaceutické vědy </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11 963</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1 487</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88,9%</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11,1%</w:t>
            </w:r>
          </w:p>
        </w:tc>
      </w:tr>
      <w:tr w:rsidR="00561843" w:rsidRPr="001F460A" w:rsidTr="00211741">
        <w:trPr>
          <w:trHeight w:val="416"/>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lastRenderedPageBreak/>
              <w:t xml:space="preserve">Společenské vědy a nauky, služby 1. č. </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72 500</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37 356</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66,0%</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34,0%</w:t>
            </w:r>
          </w:p>
        </w:tc>
      </w:tr>
      <w:tr w:rsidR="00561843" w:rsidRPr="001F460A" w:rsidTr="00211741">
        <w:trPr>
          <w:trHeight w:val="421"/>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 xml:space="preserve">Společenské vědy a nauky, služby 2. č. </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24 995</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9 021</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73,5%</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26,5%</w:t>
            </w:r>
          </w:p>
        </w:tc>
      </w:tr>
      <w:tr w:rsidR="00561843" w:rsidRPr="001F460A" w:rsidTr="00211741">
        <w:trPr>
          <w:trHeight w:val="413"/>
        </w:trPr>
        <w:tc>
          <w:tcPr>
            <w:tcW w:w="4126"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 xml:space="preserve">Vědy a nauky o kultuře, umění </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6 366</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color w:val="000000"/>
                <w:sz w:val="24"/>
                <w:szCs w:val="24"/>
              </w:rPr>
            </w:pPr>
            <w:r w:rsidRPr="001F460A">
              <w:rPr>
                <w:rFonts w:ascii="Times New Roman" w:hAnsi="Times New Roman"/>
                <w:color w:val="000000"/>
                <w:sz w:val="24"/>
                <w:szCs w:val="24"/>
              </w:rPr>
              <w:t>2 882</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68,8%</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31,2%</w:t>
            </w:r>
          </w:p>
        </w:tc>
      </w:tr>
    </w:tbl>
    <w:p w:rsidR="00561843" w:rsidRDefault="00561843" w:rsidP="0070680B">
      <w:pPr>
        <w:pStyle w:val="Bezmezer"/>
      </w:pPr>
    </w:p>
    <w:p w:rsidR="00561843" w:rsidRPr="00742410" w:rsidRDefault="00561843" w:rsidP="0070680B">
      <w:pPr>
        <w:rPr>
          <w:rFonts w:ascii="Times New Roman" w:hAnsi="Times New Roman"/>
          <w:sz w:val="24"/>
          <w:szCs w:val="24"/>
        </w:rPr>
      </w:pPr>
      <w:r w:rsidRPr="0070680B">
        <w:rPr>
          <w:rFonts w:ascii="Times New Roman" w:hAnsi="Times New Roman"/>
          <w:sz w:val="20"/>
          <w:szCs w:val="20"/>
        </w:rPr>
        <w:t>Pramen: Zaostřeno na muže a ženy – Žáci odbo</w:t>
      </w:r>
      <w:r>
        <w:rPr>
          <w:rFonts w:ascii="Times New Roman" w:hAnsi="Times New Roman"/>
          <w:sz w:val="20"/>
          <w:szCs w:val="20"/>
        </w:rPr>
        <w:t xml:space="preserve">rných středních škol v oborech </w:t>
      </w:r>
      <w:r w:rsidRPr="0070680B">
        <w:rPr>
          <w:rFonts w:ascii="Times New Roman" w:hAnsi="Times New Roman"/>
          <w:sz w:val="20"/>
          <w:szCs w:val="20"/>
        </w:rPr>
        <w:t>s maturitní zkouškou podle skupin oborů ve školním roce 2011/2012, CZSO</w:t>
      </w:r>
      <w:r w:rsidRPr="00742410">
        <w:rPr>
          <w:rFonts w:ascii="Times New Roman" w:hAnsi="Times New Roman"/>
          <w:sz w:val="24"/>
          <w:szCs w:val="24"/>
        </w:rPr>
        <w:t>.</w:t>
      </w:r>
    </w:p>
    <w:p w:rsidR="00561843" w:rsidRPr="00742410" w:rsidRDefault="00561843" w:rsidP="00742410">
      <w:pPr>
        <w:rPr>
          <w:rFonts w:ascii="Times New Roman" w:hAnsi="Times New Roman"/>
          <w:sz w:val="24"/>
          <w:szCs w:val="24"/>
        </w:rPr>
      </w:pPr>
    </w:p>
    <w:p w:rsidR="00561843" w:rsidRPr="001A4B2C" w:rsidRDefault="00561843" w:rsidP="001A4B2C">
      <w:pPr>
        <w:rPr>
          <w:rFonts w:ascii="Times New Roman" w:hAnsi="Times New Roman"/>
          <w:b/>
          <w:sz w:val="20"/>
          <w:szCs w:val="20"/>
        </w:rPr>
      </w:pPr>
      <w:r w:rsidRPr="0070680B">
        <w:rPr>
          <w:rFonts w:ascii="Times New Roman" w:hAnsi="Times New Roman"/>
          <w:b/>
          <w:sz w:val="24"/>
          <w:szCs w:val="24"/>
        </w:rPr>
        <w:t xml:space="preserve">Tabulka č. 4: </w:t>
      </w:r>
      <w:r w:rsidRPr="001A4B2C">
        <w:rPr>
          <w:rFonts w:ascii="Times New Roman" w:hAnsi="Times New Roman"/>
          <w:b/>
          <w:sz w:val="20"/>
          <w:szCs w:val="20"/>
        </w:rPr>
        <w:t>Studující vysokých škol podle skupin oborů v akademickém roce 2011/2012</w:t>
      </w:r>
    </w:p>
    <w:tbl>
      <w:tblPr>
        <w:tblpPr w:leftFromText="141" w:rightFromText="141" w:vertAnchor="text" w:horzAnchor="margin" w:tblpY="29"/>
        <w:tblW w:w="8946" w:type="dxa"/>
        <w:tblCellMar>
          <w:left w:w="70" w:type="dxa"/>
          <w:right w:w="70" w:type="dxa"/>
        </w:tblCellMar>
        <w:tblLook w:val="00A0" w:firstRow="1" w:lastRow="0" w:firstColumn="1" w:lastColumn="0" w:noHBand="0" w:noVBand="0"/>
      </w:tblPr>
      <w:tblGrid>
        <w:gridCol w:w="4410"/>
        <w:gridCol w:w="1134"/>
        <w:gridCol w:w="1134"/>
        <w:gridCol w:w="1134"/>
        <w:gridCol w:w="1134"/>
      </w:tblGrid>
      <w:tr w:rsidR="00561843" w:rsidRPr="001F460A" w:rsidTr="00211741">
        <w:trPr>
          <w:trHeight w:val="481"/>
        </w:trPr>
        <w:tc>
          <w:tcPr>
            <w:tcW w:w="4410" w:type="dxa"/>
            <w:vMerge w:val="restart"/>
            <w:tcBorders>
              <w:top w:val="single" w:sz="4" w:space="0" w:color="auto"/>
              <w:left w:val="single" w:sz="4" w:space="0" w:color="auto"/>
              <w:bottom w:val="single" w:sz="4" w:space="0" w:color="000000"/>
              <w:right w:val="single" w:sz="4" w:space="0" w:color="auto"/>
            </w:tcBorders>
            <w:shd w:val="clear" w:color="auto" w:fill="F2F2F2"/>
            <w:vAlign w:val="center"/>
          </w:tcPr>
          <w:p w:rsidR="00561843" w:rsidRPr="001F460A" w:rsidRDefault="00561843" w:rsidP="00211741">
            <w:pPr>
              <w:jc w:val="center"/>
              <w:rPr>
                <w:rFonts w:ascii="Times New Roman" w:hAnsi="Times New Roman"/>
                <w:bCs/>
                <w:sz w:val="24"/>
                <w:szCs w:val="24"/>
              </w:rPr>
            </w:pPr>
          </w:p>
        </w:tc>
        <w:tc>
          <w:tcPr>
            <w:tcW w:w="4536" w:type="dxa"/>
            <w:gridSpan w:val="4"/>
            <w:tcBorders>
              <w:top w:val="single" w:sz="4" w:space="0" w:color="auto"/>
              <w:left w:val="nil"/>
              <w:bottom w:val="single" w:sz="4" w:space="0" w:color="auto"/>
              <w:right w:val="single" w:sz="4" w:space="0" w:color="000000"/>
            </w:tcBorders>
            <w:shd w:val="clear" w:color="auto" w:fill="F2F2F2"/>
            <w:vAlign w:val="center"/>
          </w:tcPr>
          <w:p w:rsidR="00561843" w:rsidRPr="001F460A" w:rsidRDefault="00561843" w:rsidP="00211741">
            <w:pPr>
              <w:jc w:val="center"/>
              <w:rPr>
                <w:rFonts w:ascii="Times New Roman" w:hAnsi="Times New Roman"/>
                <w:bCs/>
                <w:sz w:val="24"/>
                <w:szCs w:val="24"/>
              </w:rPr>
            </w:pPr>
            <w:r w:rsidRPr="001F460A">
              <w:rPr>
                <w:rFonts w:ascii="Times New Roman" w:hAnsi="Times New Roman"/>
                <w:bCs/>
                <w:sz w:val="24"/>
                <w:szCs w:val="24"/>
              </w:rPr>
              <w:t>Studující</w:t>
            </w:r>
          </w:p>
        </w:tc>
      </w:tr>
      <w:tr w:rsidR="00561843" w:rsidRPr="001F460A" w:rsidTr="00211741">
        <w:trPr>
          <w:trHeight w:val="429"/>
        </w:trPr>
        <w:tc>
          <w:tcPr>
            <w:tcW w:w="4410" w:type="dxa"/>
            <w:vMerge/>
            <w:tcBorders>
              <w:top w:val="single" w:sz="4" w:space="0" w:color="auto"/>
              <w:left w:val="single" w:sz="4" w:space="0" w:color="auto"/>
              <w:bottom w:val="single" w:sz="4" w:space="0" w:color="auto"/>
              <w:right w:val="single" w:sz="4" w:space="0" w:color="auto"/>
            </w:tcBorders>
            <w:shd w:val="clear" w:color="auto" w:fill="F2F2F2"/>
            <w:vAlign w:val="center"/>
          </w:tcPr>
          <w:p w:rsidR="00561843" w:rsidRPr="001F460A" w:rsidRDefault="00561843" w:rsidP="00211741">
            <w:pPr>
              <w:rPr>
                <w:rFonts w:ascii="Times New Roman" w:hAnsi="Times New Roman"/>
                <w:bCs/>
                <w:sz w:val="24"/>
                <w:szCs w:val="24"/>
              </w:rPr>
            </w:pPr>
          </w:p>
        </w:tc>
        <w:tc>
          <w:tcPr>
            <w:tcW w:w="1134" w:type="dxa"/>
            <w:tcBorders>
              <w:top w:val="nil"/>
              <w:left w:val="nil"/>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Cs/>
                <w:sz w:val="24"/>
                <w:szCs w:val="24"/>
              </w:rPr>
            </w:pPr>
            <w:r w:rsidRPr="001F460A">
              <w:rPr>
                <w:rFonts w:ascii="Times New Roman" w:hAnsi="Times New Roman"/>
                <w:bCs/>
                <w:sz w:val="24"/>
                <w:szCs w:val="24"/>
              </w:rPr>
              <w:t>ženy</w:t>
            </w:r>
          </w:p>
        </w:tc>
        <w:tc>
          <w:tcPr>
            <w:tcW w:w="1134" w:type="dxa"/>
            <w:tcBorders>
              <w:top w:val="nil"/>
              <w:left w:val="nil"/>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Cs/>
                <w:sz w:val="24"/>
                <w:szCs w:val="24"/>
              </w:rPr>
            </w:pPr>
            <w:r w:rsidRPr="001F460A">
              <w:rPr>
                <w:rFonts w:ascii="Times New Roman" w:hAnsi="Times New Roman"/>
                <w:sz w:val="24"/>
                <w:szCs w:val="24"/>
              </w:rPr>
              <w:t>muži</w:t>
            </w:r>
          </w:p>
        </w:tc>
        <w:tc>
          <w:tcPr>
            <w:tcW w:w="1134" w:type="dxa"/>
            <w:tcBorders>
              <w:top w:val="nil"/>
              <w:left w:val="nil"/>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Cs/>
                <w:sz w:val="24"/>
                <w:szCs w:val="24"/>
              </w:rPr>
            </w:pPr>
            <w:r w:rsidRPr="001F460A">
              <w:rPr>
                <w:rFonts w:ascii="Times New Roman" w:hAnsi="Times New Roman"/>
                <w:bCs/>
                <w:sz w:val="24"/>
                <w:szCs w:val="24"/>
              </w:rPr>
              <w:t>ženy v %</w:t>
            </w:r>
          </w:p>
        </w:tc>
        <w:tc>
          <w:tcPr>
            <w:tcW w:w="1134" w:type="dxa"/>
            <w:tcBorders>
              <w:top w:val="nil"/>
              <w:left w:val="nil"/>
              <w:bottom w:val="single" w:sz="4" w:space="0" w:color="auto"/>
              <w:right w:val="single" w:sz="4" w:space="0" w:color="auto"/>
            </w:tcBorders>
            <w:shd w:val="clear" w:color="auto" w:fill="F2F2F2"/>
            <w:vAlign w:val="center"/>
          </w:tcPr>
          <w:p w:rsidR="00561843" w:rsidRPr="001F460A" w:rsidRDefault="00561843" w:rsidP="00211741">
            <w:pPr>
              <w:spacing w:before="20" w:after="20"/>
              <w:jc w:val="center"/>
              <w:rPr>
                <w:rFonts w:ascii="Times New Roman" w:hAnsi="Times New Roman"/>
                <w:bCs/>
                <w:sz w:val="24"/>
                <w:szCs w:val="24"/>
              </w:rPr>
            </w:pPr>
            <w:r w:rsidRPr="001F460A">
              <w:rPr>
                <w:rFonts w:ascii="Times New Roman" w:hAnsi="Times New Roman"/>
                <w:bCs/>
                <w:sz w:val="24"/>
                <w:szCs w:val="24"/>
              </w:rPr>
              <w:t>muži v %</w:t>
            </w:r>
          </w:p>
        </w:tc>
      </w:tr>
      <w:tr w:rsidR="00561843" w:rsidRPr="001F460A" w:rsidTr="00211741">
        <w:trPr>
          <w:trHeight w:val="350"/>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Vysoké školy celkem</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219 627</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172 802</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56,0%</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44,0%</w:t>
            </w:r>
          </w:p>
        </w:tc>
      </w:tr>
      <w:tr w:rsidR="00561843" w:rsidRPr="001F460A" w:rsidTr="00211741">
        <w:trPr>
          <w:trHeight w:val="372"/>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Přírodní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13 429</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19 145</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41,2%</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58,8%</w:t>
            </w:r>
          </w:p>
        </w:tc>
      </w:tr>
      <w:tr w:rsidR="00561843" w:rsidRPr="001F460A" w:rsidTr="00211741">
        <w:trPr>
          <w:trHeight w:val="352"/>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Technické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24 701</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60 555</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29,0%</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71,0%</w:t>
            </w:r>
          </w:p>
        </w:tc>
      </w:tr>
      <w:tr w:rsidR="00561843" w:rsidRPr="001F460A" w:rsidTr="00211741">
        <w:trPr>
          <w:trHeight w:val="346"/>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Zemědělsko-lesnické a veter.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8 870</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6 261</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58,6%</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41,4%</w:t>
            </w:r>
          </w:p>
        </w:tc>
      </w:tr>
      <w:tr w:rsidR="00561843" w:rsidRPr="001F460A" w:rsidTr="00211741">
        <w:trPr>
          <w:trHeight w:val="354"/>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Zdravotnictví, lékař. a farmac.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21 677</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8 212</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72,5%</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27,5%</w:t>
            </w:r>
          </w:p>
        </w:tc>
      </w:tr>
      <w:tr w:rsidR="00561843" w:rsidRPr="001F460A" w:rsidTr="00211741">
        <w:trPr>
          <w:trHeight w:val="362"/>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Humanitní a společenské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44 539</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23 119</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65,8%</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34,2%</w:t>
            </w:r>
          </w:p>
        </w:tc>
      </w:tr>
      <w:tr w:rsidR="00561843" w:rsidRPr="001F460A" w:rsidTr="00211741">
        <w:trPr>
          <w:trHeight w:val="342"/>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Ekonomické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58 352</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38 152</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60,5%</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39,5%</w:t>
            </w:r>
          </w:p>
        </w:tc>
      </w:tr>
      <w:tr w:rsidR="00561843" w:rsidRPr="001F460A" w:rsidTr="00211741">
        <w:trPr>
          <w:trHeight w:val="364"/>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Právní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8 671</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6 961</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55,5%</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44,5%</w:t>
            </w:r>
          </w:p>
        </w:tc>
      </w:tr>
      <w:tr w:rsidR="00561843" w:rsidRPr="001F460A" w:rsidTr="00211741">
        <w:trPr>
          <w:trHeight w:val="358"/>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Pedagogika, učitelství a soc. péče</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37 478</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9 287</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80,1%</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19,9%</w:t>
            </w:r>
          </w:p>
        </w:tc>
      </w:tr>
      <w:tr w:rsidR="00561843" w:rsidRPr="001F460A" w:rsidTr="00211741">
        <w:trPr>
          <w:trHeight w:val="352"/>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Vědy a nauky o kultuře a umění</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6 388</w:t>
            </w:r>
          </w:p>
        </w:tc>
        <w:tc>
          <w:tcPr>
            <w:tcW w:w="1134" w:type="dxa"/>
            <w:tcBorders>
              <w:top w:val="single" w:sz="4" w:space="0" w:color="auto"/>
              <w:left w:val="nil"/>
              <w:bottom w:val="single" w:sz="4" w:space="0" w:color="auto"/>
              <w:right w:val="nil"/>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3 938</w:t>
            </w:r>
          </w:p>
        </w:tc>
        <w:tc>
          <w:tcPr>
            <w:tcW w:w="1134" w:type="dxa"/>
            <w:tcBorders>
              <w:top w:val="single" w:sz="4" w:space="0" w:color="auto"/>
              <w:left w:val="single" w:sz="4" w:space="0" w:color="auto"/>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61,9%</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38,1%</w:t>
            </w:r>
          </w:p>
        </w:tc>
      </w:tr>
      <w:tr w:rsidR="00561843" w:rsidRPr="001F460A" w:rsidTr="00211741">
        <w:trPr>
          <w:trHeight w:val="374"/>
        </w:trPr>
        <w:tc>
          <w:tcPr>
            <w:tcW w:w="4410" w:type="dxa"/>
            <w:tcBorders>
              <w:top w:val="single" w:sz="4" w:space="0" w:color="auto"/>
              <w:left w:val="single" w:sz="4" w:space="0" w:color="auto"/>
              <w:bottom w:val="single" w:sz="4" w:space="0" w:color="auto"/>
              <w:right w:val="single" w:sz="4" w:space="0" w:color="auto"/>
            </w:tcBorders>
            <w:vAlign w:val="center"/>
          </w:tcPr>
          <w:p w:rsidR="00561843" w:rsidRPr="001F460A" w:rsidRDefault="00561843" w:rsidP="00211741">
            <w:pPr>
              <w:rPr>
                <w:rFonts w:ascii="Times New Roman" w:hAnsi="Times New Roman"/>
                <w:sz w:val="24"/>
                <w:szCs w:val="24"/>
              </w:rPr>
            </w:pPr>
            <w:r w:rsidRPr="001F460A">
              <w:rPr>
                <w:rFonts w:ascii="Times New Roman" w:hAnsi="Times New Roman"/>
                <w:sz w:val="24"/>
                <w:szCs w:val="24"/>
              </w:rPr>
              <w:t>Vojenské vědy a nauky</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w:t>
            </w:r>
          </w:p>
        </w:tc>
        <w:tc>
          <w:tcPr>
            <w:tcW w:w="1134" w:type="dxa"/>
            <w:tcBorders>
              <w:top w:val="single" w:sz="4" w:space="0" w:color="auto"/>
              <w:left w:val="nil"/>
              <w:bottom w:val="single" w:sz="4" w:space="0" w:color="auto"/>
              <w:right w:val="single" w:sz="4" w:space="0" w:color="auto"/>
            </w:tcBorders>
            <w:noWrap/>
            <w:vAlign w:val="center"/>
          </w:tcPr>
          <w:p w:rsidR="00561843" w:rsidRPr="001F460A" w:rsidRDefault="00561843" w:rsidP="00211741">
            <w:pPr>
              <w:jc w:val="center"/>
              <w:rPr>
                <w:rFonts w:ascii="Times New Roman" w:hAnsi="Times New Roman"/>
                <w:sz w:val="24"/>
                <w:szCs w:val="24"/>
              </w:rPr>
            </w:pPr>
            <w:r w:rsidRPr="001F460A">
              <w:rPr>
                <w:rFonts w:ascii="Times New Roman" w:hAnsi="Times New Roman"/>
                <w:sz w:val="24"/>
                <w:szCs w:val="24"/>
              </w:rPr>
              <w:t>-</w:t>
            </w:r>
          </w:p>
        </w:tc>
      </w:tr>
    </w:tbl>
    <w:p w:rsidR="00561843" w:rsidRPr="00742410" w:rsidRDefault="00561843" w:rsidP="0070680B">
      <w:pPr>
        <w:pStyle w:val="Bezmezer"/>
      </w:pPr>
    </w:p>
    <w:p w:rsidR="00561843" w:rsidRPr="00742410" w:rsidRDefault="00561843" w:rsidP="0070680B">
      <w:pPr>
        <w:rPr>
          <w:rFonts w:ascii="Times New Roman" w:hAnsi="Times New Roman"/>
          <w:sz w:val="24"/>
          <w:szCs w:val="24"/>
        </w:rPr>
      </w:pPr>
      <w:r w:rsidRPr="0070680B">
        <w:rPr>
          <w:rFonts w:ascii="Times New Roman" w:hAnsi="Times New Roman"/>
          <w:sz w:val="20"/>
          <w:szCs w:val="20"/>
        </w:rPr>
        <w:t>Pramen: Zaostřeno na muže a ženy – Studenti vysokých škol podle skupin oborů v</w:t>
      </w:r>
      <w:r w:rsidRPr="0070680B">
        <w:rPr>
          <w:rFonts w:ascii="Times New Roman" w:hAnsi="Times New Roman"/>
          <w:sz w:val="24"/>
          <w:szCs w:val="24"/>
        </w:rPr>
        <w:t xml:space="preserve"> </w:t>
      </w:r>
      <w:r w:rsidRPr="00742410">
        <w:rPr>
          <w:rFonts w:ascii="Times New Roman" w:hAnsi="Times New Roman"/>
          <w:sz w:val="24"/>
          <w:szCs w:val="24"/>
        </w:rPr>
        <w:t xml:space="preserve">akademickém roce </w:t>
      </w:r>
      <w:r w:rsidRPr="0070680B">
        <w:rPr>
          <w:rFonts w:ascii="Times New Roman" w:hAnsi="Times New Roman"/>
          <w:sz w:val="20"/>
          <w:szCs w:val="20"/>
        </w:rPr>
        <w:t>2011/2012, CZSO.</w:t>
      </w:r>
    </w:p>
    <w:p w:rsidR="00561843" w:rsidRPr="00742410" w:rsidRDefault="00561843" w:rsidP="00742410">
      <w:pPr>
        <w:spacing w:before="160" w:after="120"/>
        <w:jc w:val="both"/>
        <w:rPr>
          <w:rFonts w:ascii="Times New Roman" w:hAnsi="Times New Roman"/>
          <w:sz w:val="24"/>
          <w:szCs w:val="24"/>
        </w:rPr>
      </w:pPr>
      <w:r w:rsidRPr="00742410">
        <w:rPr>
          <w:rFonts w:ascii="Times New Roman" w:hAnsi="Times New Roman"/>
          <w:sz w:val="24"/>
          <w:szCs w:val="24"/>
        </w:rPr>
        <w:t xml:space="preserve">Nejen výše dosaženého vzdělání, ale i volba studijního oboru má své důsledky pro možnosti uplatnění na pracovním trhu. Obory tradičně považované za ženské nabízí svým absolventkám zpravidla horší uplatnění. Kreimer (2004: 225) například poukazuje na to, </w:t>
      </w:r>
      <w:r>
        <w:rPr>
          <w:rFonts w:ascii="Times New Roman" w:hAnsi="Times New Roman"/>
          <w:sz w:val="24"/>
          <w:szCs w:val="24"/>
        </w:rPr>
        <w:t>že </w:t>
      </w:r>
      <w:r w:rsidRPr="00742410">
        <w:rPr>
          <w:rFonts w:ascii="Times New Roman" w:hAnsi="Times New Roman"/>
          <w:sz w:val="24"/>
          <w:szCs w:val="24"/>
        </w:rPr>
        <w:t xml:space="preserve">ženská povolání jsou méně diverzifikovaná, v evropských zemích pracuje 75 % žen v pouhých osmi z 27 zaměstnaneckých kategorií. Ženy jdou studovat feminizované obory, protože předpokládají, že se v těchto oborech snáze uplatní – nebudou muset soupeřit s muži (Smyth, Steinmetz 2008). Vzdělání ve feminizovaném oboru jim však později nabízí menší </w:t>
      </w:r>
      <w:r w:rsidRPr="00742410">
        <w:rPr>
          <w:rFonts w:ascii="Times New Roman" w:hAnsi="Times New Roman"/>
          <w:sz w:val="24"/>
          <w:szCs w:val="24"/>
        </w:rPr>
        <w:lastRenderedPageBreak/>
        <w:t>škálu uplatnění na pracovním trhu.</w:t>
      </w:r>
      <w:r>
        <w:rPr>
          <w:rFonts w:ascii="Times New Roman" w:hAnsi="Times New Roman"/>
          <w:sz w:val="24"/>
          <w:szCs w:val="24"/>
        </w:rPr>
        <w:t xml:space="preserve"> To potvrzují i Reimer, Noelke a Kucel (2008), kteří </w:t>
      </w:r>
      <w:r w:rsidRPr="00742410">
        <w:rPr>
          <w:rFonts w:ascii="Times New Roman" w:hAnsi="Times New Roman"/>
          <w:sz w:val="24"/>
          <w:szCs w:val="24"/>
        </w:rPr>
        <w:t xml:space="preserve">zkoumali vliv oboru vzdělání na uplatnění na pracovním trhu ve 22 evropských státech. Ukazují, že se zvyšujícím se počtem absolventů/ek univerzit upadá hodnota diplomů, a to v různých oborech různým způsobem. Dochází především ke </w:t>
      </w:r>
      <w:r>
        <w:rPr>
          <w:rFonts w:ascii="Times New Roman" w:hAnsi="Times New Roman"/>
          <w:sz w:val="24"/>
          <w:szCs w:val="24"/>
        </w:rPr>
        <w:t xml:space="preserve">zhoršení možnosti uplatnění pro </w:t>
      </w:r>
      <w:r w:rsidRPr="00742410">
        <w:rPr>
          <w:rFonts w:ascii="Times New Roman" w:hAnsi="Times New Roman"/>
          <w:sz w:val="24"/>
          <w:szCs w:val="24"/>
        </w:rPr>
        <w:t xml:space="preserve">ty, kdo absolvovali humanitní a sociálněvědní obory, což jsou </w:t>
      </w:r>
      <w:r>
        <w:rPr>
          <w:rFonts w:ascii="Times New Roman" w:hAnsi="Times New Roman"/>
          <w:sz w:val="24"/>
          <w:szCs w:val="24"/>
        </w:rPr>
        <w:t xml:space="preserve">do značné míry obory </w:t>
      </w:r>
      <w:r w:rsidRPr="00742410">
        <w:rPr>
          <w:rFonts w:ascii="Times New Roman" w:hAnsi="Times New Roman"/>
          <w:sz w:val="24"/>
          <w:szCs w:val="24"/>
        </w:rPr>
        <w:t>feminizované. Diplomy z těchto oborů znamenají pro své držitele ve srovnání s ostatními obory vysoké riziko nezaměstnanosti a v zaměstnání nižší zaměstnanecký status.</w:t>
      </w:r>
    </w:p>
    <w:p w:rsidR="00561843" w:rsidRPr="00742410" w:rsidRDefault="00561843" w:rsidP="00742410">
      <w:pPr>
        <w:widowControl w:val="0"/>
        <w:tabs>
          <w:tab w:val="num" w:pos="1440"/>
        </w:tabs>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Také v České republice úroveň dosaženého vzdělání (vertikální struktura) u žen vzrůstá, avšak zároveň dochází po roce 1989 k posilování tradičních modelů v genderové segregaci oborů (horizontální struktura). Matějů, Smith a Basl (2008) prokázali, že od roku 1989 došlo v českém prostředí, co se vzdělávání týče, k utužení tradičních a patriarchálních norem. Tito autoři tvrdí, že </w:t>
      </w:r>
      <w:r w:rsidRPr="00742410">
        <w:rPr>
          <w:rFonts w:ascii="Times New Roman" w:hAnsi="Times New Roman"/>
          <w:i/>
          <w:sz w:val="24"/>
          <w:szCs w:val="24"/>
        </w:rPr>
        <w:t xml:space="preserve">„…socialistický vzdělávací systém, alespoň v roce 1989, </w:t>
      </w:r>
      <w:r>
        <w:rPr>
          <w:rFonts w:ascii="Times New Roman" w:hAnsi="Times New Roman"/>
          <w:i/>
          <w:sz w:val="24"/>
          <w:szCs w:val="24"/>
        </w:rPr>
        <w:t>„</w:t>
      </w:r>
      <w:r w:rsidRPr="00742410">
        <w:rPr>
          <w:rFonts w:ascii="Times New Roman" w:hAnsi="Times New Roman"/>
          <w:i/>
          <w:sz w:val="24"/>
          <w:szCs w:val="24"/>
        </w:rPr>
        <w:t>socializova</w:t>
      </w:r>
      <w:r>
        <w:rPr>
          <w:rFonts w:ascii="Times New Roman" w:hAnsi="Times New Roman"/>
          <w:i/>
          <w:sz w:val="24"/>
          <w:szCs w:val="24"/>
        </w:rPr>
        <w:t>l“</w:t>
      </w:r>
      <w:r w:rsidRPr="00742410">
        <w:rPr>
          <w:rFonts w:ascii="Times New Roman" w:hAnsi="Times New Roman"/>
          <w:i/>
          <w:sz w:val="24"/>
          <w:szCs w:val="24"/>
        </w:rPr>
        <w:t xml:space="preserve"> žáky do takové míry, že rozdíly mezi pohlavími nehrály žádnou roli při utváření faktorů určujících vzdělanostní aspirace</w:t>
      </w:r>
      <w:r>
        <w:rPr>
          <w:rFonts w:ascii="Times New Roman" w:hAnsi="Times New Roman"/>
          <w:i/>
          <w:sz w:val="24"/>
          <w:szCs w:val="24"/>
        </w:rPr>
        <w:t>.</w:t>
      </w:r>
      <w:r w:rsidRPr="00742410">
        <w:rPr>
          <w:rFonts w:ascii="Times New Roman" w:hAnsi="Times New Roman"/>
          <w:sz w:val="24"/>
          <w:szCs w:val="24"/>
        </w:rPr>
        <w:t xml:space="preserve"> </w:t>
      </w:r>
      <w:r w:rsidRPr="00C12086">
        <w:rPr>
          <w:rFonts w:ascii="Times New Roman" w:hAnsi="Times New Roman"/>
          <w:i/>
          <w:sz w:val="24"/>
          <w:szCs w:val="24"/>
        </w:rPr>
        <w:t>[</w:t>
      </w:r>
      <w:r>
        <w:rPr>
          <w:rFonts w:ascii="Times New Roman" w:hAnsi="Times New Roman"/>
          <w:i/>
          <w:sz w:val="24"/>
          <w:szCs w:val="24"/>
        </w:rPr>
        <w:t xml:space="preserve">…] </w:t>
      </w:r>
      <w:r w:rsidRPr="00742410">
        <w:rPr>
          <w:rFonts w:ascii="Times New Roman" w:hAnsi="Times New Roman"/>
          <w:i/>
          <w:sz w:val="24"/>
          <w:szCs w:val="24"/>
        </w:rPr>
        <w:t>vyšší sociální status rodiny vytváří silnější důraz rodičů na roli vzdělání pro životní úspěch v případ</w:t>
      </w:r>
      <w:r>
        <w:rPr>
          <w:rFonts w:ascii="Times New Roman" w:hAnsi="Times New Roman"/>
          <w:i/>
          <w:sz w:val="24"/>
          <w:szCs w:val="24"/>
        </w:rPr>
        <w:t xml:space="preserve">ě chlapců než v případě dívek. </w:t>
      </w:r>
      <w:r w:rsidRPr="00742410">
        <w:rPr>
          <w:rFonts w:ascii="Times New Roman" w:hAnsi="Times New Roman"/>
          <w:i/>
          <w:sz w:val="24"/>
          <w:szCs w:val="24"/>
        </w:rPr>
        <w:t>To znamená, že rodiče mají – pokud jde o význam vzdělání pro ži</w:t>
      </w:r>
      <w:r>
        <w:rPr>
          <w:rFonts w:ascii="Times New Roman" w:hAnsi="Times New Roman"/>
          <w:i/>
          <w:sz w:val="24"/>
          <w:szCs w:val="24"/>
        </w:rPr>
        <w:t xml:space="preserve">votní úspěch – různá očekávání </w:t>
      </w:r>
      <w:r w:rsidRPr="00742410">
        <w:rPr>
          <w:rFonts w:ascii="Times New Roman" w:hAnsi="Times New Roman"/>
          <w:i/>
          <w:sz w:val="24"/>
          <w:szCs w:val="24"/>
        </w:rPr>
        <w:t>od chlapců a dívek. Jinými slovy, pokud jde o dosažení vyššího vzdělání, chlapci v rodinách s vyšším sociálním statusem jsou vystaveni silnějšímu tlaku než dívky“</w:t>
      </w:r>
      <w:r w:rsidRPr="00742410">
        <w:rPr>
          <w:rFonts w:ascii="Times New Roman" w:hAnsi="Times New Roman"/>
          <w:sz w:val="24"/>
          <w:szCs w:val="24"/>
        </w:rPr>
        <w:t xml:space="preserve"> (2008: 391). </w:t>
      </w:r>
    </w:p>
    <w:p w:rsidR="00561843" w:rsidRPr="00742410" w:rsidRDefault="00561843" w:rsidP="00742410">
      <w:pPr>
        <w:widowControl w:val="0"/>
        <w:tabs>
          <w:tab w:val="num" w:pos="1440"/>
        </w:tabs>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Nicméně zdá se, že očekávání rodičů se nepromítá do vertikální struktury vzdělávání. Jsou to totiž dívky, které vykazují vyšší vzdělanostní aspirace a skutečně již začínají převažovat </w:t>
      </w:r>
      <w:r>
        <w:rPr>
          <w:rFonts w:ascii="Times New Roman" w:hAnsi="Times New Roman"/>
          <w:sz w:val="24"/>
          <w:szCs w:val="24"/>
        </w:rPr>
        <w:t>i </w:t>
      </w:r>
      <w:r w:rsidRPr="00742410">
        <w:rPr>
          <w:rFonts w:ascii="Times New Roman" w:hAnsi="Times New Roman"/>
          <w:sz w:val="24"/>
          <w:szCs w:val="24"/>
        </w:rPr>
        <w:t>mezi absolventy</w:t>
      </w:r>
      <w:r>
        <w:rPr>
          <w:rFonts w:ascii="Times New Roman" w:hAnsi="Times New Roman"/>
          <w:sz w:val="24"/>
          <w:szCs w:val="24"/>
        </w:rPr>
        <w:t xml:space="preserve"> a absolventkami</w:t>
      </w:r>
      <w:r w:rsidRPr="00742410">
        <w:rPr>
          <w:rFonts w:ascii="Times New Roman" w:hAnsi="Times New Roman"/>
          <w:sz w:val="24"/>
          <w:szCs w:val="24"/>
        </w:rPr>
        <w:t xml:space="preserve"> vysokých škol. Lze tedy předpokládat, že se tento nižší rodičovský tlak ovlivňuje právě horizontální segregaci, tj. skutečnost, že dívky budou sice mířit vysoko, co se týče výše dosaženého vzdělání, ale v oboru, který nebude tolik perspektivní z hlediska uplatnění.</w:t>
      </w:r>
    </w:p>
    <w:p w:rsidR="00561843" w:rsidRDefault="00561843" w:rsidP="00D01B95">
      <w:pPr>
        <w:spacing w:before="160" w:after="120"/>
        <w:jc w:val="both"/>
        <w:rPr>
          <w:rFonts w:ascii="Times New Roman" w:hAnsi="Times New Roman"/>
          <w:sz w:val="24"/>
          <w:szCs w:val="24"/>
        </w:rPr>
      </w:pPr>
      <w:r w:rsidRPr="00742410">
        <w:rPr>
          <w:rFonts w:ascii="Times New Roman" w:hAnsi="Times New Roman"/>
          <w:sz w:val="24"/>
          <w:szCs w:val="24"/>
        </w:rPr>
        <w:t>S tím souvisí také nižší finanční návratnost vzdělání pro ženy než pro muže (Jarkovská, Lišková 2008). Ženy sice začaly v posledních dekádách dosahovat vyššího vzdělání, avšak to neznamenalo proměnu v nerovnostech sociálních. V každé vzdělanostní kategorii</w:t>
      </w:r>
      <w:r>
        <w:rPr>
          <w:rFonts w:ascii="Times New Roman" w:hAnsi="Times New Roman"/>
          <w:sz w:val="24"/>
          <w:szCs w:val="24"/>
        </w:rPr>
        <w:t xml:space="preserve"> vydělávají ženy méně než muži.</w:t>
      </w: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17" w:name="_Toc296872976"/>
      <w:bookmarkStart w:id="18" w:name="_Toc361886388"/>
      <w:r>
        <w:rPr>
          <w:rFonts w:ascii="Times New Roman" w:hAnsi="Times New Roman" w:cs="Times New Roman"/>
          <w:sz w:val="24"/>
          <w:szCs w:val="24"/>
        </w:rPr>
        <w:t>S</w:t>
      </w:r>
      <w:r w:rsidRPr="00742410">
        <w:rPr>
          <w:rFonts w:ascii="Times New Roman" w:hAnsi="Times New Roman" w:cs="Times New Roman"/>
          <w:sz w:val="24"/>
          <w:szCs w:val="24"/>
        </w:rPr>
        <w:t>ystém podpory pro volbu povolání</w:t>
      </w:r>
      <w:bookmarkEnd w:id="17"/>
      <w:bookmarkEnd w:id="18"/>
    </w:p>
    <w:p w:rsidR="00561843" w:rsidRPr="00742410" w:rsidRDefault="00561843" w:rsidP="00742410">
      <w:pPr>
        <w:widowControl w:val="0"/>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Kariérové poradenství je poskytováno řadou subjektů: jedná se o výchovné poradkyně </w:t>
      </w:r>
      <w:r>
        <w:rPr>
          <w:rFonts w:ascii="Times New Roman" w:hAnsi="Times New Roman"/>
          <w:sz w:val="24"/>
          <w:szCs w:val="24"/>
        </w:rPr>
        <w:t>a </w:t>
      </w:r>
      <w:r w:rsidRPr="00742410">
        <w:rPr>
          <w:rFonts w:ascii="Times New Roman" w:hAnsi="Times New Roman"/>
          <w:sz w:val="24"/>
          <w:szCs w:val="24"/>
        </w:rPr>
        <w:t xml:space="preserve">poradce, vyučující, školní psycholožky a psychology, již působí </w:t>
      </w:r>
      <w:r>
        <w:rPr>
          <w:rFonts w:ascii="Times New Roman" w:hAnsi="Times New Roman"/>
          <w:sz w:val="24"/>
          <w:szCs w:val="24"/>
        </w:rPr>
        <w:t>přímo v prostředí škol, dále o p</w:t>
      </w:r>
      <w:r w:rsidRPr="00742410">
        <w:rPr>
          <w:rFonts w:ascii="Times New Roman" w:hAnsi="Times New Roman"/>
          <w:sz w:val="24"/>
          <w:szCs w:val="24"/>
        </w:rPr>
        <w:t xml:space="preserve">edagogicko-psychologické poradny a o tzv. podpůrné instituce (např. poradenské služby poskytované v rámci činnosti úřadů práce, tzv. </w:t>
      </w:r>
      <w:r w:rsidRPr="00742410">
        <w:rPr>
          <w:rFonts w:ascii="Times New Roman" w:hAnsi="Times New Roman"/>
          <w:i/>
          <w:iCs/>
          <w:sz w:val="24"/>
          <w:szCs w:val="24"/>
        </w:rPr>
        <w:t>Informačně poradenská střediska pro volbu povolání</w:t>
      </w:r>
      <w:r>
        <w:rPr>
          <w:rFonts w:ascii="Times New Roman" w:hAnsi="Times New Roman"/>
          <w:i/>
          <w:iCs/>
          <w:sz w:val="24"/>
          <w:szCs w:val="24"/>
        </w:rPr>
        <w:t>)</w:t>
      </w:r>
      <w:r w:rsidRPr="00742410">
        <w:rPr>
          <w:rFonts w:ascii="Times New Roman" w:hAnsi="Times New Roman"/>
          <w:sz w:val="24"/>
          <w:szCs w:val="24"/>
        </w:rPr>
        <w:t>.</w:t>
      </w:r>
    </w:p>
    <w:p w:rsidR="00561843" w:rsidRPr="00742410" w:rsidRDefault="00561843" w:rsidP="00742410">
      <w:pPr>
        <w:widowControl w:val="0"/>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Výzkum z roku 2006, který se zabýval genderovými stereotypy ve výchovném poradenství, prokázal, že výchovné poradkyně a poradci považují některá povolání a studijní obory </w:t>
      </w:r>
      <w:r>
        <w:rPr>
          <w:rFonts w:ascii="Times New Roman" w:hAnsi="Times New Roman"/>
          <w:sz w:val="24"/>
          <w:szCs w:val="24"/>
        </w:rPr>
        <w:t>za </w:t>
      </w:r>
      <w:r w:rsidRPr="00742410">
        <w:rPr>
          <w:rFonts w:ascii="Times New Roman" w:hAnsi="Times New Roman"/>
          <w:sz w:val="24"/>
          <w:szCs w:val="24"/>
        </w:rPr>
        <w:t xml:space="preserve">vhodné pro ženy (zejména obory spojené s péčí o druhé a s péčí o fyzický vzhled), zatímco jiné za vhodné pro muže (zejména obory technické a fyzicky náročné). Tyto obory a povolání pak mají tendenci doporučovat dívkám a chlapcům a zároveň zpochybňovat volbu těch, kteří by se pro ně rozhodli (Smetáčková, 2006). Dělají to přitom s ohledem na nejlepší zájmy samotných chlapců a dívek. Podobná zjištění vyplývají i z ostatních výzkumů volby povolání </w:t>
      </w:r>
      <w:r w:rsidRPr="00742410">
        <w:rPr>
          <w:rFonts w:ascii="Times New Roman" w:hAnsi="Times New Roman"/>
          <w:sz w:val="24"/>
          <w:szCs w:val="24"/>
        </w:rPr>
        <w:lastRenderedPageBreak/>
        <w:t>(např. Valentová a kol., 2007).</w:t>
      </w:r>
    </w:p>
    <w:p w:rsidR="00561843" w:rsidRDefault="00561843" w:rsidP="00742410">
      <w:pPr>
        <w:widowControl w:val="0"/>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Systém kariérového poradenství zacílený na žactvo ukončující povinnou školní docházku je stěžejním mechanismem, který by měl být využit k zmírnění horizontální segregace jak </w:t>
      </w:r>
      <w:r>
        <w:rPr>
          <w:rFonts w:ascii="Times New Roman" w:hAnsi="Times New Roman"/>
          <w:sz w:val="24"/>
          <w:szCs w:val="24"/>
        </w:rPr>
        <w:t>ve </w:t>
      </w:r>
      <w:r w:rsidRPr="00742410">
        <w:rPr>
          <w:rFonts w:ascii="Times New Roman" w:hAnsi="Times New Roman"/>
          <w:sz w:val="24"/>
          <w:szCs w:val="24"/>
        </w:rPr>
        <w:t>školství, tak na pracovním trhu. V uplynulé dekádě bylo realizováno několik projektů zaměřených na zkvalitnění kariérového poradenství. Školy mají přístup zejména k projekt</w:t>
      </w:r>
      <w:r>
        <w:rPr>
          <w:rFonts w:ascii="Times New Roman" w:hAnsi="Times New Roman"/>
          <w:sz w:val="24"/>
          <w:szCs w:val="24"/>
        </w:rPr>
        <w:t>ům Národního ústavu vzdělávání</w:t>
      </w:r>
      <w:r w:rsidRPr="00742410">
        <w:rPr>
          <w:rFonts w:ascii="Times New Roman" w:hAnsi="Times New Roman"/>
          <w:sz w:val="24"/>
          <w:szCs w:val="24"/>
        </w:rPr>
        <w:t>, kter</w:t>
      </w:r>
      <w:r>
        <w:rPr>
          <w:rFonts w:ascii="Times New Roman" w:hAnsi="Times New Roman"/>
          <w:sz w:val="24"/>
          <w:szCs w:val="24"/>
        </w:rPr>
        <w:t>ý</w:t>
      </w:r>
      <w:r w:rsidRPr="00742410">
        <w:rPr>
          <w:rFonts w:ascii="Times New Roman" w:hAnsi="Times New Roman"/>
          <w:sz w:val="24"/>
          <w:szCs w:val="24"/>
        </w:rPr>
        <w:t xml:space="preserve"> zprostředkováv</w:t>
      </w:r>
      <w:r>
        <w:rPr>
          <w:rFonts w:ascii="Times New Roman" w:hAnsi="Times New Roman"/>
          <w:sz w:val="24"/>
          <w:szCs w:val="24"/>
        </w:rPr>
        <w:t>á</w:t>
      </w:r>
      <w:r w:rsidRPr="00742410">
        <w:rPr>
          <w:rFonts w:ascii="Times New Roman" w:hAnsi="Times New Roman"/>
          <w:sz w:val="24"/>
          <w:szCs w:val="24"/>
        </w:rPr>
        <w:t xml:space="preserve"> nabídku otevíran</w:t>
      </w:r>
      <w:r>
        <w:rPr>
          <w:rFonts w:ascii="Times New Roman" w:hAnsi="Times New Roman"/>
          <w:sz w:val="24"/>
          <w:szCs w:val="24"/>
        </w:rPr>
        <w:t>ých oborů vzdělávání a poskytuje</w:t>
      </w:r>
      <w:r w:rsidRPr="00742410">
        <w:rPr>
          <w:rFonts w:ascii="Times New Roman" w:hAnsi="Times New Roman"/>
          <w:sz w:val="24"/>
          <w:szCs w:val="24"/>
        </w:rPr>
        <w:t xml:space="preserve"> metodickou podporu i materiály pro vyučující. Jedná se o kvalitní nástroje. Je však otázkou, zda by genderová problematika neměla být více zvýrazněna tak, aby vyučující, respektive výchovné poradkyně a poradci byli silněji podpořeni v uvažování o genderových stereotypech a v zavádění nestereotypních postupů práce se žáky/žákyněmi. Vhodné by tedy bylo provést genderovou analýzu existujících materiálů a vyhodnotit efektivitu projektů pro snižování genderové stereotypnosti volby povolání a na základě výsledků stávající projekty aktualizovat či nové připravit. V porovnání se zahraničím je patrné, že dosud chybí dostatek zdrojů (textové materiály pro poradkyně/poradce, školení</w:t>
      </w:r>
      <w:r>
        <w:rPr>
          <w:rFonts w:ascii="Times New Roman" w:hAnsi="Times New Roman"/>
          <w:sz w:val="24"/>
          <w:szCs w:val="24"/>
        </w:rPr>
        <w:t xml:space="preserve"> pro ně, informační letáčky pro </w:t>
      </w:r>
      <w:r w:rsidRPr="00742410">
        <w:rPr>
          <w:rFonts w:ascii="Times New Roman" w:hAnsi="Times New Roman"/>
          <w:sz w:val="24"/>
          <w:szCs w:val="24"/>
        </w:rPr>
        <w:t>chlapce a dívky rozhodující se o dalším vzdělání a budoucí profesi atd.), k tomu, aby se hledisko rovných příležitostí pro muže a ženy stalo jeho samozřejmou součástí.</w:t>
      </w:r>
    </w:p>
    <w:p w:rsidR="00561843" w:rsidRPr="00742410" w:rsidRDefault="00561843" w:rsidP="00742410">
      <w:pPr>
        <w:widowControl w:val="0"/>
        <w:autoSpaceDE w:val="0"/>
        <w:autoSpaceDN w:val="0"/>
        <w:adjustRightInd w:val="0"/>
        <w:spacing w:before="160"/>
        <w:jc w:val="both"/>
        <w:rPr>
          <w:rFonts w:ascii="Times New Roman" w:hAnsi="Times New Roman"/>
          <w:sz w:val="24"/>
          <w:szCs w:val="24"/>
        </w:rPr>
      </w:pPr>
    </w:p>
    <w:p w:rsidR="00561843"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caps/>
          <w:sz w:val="24"/>
          <w:szCs w:val="24"/>
        </w:rPr>
      </w:pPr>
      <w:bookmarkStart w:id="19" w:name="_Toc296872977"/>
      <w:bookmarkStart w:id="20" w:name="_Toc361886389"/>
      <w:r w:rsidRPr="00742410">
        <w:rPr>
          <w:rFonts w:ascii="Times New Roman" w:hAnsi="Times New Roman" w:cs="Times New Roman"/>
          <w:caps/>
          <w:sz w:val="24"/>
          <w:szCs w:val="24"/>
        </w:rPr>
        <w:t>genderová rovnost ve formálním kurikulu</w:t>
      </w:r>
      <w:bookmarkEnd w:id="19"/>
      <w:bookmarkEnd w:id="20"/>
    </w:p>
    <w:p w:rsidR="001A4B2C" w:rsidRPr="001A4B2C" w:rsidRDefault="001A4B2C" w:rsidP="001A4B2C">
      <w:pPr>
        <w:rPr>
          <w:lang w:eastAsia="cs-CZ"/>
        </w:rPr>
      </w:pPr>
    </w:p>
    <w:p w:rsidR="00561843" w:rsidRPr="00742410" w:rsidRDefault="00561843" w:rsidP="00742410">
      <w:pPr>
        <w:pStyle w:val="Nadpis2"/>
        <w:numPr>
          <w:ilvl w:val="1"/>
          <w:numId w:val="6"/>
        </w:numPr>
        <w:spacing w:before="160" w:after="0" w:line="260" w:lineRule="exact"/>
        <w:ind w:left="540" w:hanging="540"/>
        <w:rPr>
          <w:rFonts w:ascii="Times New Roman" w:hAnsi="Times New Roman" w:cs="Times New Roman"/>
          <w:sz w:val="24"/>
          <w:szCs w:val="24"/>
        </w:rPr>
      </w:pPr>
      <w:bookmarkStart w:id="21" w:name="_Toc296872978"/>
      <w:bookmarkStart w:id="22" w:name="_Toc361886390"/>
      <w:r>
        <w:rPr>
          <w:rFonts w:ascii="Times New Roman" w:hAnsi="Times New Roman" w:cs="Times New Roman"/>
          <w:sz w:val="24"/>
          <w:szCs w:val="24"/>
        </w:rPr>
        <w:t>G</w:t>
      </w:r>
      <w:r w:rsidRPr="00742410">
        <w:rPr>
          <w:rFonts w:ascii="Times New Roman" w:hAnsi="Times New Roman" w:cs="Times New Roman"/>
          <w:sz w:val="24"/>
          <w:szCs w:val="24"/>
        </w:rPr>
        <w:t>enderová rovnost v Rámcových vzdělávacích programech a Školních vzdělávacích programech</w:t>
      </w:r>
      <w:bookmarkEnd w:id="21"/>
      <w:bookmarkEnd w:id="22"/>
      <w:r w:rsidRPr="00742410">
        <w:rPr>
          <w:rFonts w:ascii="Times New Roman" w:hAnsi="Times New Roman" w:cs="Times New Roman"/>
          <w:sz w:val="24"/>
          <w:szCs w:val="24"/>
        </w:rPr>
        <w:t xml:space="preserve"> </w:t>
      </w:r>
    </w:p>
    <w:p w:rsidR="00561843" w:rsidRPr="00742410" w:rsidRDefault="00561843" w:rsidP="00742410">
      <w:pPr>
        <w:spacing w:before="160"/>
        <w:jc w:val="both"/>
        <w:rPr>
          <w:rFonts w:ascii="Times New Roman" w:hAnsi="Times New Roman"/>
          <w:sz w:val="24"/>
          <w:szCs w:val="24"/>
        </w:rPr>
      </w:pPr>
      <w:r w:rsidRPr="00742410">
        <w:rPr>
          <w:rFonts w:ascii="Times New Roman" w:hAnsi="Times New Roman"/>
          <w:sz w:val="24"/>
          <w:szCs w:val="24"/>
        </w:rPr>
        <w:t xml:space="preserve">Rámcové vzdělávací programy, které stanovují obecný rámec vzdělávání, pracují s genderovou problematikou velmi vágně. Pasáží, které užívají pojem gender nebo pojednávají o postavení a vztahu žen a mužů s ohledem na jejich socio-kulturní determinovanost, je v RVP velmi málo. </w:t>
      </w:r>
    </w:p>
    <w:p w:rsidR="00561843" w:rsidRPr="00742410" w:rsidRDefault="00561843" w:rsidP="00742410">
      <w:pPr>
        <w:spacing w:before="160"/>
        <w:jc w:val="both"/>
        <w:rPr>
          <w:rFonts w:ascii="Times New Roman" w:hAnsi="Times New Roman"/>
          <w:sz w:val="24"/>
          <w:szCs w:val="24"/>
        </w:rPr>
      </w:pPr>
      <w:r w:rsidRPr="00742410">
        <w:rPr>
          <w:rFonts w:ascii="Times New Roman" w:hAnsi="Times New Roman"/>
          <w:sz w:val="24"/>
          <w:szCs w:val="24"/>
        </w:rPr>
        <w:t>RVP</w:t>
      </w:r>
      <w:r>
        <w:rPr>
          <w:rFonts w:ascii="Times New Roman" w:hAnsi="Times New Roman"/>
          <w:sz w:val="24"/>
          <w:szCs w:val="24"/>
        </w:rPr>
        <w:t xml:space="preserve"> ZV</w:t>
      </w:r>
      <w:r w:rsidRPr="00742410">
        <w:rPr>
          <w:rFonts w:ascii="Times New Roman" w:hAnsi="Times New Roman"/>
          <w:sz w:val="24"/>
          <w:szCs w:val="24"/>
        </w:rPr>
        <w:t xml:space="preserve"> se skládá z tzv. vzdělávacích oblastí (po</w:t>
      </w:r>
      <w:r>
        <w:rPr>
          <w:rFonts w:ascii="Times New Roman" w:hAnsi="Times New Roman"/>
          <w:sz w:val="24"/>
          <w:szCs w:val="24"/>
        </w:rPr>
        <w:t>d něž spadají vzdělávací obory) a </w:t>
      </w:r>
      <w:r w:rsidRPr="00742410">
        <w:rPr>
          <w:rFonts w:ascii="Times New Roman" w:hAnsi="Times New Roman"/>
          <w:sz w:val="24"/>
          <w:szCs w:val="24"/>
        </w:rPr>
        <w:t xml:space="preserve">průřezových témat. Vzdělávací témata se mírně liší podle vzdělávacího stupně a typu školy. V rámci RVP </w:t>
      </w:r>
      <w:r>
        <w:rPr>
          <w:rFonts w:ascii="Times New Roman" w:hAnsi="Times New Roman"/>
          <w:sz w:val="24"/>
          <w:szCs w:val="24"/>
        </w:rPr>
        <w:t xml:space="preserve">ZV </w:t>
      </w:r>
      <w:r w:rsidRPr="00742410">
        <w:rPr>
          <w:rFonts w:ascii="Times New Roman" w:hAnsi="Times New Roman"/>
          <w:sz w:val="24"/>
          <w:szCs w:val="24"/>
        </w:rPr>
        <w:t xml:space="preserve">pro základní vzdělávání je genderová problematika součástí vzdělávací oblasti </w:t>
      </w:r>
      <w:r>
        <w:rPr>
          <w:rFonts w:ascii="Times New Roman" w:hAnsi="Times New Roman"/>
          <w:i/>
          <w:sz w:val="24"/>
          <w:szCs w:val="24"/>
        </w:rPr>
        <w:t xml:space="preserve">Člověk </w:t>
      </w:r>
      <w:r w:rsidRPr="00742410">
        <w:rPr>
          <w:rFonts w:ascii="Times New Roman" w:hAnsi="Times New Roman"/>
          <w:i/>
          <w:sz w:val="24"/>
          <w:szCs w:val="24"/>
        </w:rPr>
        <w:t>a společnost</w:t>
      </w:r>
      <w:r w:rsidRPr="00742410">
        <w:rPr>
          <w:rFonts w:ascii="Times New Roman" w:hAnsi="Times New Roman"/>
          <w:sz w:val="24"/>
          <w:szCs w:val="24"/>
        </w:rPr>
        <w:t xml:space="preserve"> a je zde uvedena jako klíčová kompetence v cílovém zaměření této vzdělávací oblasti. V RVP </w:t>
      </w:r>
      <w:r>
        <w:rPr>
          <w:rFonts w:ascii="Times New Roman" w:hAnsi="Times New Roman"/>
          <w:sz w:val="24"/>
          <w:szCs w:val="24"/>
        </w:rPr>
        <w:t>G</w:t>
      </w:r>
      <w:r w:rsidRPr="00742410">
        <w:rPr>
          <w:rFonts w:ascii="Times New Roman" w:hAnsi="Times New Roman"/>
          <w:sz w:val="24"/>
          <w:szCs w:val="24"/>
        </w:rPr>
        <w:t xml:space="preserve"> je genderová pro</w:t>
      </w:r>
      <w:r>
        <w:rPr>
          <w:rFonts w:ascii="Times New Roman" w:hAnsi="Times New Roman"/>
          <w:sz w:val="24"/>
          <w:szCs w:val="24"/>
        </w:rPr>
        <w:t>blematika uvedena, stejně jako u RVP</w:t>
      </w:r>
      <w:r w:rsidRPr="00742410">
        <w:rPr>
          <w:rFonts w:ascii="Times New Roman" w:hAnsi="Times New Roman"/>
          <w:sz w:val="24"/>
          <w:szCs w:val="24"/>
        </w:rPr>
        <w:t xml:space="preserve"> ZV, coby součást cílového zaměření vzdělávací oblasti </w:t>
      </w:r>
      <w:r w:rsidRPr="00742410">
        <w:rPr>
          <w:rFonts w:ascii="Times New Roman" w:hAnsi="Times New Roman"/>
          <w:i/>
          <w:sz w:val="24"/>
          <w:szCs w:val="24"/>
        </w:rPr>
        <w:t>Člověk a společnost</w:t>
      </w:r>
      <w:r>
        <w:rPr>
          <w:rFonts w:ascii="Times New Roman" w:hAnsi="Times New Roman"/>
          <w:sz w:val="24"/>
          <w:szCs w:val="24"/>
        </w:rPr>
        <w:t>. Některé RVP pro </w:t>
      </w:r>
      <w:r w:rsidRPr="00742410">
        <w:rPr>
          <w:rFonts w:ascii="Times New Roman" w:hAnsi="Times New Roman"/>
          <w:sz w:val="24"/>
          <w:szCs w:val="24"/>
        </w:rPr>
        <w:t>odborné vzdělávání genderovou problematiku a postavení</w:t>
      </w:r>
      <w:r>
        <w:rPr>
          <w:rFonts w:ascii="Times New Roman" w:hAnsi="Times New Roman"/>
          <w:sz w:val="24"/>
          <w:szCs w:val="24"/>
        </w:rPr>
        <w:t xml:space="preserve"> mužů a žen do </w:t>
      </w:r>
      <w:r w:rsidRPr="00742410">
        <w:rPr>
          <w:rFonts w:ascii="Times New Roman" w:hAnsi="Times New Roman"/>
          <w:sz w:val="24"/>
          <w:szCs w:val="24"/>
        </w:rPr>
        <w:t xml:space="preserve">společenskovědního vzdělání zahrnují. V RVP </w:t>
      </w:r>
      <w:r>
        <w:rPr>
          <w:rFonts w:ascii="Times New Roman" w:hAnsi="Times New Roman"/>
          <w:sz w:val="24"/>
          <w:szCs w:val="24"/>
        </w:rPr>
        <w:t xml:space="preserve">OV </w:t>
      </w:r>
      <w:r w:rsidRPr="00742410">
        <w:rPr>
          <w:rFonts w:ascii="Times New Roman" w:hAnsi="Times New Roman"/>
          <w:sz w:val="24"/>
          <w:szCs w:val="24"/>
        </w:rPr>
        <w:t xml:space="preserve">je v rámci vzdělávací oblasti </w:t>
      </w:r>
      <w:r w:rsidRPr="00742410">
        <w:rPr>
          <w:rFonts w:ascii="Times New Roman" w:hAnsi="Times New Roman"/>
          <w:i/>
          <w:sz w:val="24"/>
          <w:szCs w:val="24"/>
        </w:rPr>
        <w:t>Společenskovědní vzdělávání</w:t>
      </w:r>
      <w:r w:rsidRPr="00742410">
        <w:rPr>
          <w:rFonts w:ascii="Times New Roman" w:hAnsi="Times New Roman"/>
          <w:sz w:val="24"/>
          <w:szCs w:val="24"/>
        </w:rPr>
        <w:t xml:space="preserve"> např. uvedeno toto – žák </w:t>
      </w:r>
      <w:r w:rsidRPr="00742410">
        <w:rPr>
          <w:rFonts w:ascii="Times New Roman" w:hAnsi="Times New Roman"/>
          <w:i/>
          <w:sz w:val="24"/>
          <w:szCs w:val="24"/>
        </w:rPr>
        <w:t>„posoudí, kdy je v praktickém životě rovnost pohlaví porušována“</w:t>
      </w:r>
      <w:r w:rsidRPr="00742410">
        <w:rPr>
          <w:rFonts w:ascii="Times New Roman" w:hAnsi="Times New Roman"/>
          <w:sz w:val="24"/>
          <w:szCs w:val="24"/>
        </w:rPr>
        <w:t xml:space="preserve">. </w:t>
      </w:r>
    </w:p>
    <w:p w:rsidR="00561843" w:rsidRPr="00742410" w:rsidRDefault="00561843" w:rsidP="00742410">
      <w:pPr>
        <w:spacing w:before="160"/>
        <w:jc w:val="both"/>
        <w:rPr>
          <w:rFonts w:ascii="Times New Roman" w:hAnsi="Times New Roman"/>
          <w:sz w:val="24"/>
          <w:szCs w:val="24"/>
        </w:rPr>
      </w:pPr>
      <w:r w:rsidRPr="00742410">
        <w:rPr>
          <w:rFonts w:ascii="Times New Roman" w:hAnsi="Times New Roman"/>
          <w:sz w:val="24"/>
          <w:szCs w:val="24"/>
        </w:rPr>
        <w:t>Vzhledem k záměru kurikulární reformy poskytnout více autonomie školám při plánování</w:t>
      </w:r>
      <w:r>
        <w:rPr>
          <w:rFonts w:ascii="Times New Roman" w:hAnsi="Times New Roman"/>
          <w:sz w:val="24"/>
          <w:szCs w:val="24"/>
        </w:rPr>
        <w:t xml:space="preserve"> a </w:t>
      </w:r>
      <w:r w:rsidRPr="00742410">
        <w:rPr>
          <w:rFonts w:ascii="Times New Roman" w:hAnsi="Times New Roman"/>
          <w:sz w:val="24"/>
          <w:szCs w:val="24"/>
        </w:rPr>
        <w:t xml:space="preserve">realizaci vlastní výuky, musí být vymezení učiva a vzdělávacích výstupů v RVP dostatečně široké. U ustálených školních obsahů to nepřináší žádná rizika; u společensky nových témat však hrozí, že vágní formulace povedou v kombinaci s nedostatečným množstvím zdrojů pro zpracování daného tématu (učebnice, školení) k dezinterpretaci tématu či k jeho opomíjení. </w:t>
      </w:r>
      <w:r w:rsidRPr="00742410">
        <w:rPr>
          <w:rFonts w:ascii="Times New Roman" w:hAnsi="Times New Roman"/>
          <w:sz w:val="24"/>
          <w:szCs w:val="24"/>
        </w:rPr>
        <w:lastRenderedPageBreak/>
        <w:t>To je právě případ genderové rovnosti, kde formulace z</w:t>
      </w:r>
      <w:r>
        <w:rPr>
          <w:rFonts w:ascii="Times New Roman" w:hAnsi="Times New Roman"/>
          <w:sz w:val="24"/>
          <w:szCs w:val="24"/>
        </w:rPr>
        <w:t> </w:t>
      </w:r>
      <w:r w:rsidRPr="00742410">
        <w:rPr>
          <w:rFonts w:ascii="Times New Roman" w:hAnsi="Times New Roman"/>
          <w:sz w:val="24"/>
          <w:szCs w:val="24"/>
        </w:rPr>
        <w:t>RVP</w:t>
      </w:r>
      <w:r>
        <w:rPr>
          <w:rFonts w:ascii="Times New Roman" w:hAnsi="Times New Roman"/>
          <w:sz w:val="24"/>
          <w:szCs w:val="24"/>
        </w:rPr>
        <w:t xml:space="preserve"> PV a RVP ZV vyzdvihují</w:t>
      </w:r>
      <w:r w:rsidRPr="00742410">
        <w:rPr>
          <w:rFonts w:ascii="Times New Roman" w:hAnsi="Times New Roman"/>
          <w:sz w:val="24"/>
          <w:szCs w:val="24"/>
        </w:rPr>
        <w:t xml:space="preserve"> především </w:t>
      </w:r>
      <w:r w:rsidRPr="00742410">
        <w:rPr>
          <w:rFonts w:ascii="Times New Roman" w:hAnsi="Times New Roman"/>
          <w:i/>
          <w:sz w:val="24"/>
          <w:szCs w:val="24"/>
        </w:rPr>
        <w:t>nutnost vzájemné tolerance pohlaví</w:t>
      </w:r>
      <w:r>
        <w:rPr>
          <w:rFonts w:ascii="Times New Roman" w:hAnsi="Times New Roman"/>
          <w:i/>
          <w:sz w:val="24"/>
          <w:szCs w:val="24"/>
        </w:rPr>
        <w:t>.</w:t>
      </w:r>
      <w:r w:rsidRPr="00742410">
        <w:rPr>
          <w:rFonts w:ascii="Times New Roman" w:hAnsi="Times New Roman"/>
          <w:sz w:val="24"/>
          <w:szCs w:val="24"/>
        </w:rPr>
        <w:t xml:space="preserve"> </w:t>
      </w:r>
      <w:r>
        <w:rPr>
          <w:rFonts w:ascii="Times New Roman" w:hAnsi="Times New Roman"/>
          <w:sz w:val="24"/>
          <w:szCs w:val="24"/>
        </w:rPr>
        <w:t xml:space="preserve">Tolerance </w:t>
      </w:r>
      <w:r w:rsidRPr="00742410">
        <w:rPr>
          <w:rFonts w:ascii="Times New Roman" w:hAnsi="Times New Roman"/>
          <w:sz w:val="24"/>
          <w:szCs w:val="24"/>
        </w:rPr>
        <w:t xml:space="preserve">a respekt jsou </w:t>
      </w:r>
      <w:r>
        <w:rPr>
          <w:rFonts w:ascii="Times New Roman" w:hAnsi="Times New Roman"/>
          <w:sz w:val="24"/>
          <w:szCs w:val="24"/>
        </w:rPr>
        <w:t xml:space="preserve">rozhodně </w:t>
      </w:r>
      <w:r w:rsidRPr="00742410">
        <w:rPr>
          <w:rFonts w:ascii="Times New Roman" w:hAnsi="Times New Roman"/>
          <w:sz w:val="24"/>
          <w:szCs w:val="24"/>
        </w:rPr>
        <w:t>významné hodnoty</w:t>
      </w:r>
      <w:r>
        <w:rPr>
          <w:rFonts w:ascii="Times New Roman" w:hAnsi="Times New Roman"/>
          <w:sz w:val="24"/>
          <w:szCs w:val="24"/>
        </w:rPr>
        <w:t>, ke kterým je žáky a žákyně třeba vést</w:t>
      </w:r>
      <w:r w:rsidRPr="00742410">
        <w:rPr>
          <w:rFonts w:ascii="Times New Roman" w:hAnsi="Times New Roman"/>
          <w:sz w:val="24"/>
          <w:szCs w:val="24"/>
        </w:rPr>
        <w:t>.</w:t>
      </w:r>
      <w:r>
        <w:rPr>
          <w:rFonts w:ascii="Times New Roman" w:hAnsi="Times New Roman"/>
          <w:sz w:val="24"/>
          <w:szCs w:val="24"/>
        </w:rPr>
        <w:t xml:space="preserve"> Nicméně v rámci tématu genderové rovnosti jde o aspekt, který může být velmi snadno nepochopen a dezinterpretován </w:t>
      </w:r>
      <w:r w:rsidRPr="00742410">
        <w:rPr>
          <w:rFonts w:ascii="Times New Roman" w:hAnsi="Times New Roman"/>
          <w:sz w:val="24"/>
          <w:szCs w:val="24"/>
        </w:rPr>
        <w:t xml:space="preserve">ve shodě s genderovými stereotypy </w:t>
      </w:r>
      <w:r>
        <w:rPr>
          <w:rFonts w:ascii="Times New Roman" w:hAnsi="Times New Roman"/>
          <w:sz w:val="24"/>
          <w:szCs w:val="24"/>
        </w:rPr>
        <w:t xml:space="preserve">(Smetáčková 2008). To proto, že konstruuje dívky a chlapce jako dvě odlišné a vnitřně homogenní skupiny, které mají být tolerantní jedna ke druhé. </w:t>
      </w:r>
      <w:r w:rsidRPr="00742410">
        <w:rPr>
          <w:rFonts w:ascii="Times New Roman" w:hAnsi="Times New Roman"/>
          <w:sz w:val="24"/>
          <w:szCs w:val="24"/>
        </w:rPr>
        <w:t xml:space="preserve">Obě skupiny jsou </w:t>
      </w:r>
      <w:r>
        <w:rPr>
          <w:rFonts w:ascii="Times New Roman" w:hAnsi="Times New Roman"/>
          <w:sz w:val="24"/>
          <w:szCs w:val="24"/>
        </w:rPr>
        <w:t>však vnitřně heterogenní a zároveň m</w:t>
      </w:r>
      <w:r w:rsidRPr="00742410">
        <w:rPr>
          <w:rFonts w:ascii="Times New Roman" w:hAnsi="Times New Roman"/>
          <w:sz w:val="24"/>
          <w:szCs w:val="24"/>
        </w:rPr>
        <w:t xml:space="preserve">ezi skupinou chlapců a skupinou dívek panuje podstatně více podobností než rozdílů (Hyde, 2005). </w:t>
      </w:r>
      <w:r>
        <w:rPr>
          <w:rFonts w:ascii="Times New Roman" w:hAnsi="Times New Roman"/>
          <w:sz w:val="24"/>
          <w:szCs w:val="24"/>
        </w:rPr>
        <w:t>R</w:t>
      </w:r>
      <w:r w:rsidRPr="00742410">
        <w:rPr>
          <w:rFonts w:ascii="Times New Roman" w:hAnsi="Times New Roman"/>
          <w:sz w:val="24"/>
          <w:szCs w:val="24"/>
        </w:rPr>
        <w:t xml:space="preserve">ozdílnost je spíše interindividuální než skupinová. Výchovné působení by se </w:t>
      </w:r>
      <w:r>
        <w:rPr>
          <w:rFonts w:ascii="Times New Roman" w:hAnsi="Times New Roman"/>
          <w:sz w:val="24"/>
          <w:szCs w:val="24"/>
        </w:rPr>
        <w:t>mělo zaměřovat na pochopení a </w:t>
      </w:r>
      <w:r w:rsidRPr="00742410">
        <w:rPr>
          <w:rFonts w:ascii="Times New Roman" w:hAnsi="Times New Roman"/>
          <w:sz w:val="24"/>
          <w:szCs w:val="24"/>
        </w:rPr>
        <w:t xml:space="preserve">přijetí individuálních specifik každého člověka, namísto upevňování pomyslné rozdílnosti dívek a chlapců. V oblasti genderových vztahů by proto měla být cílovou hodnotou rovnost, </w:t>
      </w:r>
      <w:r>
        <w:rPr>
          <w:rFonts w:ascii="Times New Roman" w:hAnsi="Times New Roman"/>
          <w:sz w:val="24"/>
          <w:szCs w:val="24"/>
        </w:rPr>
        <w:t>založená na přináležitosti dívek a chlapců k demokratickému lidskému společenství</w:t>
      </w:r>
      <w:r w:rsidRPr="00742410">
        <w:rPr>
          <w:rFonts w:ascii="Times New Roman" w:hAnsi="Times New Roman"/>
          <w:sz w:val="24"/>
          <w:szCs w:val="24"/>
        </w:rPr>
        <w:t xml:space="preserve">, spíše než tolerance a respekt, které </w:t>
      </w:r>
      <w:r>
        <w:rPr>
          <w:rFonts w:ascii="Times New Roman" w:hAnsi="Times New Roman"/>
          <w:sz w:val="24"/>
          <w:szCs w:val="24"/>
        </w:rPr>
        <w:t xml:space="preserve">inherentně </w:t>
      </w:r>
      <w:r w:rsidRPr="00742410">
        <w:rPr>
          <w:rFonts w:ascii="Times New Roman" w:hAnsi="Times New Roman"/>
          <w:sz w:val="24"/>
          <w:szCs w:val="24"/>
        </w:rPr>
        <w:t xml:space="preserve">předpokládají </w:t>
      </w:r>
      <w:r>
        <w:rPr>
          <w:rFonts w:ascii="Times New Roman" w:hAnsi="Times New Roman"/>
          <w:sz w:val="24"/>
          <w:szCs w:val="24"/>
        </w:rPr>
        <w:t>esenciální</w:t>
      </w:r>
      <w:r w:rsidRPr="00742410">
        <w:rPr>
          <w:rFonts w:ascii="Times New Roman" w:hAnsi="Times New Roman"/>
          <w:sz w:val="24"/>
          <w:szCs w:val="24"/>
        </w:rPr>
        <w:t xml:space="preserve"> rozdílnost chlapců a dívek</w:t>
      </w:r>
      <w:r>
        <w:rPr>
          <w:rFonts w:ascii="Times New Roman" w:hAnsi="Times New Roman"/>
          <w:sz w:val="24"/>
          <w:szCs w:val="24"/>
        </w:rPr>
        <w:t xml:space="preserve"> a jejich vzájemné nepochopení.</w:t>
      </w:r>
      <w:r>
        <w:rPr>
          <w:rStyle w:val="Znakapoznpodarou"/>
          <w:rFonts w:ascii="Times New Roman" w:hAnsi="Times New Roman"/>
          <w:sz w:val="24"/>
          <w:szCs w:val="24"/>
        </w:rPr>
        <w:footnoteReference w:id="23"/>
      </w:r>
    </w:p>
    <w:p w:rsidR="00561843" w:rsidRPr="00742410" w:rsidRDefault="00561843" w:rsidP="00742410">
      <w:pPr>
        <w:spacing w:before="160"/>
        <w:jc w:val="both"/>
        <w:rPr>
          <w:rFonts w:ascii="Times New Roman" w:hAnsi="Times New Roman"/>
          <w:sz w:val="24"/>
          <w:szCs w:val="24"/>
        </w:rPr>
      </w:pPr>
      <w:r w:rsidRPr="00742410">
        <w:rPr>
          <w:rFonts w:ascii="Times New Roman" w:hAnsi="Times New Roman"/>
          <w:sz w:val="24"/>
          <w:szCs w:val="24"/>
        </w:rPr>
        <w:t>V rámci kurikulární reformy zpracovaly školy (</w:t>
      </w:r>
      <w:r>
        <w:rPr>
          <w:rFonts w:ascii="Times New Roman" w:hAnsi="Times New Roman"/>
          <w:sz w:val="24"/>
          <w:szCs w:val="24"/>
        </w:rPr>
        <w:t xml:space="preserve">MŠ, </w:t>
      </w:r>
      <w:r w:rsidRPr="00742410">
        <w:rPr>
          <w:rFonts w:ascii="Times New Roman" w:hAnsi="Times New Roman"/>
          <w:sz w:val="24"/>
          <w:szCs w:val="24"/>
        </w:rPr>
        <w:t>ZŠ, SŠ) vlastní školní vzdělávací programy, z nichž část již prošla posouzením České školní inspekce (Ševčíková, 2006). Ta shledala, že často právě v oblastech týkajících se klíčových kompetencí a průřezových témat ŠVP vykazují nedostatky a nejsou v souladu s požadovanými RVP. Bohužel rozbor ČŠI nebyl natolik detailní, aby bylo možné přesně specifikovat, zda se tyto nedostatky týkají přímo oblastí souvisejících s genderovou problematikou. Takovou analýzu by bylo vhodné realizovat.</w:t>
      </w:r>
    </w:p>
    <w:p w:rsidR="00561843" w:rsidRPr="00742410" w:rsidRDefault="00561843" w:rsidP="00742410">
      <w:pPr>
        <w:spacing w:before="160"/>
        <w:jc w:val="both"/>
        <w:rPr>
          <w:rFonts w:ascii="Times New Roman" w:hAnsi="Times New Roman"/>
          <w:sz w:val="24"/>
          <w:szCs w:val="24"/>
        </w:rPr>
      </w:pPr>
      <w:r w:rsidRPr="00742410">
        <w:rPr>
          <w:rFonts w:ascii="Times New Roman" w:hAnsi="Times New Roman"/>
          <w:sz w:val="24"/>
          <w:szCs w:val="24"/>
        </w:rPr>
        <w:t xml:space="preserve">Za ideální lze považovat stav, kdy by se genderová problematika </w:t>
      </w:r>
      <w:r>
        <w:rPr>
          <w:rFonts w:ascii="Times New Roman" w:hAnsi="Times New Roman"/>
          <w:sz w:val="24"/>
          <w:szCs w:val="24"/>
        </w:rPr>
        <w:t xml:space="preserve">sama stala průřezovým tématem. </w:t>
      </w:r>
      <w:r w:rsidRPr="00742410">
        <w:rPr>
          <w:rFonts w:ascii="Times New Roman" w:hAnsi="Times New Roman"/>
          <w:sz w:val="24"/>
          <w:szCs w:val="24"/>
        </w:rPr>
        <w:t>To by korespondovalo i s funkcí průřezových témat, kterou je předst</w:t>
      </w:r>
      <w:r>
        <w:rPr>
          <w:rFonts w:ascii="Times New Roman" w:hAnsi="Times New Roman"/>
          <w:sz w:val="24"/>
          <w:szCs w:val="24"/>
        </w:rPr>
        <w:t xml:space="preserve">avení soudobých problémů světa </w:t>
      </w:r>
      <w:r w:rsidRPr="00742410">
        <w:rPr>
          <w:rFonts w:ascii="Times New Roman" w:hAnsi="Times New Roman"/>
          <w:sz w:val="24"/>
          <w:szCs w:val="24"/>
        </w:rPr>
        <w:t>a formování postojů a hodnot žáků a žákyň. Tematické okruhy p</w:t>
      </w:r>
      <w:r>
        <w:rPr>
          <w:rFonts w:ascii="Times New Roman" w:hAnsi="Times New Roman"/>
          <w:sz w:val="24"/>
          <w:szCs w:val="24"/>
        </w:rPr>
        <w:t xml:space="preserve">růřezových témat jsou jednotné </w:t>
      </w:r>
      <w:r w:rsidRPr="00742410">
        <w:rPr>
          <w:rFonts w:ascii="Times New Roman" w:hAnsi="Times New Roman"/>
          <w:sz w:val="24"/>
          <w:szCs w:val="24"/>
        </w:rPr>
        <w:t>(a pro jednotlivé školy povinné) a procházejí napříč vzdělávacími oblastmi. Tak by měly umožňovat propojení vzdělávacích obsahů jednotlivých oborů a tím přispívat k ucelenosti</w:t>
      </w:r>
      <w:r>
        <w:rPr>
          <w:rFonts w:ascii="Times New Roman" w:hAnsi="Times New Roman"/>
          <w:sz w:val="24"/>
          <w:szCs w:val="24"/>
        </w:rPr>
        <w:t xml:space="preserve"> vzdělávání.</w:t>
      </w:r>
    </w:p>
    <w:p w:rsidR="00561843" w:rsidRPr="00742410" w:rsidRDefault="00561843" w:rsidP="00742410">
      <w:pPr>
        <w:spacing w:before="160"/>
        <w:jc w:val="both"/>
        <w:rPr>
          <w:rFonts w:ascii="Times New Roman" w:hAnsi="Times New Roman"/>
          <w:sz w:val="24"/>
          <w:szCs w:val="24"/>
        </w:rPr>
      </w:pPr>
      <w:r w:rsidRPr="00742410">
        <w:rPr>
          <w:rFonts w:ascii="Times New Roman" w:hAnsi="Times New Roman"/>
          <w:sz w:val="24"/>
          <w:szCs w:val="24"/>
        </w:rPr>
        <w:t xml:space="preserve">Zároveň by však bylo třeba, aby se genderová problematika stala součástí všech či většiny vzdělávacích oblastí a vzdělávacích oborů, ať již pouze na úrovni výstupů nebo i učiva. Oproti současnému stavu by však měla být genderová problematika pojednána konkrétněji </w:t>
      </w:r>
      <w:r>
        <w:rPr>
          <w:rFonts w:ascii="Times New Roman" w:hAnsi="Times New Roman"/>
          <w:sz w:val="24"/>
          <w:szCs w:val="24"/>
        </w:rPr>
        <w:t xml:space="preserve">a měla </w:t>
      </w:r>
      <w:r w:rsidRPr="00742410">
        <w:rPr>
          <w:rFonts w:ascii="Times New Roman" w:hAnsi="Times New Roman"/>
          <w:sz w:val="24"/>
          <w:szCs w:val="24"/>
        </w:rPr>
        <w:t xml:space="preserve">by využívat příslušnou terminologii (tj. pojem gender, který odkazuje – na rozdíl </w:t>
      </w:r>
      <w:r>
        <w:rPr>
          <w:rFonts w:ascii="Times New Roman" w:hAnsi="Times New Roman"/>
          <w:sz w:val="24"/>
          <w:szCs w:val="24"/>
        </w:rPr>
        <w:t>od </w:t>
      </w:r>
      <w:r w:rsidRPr="00742410">
        <w:rPr>
          <w:rFonts w:ascii="Times New Roman" w:hAnsi="Times New Roman"/>
          <w:sz w:val="24"/>
          <w:szCs w:val="24"/>
        </w:rPr>
        <w:t xml:space="preserve">pojmu pohlaví – výhradně k sociálně utvářeným charakteristikám maskulinity </w:t>
      </w:r>
      <w:r>
        <w:rPr>
          <w:rFonts w:ascii="Times New Roman" w:hAnsi="Times New Roman"/>
          <w:sz w:val="24"/>
          <w:szCs w:val="24"/>
        </w:rPr>
        <w:t xml:space="preserve">a femininity). Nabízí se např. zapojit téma genderové (ale i jiné) diskriminace do tematického okruhu Svět práce (vzdělávací oblast Svět práce), který si klade za cíl </w:t>
      </w:r>
      <w:r>
        <w:rPr>
          <w:rFonts w:ascii="Times New Roman" w:hAnsi="Times New Roman"/>
          <w:sz w:val="24"/>
          <w:szCs w:val="24"/>
          <w:lang w:eastAsia="cs-CZ"/>
        </w:rPr>
        <w:t xml:space="preserve">osvojení potřebných poznatků a dovedností významných pro možnost uplatnění, pro volbu </w:t>
      </w:r>
      <w:r>
        <w:rPr>
          <w:rFonts w:ascii="Times New Roman" w:hAnsi="Times New Roman"/>
          <w:sz w:val="24"/>
          <w:szCs w:val="24"/>
        </w:rPr>
        <w:t xml:space="preserve">vlastního profesního zaměření a pro další životní a profesní orientaci. Učivo tohoto tematického okruhu by bylo možné doplnit o aspekt ochrany práv zaměstnanců a zaměstnankyň, základní informace </w:t>
      </w:r>
      <w:r w:rsidR="00E25BFF">
        <w:rPr>
          <w:rFonts w:ascii="Times New Roman" w:hAnsi="Times New Roman"/>
          <w:sz w:val="24"/>
          <w:szCs w:val="24"/>
        </w:rPr>
        <w:br/>
      </w:r>
      <w:r>
        <w:rPr>
          <w:rFonts w:ascii="Times New Roman" w:hAnsi="Times New Roman"/>
          <w:sz w:val="24"/>
          <w:szCs w:val="24"/>
        </w:rPr>
        <w:t>o možnostech ochrany před pracovní diskriminací apod.</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lastRenderedPageBreak/>
        <w:t xml:space="preserve">Zohlednění genderové problematiky by mělo nastat rovněž v minimálním preventivním programu. Témata související se zdravým životním stylem (zvláště sexuálním životem) </w:t>
      </w:r>
      <w:r>
        <w:rPr>
          <w:rFonts w:ascii="Times New Roman" w:hAnsi="Times New Roman"/>
          <w:sz w:val="24"/>
          <w:szCs w:val="24"/>
        </w:rPr>
        <w:t>a </w:t>
      </w:r>
      <w:r w:rsidRPr="00742410">
        <w:rPr>
          <w:rFonts w:ascii="Times New Roman" w:hAnsi="Times New Roman"/>
          <w:sz w:val="24"/>
          <w:szCs w:val="24"/>
        </w:rPr>
        <w:t xml:space="preserve">rovněž se správným fungováním smíšených žákovských kolektivů se nemohou z povahy věci </w:t>
      </w:r>
      <w:r>
        <w:rPr>
          <w:rFonts w:ascii="Times New Roman" w:hAnsi="Times New Roman"/>
          <w:sz w:val="24"/>
          <w:szCs w:val="24"/>
        </w:rPr>
        <w:t>obejít bez genderových aspektů. Analýzu genderových aspektů sexuální výchovy přináší např. Jarkovská a Lišková (2013) a Jarkovská (2012a, 2012b). Výzkum Jarkovské ukazuje</w:t>
      </w:r>
      <w:r w:rsidR="008F5FAA">
        <w:rPr>
          <w:rFonts w:ascii="Times New Roman" w:hAnsi="Times New Roman"/>
          <w:sz w:val="24"/>
          <w:szCs w:val="24"/>
        </w:rPr>
        <w:t>,</w:t>
      </w:r>
      <w:r w:rsidR="00555980">
        <w:rPr>
          <w:rFonts w:ascii="Times New Roman" w:hAnsi="Times New Roman"/>
          <w:sz w:val="24"/>
          <w:szCs w:val="24"/>
        </w:rPr>
        <w:t xml:space="preserve"> </w:t>
      </w:r>
      <w:r>
        <w:rPr>
          <w:rFonts w:ascii="Times New Roman" w:hAnsi="Times New Roman"/>
          <w:sz w:val="24"/>
          <w:szCs w:val="24"/>
        </w:rPr>
        <w:t xml:space="preserve"> jakým způsobem může být konkrétní výklad určité látky problematický pro identifikaci dívek s ním a jak může vyluč</w:t>
      </w:r>
      <w:r w:rsidR="001A4B2C">
        <w:rPr>
          <w:rFonts w:ascii="Times New Roman" w:hAnsi="Times New Roman"/>
          <w:sz w:val="24"/>
          <w:szCs w:val="24"/>
        </w:rPr>
        <w:t>ovat dívky z diskuse v hodině.</w:t>
      </w: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23" w:name="_Toc296872979"/>
      <w:bookmarkStart w:id="24" w:name="_Toc361886391"/>
      <w:r>
        <w:rPr>
          <w:rFonts w:ascii="Times New Roman" w:hAnsi="Times New Roman" w:cs="Times New Roman"/>
          <w:sz w:val="24"/>
          <w:szCs w:val="24"/>
        </w:rPr>
        <w:t>G</w:t>
      </w:r>
      <w:r w:rsidRPr="00742410">
        <w:rPr>
          <w:rFonts w:ascii="Times New Roman" w:hAnsi="Times New Roman" w:cs="Times New Roman"/>
          <w:sz w:val="24"/>
          <w:szCs w:val="24"/>
        </w:rPr>
        <w:t>enderová rovnost v učebnicích</w:t>
      </w:r>
      <w:bookmarkEnd w:id="23"/>
      <w:bookmarkEnd w:id="24"/>
    </w:p>
    <w:p w:rsidR="00561843" w:rsidRPr="00742410" w:rsidRDefault="00561843" w:rsidP="00742410">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Základní učební pomůckou jsou učebnice, v nichž se obvykle prezentuje pedagogickými dokumenty vymezené povinné učivo a dále se doplňuje. Z hlediska genderového zatížení je zvláště problematické, pokud učebnice pracují pouze s úzce vymeze</w:t>
      </w:r>
      <w:r>
        <w:rPr>
          <w:rFonts w:ascii="Times New Roman" w:hAnsi="Times New Roman"/>
          <w:sz w:val="24"/>
          <w:szCs w:val="24"/>
        </w:rPr>
        <w:t xml:space="preserve">nou maskulinitou a femininitou </w:t>
      </w:r>
      <w:r w:rsidRPr="00742410">
        <w:rPr>
          <w:rFonts w:ascii="Times New Roman" w:hAnsi="Times New Roman"/>
          <w:sz w:val="24"/>
          <w:szCs w:val="24"/>
        </w:rPr>
        <w:t xml:space="preserve">a prezentují ženy/dívky, respektive muže/chlapce způsobem, který naznačuje homogenitu uvnitř skupin, apriorní vhodnost určitých činností či celých domén pro jednu z těchto skupin a zároveň zveličují rozdíly mezi skupinami. Zobrazování žen a mužů v učebnicích probíhá prostřednictvím následujících tří aspektů, kterým by měla být při posuzování učebnic věnována zvláštní pozornost: </w:t>
      </w:r>
    </w:p>
    <w:p w:rsidR="00561843" w:rsidRPr="00742410" w:rsidRDefault="00561843" w:rsidP="00742410">
      <w:pPr>
        <w:numPr>
          <w:ilvl w:val="0"/>
          <w:numId w:val="11"/>
        </w:numPr>
        <w:autoSpaceDE w:val="0"/>
        <w:autoSpaceDN w:val="0"/>
        <w:adjustRightInd w:val="0"/>
        <w:spacing w:before="160" w:after="0" w:line="240" w:lineRule="auto"/>
        <w:jc w:val="both"/>
        <w:rPr>
          <w:rFonts w:ascii="Times New Roman" w:hAnsi="Times New Roman"/>
          <w:sz w:val="24"/>
          <w:szCs w:val="24"/>
        </w:rPr>
      </w:pPr>
      <w:r w:rsidRPr="00742410">
        <w:rPr>
          <w:rFonts w:ascii="Times New Roman" w:hAnsi="Times New Roman"/>
          <w:sz w:val="24"/>
          <w:szCs w:val="24"/>
        </w:rPr>
        <w:t>výběr a strukturace učiva,</w:t>
      </w:r>
    </w:p>
    <w:p w:rsidR="00561843" w:rsidRPr="00742410" w:rsidRDefault="00561843" w:rsidP="00742410">
      <w:pPr>
        <w:numPr>
          <w:ilvl w:val="0"/>
          <w:numId w:val="11"/>
        </w:numPr>
        <w:autoSpaceDE w:val="0"/>
        <w:autoSpaceDN w:val="0"/>
        <w:adjustRightInd w:val="0"/>
        <w:spacing w:before="160" w:after="0" w:line="240" w:lineRule="auto"/>
        <w:jc w:val="both"/>
        <w:rPr>
          <w:rFonts w:ascii="Times New Roman" w:hAnsi="Times New Roman"/>
          <w:sz w:val="24"/>
          <w:szCs w:val="24"/>
        </w:rPr>
      </w:pPr>
      <w:r w:rsidRPr="00742410">
        <w:rPr>
          <w:rFonts w:ascii="Times New Roman" w:hAnsi="Times New Roman"/>
          <w:sz w:val="24"/>
          <w:szCs w:val="24"/>
        </w:rPr>
        <w:t>jazyk,</w:t>
      </w:r>
    </w:p>
    <w:p w:rsidR="00561843" w:rsidRPr="00742410" w:rsidRDefault="00561843" w:rsidP="00742410">
      <w:pPr>
        <w:numPr>
          <w:ilvl w:val="0"/>
          <w:numId w:val="11"/>
        </w:numPr>
        <w:autoSpaceDE w:val="0"/>
        <w:autoSpaceDN w:val="0"/>
        <w:adjustRightInd w:val="0"/>
        <w:spacing w:before="160" w:after="0" w:line="240" w:lineRule="auto"/>
        <w:jc w:val="both"/>
        <w:rPr>
          <w:rFonts w:ascii="Times New Roman" w:hAnsi="Times New Roman"/>
          <w:sz w:val="24"/>
          <w:szCs w:val="24"/>
        </w:rPr>
      </w:pPr>
      <w:r w:rsidRPr="00742410">
        <w:rPr>
          <w:rFonts w:ascii="Times New Roman" w:hAnsi="Times New Roman"/>
          <w:sz w:val="24"/>
          <w:szCs w:val="24"/>
        </w:rPr>
        <w:t>příklady a ilustrace.</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Jejich prostřednictvím může docházet k reprodukci genderových nerovností, a to dvěma způsoby. Jednak spoluutváří obraz světa, který může dětem jejich možnosti</w:t>
      </w:r>
      <w:r>
        <w:rPr>
          <w:rFonts w:ascii="Times New Roman" w:hAnsi="Times New Roman"/>
          <w:sz w:val="24"/>
          <w:szCs w:val="24"/>
        </w:rPr>
        <w:t xml:space="preserve">, přemýšlení o vlastním životě </w:t>
      </w:r>
      <w:r w:rsidRPr="00742410">
        <w:rPr>
          <w:rFonts w:ascii="Times New Roman" w:hAnsi="Times New Roman"/>
          <w:sz w:val="24"/>
          <w:szCs w:val="24"/>
        </w:rPr>
        <w:t xml:space="preserve">a budoucnosti spíše uzavírat a limitovat na základě stereotypních genderových očekávání. Zároveň také povaha učebnic může přispět k identifikaci jednotlivých dětí s předmětem nebo naopak k pocitu, že vyučovaná témata jsou jim potenciálně nedostupná. </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 xml:space="preserve">Z hlediska efektivity samotného učení, která je zvyšována názorností učiva, je zdrojem potíží, pokud učebnice využívají k výkladu a procvičování výhradně příklady z takových životních sfér, které jsou vzdálené obvyklé dívčí či chlapecké genderové socializaci. Například výhradní příklady s dopravními prostředky ve fyzice ztěžují kvůli chybějícím zkušenostem (nikoliv kvůli apriorní absenci schopností) většině dívek porozumění předkládané látce </w:t>
      </w:r>
      <w:r>
        <w:rPr>
          <w:rFonts w:ascii="Times New Roman" w:hAnsi="Times New Roman"/>
          <w:sz w:val="24"/>
          <w:szCs w:val="24"/>
        </w:rPr>
        <w:t>a </w:t>
      </w:r>
      <w:r w:rsidRPr="00742410">
        <w:rPr>
          <w:rFonts w:ascii="Times New Roman" w:hAnsi="Times New Roman"/>
          <w:sz w:val="24"/>
          <w:szCs w:val="24"/>
        </w:rPr>
        <w:t>vytváří jejich odstup vůči danému předmětu. Zahraniční výzkumy ukazují, že nedostatečná názornost způsobe</w:t>
      </w:r>
      <w:r>
        <w:rPr>
          <w:rFonts w:ascii="Times New Roman" w:hAnsi="Times New Roman"/>
          <w:sz w:val="24"/>
          <w:szCs w:val="24"/>
        </w:rPr>
        <w:t xml:space="preserve">ná absencí určitých zkušeností </w:t>
      </w:r>
      <w:r w:rsidRPr="00742410">
        <w:rPr>
          <w:rFonts w:ascii="Times New Roman" w:hAnsi="Times New Roman"/>
          <w:sz w:val="24"/>
          <w:szCs w:val="24"/>
        </w:rPr>
        <w:t xml:space="preserve">a vzdáleností určitých domén snižuje zaujetí, pocit kompetence a výkony žákyň či žáků. Volba vhodných a dostatečně pestrých výukových obsahů je nutnou součástí neformální, implicitní úrovně genderové rovnosti týkající se průběhu a podmínek vzdělávání (viz kapitola 2). Východiskem je přitom všeobecně přijímané přesvědčení, že školní socializace má doplňovat a rozšiřovat rodinnou socializaci tak, aby </w:t>
      </w:r>
      <w:r>
        <w:rPr>
          <w:rFonts w:ascii="Times New Roman" w:hAnsi="Times New Roman"/>
          <w:sz w:val="24"/>
          <w:szCs w:val="24"/>
        </w:rPr>
        <w:t>jedinci</w:t>
      </w:r>
      <w:r w:rsidRPr="00742410">
        <w:rPr>
          <w:rFonts w:ascii="Times New Roman" w:hAnsi="Times New Roman"/>
          <w:sz w:val="24"/>
          <w:szCs w:val="24"/>
        </w:rPr>
        <w:t>, kterým se v rodinné výchově nedostalo určitých zkušeností, měly možnost je dodatečně získat. V případě genderové socializace to znamená, že škola by měla aktivně vyhledávat chybějící zkušenosti dívek a chlapců a nabízet jim příležitosti k jejich načerpání, čímž přispívají k jejich komplexnímu osobno</w:t>
      </w:r>
      <w:r>
        <w:rPr>
          <w:rFonts w:ascii="Times New Roman" w:hAnsi="Times New Roman"/>
          <w:sz w:val="24"/>
          <w:szCs w:val="24"/>
        </w:rPr>
        <w:t>stnímu a intelektovému rozvoji.</w:t>
      </w:r>
    </w:p>
    <w:p w:rsidR="00561843" w:rsidRDefault="00561843" w:rsidP="00D01B95">
      <w:pPr>
        <w:spacing w:before="160"/>
        <w:jc w:val="both"/>
        <w:rPr>
          <w:rFonts w:ascii="Times New Roman" w:hAnsi="Times New Roman"/>
          <w:sz w:val="24"/>
          <w:szCs w:val="24"/>
        </w:rPr>
      </w:pPr>
      <w:r w:rsidRPr="00742410">
        <w:rPr>
          <w:rFonts w:ascii="Times New Roman" w:hAnsi="Times New Roman"/>
          <w:sz w:val="24"/>
          <w:szCs w:val="24"/>
        </w:rPr>
        <w:lastRenderedPageBreak/>
        <w:t xml:space="preserve">Vedle pedagogických dokumentů jsou učebnice oblastí, kterou lze (v porovnání s dalšími aspekty vzdělávacího procesu) relativně snadno ovlivnit. V případě učebnic se konkrétně jedná o zahrnutí kritéria genderové nestereotypnosti mezi požadavky, na základě nichž učebnice může získat schvalovací doložku MŠMT. MŠMT již od roku 2006 toto kritérium v procesu udělování schvalovacích doložek učebnicím zohledňuje. Aby se nejednalo pouze </w:t>
      </w:r>
      <w:r>
        <w:rPr>
          <w:rFonts w:ascii="Times New Roman" w:hAnsi="Times New Roman"/>
          <w:sz w:val="24"/>
          <w:szCs w:val="24"/>
        </w:rPr>
        <w:t>o </w:t>
      </w:r>
      <w:r w:rsidRPr="00742410">
        <w:rPr>
          <w:rFonts w:ascii="Times New Roman" w:hAnsi="Times New Roman"/>
          <w:sz w:val="24"/>
          <w:szCs w:val="24"/>
        </w:rPr>
        <w:t xml:space="preserve">formální úkon, je třeba zajistit, že všichni recenzenti/ky dostatečně rozumí možným projevům genderových stereotypů v učebnicích. K tomu slouží </w:t>
      </w:r>
      <w:r w:rsidRPr="00742410">
        <w:rPr>
          <w:rFonts w:ascii="Times New Roman" w:hAnsi="Times New Roman"/>
          <w:i/>
          <w:sz w:val="24"/>
          <w:szCs w:val="24"/>
        </w:rPr>
        <w:t>Příručka pro posuzování genderové korektnosti učebnic</w:t>
      </w:r>
      <w:r w:rsidRPr="00742410">
        <w:rPr>
          <w:rFonts w:ascii="Times New Roman" w:hAnsi="Times New Roman"/>
          <w:sz w:val="24"/>
          <w:szCs w:val="24"/>
        </w:rPr>
        <w:t>, kte</w:t>
      </w:r>
      <w:r>
        <w:rPr>
          <w:rFonts w:ascii="Times New Roman" w:hAnsi="Times New Roman"/>
          <w:sz w:val="24"/>
          <w:szCs w:val="24"/>
        </w:rPr>
        <w:t xml:space="preserve">rou si nechalo MŠMT zpracovat. </w:t>
      </w:r>
      <w:r w:rsidRPr="00742410">
        <w:rPr>
          <w:rFonts w:ascii="Times New Roman" w:hAnsi="Times New Roman"/>
          <w:sz w:val="24"/>
          <w:szCs w:val="24"/>
        </w:rPr>
        <w:t xml:space="preserve">Ta však dosud není systematicky užívána v procesu recenzování, jehož kvalifikovanost je tím rapidně snížena. </w:t>
      </w:r>
    </w:p>
    <w:p w:rsidR="00561843" w:rsidRPr="00742410" w:rsidRDefault="00561843" w:rsidP="00D01B95">
      <w:pPr>
        <w:spacing w:before="160"/>
        <w:jc w:val="both"/>
        <w:rPr>
          <w:rFonts w:ascii="Times New Roman" w:hAnsi="Times New Roman"/>
          <w:sz w:val="24"/>
          <w:szCs w:val="24"/>
        </w:rPr>
      </w:pPr>
    </w:p>
    <w:p w:rsidR="00561843" w:rsidRPr="00742410" w:rsidRDefault="00561843" w:rsidP="00D01B95">
      <w:pPr>
        <w:pStyle w:val="Nadpis1"/>
        <w:numPr>
          <w:ilvl w:val="0"/>
          <w:numId w:val="6"/>
        </w:numPr>
        <w:tabs>
          <w:tab w:val="clear" w:pos="720"/>
          <w:tab w:val="num" w:pos="360"/>
        </w:tabs>
        <w:spacing w:before="160" w:after="0" w:line="276" w:lineRule="auto"/>
        <w:ind w:hanging="720"/>
        <w:jc w:val="both"/>
        <w:rPr>
          <w:rFonts w:ascii="Times New Roman" w:hAnsi="Times New Roman" w:cs="Times New Roman"/>
          <w:caps/>
          <w:sz w:val="24"/>
          <w:szCs w:val="24"/>
        </w:rPr>
      </w:pPr>
      <w:bookmarkStart w:id="25" w:name="_Toc361886392"/>
      <w:r w:rsidRPr="00742410">
        <w:rPr>
          <w:rFonts w:ascii="Times New Roman" w:hAnsi="Times New Roman" w:cs="Times New Roman"/>
          <w:caps/>
          <w:sz w:val="24"/>
          <w:szCs w:val="24"/>
        </w:rPr>
        <w:t>genderová rovnost v učitelské přípravě</w:t>
      </w:r>
      <w:r>
        <w:rPr>
          <w:rStyle w:val="Znakapoznpodarou"/>
          <w:rFonts w:ascii="Times New Roman" w:hAnsi="Times New Roman"/>
          <w:sz w:val="24"/>
          <w:szCs w:val="24"/>
        </w:rPr>
        <w:footnoteReference w:id="24"/>
      </w:r>
      <w:bookmarkEnd w:id="25"/>
      <w:r w:rsidRPr="00742410">
        <w:rPr>
          <w:rFonts w:ascii="Times New Roman" w:hAnsi="Times New Roman" w:cs="Times New Roman"/>
          <w:caps/>
          <w:sz w:val="24"/>
          <w:szCs w:val="24"/>
        </w:rPr>
        <w:t xml:space="preserve"> </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 xml:space="preserve">Požadavek, aby vyučující v rámci vzdělávání omezovali genderové stereotypy a prosazovali rovnost mezi </w:t>
      </w:r>
      <w:r>
        <w:rPr>
          <w:rFonts w:ascii="Times New Roman" w:hAnsi="Times New Roman"/>
          <w:sz w:val="24"/>
          <w:szCs w:val="24"/>
        </w:rPr>
        <w:t>dívkami a chlapci</w:t>
      </w:r>
      <w:r w:rsidRPr="00742410">
        <w:rPr>
          <w:rFonts w:ascii="Times New Roman" w:hAnsi="Times New Roman"/>
          <w:sz w:val="24"/>
          <w:szCs w:val="24"/>
        </w:rPr>
        <w:t>, by měl být zohledňován již v přípravě na učitelské povolání. Implicitně již bylo toto téma naznačeno v kapitole, která se věnovala zařazení genderové problematiky do obsahu výuky. Jak bylo řečeno, Rámcové vzdělávací programy kla</w:t>
      </w:r>
      <w:r>
        <w:rPr>
          <w:rFonts w:ascii="Times New Roman" w:hAnsi="Times New Roman"/>
          <w:sz w:val="24"/>
          <w:szCs w:val="24"/>
        </w:rPr>
        <w:t xml:space="preserve">dou důraz </w:t>
      </w:r>
      <w:r w:rsidRPr="00742410">
        <w:rPr>
          <w:rFonts w:ascii="Times New Roman" w:hAnsi="Times New Roman"/>
          <w:sz w:val="24"/>
          <w:szCs w:val="24"/>
        </w:rPr>
        <w:t>na vzájemné poznání a respekt mezi dívkami a chlapci. Formulace týkající se genderové rovnosti jsou natolik široké, že mohou nabývat dvou zásadně odlišných významů.</w:t>
      </w:r>
    </w:p>
    <w:p w:rsidR="00561843" w:rsidRDefault="00561843" w:rsidP="00D01B95">
      <w:pPr>
        <w:spacing w:before="160"/>
        <w:jc w:val="both"/>
        <w:rPr>
          <w:rFonts w:ascii="Times New Roman" w:hAnsi="Times New Roman"/>
          <w:sz w:val="24"/>
          <w:szCs w:val="24"/>
        </w:rPr>
      </w:pPr>
      <w:r w:rsidRPr="00742410">
        <w:rPr>
          <w:rFonts w:ascii="Times New Roman" w:hAnsi="Times New Roman"/>
          <w:sz w:val="24"/>
          <w:szCs w:val="24"/>
        </w:rPr>
        <w:t>Na jedné straně mohou být interpretovány z perspektivy genderové rovnosti, která zdůrazňuje, že řada rozdílů mezi ženami a muži je sociálně utvářených a ted</w:t>
      </w:r>
      <w:r>
        <w:rPr>
          <w:rFonts w:ascii="Times New Roman" w:hAnsi="Times New Roman"/>
          <w:sz w:val="24"/>
          <w:szCs w:val="24"/>
        </w:rPr>
        <w:t xml:space="preserve">y že protikladnost obou skupin </w:t>
      </w:r>
      <w:r w:rsidRPr="00742410">
        <w:rPr>
          <w:rFonts w:ascii="Times New Roman" w:hAnsi="Times New Roman"/>
          <w:sz w:val="24"/>
          <w:szCs w:val="24"/>
        </w:rPr>
        <w:t xml:space="preserve">a homogenita v každé z nich je podstatně menší, než se nám jeví. V rámci tohoto přístupu pak je cílem školního vzdělávání vést studující k respektu vůči individualitě každého chlapce </w:t>
      </w:r>
      <w:r>
        <w:rPr>
          <w:rFonts w:ascii="Times New Roman" w:hAnsi="Times New Roman"/>
          <w:sz w:val="24"/>
          <w:szCs w:val="24"/>
        </w:rPr>
        <w:t>nebo</w:t>
      </w:r>
      <w:r w:rsidRPr="00742410">
        <w:rPr>
          <w:rFonts w:ascii="Times New Roman" w:hAnsi="Times New Roman"/>
          <w:sz w:val="24"/>
          <w:szCs w:val="24"/>
        </w:rPr>
        <w:t xml:space="preserve"> dívky bez ohledu na to, zda a nakolik odpovídá obvyklým představám </w:t>
      </w:r>
      <w:r>
        <w:rPr>
          <w:rFonts w:ascii="Times New Roman" w:hAnsi="Times New Roman"/>
          <w:sz w:val="24"/>
          <w:szCs w:val="24"/>
        </w:rPr>
        <w:t>o </w:t>
      </w:r>
      <w:r w:rsidRPr="00742410">
        <w:rPr>
          <w:rFonts w:ascii="Times New Roman" w:hAnsi="Times New Roman"/>
          <w:sz w:val="24"/>
          <w:szCs w:val="24"/>
        </w:rPr>
        <w:t xml:space="preserve">femininitě či maskulinitě. Na druhou stranu je však možné rozumět formulacím z RVP </w:t>
      </w:r>
      <w:r>
        <w:rPr>
          <w:rFonts w:ascii="Times New Roman" w:hAnsi="Times New Roman"/>
          <w:sz w:val="24"/>
          <w:szCs w:val="24"/>
        </w:rPr>
        <w:t>o </w:t>
      </w:r>
      <w:r w:rsidRPr="00742410">
        <w:rPr>
          <w:rFonts w:ascii="Times New Roman" w:hAnsi="Times New Roman"/>
          <w:sz w:val="24"/>
          <w:szCs w:val="24"/>
        </w:rPr>
        <w:t xml:space="preserve">poznání a respektu tak, že by studující měli rozpoznat a akceptovat hluboké rozdíly mezi ženami a muži. Tento způsob interpretace vychází z genderových stereotypů. Aby vyučující dokázali uplatnit první způsob výkladu, musí mít alespoň základní orientaci v genderové problematice. Tu by měli získat v průběhu pregraduální přípravy či celoživotního vzdělávání. Vzdělávání a metodická podpora vyučujících zaměřená na prohlubování vlastního genderového povědomí a na zahrnování genderové problematiky do výuky je v současné době velmi omezené. Nedostatečná je také empirická evidence o učitelských postojích, a proto by bylo vhodné provést výzkumné šetření. </w:t>
      </w:r>
    </w:p>
    <w:p w:rsidR="00561843" w:rsidRPr="00742410" w:rsidRDefault="00561843" w:rsidP="00D01B95">
      <w:pPr>
        <w:spacing w:before="160"/>
        <w:jc w:val="both"/>
        <w:rPr>
          <w:rFonts w:ascii="Times New Roman" w:hAnsi="Times New Roman"/>
          <w:sz w:val="24"/>
          <w:szCs w:val="24"/>
        </w:rPr>
      </w:pP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26" w:name="_Toc361886393"/>
      <w:r>
        <w:rPr>
          <w:rFonts w:ascii="Times New Roman" w:hAnsi="Times New Roman" w:cs="Times New Roman"/>
          <w:sz w:val="24"/>
          <w:szCs w:val="24"/>
        </w:rPr>
        <w:t>P</w:t>
      </w:r>
      <w:r w:rsidRPr="00742410">
        <w:rPr>
          <w:rFonts w:ascii="Times New Roman" w:hAnsi="Times New Roman" w:cs="Times New Roman"/>
          <w:sz w:val="24"/>
          <w:szCs w:val="24"/>
        </w:rPr>
        <w:t>regraduální učitelská příprava</w:t>
      </w:r>
      <w:bookmarkEnd w:id="26"/>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 xml:space="preserve">Situace na jednotlivých vysokých školách připravujících učitele/ky je velmi rozdílná. </w:t>
      </w:r>
      <w:r>
        <w:rPr>
          <w:rFonts w:ascii="Times New Roman" w:hAnsi="Times New Roman"/>
          <w:sz w:val="24"/>
          <w:szCs w:val="24"/>
        </w:rPr>
        <w:t>Na </w:t>
      </w:r>
      <w:r w:rsidRPr="00742410">
        <w:rPr>
          <w:rFonts w:ascii="Times New Roman" w:hAnsi="Times New Roman"/>
          <w:sz w:val="24"/>
          <w:szCs w:val="24"/>
        </w:rPr>
        <w:t xml:space="preserve">většině pedagogických fakult či fakult nabízejících </w:t>
      </w:r>
      <w:r>
        <w:rPr>
          <w:rFonts w:ascii="Times New Roman" w:hAnsi="Times New Roman"/>
          <w:sz w:val="24"/>
          <w:szCs w:val="24"/>
        </w:rPr>
        <w:t xml:space="preserve">doplňující </w:t>
      </w:r>
      <w:r w:rsidRPr="00742410">
        <w:rPr>
          <w:rFonts w:ascii="Times New Roman" w:hAnsi="Times New Roman"/>
          <w:sz w:val="24"/>
          <w:szCs w:val="24"/>
        </w:rPr>
        <w:t xml:space="preserve">pedagogické </w:t>
      </w:r>
      <w:r>
        <w:rPr>
          <w:rFonts w:ascii="Times New Roman" w:hAnsi="Times New Roman"/>
          <w:sz w:val="24"/>
          <w:szCs w:val="24"/>
        </w:rPr>
        <w:t>studi</w:t>
      </w:r>
      <w:r w:rsidRPr="00742410">
        <w:rPr>
          <w:rFonts w:ascii="Times New Roman" w:hAnsi="Times New Roman"/>
          <w:sz w:val="24"/>
          <w:szCs w:val="24"/>
        </w:rPr>
        <w:t xml:space="preserve">um nemají studující možnost absolvovat žádný kurz zaměřený na problematiku genderových nerovností </w:t>
      </w:r>
      <w:r>
        <w:rPr>
          <w:rFonts w:ascii="Times New Roman" w:hAnsi="Times New Roman"/>
          <w:sz w:val="24"/>
          <w:szCs w:val="24"/>
        </w:rPr>
        <w:br/>
      </w:r>
      <w:r w:rsidRPr="00742410">
        <w:rPr>
          <w:rFonts w:ascii="Times New Roman" w:hAnsi="Times New Roman"/>
          <w:sz w:val="24"/>
          <w:szCs w:val="24"/>
        </w:rPr>
        <w:t xml:space="preserve">ve vzdělávání a postupů při odstraňování genderových stereotypů. Na některých fakultách je </w:t>
      </w:r>
      <w:r w:rsidRPr="00742410">
        <w:rPr>
          <w:rFonts w:ascii="Times New Roman" w:hAnsi="Times New Roman"/>
          <w:sz w:val="24"/>
          <w:szCs w:val="24"/>
        </w:rPr>
        <w:lastRenderedPageBreak/>
        <w:t xml:space="preserve">takový kurz v nabídce povinně volitelných předmětů, a tedy zdaleka ne všichni studující se s tématem seznámí. Jen výjimečně je genderová problematika zařazena jako povinná součást přípravy, ať již v podobě samostatného kurzu či v podobě významnější součásti šířeji koncipovaného kurzu. Uvedený přehled vychází z neformální kumulace informací mezi vyučujícími pedagogických fakult a má tedy pouze orientační charakter. V ČR dosud neexistuje žádný kompletní přehled, který by vytvořilo MŠMT či jeho přímo řízené organizace, případně který by vycházel z nezávislého výzkumu. </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 xml:space="preserve">Důvodem silné heterogenity v pregraduální přípravě je, že vůči vysokým školám dosud nebyl vznesen požadavek, aby součástí přípravy bylo také seznámení s genderovou problematikou. Vysoké školy jsou vysoce autonomní instituce, jejichž obsah vzdělávání nemůže být regulován stejně jako v případě regionálního školství. Přesto však podléhají kontrole ze strany akreditační komise, která by mohla minimálně začlenit genderovou problematiku </w:t>
      </w:r>
      <w:r>
        <w:rPr>
          <w:rFonts w:ascii="Times New Roman" w:hAnsi="Times New Roman"/>
          <w:sz w:val="24"/>
          <w:szCs w:val="24"/>
        </w:rPr>
        <w:t>do </w:t>
      </w:r>
      <w:r w:rsidRPr="00742410">
        <w:rPr>
          <w:rFonts w:ascii="Times New Roman" w:hAnsi="Times New Roman"/>
          <w:sz w:val="24"/>
          <w:szCs w:val="24"/>
        </w:rPr>
        <w:t>požadovaného „profilu absolventa pedagogické fakulty“.</w:t>
      </w:r>
    </w:p>
    <w:p w:rsidR="00561843" w:rsidRDefault="00561843" w:rsidP="00D01B95">
      <w:pPr>
        <w:spacing w:before="160"/>
        <w:jc w:val="both"/>
        <w:rPr>
          <w:rFonts w:ascii="Times New Roman" w:hAnsi="Times New Roman"/>
          <w:sz w:val="24"/>
          <w:szCs w:val="24"/>
        </w:rPr>
      </w:pPr>
      <w:r w:rsidRPr="00742410">
        <w:rPr>
          <w:rFonts w:ascii="Times New Roman" w:hAnsi="Times New Roman"/>
          <w:sz w:val="24"/>
          <w:szCs w:val="24"/>
        </w:rPr>
        <w:t>Jak ukazuje studie Eurydice (2011), stav v ČR zaostává za zahraničím. Ve většině vyspělých zemí je genderová problematika do pregraduální přípravy zahrnuta, a to nejčastěji jako dílčí téma v rámci širšího pojetí rovnosti ve vzdělávání. V některých zemích se realizují specifické projekty ověřující vhodnost začlenění genderové problematiky do pedagogické přípravy tak, aby po obsahové i metodologické stránce byly kurzy maximálně efektivní (např. projekt TASUKO ve Finsku). Výsledky projektů jsou poskytnuty jako inspirace pro v</w:t>
      </w:r>
      <w:r>
        <w:rPr>
          <w:rFonts w:ascii="Times New Roman" w:hAnsi="Times New Roman"/>
          <w:sz w:val="24"/>
          <w:szCs w:val="24"/>
        </w:rPr>
        <w:t>šechny vysokoškolské instituce.</w:t>
      </w:r>
    </w:p>
    <w:p w:rsidR="00561843" w:rsidRPr="00742410" w:rsidRDefault="00561843" w:rsidP="00D01B95">
      <w:pPr>
        <w:pStyle w:val="Nadpis2"/>
        <w:numPr>
          <w:ilvl w:val="1"/>
          <w:numId w:val="6"/>
        </w:numPr>
        <w:spacing w:before="160" w:after="0" w:line="276" w:lineRule="auto"/>
        <w:ind w:left="540" w:hanging="540"/>
        <w:jc w:val="both"/>
        <w:rPr>
          <w:rFonts w:ascii="Times New Roman" w:hAnsi="Times New Roman" w:cs="Times New Roman"/>
          <w:sz w:val="24"/>
          <w:szCs w:val="24"/>
        </w:rPr>
      </w:pPr>
      <w:bookmarkStart w:id="27" w:name="_Toc361886394"/>
      <w:r>
        <w:rPr>
          <w:rFonts w:ascii="Times New Roman" w:hAnsi="Times New Roman" w:cs="Times New Roman"/>
          <w:sz w:val="24"/>
          <w:szCs w:val="24"/>
        </w:rPr>
        <w:t>C</w:t>
      </w:r>
      <w:r w:rsidRPr="00742410">
        <w:rPr>
          <w:rFonts w:ascii="Times New Roman" w:hAnsi="Times New Roman" w:cs="Times New Roman"/>
          <w:sz w:val="24"/>
          <w:szCs w:val="24"/>
        </w:rPr>
        <w:t>eloživotní vzdělávání učitelů a učitelek</w:t>
      </w:r>
      <w:bookmarkEnd w:id="27"/>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Situace v celoživotním vzdělávání je podobně nesourodá jako v případě pregraduální přípravy. Vzdělávací kurzy jsou nabízeny velkým množstvím subjektů, mezi nimiž má zvláštní postavení Národní institut pro další vzdělávání, síť krajských pedagogických center, re</w:t>
      </w:r>
      <w:r>
        <w:rPr>
          <w:rFonts w:ascii="Times New Roman" w:hAnsi="Times New Roman"/>
          <w:sz w:val="24"/>
          <w:szCs w:val="24"/>
        </w:rPr>
        <w:t xml:space="preserve">spektive Center služeb školám, </w:t>
      </w:r>
      <w:r w:rsidRPr="00742410">
        <w:rPr>
          <w:rFonts w:ascii="Times New Roman" w:hAnsi="Times New Roman"/>
          <w:sz w:val="24"/>
          <w:szCs w:val="24"/>
        </w:rPr>
        <w:t>a vysoké školy. Vedle těchto institucí existuje široká škála komerčních či neziskových organizací, které nabízejí j</w:t>
      </w:r>
      <w:r>
        <w:rPr>
          <w:rFonts w:ascii="Times New Roman" w:hAnsi="Times New Roman"/>
          <w:sz w:val="24"/>
          <w:szCs w:val="24"/>
        </w:rPr>
        <w:t>ak kurzy akreditované MŠMT, tak i </w:t>
      </w:r>
      <w:r w:rsidRPr="00742410">
        <w:rPr>
          <w:rFonts w:ascii="Times New Roman" w:hAnsi="Times New Roman"/>
          <w:sz w:val="24"/>
          <w:szCs w:val="24"/>
        </w:rPr>
        <w:t xml:space="preserve">kurzy bez akreditace. Kurzy týkající se genderové problematiky realizují všechny typy organizací, přičemž však největší podíl představují v nabídce nevládních neziskových organizací. </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 xml:space="preserve">Aktuální nabídka kurzů NIDV </w:t>
      </w:r>
      <w:r>
        <w:rPr>
          <w:rFonts w:ascii="Times New Roman" w:hAnsi="Times New Roman"/>
          <w:sz w:val="24"/>
          <w:szCs w:val="24"/>
        </w:rPr>
        <w:t>obsahuje pouze zanedbatelné množství kurzů, které by se alespoň okrajově týkaly genderu či rovných příležitostí</w:t>
      </w:r>
      <w:r w:rsidRPr="00742410">
        <w:rPr>
          <w:rFonts w:ascii="Times New Roman" w:hAnsi="Times New Roman"/>
          <w:sz w:val="24"/>
          <w:szCs w:val="24"/>
        </w:rPr>
        <w:t xml:space="preserve"> žen a mužů. V minulých letech přitom takové kurzy NIDV nabízelo. Genderová problematika byla mezi kurzy nabízené NIDV zařazena v roce 2004. Zájem o kurzy však podle NIDV byl relativně nízký, což vyplývá z několika skutečností: vyučující byli přetíženi kurzy, které museli absolvovat v souvislosti s kurikulární reformou; vyučující neměli žádné povědomí o genderové problematice, a proto je nabídka kurzu nezaujala; kurzy byly zaměřeny příliš obecně. Následně NIDV přistoupilo k rozšíření nabídky kurzů týkající se rovných příležitostí a k jejich konkretizaci na dílčí pedagogická témata. Tento posun byl jistě ku prospěchu věci, avšak bohužel u nových kurzů nebyla zajištěna dostatečná expertíza lektorů/ek v genderových studií. Momentální stav, kdy NIDV nenabízí žádný kurz zaměřující se explicitně na o</w:t>
      </w:r>
      <w:r>
        <w:rPr>
          <w:rFonts w:ascii="Times New Roman" w:hAnsi="Times New Roman"/>
          <w:sz w:val="24"/>
          <w:szCs w:val="24"/>
        </w:rPr>
        <w:t>tázku genderových nerovností ve </w:t>
      </w:r>
      <w:r w:rsidRPr="00742410">
        <w:rPr>
          <w:rFonts w:ascii="Times New Roman" w:hAnsi="Times New Roman"/>
          <w:sz w:val="24"/>
          <w:szCs w:val="24"/>
        </w:rPr>
        <w:t xml:space="preserve">vzdělávání, svědčí o malé váze, kterou tato agenda pro řízení resortu má, což nepřispívá </w:t>
      </w:r>
      <w:r w:rsidRPr="00742410">
        <w:rPr>
          <w:rFonts w:ascii="Times New Roman" w:hAnsi="Times New Roman"/>
          <w:sz w:val="24"/>
          <w:szCs w:val="24"/>
        </w:rPr>
        <w:lastRenderedPageBreak/>
        <w:t>k</w:t>
      </w:r>
      <w:r>
        <w:rPr>
          <w:rFonts w:ascii="Times New Roman" w:hAnsi="Times New Roman"/>
          <w:sz w:val="24"/>
          <w:szCs w:val="24"/>
        </w:rPr>
        <w:t xml:space="preserve">e zvýšení učitelského povědomí </w:t>
      </w:r>
      <w:r w:rsidRPr="00742410">
        <w:rPr>
          <w:rFonts w:ascii="Times New Roman" w:hAnsi="Times New Roman"/>
          <w:sz w:val="24"/>
          <w:szCs w:val="24"/>
        </w:rPr>
        <w:t xml:space="preserve">o nebezpečí genderových stereotypů (v kontextu dalších typů stereotypů). Pro zvýšení zájmu o kurzy bylo dlouhodobě doporučováno, aby byly kurzy pro vyučující zdarma a zároveň aby došlo k větší propagaci kurzů samotným vedením MŠMT (např. prostřednictvím webových stránek). </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Kurzy organizované neziskovými organizacemi (např. Nesehnutí, o.s., či Otevřená společnost, o.p.s.</w:t>
      </w:r>
      <w:r w:rsidRPr="00742410">
        <w:rPr>
          <w:rStyle w:val="Znakapoznpodarou"/>
          <w:rFonts w:ascii="Times New Roman" w:hAnsi="Times New Roman"/>
          <w:sz w:val="24"/>
          <w:szCs w:val="24"/>
        </w:rPr>
        <w:footnoteReference w:id="25"/>
      </w:r>
      <w:r w:rsidRPr="00742410">
        <w:rPr>
          <w:rFonts w:ascii="Times New Roman" w:hAnsi="Times New Roman"/>
          <w:sz w:val="24"/>
          <w:szCs w:val="24"/>
        </w:rPr>
        <w:t xml:space="preserve">) vykazovaly a vykazují relativně vysoký zájem ze strany pedagogické obce. Tento rozdíl oproti kurzům pořádaným NIDV či dalšími organizacemi spočívá zejména v následujících důvodech: protože kurzy byly v mnoha případech součástí projektů podpořených ESF, byly pro vyučující zdarma; organizace prováděly cílené oslovování škol, čímž zaujaly i ty vyučující, </w:t>
      </w:r>
      <w:r>
        <w:rPr>
          <w:rFonts w:ascii="Times New Roman" w:hAnsi="Times New Roman"/>
          <w:sz w:val="24"/>
          <w:szCs w:val="24"/>
        </w:rPr>
        <w:t xml:space="preserve">kteří by spontánně neprojevili </w:t>
      </w:r>
      <w:r w:rsidRPr="00742410">
        <w:rPr>
          <w:rFonts w:ascii="Times New Roman" w:hAnsi="Times New Roman"/>
          <w:sz w:val="24"/>
          <w:szCs w:val="24"/>
        </w:rPr>
        <w:t xml:space="preserve">o genderovou problematiku zájem; řada organizací se dlouhodobě profiluje v oblasti genderové rovnosti a spolupracuje s předními odbornicemi/odborníky na danou oblast. Vzhledem k relativně úspěšným zkušenostem neziskových organizací lze konstatovat, že při vhodném způsobu oslovení je česká pedagogická veřejnost otevřená seznámit se s problematikou genderových nerovností ve vzdělávání a postupy k odstraňování genderových stereotypů. </w:t>
      </w:r>
      <w:r w:rsidRPr="00B14C65">
        <w:rPr>
          <w:rFonts w:ascii="Times New Roman" w:hAnsi="Times New Roman"/>
          <w:sz w:val="24"/>
          <w:szCs w:val="24"/>
        </w:rPr>
        <w:t xml:space="preserve">Nevládní organizace profilující se v oblasti generové rovnosti však mají někdy pouze lokální působnost. NIDV je institucí, která nabízí široké spektrum vzdělávacích programů zaměřených na celou šíři školské problematiky a působí celorepublikově. </w:t>
      </w:r>
      <w:r w:rsidRPr="00742410">
        <w:rPr>
          <w:rFonts w:ascii="Times New Roman" w:hAnsi="Times New Roman"/>
          <w:sz w:val="24"/>
          <w:szCs w:val="24"/>
        </w:rPr>
        <w:t>Z přístupu neziskových organizací lze vyvodit inspiraci pro opatření směřující od MŠMT k jeho přímo řízeným organizacím i dalším školským aktérům.</w:t>
      </w:r>
      <w:r>
        <w:rPr>
          <w:rFonts w:ascii="Times New Roman" w:hAnsi="Times New Roman"/>
          <w:sz w:val="24"/>
          <w:szCs w:val="24"/>
        </w:rPr>
        <w:t xml:space="preserve"> </w:t>
      </w:r>
    </w:p>
    <w:p w:rsidR="00561843" w:rsidRPr="00742410" w:rsidRDefault="00561843" w:rsidP="00D01B95">
      <w:pPr>
        <w:spacing w:before="160"/>
        <w:jc w:val="both"/>
        <w:rPr>
          <w:rFonts w:ascii="Times New Roman" w:hAnsi="Times New Roman"/>
          <w:sz w:val="24"/>
          <w:szCs w:val="24"/>
        </w:rPr>
      </w:pPr>
    </w:p>
    <w:p w:rsidR="00561843" w:rsidRPr="00742410"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caps/>
          <w:sz w:val="24"/>
          <w:szCs w:val="24"/>
        </w:rPr>
      </w:pPr>
      <w:bookmarkStart w:id="28" w:name="_Toc361886395"/>
      <w:r w:rsidRPr="00742410">
        <w:rPr>
          <w:rFonts w:ascii="Times New Roman" w:hAnsi="Times New Roman" w:cs="Times New Roman"/>
          <w:caps/>
          <w:sz w:val="24"/>
          <w:szCs w:val="24"/>
        </w:rPr>
        <w:t>finanční prostředky alokované na školství</w:t>
      </w:r>
      <w:bookmarkEnd w:id="28"/>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29" w:name="_Toc361886396"/>
      <w:r>
        <w:rPr>
          <w:rFonts w:ascii="Times New Roman" w:hAnsi="Times New Roman" w:cs="Times New Roman"/>
          <w:sz w:val="24"/>
          <w:szCs w:val="24"/>
        </w:rPr>
        <w:t>P</w:t>
      </w:r>
      <w:r w:rsidRPr="00742410">
        <w:rPr>
          <w:rFonts w:ascii="Times New Roman" w:hAnsi="Times New Roman" w:cs="Times New Roman"/>
          <w:sz w:val="24"/>
          <w:szCs w:val="24"/>
        </w:rPr>
        <w:t>odíl prostředků z HDP v porovnání s EU/OECD (podle stupně škol)</w:t>
      </w:r>
      <w:bookmarkEnd w:id="29"/>
    </w:p>
    <w:p w:rsidR="00561843" w:rsidRPr="00742410" w:rsidRDefault="00561843" w:rsidP="00742410">
      <w:pPr>
        <w:widowControl w:val="0"/>
        <w:autoSpaceDE w:val="0"/>
        <w:autoSpaceDN w:val="0"/>
        <w:adjustRightInd w:val="0"/>
        <w:spacing w:before="160"/>
        <w:jc w:val="both"/>
        <w:rPr>
          <w:rFonts w:ascii="Times New Roman" w:hAnsi="Times New Roman"/>
          <w:bCs/>
          <w:iCs/>
          <w:sz w:val="24"/>
          <w:szCs w:val="24"/>
        </w:rPr>
      </w:pPr>
      <w:r w:rsidRPr="00742410">
        <w:rPr>
          <w:rFonts w:ascii="Times New Roman" w:hAnsi="Times New Roman"/>
          <w:bCs/>
          <w:iCs/>
          <w:sz w:val="24"/>
          <w:szCs w:val="24"/>
        </w:rPr>
        <w:t>Z hlediska prostředků věnovaných na školství vyjádřených procentem z HDP zaujímá Česká republika v EU jednu z posledních příček. Podle posledních údajů Českého statistického úřadu, které reflektují rok 2009, činil podíl veřejných výdajů na vzdělání 4,38 % HDP (v roce 2006 to bylo 4,6 %, v roce 2007 4,2 %, 2008 4,08 %) a byla předstižena Bulharsk</w:t>
      </w:r>
      <w:r>
        <w:rPr>
          <w:rFonts w:ascii="Times New Roman" w:hAnsi="Times New Roman"/>
          <w:bCs/>
          <w:iCs/>
          <w:sz w:val="24"/>
          <w:szCs w:val="24"/>
        </w:rPr>
        <w:t>em (4,58 %), Maďarskem</w:t>
      </w:r>
      <w:r w:rsidRPr="00742410">
        <w:rPr>
          <w:rFonts w:ascii="Times New Roman" w:hAnsi="Times New Roman"/>
          <w:bCs/>
          <w:iCs/>
          <w:sz w:val="24"/>
          <w:szCs w:val="24"/>
        </w:rPr>
        <w:t xml:space="preserve"> (5,12 %), Polsk</w:t>
      </w:r>
      <w:r>
        <w:rPr>
          <w:rFonts w:ascii="Times New Roman" w:hAnsi="Times New Roman"/>
          <w:bCs/>
          <w:iCs/>
          <w:sz w:val="24"/>
          <w:szCs w:val="24"/>
        </w:rPr>
        <w:t>em (5,10 %) a pobaltskými</w:t>
      </w:r>
      <w:r w:rsidRPr="00742410">
        <w:rPr>
          <w:rFonts w:ascii="Times New Roman" w:hAnsi="Times New Roman"/>
          <w:bCs/>
          <w:iCs/>
          <w:sz w:val="24"/>
          <w:szCs w:val="24"/>
        </w:rPr>
        <w:t xml:space="preserve"> republik</w:t>
      </w:r>
      <w:r>
        <w:rPr>
          <w:rFonts w:ascii="Times New Roman" w:hAnsi="Times New Roman"/>
          <w:bCs/>
          <w:iCs/>
          <w:sz w:val="24"/>
          <w:szCs w:val="24"/>
        </w:rPr>
        <w:t>ami</w:t>
      </w:r>
      <w:r w:rsidRPr="00742410">
        <w:rPr>
          <w:rFonts w:ascii="Times New Roman" w:hAnsi="Times New Roman"/>
          <w:bCs/>
          <w:iCs/>
          <w:sz w:val="24"/>
          <w:szCs w:val="24"/>
        </w:rPr>
        <w:t>. Přitom průměr výdajů jednotlivých států EU dosahoval hodnoty 5,41 % HDP</w:t>
      </w:r>
      <w:r w:rsidRPr="00742410">
        <w:rPr>
          <w:rStyle w:val="Znakapoznpodarou"/>
          <w:rFonts w:ascii="Times New Roman" w:hAnsi="Times New Roman"/>
          <w:bCs/>
          <w:iCs/>
          <w:sz w:val="24"/>
          <w:szCs w:val="24"/>
        </w:rPr>
        <w:footnoteReference w:id="26"/>
      </w:r>
      <w:r w:rsidRPr="00742410">
        <w:rPr>
          <w:rFonts w:ascii="Times New Roman" w:hAnsi="Times New Roman"/>
          <w:bCs/>
          <w:iCs/>
          <w:sz w:val="24"/>
          <w:szCs w:val="24"/>
        </w:rPr>
        <w:t xml:space="preserve">. Roční výdaje na veřejné </w:t>
      </w:r>
      <w:r w:rsidR="00E25BFF">
        <w:rPr>
          <w:rFonts w:ascii="Times New Roman" w:hAnsi="Times New Roman"/>
          <w:bCs/>
          <w:iCs/>
          <w:sz w:val="24"/>
          <w:szCs w:val="24"/>
        </w:rPr>
        <w:br/>
      </w:r>
      <w:r w:rsidRPr="00742410">
        <w:rPr>
          <w:rFonts w:ascii="Times New Roman" w:hAnsi="Times New Roman"/>
          <w:bCs/>
          <w:iCs/>
          <w:sz w:val="24"/>
          <w:szCs w:val="24"/>
        </w:rPr>
        <w:t>a</w:t>
      </w:r>
      <w:r>
        <w:rPr>
          <w:rFonts w:ascii="Times New Roman" w:hAnsi="Times New Roman"/>
          <w:bCs/>
          <w:iCs/>
          <w:sz w:val="24"/>
          <w:szCs w:val="24"/>
        </w:rPr>
        <w:t xml:space="preserve"> soukromé vzdělávací instituce </w:t>
      </w:r>
      <w:r w:rsidRPr="00742410">
        <w:rPr>
          <w:rFonts w:ascii="Times New Roman" w:hAnsi="Times New Roman"/>
          <w:bCs/>
          <w:iCs/>
          <w:sz w:val="24"/>
          <w:szCs w:val="24"/>
        </w:rPr>
        <w:t>v porovnání k HDP na obyvatele dosahovaly podle Eurostatu v roce 2009 ve všech zemích EU hodnoty 27,4, zatímco v ČR to bylo pouze 23,7</w:t>
      </w:r>
      <w:r w:rsidRPr="00742410">
        <w:rPr>
          <w:rStyle w:val="Znakapoznpodarou"/>
          <w:rFonts w:ascii="Times New Roman" w:hAnsi="Times New Roman"/>
          <w:bCs/>
          <w:iCs/>
          <w:sz w:val="24"/>
          <w:szCs w:val="24"/>
        </w:rPr>
        <w:footnoteReference w:id="27"/>
      </w:r>
      <w:r w:rsidRPr="00742410">
        <w:rPr>
          <w:rFonts w:ascii="Times New Roman" w:hAnsi="Times New Roman"/>
          <w:bCs/>
          <w:iCs/>
          <w:sz w:val="24"/>
          <w:szCs w:val="24"/>
        </w:rPr>
        <w:t xml:space="preserve">. Aktuálnější data dosud nejsou veřejně k dispozici. Lze předpokládat, že se situace mírně zlepšuje, avšak cílem by mělo být dosáhnout alespoň hodnoty průměrných výdajů </w:t>
      </w:r>
      <w:r w:rsidR="00887EC6">
        <w:rPr>
          <w:rFonts w:ascii="Times New Roman" w:hAnsi="Times New Roman"/>
          <w:bCs/>
          <w:iCs/>
          <w:sz w:val="24"/>
          <w:szCs w:val="24"/>
        </w:rPr>
        <w:br/>
      </w:r>
      <w:r w:rsidRPr="00742410">
        <w:rPr>
          <w:rFonts w:ascii="Times New Roman" w:hAnsi="Times New Roman"/>
          <w:bCs/>
          <w:iCs/>
          <w:sz w:val="24"/>
          <w:szCs w:val="24"/>
        </w:rPr>
        <w:t xml:space="preserve">v zemích EU. </w:t>
      </w:r>
    </w:p>
    <w:p w:rsidR="00561843" w:rsidRPr="00742410" w:rsidRDefault="00561843" w:rsidP="00742410">
      <w:pPr>
        <w:widowControl w:val="0"/>
        <w:autoSpaceDE w:val="0"/>
        <w:autoSpaceDN w:val="0"/>
        <w:adjustRightInd w:val="0"/>
        <w:spacing w:before="160"/>
        <w:jc w:val="both"/>
        <w:rPr>
          <w:rFonts w:ascii="Times New Roman" w:hAnsi="Times New Roman"/>
          <w:bCs/>
          <w:iCs/>
          <w:sz w:val="24"/>
          <w:szCs w:val="24"/>
        </w:rPr>
      </w:pPr>
      <w:r w:rsidRPr="00742410">
        <w:rPr>
          <w:rFonts w:ascii="Times New Roman" w:hAnsi="Times New Roman"/>
          <w:bCs/>
          <w:iCs/>
          <w:sz w:val="24"/>
          <w:szCs w:val="24"/>
        </w:rPr>
        <w:t>Dlouhodobé podfinancování českého školství snižuje jeho kvalit</w:t>
      </w:r>
      <w:r>
        <w:rPr>
          <w:rFonts w:ascii="Times New Roman" w:hAnsi="Times New Roman"/>
          <w:bCs/>
          <w:iCs/>
          <w:sz w:val="24"/>
          <w:szCs w:val="24"/>
        </w:rPr>
        <w:t xml:space="preserve">u a má zároveň své konsekvence </w:t>
      </w:r>
      <w:r w:rsidRPr="00742410">
        <w:rPr>
          <w:rFonts w:ascii="Times New Roman" w:hAnsi="Times New Roman"/>
          <w:bCs/>
          <w:iCs/>
          <w:sz w:val="24"/>
          <w:szCs w:val="24"/>
        </w:rPr>
        <w:t xml:space="preserve">pro genderovou rovnost. Jak ukazují zahraniční studie, existuje přímá souvislost mezi finančními prostředky alokovanými do určitého resortu, mírou feminizace a prestiží </w:t>
      </w:r>
      <w:r w:rsidRPr="00742410">
        <w:rPr>
          <w:rFonts w:ascii="Times New Roman" w:hAnsi="Times New Roman"/>
          <w:bCs/>
          <w:iCs/>
          <w:sz w:val="24"/>
          <w:szCs w:val="24"/>
        </w:rPr>
        <w:lastRenderedPageBreak/>
        <w:t>daného oboru. Zvýšení prostředků na školství by tak se vší pravděpodobností vedlo ke</w:t>
      </w:r>
      <w:r>
        <w:rPr>
          <w:rFonts w:ascii="Times New Roman" w:hAnsi="Times New Roman"/>
          <w:bCs/>
          <w:iCs/>
          <w:sz w:val="24"/>
          <w:szCs w:val="24"/>
        </w:rPr>
        <w:t> </w:t>
      </w:r>
      <w:r w:rsidRPr="00742410">
        <w:rPr>
          <w:rFonts w:ascii="Times New Roman" w:hAnsi="Times New Roman"/>
          <w:bCs/>
          <w:iCs/>
          <w:sz w:val="24"/>
          <w:szCs w:val="24"/>
        </w:rPr>
        <w:t>zvýšen</w:t>
      </w:r>
      <w:r>
        <w:rPr>
          <w:rFonts w:ascii="Times New Roman" w:hAnsi="Times New Roman"/>
          <w:bCs/>
          <w:iCs/>
          <w:sz w:val="24"/>
          <w:szCs w:val="24"/>
        </w:rPr>
        <w:t xml:space="preserve">í podílu mužů mezi vyučujícími </w:t>
      </w:r>
      <w:r w:rsidRPr="00742410">
        <w:rPr>
          <w:rFonts w:ascii="Times New Roman" w:hAnsi="Times New Roman"/>
          <w:bCs/>
          <w:iCs/>
          <w:sz w:val="24"/>
          <w:szCs w:val="24"/>
        </w:rPr>
        <w:t>a ke zvýšení</w:t>
      </w:r>
      <w:r>
        <w:rPr>
          <w:rFonts w:ascii="Times New Roman" w:hAnsi="Times New Roman"/>
          <w:bCs/>
          <w:iCs/>
          <w:sz w:val="24"/>
          <w:szCs w:val="24"/>
        </w:rPr>
        <w:t xml:space="preserve"> reálné</w:t>
      </w:r>
      <w:r w:rsidRPr="00742410">
        <w:rPr>
          <w:rFonts w:ascii="Times New Roman" w:hAnsi="Times New Roman"/>
          <w:bCs/>
          <w:iCs/>
          <w:sz w:val="24"/>
          <w:szCs w:val="24"/>
        </w:rPr>
        <w:t xml:space="preserve"> prestiže učitelství</w:t>
      </w:r>
      <w:r>
        <w:rPr>
          <w:rStyle w:val="Znakapoznpodarou"/>
          <w:rFonts w:ascii="Times New Roman" w:hAnsi="Times New Roman"/>
          <w:bCs/>
          <w:iCs/>
          <w:sz w:val="24"/>
          <w:szCs w:val="24"/>
        </w:rPr>
        <w:footnoteReference w:id="28"/>
      </w:r>
      <w:r w:rsidRPr="00742410">
        <w:rPr>
          <w:rFonts w:ascii="Times New Roman" w:hAnsi="Times New Roman"/>
          <w:bCs/>
          <w:iCs/>
          <w:sz w:val="24"/>
          <w:szCs w:val="24"/>
        </w:rPr>
        <w:t xml:space="preserve">, což by se pozitivně projevilo i v kvalitě vzdělávání. </w:t>
      </w:r>
    </w:p>
    <w:p w:rsidR="00561843" w:rsidRPr="00742410" w:rsidRDefault="00561843" w:rsidP="00742410">
      <w:pPr>
        <w:widowControl w:val="0"/>
        <w:autoSpaceDE w:val="0"/>
        <w:autoSpaceDN w:val="0"/>
        <w:adjustRightInd w:val="0"/>
        <w:spacing w:before="160"/>
        <w:jc w:val="both"/>
        <w:rPr>
          <w:rFonts w:ascii="Times New Roman" w:hAnsi="Times New Roman"/>
          <w:bCs/>
          <w:iCs/>
          <w:sz w:val="24"/>
          <w:szCs w:val="24"/>
        </w:rPr>
      </w:pPr>
      <w:r w:rsidRPr="00742410">
        <w:rPr>
          <w:rFonts w:ascii="Times New Roman" w:hAnsi="Times New Roman"/>
          <w:bCs/>
          <w:iCs/>
          <w:sz w:val="24"/>
          <w:szCs w:val="24"/>
        </w:rPr>
        <w:t>Průzkumy OECD i konkrétní zkušenosti zemí, jako je Finsko, poukazují na to, že zvýšení veřejných prostředků věnovaných do školství vede ke zvýšení úrovn</w:t>
      </w:r>
      <w:r>
        <w:rPr>
          <w:rFonts w:ascii="Times New Roman" w:hAnsi="Times New Roman"/>
          <w:bCs/>
          <w:iCs/>
          <w:sz w:val="24"/>
          <w:szCs w:val="24"/>
        </w:rPr>
        <w:t xml:space="preserve">ě vzdělávání a v důsledku toho </w:t>
      </w:r>
      <w:r w:rsidRPr="00742410">
        <w:rPr>
          <w:rFonts w:ascii="Times New Roman" w:hAnsi="Times New Roman"/>
          <w:bCs/>
          <w:iCs/>
          <w:sz w:val="24"/>
          <w:szCs w:val="24"/>
        </w:rPr>
        <w:t xml:space="preserve">i k prohloubení hospodářské produktivity. Česká republika ovšem zatím kráčí spíše cestou opačnou. Důležité je poznamenat, že zahraniční studie zvláště naznačují výhodnost investic z veřejných zdrojů, které brání komodifikaci vzdělání (na rozdíl od růstu investic </w:t>
      </w:r>
      <w:r>
        <w:rPr>
          <w:rFonts w:ascii="Times New Roman" w:hAnsi="Times New Roman"/>
          <w:bCs/>
          <w:iCs/>
          <w:sz w:val="24"/>
          <w:szCs w:val="24"/>
        </w:rPr>
        <w:t>ze </w:t>
      </w:r>
      <w:r w:rsidRPr="00742410">
        <w:rPr>
          <w:rFonts w:ascii="Times New Roman" w:hAnsi="Times New Roman"/>
          <w:bCs/>
          <w:iCs/>
          <w:sz w:val="24"/>
          <w:szCs w:val="24"/>
        </w:rPr>
        <w:t>soukromých zdrojů), a zároveň výhodnost plošné podpory studujících (namísto výběrové podpory nejnadanějších skupin). V takovém vzdělávacím systému totiž dochází ke snížení sociálních (i etnických a genderových) nerovností, což zvyšuje jeho celkovou efektivitu.</w:t>
      </w:r>
    </w:p>
    <w:p w:rsidR="00561843" w:rsidRPr="00742410" w:rsidRDefault="002956E8"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r>
        <w:rPr>
          <w:color w:val="000000"/>
        </w:rPr>
        <w:t>O</w:t>
      </w:r>
      <w:r w:rsidRPr="00BA7997">
        <w:rPr>
          <w:color w:val="000000"/>
        </w:rPr>
        <w:t>dměňování zaměstnanců a zaměstnankyň ve škols</w:t>
      </w:r>
      <w:r>
        <w:rPr>
          <w:color w:val="000000"/>
        </w:rPr>
        <w:t>tví</w:t>
      </w:r>
    </w:p>
    <w:p w:rsidR="00561843" w:rsidRDefault="00561843" w:rsidP="00D01B95">
      <w:pPr>
        <w:spacing w:before="160"/>
        <w:jc w:val="both"/>
        <w:rPr>
          <w:rFonts w:ascii="Times New Roman" w:hAnsi="Times New Roman"/>
          <w:sz w:val="24"/>
          <w:szCs w:val="24"/>
        </w:rPr>
      </w:pPr>
      <w:r w:rsidRPr="00742410">
        <w:rPr>
          <w:rFonts w:ascii="Times New Roman" w:hAnsi="Times New Roman"/>
          <w:sz w:val="24"/>
          <w:szCs w:val="24"/>
        </w:rPr>
        <w:t>Koncept genderového rozdílů ve mzdách</w:t>
      </w:r>
      <w:r w:rsidR="002956E8">
        <w:rPr>
          <w:rFonts w:ascii="Times New Roman" w:hAnsi="Times New Roman"/>
          <w:sz w:val="24"/>
          <w:szCs w:val="24"/>
        </w:rPr>
        <w:t>/platech</w:t>
      </w:r>
      <w:r w:rsidRPr="00742410">
        <w:rPr>
          <w:rFonts w:ascii="Times New Roman" w:hAnsi="Times New Roman"/>
          <w:sz w:val="24"/>
          <w:szCs w:val="24"/>
        </w:rPr>
        <w:t xml:space="preserve"> (tzv. gender pay gap) vychází z předpokladu, </w:t>
      </w:r>
      <w:r>
        <w:rPr>
          <w:rFonts w:ascii="Times New Roman" w:hAnsi="Times New Roman"/>
          <w:sz w:val="24"/>
          <w:szCs w:val="24"/>
        </w:rPr>
        <w:t>že </w:t>
      </w:r>
      <w:r w:rsidRPr="00742410">
        <w:rPr>
          <w:rFonts w:ascii="Times New Roman" w:hAnsi="Times New Roman"/>
          <w:sz w:val="24"/>
          <w:szCs w:val="24"/>
        </w:rPr>
        <w:t>všechny osoby na určité pracovní pozici se shodnou náplní práce mají právo na stejné finanční ohodnocení. Porovnání průměrné (či mediánové) mzdy</w:t>
      </w:r>
      <w:r w:rsidR="002956E8">
        <w:rPr>
          <w:rFonts w:ascii="Times New Roman" w:hAnsi="Times New Roman"/>
          <w:sz w:val="24"/>
          <w:szCs w:val="24"/>
        </w:rPr>
        <w:t>/platu</w:t>
      </w:r>
      <w:r w:rsidRPr="00742410">
        <w:rPr>
          <w:rFonts w:ascii="Times New Roman" w:hAnsi="Times New Roman"/>
          <w:sz w:val="24"/>
          <w:szCs w:val="24"/>
        </w:rPr>
        <w:t xml:space="preserve"> žen a mužů na stejné pracovní pozici pak ukazuje strukturální rozdíly vycházející z formálních kritérií systému odměňování a/nebo z existence implicitních, avšak na skupinu se vážících faktorů, jako jsou genderové stereotypy.   </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Podle Českého statistického úřadu</w:t>
      </w:r>
      <w:r w:rsidRPr="00742410">
        <w:rPr>
          <w:rStyle w:val="Znakapoznpodarou"/>
          <w:rFonts w:ascii="Times New Roman" w:hAnsi="Times New Roman"/>
          <w:sz w:val="24"/>
          <w:szCs w:val="24"/>
        </w:rPr>
        <w:footnoteReference w:id="29"/>
      </w:r>
      <w:r w:rsidRPr="00742410">
        <w:rPr>
          <w:rFonts w:ascii="Times New Roman" w:hAnsi="Times New Roman"/>
          <w:sz w:val="24"/>
          <w:szCs w:val="24"/>
        </w:rPr>
        <w:t xml:space="preserve"> tvořily ženy v roce 2011 76 % všech</w:t>
      </w:r>
      <w:r>
        <w:rPr>
          <w:rFonts w:ascii="Times New Roman" w:hAnsi="Times New Roman"/>
          <w:sz w:val="24"/>
          <w:szCs w:val="24"/>
        </w:rPr>
        <w:t xml:space="preserve"> osob pracujících ve školství</w:t>
      </w:r>
      <w:r>
        <w:rPr>
          <w:rStyle w:val="Znakapoznpodarou"/>
          <w:rFonts w:ascii="Times New Roman" w:hAnsi="Times New Roman"/>
          <w:sz w:val="24"/>
          <w:szCs w:val="24"/>
        </w:rPr>
        <w:footnoteReference w:id="30"/>
      </w:r>
      <w:r w:rsidRPr="00742410">
        <w:rPr>
          <w:rFonts w:ascii="Times New Roman" w:hAnsi="Times New Roman"/>
          <w:sz w:val="24"/>
          <w:szCs w:val="24"/>
        </w:rPr>
        <w:t xml:space="preserve"> (dle CZ-NACE).</w:t>
      </w:r>
      <w:r>
        <w:rPr>
          <w:rFonts w:ascii="Times New Roman" w:hAnsi="Times New Roman"/>
          <w:sz w:val="24"/>
          <w:szCs w:val="24"/>
        </w:rPr>
        <w:t xml:space="preserve"> </w:t>
      </w:r>
      <w:r w:rsidRPr="00742410">
        <w:rPr>
          <w:rFonts w:ascii="Times New Roman" w:hAnsi="Times New Roman"/>
          <w:sz w:val="24"/>
          <w:szCs w:val="24"/>
        </w:rPr>
        <w:t xml:space="preserve">Taková převaha žen </w:t>
      </w:r>
      <w:r>
        <w:rPr>
          <w:rFonts w:ascii="Times New Roman" w:hAnsi="Times New Roman"/>
          <w:sz w:val="24"/>
          <w:szCs w:val="24"/>
        </w:rPr>
        <w:t>existuje</w:t>
      </w:r>
      <w:r w:rsidRPr="00742410">
        <w:rPr>
          <w:rFonts w:ascii="Times New Roman" w:hAnsi="Times New Roman"/>
          <w:sz w:val="24"/>
          <w:szCs w:val="24"/>
        </w:rPr>
        <w:t xml:space="preserve"> dlouhodobě. Podl</w:t>
      </w:r>
      <w:r w:rsidR="002956E8">
        <w:rPr>
          <w:rFonts w:ascii="Times New Roman" w:hAnsi="Times New Roman"/>
          <w:sz w:val="24"/>
          <w:szCs w:val="24"/>
        </w:rPr>
        <w:t>e stejného zdroje činil průměrný hrubý</w:t>
      </w:r>
      <w:r w:rsidRPr="00742410">
        <w:rPr>
          <w:rFonts w:ascii="Times New Roman" w:hAnsi="Times New Roman"/>
          <w:sz w:val="24"/>
          <w:szCs w:val="24"/>
        </w:rPr>
        <w:t xml:space="preserve"> měsíční </w:t>
      </w:r>
      <w:r w:rsidR="002956E8">
        <w:rPr>
          <w:rFonts w:ascii="Times New Roman" w:hAnsi="Times New Roman"/>
          <w:sz w:val="24"/>
          <w:szCs w:val="24"/>
        </w:rPr>
        <w:t xml:space="preserve">plat </w:t>
      </w:r>
      <w:r w:rsidRPr="00742410">
        <w:rPr>
          <w:rFonts w:ascii="Times New Roman" w:hAnsi="Times New Roman"/>
          <w:sz w:val="24"/>
          <w:szCs w:val="24"/>
        </w:rPr>
        <w:t>v odvětví vzdělávání 26</w:t>
      </w:r>
      <w:r>
        <w:rPr>
          <w:rFonts w:ascii="Times New Roman" w:hAnsi="Times New Roman"/>
          <w:sz w:val="24"/>
          <w:szCs w:val="24"/>
        </w:rPr>
        <w:t xml:space="preserve"> 887 Kč. Přitom </w:t>
      </w:r>
      <w:r w:rsidR="002956E8">
        <w:rPr>
          <w:rFonts w:ascii="Times New Roman" w:hAnsi="Times New Roman"/>
          <w:sz w:val="24"/>
          <w:szCs w:val="24"/>
        </w:rPr>
        <w:t xml:space="preserve">platy </w:t>
      </w:r>
      <w:r>
        <w:rPr>
          <w:rFonts w:ascii="Times New Roman" w:hAnsi="Times New Roman"/>
          <w:sz w:val="24"/>
          <w:szCs w:val="24"/>
        </w:rPr>
        <w:t>žen byly</w:t>
      </w:r>
      <w:r w:rsidR="002956E8">
        <w:rPr>
          <w:rFonts w:ascii="Times New Roman" w:hAnsi="Times New Roman"/>
          <w:sz w:val="24"/>
          <w:szCs w:val="24"/>
        </w:rPr>
        <w:br/>
      </w:r>
      <w:r>
        <w:rPr>
          <w:rFonts w:ascii="Times New Roman" w:hAnsi="Times New Roman"/>
          <w:sz w:val="24"/>
          <w:szCs w:val="24"/>
        </w:rPr>
        <w:t>o </w:t>
      </w:r>
      <w:r w:rsidRPr="00742410">
        <w:rPr>
          <w:rFonts w:ascii="Times New Roman" w:hAnsi="Times New Roman"/>
          <w:sz w:val="24"/>
          <w:szCs w:val="24"/>
        </w:rPr>
        <w:t xml:space="preserve">22 % nižší než průměrné </w:t>
      </w:r>
      <w:r w:rsidR="002956E8">
        <w:rPr>
          <w:rFonts w:ascii="Times New Roman" w:hAnsi="Times New Roman"/>
          <w:sz w:val="24"/>
          <w:szCs w:val="24"/>
        </w:rPr>
        <w:t>platy mužů (tj. ženská mzda/plat</w:t>
      </w:r>
      <w:r w:rsidRPr="00742410">
        <w:rPr>
          <w:rFonts w:ascii="Times New Roman" w:hAnsi="Times New Roman"/>
          <w:sz w:val="24"/>
          <w:szCs w:val="24"/>
        </w:rPr>
        <w:t xml:space="preserve"> představovala jen 78 % mužské mzdy</w:t>
      </w:r>
      <w:r w:rsidR="002956E8">
        <w:rPr>
          <w:rFonts w:ascii="Times New Roman" w:hAnsi="Times New Roman"/>
          <w:sz w:val="24"/>
          <w:szCs w:val="24"/>
        </w:rPr>
        <w:t>/platu</w:t>
      </w:r>
      <w:r w:rsidRPr="00742410">
        <w:rPr>
          <w:rFonts w:ascii="Times New Roman" w:hAnsi="Times New Roman"/>
          <w:sz w:val="24"/>
          <w:szCs w:val="24"/>
        </w:rPr>
        <w:t xml:space="preserve">). Ve </w:t>
      </w:r>
      <w:r w:rsidR="002956E8">
        <w:rPr>
          <w:rFonts w:ascii="Times New Roman" w:hAnsi="Times New Roman"/>
          <w:sz w:val="24"/>
          <w:szCs w:val="24"/>
        </w:rPr>
        <w:t>stejném roce dosahoval průměrný plat</w:t>
      </w:r>
      <w:r w:rsidRPr="00742410">
        <w:rPr>
          <w:rFonts w:ascii="Times New Roman" w:hAnsi="Times New Roman"/>
          <w:sz w:val="24"/>
          <w:szCs w:val="24"/>
        </w:rPr>
        <w:t xml:space="preserve"> </w:t>
      </w:r>
      <w:r w:rsidR="002956E8">
        <w:rPr>
          <w:rFonts w:ascii="Times New Roman" w:hAnsi="Times New Roman"/>
          <w:sz w:val="24"/>
          <w:szCs w:val="24"/>
        </w:rPr>
        <w:t>v ČR 25 645 Kč, přičemž průměrný ženský</w:t>
      </w:r>
      <w:r w:rsidRPr="00742410">
        <w:rPr>
          <w:rFonts w:ascii="Times New Roman" w:hAnsi="Times New Roman"/>
          <w:sz w:val="24"/>
          <w:szCs w:val="24"/>
        </w:rPr>
        <w:t xml:space="preserve"> </w:t>
      </w:r>
      <w:r w:rsidR="002956E8">
        <w:rPr>
          <w:rFonts w:ascii="Times New Roman" w:hAnsi="Times New Roman"/>
          <w:sz w:val="24"/>
          <w:szCs w:val="24"/>
        </w:rPr>
        <w:t xml:space="preserve">plat </w:t>
      </w:r>
      <w:r w:rsidRPr="00742410">
        <w:rPr>
          <w:rFonts w:ascii="Times New Roman" w:hAnsi="Times New Roman"/>
          <w:sz w:val="24"/>
          <w:szCs w:val="24"/>
        </w:rPr>
        <w:t>tvořila 79 % průměrné</w:t>
      </w:r>
      <w:r w:rsidR="002956E8">
        <w:rPr>
          <w:rFonts w:ascii="Times New Roman" w:hAnsi="Times New Roman"/>
          <w:sz w:val="24"/>
          <w:szCs w:val="24"/>
        </w:rPr>
        <w:t xml:space="preserve">ho platu </w:t>
      </w:r>
      <w:r w:rsidRPr="00742410">
        <w:rPr>
          <w:rFonts w:ascii="Times New Roman" w:hAnsi="Times New Roman"/>
          <w:sz w:val="24"/>
          <w:szCs w:val="24"/>
        </w:rPr>
        <w:t>mužů.</w:t>
      </w:r>
    </w:p>
    <w:p w:rsidR="00561843" w:rsidRPr="00742410" w:rsidRDefault="00561843" w:rsidP="004F0B68">
      <w:pPr>
        <w:spacing w:before="160"/>
        <w:jc w:val="both"/>
        <w:rPr>
          <w:rFonts w:ascii="Times New Roman" w:hAnsi="Times New Roman"/>
          <w:sz w:val="24"/>
          <w:szCs w:val="24"/>
        </w:rPr>
      </w:pPr>
      <w:r w:rsidRPr="00742410">
        <w:rPr>
          <w:rFonts w:ascii="Times New Roman" w:hAnsi="Times New Roman"/>
          <w:sz w:val="24"/>
          <w:szCs w:val="24"/>
        </w:rPr>
        <w:t>Ačkoliv je genderový rozdí</w:t>
      </w:r>
      <w:r>
        <w:rPr>
          <w:rFonts w:ascii="Times New Roman" w:hAnsi="Times New Roman"/>
          <w:sz w:val="24"/>
          <w:szCs w:val="24"/>
        </w:rPr>
        <w:t xml:space="preserve">l v platech ve školství nižší než </w:t>
      </w:r>
      <w:r w:rsidRPr="00742410">
        <w:rPr>
          <w:rFonts w:ascii="Times New Roman" w:hAnsi="Times New Roman"/>
          <w:sz w:val="24"/>
          <w:szCs w:val="24"/>
        </w:rPr>
        <w:t>celkový rozdíl</w:t>
      </w:r>
      <w:r>
        <w:rPr>
          <w:rFonts w:ascii="Times New Roman" w:hAnsi="Times New Roman"/>
          <w:sz w:val="24"/>
          <w:szCs w:val="24"/>
        </w:rPr>
        <w:t xml:space="preserve"> existující</w:t>
      </w:r>
      <w:r w:rsidRPr="00742410">
        <w:rPr>
          <w:rFonts w:ascii="Times New Roman" w:hAnsi="Times New Roman"/>
          <w:sz w:val="24"/>
          <w:szCs w:val="24"/>
        </w:rPr>
        <w:t xml:space="preserve"> na</w:t>
      </w:r>
      <w:r>
        <w:rPr>
          <w:rFonts w:ascii="Times New Roman" w:hAnsi="Times New Roman"/>
          <w:sz w:val="24"/>
          <w:szCs w:val="24"/>
        </w:rPr>
        <w:t xml:space="preserve"> celém</w:t>
      </w:r>
      <w:r w:rsidRPr="00742410">
        <w:rPr>
          <w:rFonts w:ascii="Times New Roman" w:hAnsi="Times New Roman"/>
          <w:sz w:val="24"/>
          <w:szCs w:val="24"/>
        </w:rPr>
        <w:t xml:space="preserve"> trhu práce a v řadě odvětví dosahuje výrazně vyšších hodnot (např. zprac</w:t>
      </w:r>
      <w:r>
        <w:rPr>
          <w:rFonts w:ascii="Times New Roman" w:hAnsi="Times New Roman"/>
          <w:sz w:val="24"/>
          <w:szCs w:val="24"/>
        </w:rPr>
        <w:t xml:space="preserve">ovatelský průmysl či zdravotní </w:t>
      </w:r>
      <w:r w:rsidRPr="00742410">
        <w:rPr>
          <w:rFonts w:ascii="Times New Roman" w:hAnsi="Times New Roman"/>
          <w:sz w:val="24"/>
          <w:szCs w:val="24"/>
        </w:rPr>
        <w:t>a sociální péče), je nutné jej považovat za závažný. Klíčové totiž je, že genderové rozdíly v platech dlouhodobě existují i v těch školských segmentech, kde odměňování podléhá</w:t>
      </w:r>
      <w:r>
        <w:rPr>
          <w:rFonts w:ascii="Times New Roman" w:hAnsi="Times New Roman"/>
          <w:sz w:val="24"/>
          <w:szCs w:val="24"/>
        </w:rPr>
        <w:t xml:space="preserve"> tarifnímu systému </w:t>
      </w:r>
      <w:r w:rsidRPr="00742410">
        <w:rPr>
          <w:rFonts w:ascii="Times New Roman" w:hAnsi="Times New Roman"/>
          <w:sz w:val="24"/>
          <w:szCs w:val="24"/>
        </w:rPr>
        <w:t xml:space="preserve">a prostor pro uplatnění individuálních specifik je relativně malý. Původ platového rozdílu mezi ženami a muži tak je z větší části vysvětlitelný právě uplatňováním genderových stereotypů. </w:t>
      </w:r>
      <w:r>
        <w:rPr>
          <w:rFonts w:ascii="Times New Roman" w:hAnsi="Times New Roman"/>
          <w:sz w:val="24"/>
          <w:szCs w:val="24"/>
        </w:rPr>
        <w:t>Aktuální legislativa umožňuje řediteli/ředitelce školy zvolit specifický platový tarif. Praxe na školách, které k takovému kroku přistoupily, by měla být analyzována z genderového hlediska. Na základě zkušeností z jiných segmentů trhu práce lze odhadovat, že v takovém případě dojde ke zvýšení genderových rozdílů. Obecně platí, že na základě panujících rozdílů v průměrných</w:t>
      </w:r>
      <w:r w:rsidRPr="00742410">
        <w:rPr>
          <w:rFonts w:ascii="Times New Roman" w:hAnsi="Times New Roman"/>
          <w:sz w:val="24"/>
          <w:szCs w:val="24"/>
        </w:rPr>
        <w:t xml:space="preserve"> </w:t>
      </w:r>
      <w:r w:rsidR="002956E8">
        <w:rPr>
          <w:rFonts w:ascii="Times New Roman" w:hAnsi="Times New Roman"/>
          <w:sz w:val="24"/>
          <w:szCs w:val="24"/>
        </w:rPr>
        <w:t xml:space="preserve">platech </w:t>
      </w:r>
      <w:r w:rsidRPr="00742410">
        <w:rPr>
          <w:rFonts w:ascii="Times New Roman" w:hAnsi="Times New Roman"/>
          <w:sz w:val="24"/>
          <w:szCs w:val="24"/>
        </w:rPr>
        <w:t xml:space="preserve">žen a mužů by mělo dojít </w:t>
      </w:r>
      <w:r w:rsidRPr="00742410">
        <w:rPr>
          <w:rFonts w:ascii="Times New Roman" w:hAnsi="Times New Roman"/>
          <w:sz w:val="24"/>
          <w:szCs w:val="24"/>
        </w:rPr>
        <w:lastRenderedPageBreak/>
        <w:t xml:space="preserve">k vyhodnocení vlivu úpravy systému hodnocení na velikost dílčích rozdílů mezi průměrnou hodnotou nárokové a nenárokové části </w:t>
      </w:r>
      <w:r w:rsidR="002956E8">
        <w:rPr>
          <w:rFonts w:ascii="Times New Roman" w:hAnsi="Times New Roman"/>
          <w:sz w:val="24"/>
          <w:szCs w:val="24"/>
        </w:rPr>
        <w:t xml:space="preserve">platu </w:t>
      </w:r>
      <w:r w:rsidRPr="00742410">
        <w:rPr>
          <w:rFonts w:ascii="Times New Roman" w:hAnsi="Times New Roman"/>
          <w:sz w:val="24"/>
          <w:szCs w:val="24"/>
        </w:rPr>
        <w:t xml:space="preserve">žen </w:t>
      </w:r>
      <w:r>
        <w:rPr>
          <w:rFonts w:ascii="Times New Roman" w:hAnsi="Times New Roman"/>
          <w:sz w:val="24"/>
          <w:szCs w:val="24"/>
        </w:rPr>
        <w:t xml:space="preserve">a mužů v jednotlivých stupních </w:t>
      </w:r>
      <w:r w:rsidRPr="00742410">
        <w:rPr>
          <w:rFonts w:ascii="Times New Roman" w:hAnsi="Times New Roman"/>
          <w:sz w:val="24"/>
          <w:szCs w:val="24"/>
        </w:rPr>
        <w:t xml:space="preserve">a typech škol. </w:t>
      </w:r>
    </w:p>
    <w:p w:rsidR="00561843" w:rsidRDefault="00561843" w:rsidP="00CD077F">
      <w:pPr>
        <w:spacing w:before="160"/>
        <w:jc w:val="both"/>
        <w:rPr>
          <w:rFonts w:ascii="Times New Roman" w:hAnsi="Times New Roman"/>
          <w:sz w:val="24"/>
          <w:szCs w:val="24"/>
        </w:rPr>
      </w:pPr>
      <w:r>
        <w:rPr>
          <w:rFonts w:ascii="Times New Roman" w:hAnsi="Times New Roman"/>
          <w:sz w:val="24"/>
          <w:szCs w:val="24"/>
        </w:rPr>
        <w:t xml:space="preserve">Tabulka č. 5 obsahuje přehled údajů o průměrných </w:t>
      </w:r>
      <w:r w:rsidR="002956E8">
        <w:rPr>
          <w:rFonts w:ascii="Times New Roman" w:hAnsi="Times New Roman"/>
          <w:sz w:val="24"/>
          <w:szCs w:val="24"/>
        </w:rPr>
        <w:t xml:space="preserve">platech </w:t>
      </w:r>
      <w:r>
        <w:rPr>
          <w:rFonts w:ascii="Times New Roman" w:hAnsi="Times New Roman"/>
          <w:sz w:val="24"/>
          <w:szCs w:val="24"/>
        </w:rPr>
        <w:t>učitelek a učitelů na jednotlivých stupních regionálního školství v komparaci s podílem mužů na učitelských pozicích.</w:t>
      </w:r>
      <w:r w:rsidRPr="00742410">
        <w:rPr>
          <w:rFonts w:ascii="Times New Roman" w:hAnsi="Times New Roman"/>
          <w:sz w:val="24"/>
          <w:szCs w:val="24"/>
        </w:rPr>
        <w:t xml:space="preserve"> </w:t>
      </w:r>
      <w:r>
        <w:rPr>
          <w:rFonts w:ascii="Times New Roman" w:hAnsi="Times New Roman"/>
          <w:sz w:val="24"/>
          <w:szCs w:val="24"/>
        </w:rPr>
        <w:t>Tabulka ukazuje, že průměrn</w:t>
      </w:r>
      <w:r w:rsidR="002956E8">
        <w:rPr>
          <w:rFonts w:ascii="Times New Roman" w:hAnsi="Times New Roman"/>
          <w:sz w:val="24"/>
          <w:szCs w:val="24"/>
        </w:rPr>
        <w:t>ý</w:t>
      </w:r>
      <w:r>
        <w:rPr>
          <w:rFonts w:ascii="Times New Roman" w:hAnsi="Times New Roman"/>
          <w:sz w:val="24"/>
          <w:szCs w:val="24"/>
        </w:rPr>
        <w:t xml:space="preserve"> </w:t>
      </w:r>
      <w:r w:rsidR="002956E8">
        <w:rPr>
          <w:rFonts w:ascii="Times New Roman" w:hAnsi="Times New Roman"/>
          <w:sz w:val="24"/>
          <w:szCs w:val="24"/>
        </w:rPr>
        <w:t>plat</w:t>
      </w:r>
      <w:r>
        <w:rPr>
          <w:rFonts w:ascii="Times New Roman" w:hAnsi="Times New Roman"/>
          <w:sz w:val="24"/>
          <w:szCs w:val="24"/>
        </w:rPr>
        <w:t xml:space="preserve"> učitelů/učitelek na daném stupni školy roste s ohledem na podíl žen mezi vyučujícími a zároveň se zvyšuje i rozdíl mezi průměrn</w:t>
      </w:r>
      <w:r w:rsidR="002956E8">
        <w:rPr>
          <w:rFonts w:ascii="Times New Roman" w:hAnsi="Times New Roman"/>
          <w:sz w:val="24"/>
          <w:szCs w:val="24"/>
        </w:rPr>
        <w:t>ým</w:t>
      </w:r>
      <w:r>
        <w:rPr>
          <w:rFonts w:ascii="Times New Roman" w:hAnsi="Times New Roman"/>
          <w:sz w:val="24"/>
          <w:szCs w:val="24"/>
        </w:rPr>
        <w:t xml:space="preserve"> </w:t>
      </w:r>
      <w:r w:rsidR="002956E8">
        <w:rPr>
          <w:rFonts w:ascii="Times New Roman" w:hAnsi="Times New Roman"/>
          <w:sz w:val="24"/>
          <w:szCs w:val="24"/>
        </w:rPr>
        <w:t>platem</w:t>
      </w:r>
      <w:r>
        <w:rPr>
          <w:rFonts w:ascii="Times New Roman" w:hAnsi="Times New Roman"/>
          <w:sz w:val="24"/>
          <w:szCs w:val="24"/>
        </w:rPr>
        <w:t xml:space="preserve"> učitelek a učitelů. Rozdíl mezi platem žen a mužů se ještě zvětší, pokud se zaměříme pouze na vedení škol. Průměrný plat ředitelů/ředitelek byl v roce 2012 38 408 Kč. Ženy tvoří mezi řediteli/ředitelkami v regionálním školství 69,2 %. Jejich průměrný plat je nižší o 5 439 Kč, což činí 14 %. </w:t>
      </w:r>
    </w:p>
    <w:p w:rsidR="00561843" w:rsidRDefault="00561843"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Default="00077770" w:rsidP="000A7AE9">
      <w:pPr>
        <w:spacing w:before="160"/>
        <w:jc w:val="both"/>
        <w:rPr>
          <w:rFonts w:ascii="Times New Roman" w:hAnsi="Times New Roman"/>
          <w:sz w:val="24"/>
          <w:szCs w:val="24"/>
        </w:rPr>
      </w:pPr>
    </w:p>
    <w:p w:rsidR="00077770" w:rsidRPr="00742410" w:rsidRDefault="00077770" w:rsidP="000A7AE9">
      <w:pPr>
        <w:spacing w:before="160"/>
        <w:jc w:val="both"/>
        <w:rPr>
          <w:rFonts w:ascii="Times New Roman" w:hAnsi="Times New Roman"/>
          <w:sz w:val="24"/>
          <w:szCs w:val="24"/>
        </w:rPr>
      </w:pPr>
    </w:p>
    <w:p w:rsidR="00561843" w:rsidRPr="001A4B2C" w:rsidRDefault="002956E8" w:rsidP="001A4B2C">
      <w:pPr>
        <w:spacing w:before="160"/>
        <w:rPr>
          <w:rFonts w:ascii="Times New Roman" w:hAnsi="Times New Roman"/>
          <w:b/>
          <w:sz w:val="20"/>
          <w:szCs w:val="20"/>
        </w:rPr>
      </w:pPr>
      <w:r>
        <w:rPr>
          <w:rFonts w:ascii="Times New Roman" w:hAnsi="Times New Roman"/>
          <w:b/>
          <w:sz w:val="24"/>
          <w:szCs w:val="24"/>
        </w:rPr>
        <w:t xml:space="preserve">Tabulka č. 5: </w:t>
      </w:r>
      <w:r w:rsidRPr="001A4B2C">
        <w:rPr>
          <w:rFonts w:ascii="Times New Roman" w:hAnsi="Times New Roman"/>
          <w:b/>
          <w:sz w:val="20"/>
          <w:szCs w:val="20"/>
        </w:rPr>
        <w:t>Průměrný</w:t>
      </w:r>
      <w:r w:rsidR="00561843" w:rsidRPr="001A4B2C">
        <w:rPr>
          <w:rFonts w:ascii="Times New Roman" w:hAnsi="Times New Roman"/>
          <w:b/>
          <w:sz w:val="20"/>
          <w:szCs w:val="20"/>
        </w:rPr>
        <w:t xml:space="preserve"> </w:t>
      </w:r>
      <w:r w:rsidRPr="001A4B2C">
        <w:rPr>
          <w:rFonts w:ascii="Times New Roman" w:hAnsi="Times New Roman"/>
          <w:b/>
          <w:sz w:val="20"/>
          <w:szCs w:val="20"/>
        </w:rPr>
        <w:t>plat</w:t>
      </w:r>
      <w:r w:rsidR="00561843" w:rsidRPr="001A4B2C">
        <w:rPr>
          <w:rFonts w:ascii="Times New Roman" w:hAnsi="Times New Roman"/>
          <w:b/>
          <w:sz w:val="20"/>
          <w:szCs w:val="20"/>
        </w:rPr>
        <w:t xml:space="preserve"> podle stupně vzdělávání a podíl žen</w:t>
      </w:r>
      <w:r w:rsidR="00555980" w:rsidRPr="001A4B2C">
        <w:rPr>
          <w:rFonts w:ascii="Times New Roman" w:hAnsi="Times New Roman"/>
          <w:b/>
          <w:sz w:val="20"/>
          <w:szCs w:val="20"/>
        </w:rPr>
        <w:t xml:space="preserve"> </w:t>
      </w:r>
      <w:r w:rsidR="00561843" w:rsidRPr="001A4B2C">
        <w:rPr>
          <w:rFonts w:ascii="Times New Roman" w:hAnsi="Times New Roman"/>
          <w:b/>
          <w:sz w:val="20"/>
          <w:szCs w:val="20"/>
        </w:rPr>
        <w:t>mezi vyučujícími v regionálním školství</w:t>
      </w:r>
    </w:p>
    <w:tbl>
      <w:tblPr>
        <w:tblpPr w:leftFromText="141" w:rightFromText="141" w:vertAnchor="page" w:horzAnchor="margin" w:tblpY="2392"/>
        <w:tblW w:w="9720" w:type="dxa"/>
        <w:tblCellMar>
          <w:left w:w="70" w:type="dxa"/>
          <w:right w:w="70" w:type="dxa"/>
        </w:tblCellMar>
        <w:tblLook w:val="0000" w:firstRow="0" w:lastRow="0" w:firstColumn="0" w:lastColumn="0" w:noHBand="0" w:noVBand="0"/>
      </w:tblPr>
      <w:tblGrid>
        <w:gridCol w:w="2905"/>
        <w:gridCol w:w="2410"/>
        <w:gridCol w:w="2126"/>
        <w:gridCol w:w="2279"/>
      </w:tblGrid>
      <w:tr w:rsidR="00561843" w:rsidRPr="001F460A" w:rsidTr="00CA230C">
        <w:trPr>
          <w:trHeight w:val="552"/>
        </w:trPr>
        <w:tc>
          <w:tcPr>
            <w:tcW w:w="2905" w:type="dxa"/>
            <w:tcBorders>
              <w:top w:val="single" w:sz="4" w:space="0" w:color="auto"/>
              <w:left w:val="single" w:sz="4" w:space="0" w:color="auto"/>
              <w:bottom w:val="single" w:sz="4" w:space="0" w:color="000000"/>
              <w:right w:val="single" w:sz="4" w:space="0" w:color="auto"/>
            </w:tcBorders>
            <w:shd w:val="clear" w:color="auto" w:fill="F2F2F2"/>
            <w:noWrap/>
            <w:vAlign w:val="center"/>
          </w:tcPr>
          <w:p w:rsidR="00561843" w:rsidRPr="001F460A" w:rsidRDefault="00561843" w:rsidP="00CA230C">
            <w:pPr>
              <w:rPr>
                <w:rFonts w:ascii="Times New Roman" w:hAnsi="Times New Roman"/>
                <w:b/>
                <w:sz w:val="24"/>
                <w:szCs w:val="24"/>
              </w:rPr>
            </w:pPr>
            <w:r w:rsidRPr="001F460A">
              <w:rPr>
                <w:rFonts w:ascii="Times New Roman" w:hAnsi="Times New Roman"/>
                <w:b/>
                <w:sz w:val="24"/>
                <w:szCs w:val="24"/>
              </w:rPr>
              <w:lastRenderedPageBreak/>
              <w:t>Stupeň školy</w:t>
            </w:r>
          </w:p>
        </w:tc>
        <w:tc>
          <w:tcPr>
            <w:tcW w:w="2410" w:type="dxa"/>
            <w:tcBorders>
              <w:top w:val="single" w:sz="4" w:space="0" w:color="auto"/>
              <w:left w:val="single" w:sz="4" w:space="0" w:color="auto"/>
              <w:right w:val="single" w:sz="4" w:space="0" w:color="auto"/>
            </w:tcBorders>
            <w:shd w:val="clear" w:color="auto" w:fill="F2F2F2"/>
            <w:vAlign w:val="center"/>
          </w:tcPr>
          <w:p w:rsidR="00561843" w:rsidRPr="001F460A" w:rsidRDefault="00561843" w:rsidP="00CA230C">
            <w:pPr>
              <w:jc w:val="center"/>
              <w:rPr>
                <w:rFonts w:ascii="Times New Roman" w:hAnsi="Times New Roman"/>
                <w:b/>
                <w:sz w:val="24"/>
                <w:szCs w:val="24"/>
              </w:rPr>
            </w:pPr>
            <w:r w:rsidRPr="001F460A">
              <w:rPr>
                <w:rFonts w:ascii="Times New Roman" w:hAnsi="Times New Roman"/>
                <w:b/>
                <w:sz w:val="24"/>
                <w:szCs w:val="24"/>
              </w:rPr>
              <w:t>Podíl mužů mezi učiteli/kami</w:t>
            </w:r>
          </w:p>
        </w:tc>
        <w:tc>
          <w:tcPr>
            <w:tcW w:w="2126" w:type="dxa"/>
            <w:tcBorders>
              <w:top w:val="single" w:sz="4" w:space="0" w:color="auto"/>
              <w:left w:val="single" w:sz="4" w:space="0" w:color="auto"/>
              <w:right w:val="single" w:sz="4" w:space="0" w:color="auto"/>
            </w:tcBorders>
            <w:shd w:val="clear" w:color="auto" w:fill="F2F2F2"/>
            <w:vAlign w:val="center"/>
          </w:tcPr>
          <w:p w:rsidR="00561843" w:rsidRPr="001F460A" w:rsidRDefault="002956E8" w:rsidP="002956E8">
            <w:pPr>
              <w:jc w:val="center"/>
              <w:rPr>
                <w:rFonts w:ascii="Times New Roman" w:hAnsi="Times New Roman"/>
                <w:b/>
                <w:sz w:val="24"/>
                <w:szCs w:val="24"/>
              </w:rPr>
            </w:pPr>
            <w:r>
              <w:rPr>
                <w:rFonts w:ascii="Times New Roman" w:hAnsi="Times New Roman"/>
                <w:b/>
                <w:sz w:val="24"/>
                <w:szCs w:val="24"/>
              </w:rPr>
              <w:t>Průměrný</w:t>
            </w:r>
            <w:r w:rsidR="00561843" w:rsidRPr="001F460A">
              <w:rPr>
                <w:rFonts w:ascii="Times New Roman" w:hAnsi="Times New Roman"/>
                <w:b/>
                <w:sz w:val="24"/>
                <w:szCs w:val="24"/>
              </w:rPr>
              <w:t xml:space="preserve"> </w:t>
            </w:r>
            <w:r>
              <w:rPr>
                <w:rFonts w:ascii="Times New Roman" w:hAnsi="Times New Roman"/>
                <w:b/>
                <w:sz w:val="24"/>
                <w:szCs w:val="24"/>
              </w:rPr>
              <w:t>plat</w:t>
            </w:r>
          </w:p>
        </w:tc>
        <w:tc>
          <w:tcPr>
            <w:tcW w:w="2279" w:type="dxa"/>
            <w:tcBorders>
              <w:top w:val="single" w:sz="4" w:space="0" w:color="auto"/>
              <w:left w:val="single" w:sz="4" w:space="0" w:color="auto"/>
              <w:right w:val="single" w:sz="4" w:space="0" w:color="auto"/>
            </w:tcBorders>
            <w:shd w:val="clear" w:color="auto" w:fill="F2F2F2"/>
            <w:vAlign w:val="center"/>
          </w:tcPr>
          <w:p w:rsidR="00561843" w:rsidRPr="001F460A" w:rsidRDefault="00561843" w:rsidP="00CA230C">
            <w:pPr>
              <w:jc w:val="center"/>
              <w:rPr>
                <w:rFonts w:ascii="Times New Roman" w:hAnsi="Times New Roman"/>
                <w:b/>
                <w:sz w:val="24"/>
                <w:szCs w:val="24"/>
              </w:rPr>
            </w:pPr>
            <w:r w:rsidRPr="001F460A">
              <w:rPr>
                <w:rFonts w:ascii="Times New Roman" w:hAnsi="Times New Roman"/>
                <w:b/>
                <w:sz w:val="24"/>
                <w:szCs w:val="24"/>
              </w:rPr>
              <w:t xml:space="preserve">Rozdíl platu  </w:t>
            </w:r>
            <w:r w:rsidRPr="001F460A">
              <w:rPr>
                <w:rFonts w:ascii="Times New Roman" w:hAnsi="Times New Roman"/>
                <w:b/>
                <w:sz w:val="24"/>
                <w:szCs w:val="24"/>
              </w:rPr>
              <w:br/>
              <w:t>učitelek a učitelů</w:t>
            </w:r>
          </w:p>
        </w:tc>
      </w:tr>
      <w:tr w:rsidR="00561843" w:rsidRPr="001F460A" w:rsidTr="00CA230C">
        <w:trPr>
          <w:trHeight w:val="240"/>
        </w:trPr>
        <w:tc>
          <w:tcPr>
            <w:tcW w:w="2905"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A230C">
            <w:pPr>
              <w:spacing w:before="160"/>
              <w:jc w:val="both"/>
              <w:rPr>
                <w:rFonts w:ascii="Times New Roman" w:hAnsi="Times New Roman"/>
                <w:sz w:val="24"/>
                <w:szCs w:val="24"/>
              </w:rPr>
            </w:pPr>
            <w:r w:rsidRPr="001F460A">
              <w:rPr>
                <w:rFonts w:ascii="Times New Roman" w:hAnsi="Times New Roman"/>
                <w:sz w:val="24"/>
                <w:szCs w:val="24"/>
              </w:rPr>
              <w:t xml:space="preserve">Mateřské školy </w:t>
            </w:r>
          </w:p>
        </w:tc>
        <w:tc>
          <w:tcPr>
            <w:tcW w:w="2410"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0,3 %</w:t>
            </w:r>
          </w:p>
        </w:tc>
        <w:tc>
          <w:tcPr>
            <w:tcW w:w="2126"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22 176 Kč</w:t>
            </w:r>
          </w:p>
        </w:tc>
        <w:tc>
          <w:tcPr>
            <w:tcW w:w="2279"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X</w:t>
            </w:r>
          </w:p>
        </w:tc>
      </w:tr>
      <w:tr w:rsidR="00561843" w:rsidRPr="001F460A" w:rsidTr="00CA230C">
        <w:trPr>
          <w:trHeight w:val="240"/>
        </w:trPr>
        <w:tc>
          <w:tcPr>
            <w:tcW w:w="2905"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A230C">
            <w:pPr>
              <w:spacing w:before="160"/>
              <w:jc w:val="both"/>
              <w:rPr>
                <w:rFonts w:ascii="Times New Roman" w:hAnsi="Times New Roman"/>
                <w:sz w:val="24"/>
                <w:szCs w:val="24"/>
              </w:rPr>
            </w:pPr>
            <w:r w:rsidRPr="001F460A">
              <w:rPr>
                <w:rFonts w:ascii="Times New Roman" w:hAnsi="Times New Roman"/>
                <w:sz w:val="24"/>
                <w:szCs w:val="24"/>
              </w:rPr>
              <w:t>Základní školy</w:t>
            </w:r>
          </w:p>
        </w:tc>
        <w:tc>
          <w:tcPr>
            <w:tcW w:w="2410"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14,9 %</w:t>
            </w:r>
          </w:p>
        </w:tc>
        <w:tc>
          <w:tcPr>
            <w:tcW w:w="2126"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ind w:left="360"/>
              <w:rPr>
                <w:rFonts w:ascii="Times New Roman" w:hAnsi="Times New Roman"/>
                <w:sz w:val="24"/>
                <w:szCs w:val="24"/>
              </w:rPr>
            </w:pPr>
            <w:r w:rsidRPr="001F460A">
              <w:rPr>
                <w:rFonts w:ascii="Times New Roman" w:hAnsi="Times New Roman"/>
                <w:sz w:val="24"/>
                <w:szCs w:val="24"/>
              </w:rPr>
              <w:t xml:space="preserve">     25 775 Kč</w:t>
            </w:r>
          </w:p>
        </w:tc>
        <w:tc>
          <w:tcPr>
            <w:tcW w:w="2279" w:type="dxa"/>
            <w:tcBorders>
              <w:top w:val="single" w:sz="4" w:space="0" w:color="auto"/>
              <w:left w:val="single" w:sz="4" w:space="0" w:color="auto"/>
              <w:bottom w:val="single" w:sz="4" w:space="0" w:color="auto"/>
              <w:right w:val="single" w:sz="4" w:space="0" w:color="auto"/>
            </w:tcBorders>
          </w:tcPr>
          <w:p w:rsidR="00561843" w:rsidRPr="003F3062" w:rsidRDefault="00561843" w:rsidP="00CA230C">
            <w:pPr>
              <w:pStyle w:val="Odstavecseseznamem"/>
              <w:spacing w:before="160"/>
              <w:ind w:left="720"/>
              <w:rPr>
                <w:rFonts w:ascii="Times New Roman" w:hAnsi="Times New Roman"/>
                <w:sz w:val="24"/>
                <w:szCs w:val="24"/>
              </w:rPr>
            </w:pPr>
            <w:r>
              <w:rPr>
                <w:rFonts w:ascii="Times New Roman" w:hAnsi="Times New Roman"/>
                <w:sz w:val="24"/>
                <w:szCs w:val="24"/>
              </w:rPr>
              <w:t>-118 Kč</w:t>
            </w:r>
          </w:p>
        </w:tc>
      </w:tr>
      <w:tr w:rsidR="00561843" w:rsidRPr="001F460A" w:rsidTr="00CA230C">
        <w:trPr>
          <w:trHeight w:val="240"/>
        </w:trPr>
        <w:tc>
          <w:tcPr>
            <w:tcW w:w="2905"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A230C">
            <w:pPr>
              <w:spacing w:before="160"/>
              <w:jc w:val="both"/>
              <w:rPr>
                <w:rFonts w:ascii="Times New Roman" w:hAnsi="Times New Roman"/>
                <w:sz w:val="24"/>
                <w:szCs w:val="24"/>
              </w:rPr>
            </w:pPr>
            <w:r w:rsidRPr="001F460A">
              <w:rPr>
                <w:rFonts w:ascii="Times New Roman" w:hAnsi="Times New Roman"/>
                <w:sz w:val="24"/>
                <w:szCs w:val="24"/>
              </w:rPr>
              <w:t xml:space="preserve">Střední školy </w:t>
            </w:r>
          </w:p>
        </w:tc>
        <w:tc>
          <w:tcPr>
            <w:tcW w:w="2410"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35,4 %</w:t>
            </w:r>
          </w:p>
        </w:tc>
        <w:tc>
          <w:tcPr>
            <w:tcW w:w="2126"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27 238 Kč</w:t>
            </w:r>
          </w:p>
        </w:tc>
        <w:tc>
          <w:tcPr>
            <w:tcW w:w="2279"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-370 Kč</w:t>
            </w:r>
          </w:p>
        </w:tc>
      </w:tr>
      <w:tr w:rsidR="00561843" w:rsidRPr="001F460A" w:rsidTr="00CA230C">
        <w:trPr>
          <w:trHeight w:val="240"/>
        </w:trPr>
        <w:tc>
          <w:tcPr>
            <w:tcW w:w="2905" w:type="dxa"/>
            <w:tcBorders>
              <w:top w:val="single" w:sz="4" w:space="0" w:color="auto"/>
              <w:left w:val="single" w:sz="4" w:space="0" w:color="auto"/>
              <w:bottom w:val="single" w:sz="4" w:space="0" w:color="auto"/>
              <w:right w:val="single" w:sz="4" w:space="0" w:color="auto"/>
            </w:tcBorders>
            <w:noWrap/>
            <w:vAlign w:val="bottom"/>
          </w:tcPr>
          <w:p w:rsidR="00561843" w:rsidRPr="001F460A" w:rsidRDefault="00561843" w:rsidP="00CA230C">
            <w:pPr>
              <w:spacing w:before="160"/>
              <w:rPr>
                <w:rFonts w:ascii="Times New Roman" w:hAnsi="Times New Roman"/>
                <w:sz w:val="24"/>
                <w:szCs w:val="24"/>
              </w:rPr>
            </w:pPr>
            <w:r w:rsidRPr="001F460A">
              <w:rPr>
                <w:rFonts w:ascii="Times New Roman" w:hAnsi="Times New Roman"/>
                <w:sz w:val="24"/>
                <w:szCs w:val="24"/>
              </w:rPr>
              <w:t xml:space="preserve">Učitelé odborného výcviku </w:t>
            </w:r>
          </w:p>
        </w:tc>
        <w:tc>
          <w:tcPr>
            <w:tcW w:w="2410"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66,6 %</w:t>
            </w:r>
          </w:p>
        </w:tc>
        <w:tc>
          <w:tcPr>
            <w:tcW w:w="2126"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24 392 Kč</w:t>
            </w:r>
          </w:p>
        </w:tc>
        <w:tc>
          <w:tcPr>
            <w:tcW w:w="2279" w:type="dxa"/>
            <w:tcBorders>
              <w:top w:val="single" w:sz="4" w:space="0" w:color="auto"/>
              <w:left w:val="single" w:sz="4" w:space="0" w:color="auto"/>
              <w:bottom w:val="single" w:sz="4" w:space="0" w:color="auto"/>
              <w:right w:val="single" w:sz="4" w:space="0" w:color="auto"/>
            </w:tcBorders>
          </w:tcPr>
          <w:p w:rsidR="00561843" w:rsidRPr="001F460A" w:rsidRDefault="00561843" w:rsidP="00CA230C">
            <w:pPr>
              <w:spacing w:before="160"/>
              <w:jc w:val="center"/>
              <w:rPr>
                <w:rFonts w:ascii="Times New Roman" w:hAnsi="Times New Roman"/>
                <w:sz w:val="24"/>
                <w:szCs w:val="24"/>
              </w:rPr>
            </w:pPr>
            <w:r w:rsidRPr="001F460A">
              <w:rPr>
                <w:rFonts w:ascii="Times New Roman" w:hAnsi="Times New Roman"/>
                <w:sz w:val="24"/>
                <w:szCs w:val="24"/>
              </w:rPr>
              <w:t>-726 Kč</w:t>
            </w:r>
          </w:p>
        </w:tc>
      </w:tr>
    </w:tbl>
    <w:p w:rsidR="00561843" w:rsidRDefault="00561843" w:rsidP="00742410">
      <w:pPr>
        <w:spacing w:before="160" w:line="260" w:lineRule="exact"/>
        <w:jc w:val="center"/>
        <w:rPr>
          <w:rFonts w:ascii="Times New Roman" w:hAnsi="Times New Roman"/>
          <w:sz w:val="20"/>
          <w:szCs w:val="20"/>
        </w:rPr>
      </w:pPr>
      <w:r w:rsidRPr="00BE0FDF">
        <w:rPr>
          <w:rFonts w:ascii="Times New Roman" w:hAnsi="Times New Roman"/>
          <w:sz w:val="20"/>
          <w:szCs w:val="20"/>
        </w:rPr>
        <w:t xml:space="preserve"> Pramen: </w:t>
      </w:r>
      <w:r>
        <w:rPr>
          <w:rFonts w:ascii="Times New Roman" w:hAnsi="Times New Roman"/>
          <w:sz w:val="20"/>
          <w:szCs w:val="20"/>
        </w:rPr>
        <w:t xml:space="preserve">Genderové otázky pracovníků ve školství. MŠMT, 2013. </w:t>
      </w:r>
      <w:r>
        <w:rPr>
          <w:rFonts w:ascii="Times New Roman" w:hAnsi="Times New Roman"/>
          <w:sz w:val="20"/>
          <w:szCs w:val="20"/>
        </w:rPr>
        <w:br/>
        <w:t xml:space="preserve">Dostupné z </w:t>
      </w:r>
      <w:r w:rsidRPr="001A5F22">
        <w:rPr>
          <w:rFonts w:ascii="Times New Roman" w:hAnsi="Times New Roman"/>
          <w:sz w:val="20"/>
          <w:szCs w:val="20"/>
        </w:rPr>
        <w:t>http://www.msmt.cz/file/28719</w:t>
      </w:r>
    </w:p>
    <w:p w:rsidR="00561843" w:rsidRDefault="00561843" w:rsidP="00D76F5E">
      <w:pPr>
        <w:spacing w:before="160"/>
        <w:jc w:val="both"/>
        <w:rPr>
          <w:rFonts w:ascii="Times New Roman" w:hAnsi="Times New Roman"/>
          <w:sz w:val="24"/>
          <w:szCs w:val="24"/>
        </w:rPr>
      </w:pPr>
      <w:r>
        <w:rPr>
          <w:rFonts w:ascii="Times New Roman" w:hAnsi="Times New Roman"/>
          <w:sz w:val="24"/>
          <w:szCs w:val="24"/>
        </w:rPr>
        <w:t>V případě učitelských pozic máme k dispozici podrobnější pohled do struktury</w:t>
      </w:r>
      <w:r w:rsidR="002956E8">
        <w:rPr>
          <w:rFonts w:ascii="Times New Roman" w:hAnsi="Times New Roman"/>
          <w:sz w:val="24"/>
          <w:szCs w:val="24"/>
        </w:rPr>
        <w:t xml:space="preserve"> platů</w:t>
      </w:r>
      <w:r>
        <w:rPr>
          <w:rFonts w:ascii="Times New Roman" w:hAnsi="Times New Roman"/>
          <w:sz w:val="24"/>
          <w:szCs w:val="24"/>
        </w:rPr>
        <w:t>, který ukazuje, že učitelé pobírají větší příplatky než učitelky. Konkrétně učitelsk</w:t>
      </w:r>
      <w:r w:rsidR="002956E8">
        <w:rPr>
          <w:rFonts w:ascii="Times New Roman" w:hAnsi="Times New Roman"/>
          <w:sz w:val="24"/>
          <w:szCs w:val="24"/>
        </w:rPr>
        <w:t>ý</w:t>
      </w:r>
      <w:r>
        <w:rPr>
          <w:rFonts w:ascii="Times New Roman" w:hAnsi="Times New Roman"/>
          <w:sz w:val="24"/>
          <w:szCs w:val="24"/>
        </w:rPr>
        <w:t xml:space="preserve"> </w:t>
      </w:r>
      <w:r w:rsidR="002956E8">
        <w:rPr>
          <w:rFonts w:ascii="Times New Roman" w:hAnsi="Times New Roman"/>
          <w:sz w:val="24"/>
          <w:szCs w:val="24"/>
        </w:rPr>
        <w:t>plat</w:t>
      </w:r>
      <w:r>
        <w:rPr>
          <w:rFonts w:ascii="Times New Roman" w:hAnsi="Times New Roman"/>
          <w:sz w:val="24"/>
          <w:szCs w:val="24"/>
        </w:rPr>
        <w:t xml:space="preserve"> v regionálním školství v roce 2012 tvořil platový tarif ze 72,4 % u žen a ze 70,9 % u mužů, příplatky ze 6,2 % u žen a 8,1 % u mužů, odměny ze 4, 4 % u žen a 4,5 % u mužů, náhrady platu z 16, 8 % u obou skupin</w:t>
      </w:r>
      <w:r>
        <w:rPr>
          <w:rStyle w:val="Znakapoznpodarou"/>
          <w:rFonts w:ascii="Times New Roman" w:hAnsi="Times New Roman"/>
          <w:sz w:val="24"/>
          <w:szCs w:val="24"/>
        </w:rPr>
        <w:footnoteReference w:id="31"/>
      </w:r>
      <w:r>
        <w:rPr>
          <w:rFonts w:ascii="Times New Roman" w:hAnsi="Times New Roman"/>
          <w:sz w:val="24"/>
          <w:szCs w:val="24"/>
        </w:rPr>
        <w:t>. Hlavní rozdíl tedy vzniká v oblasti příplatků, což lze vysvětlit genderově stereotypním uvažováním vedení škol o příležitostech, které nabízejí učitelům a učitelkám</w:t>
      </w:r>
      <w:r>
        <w:rPr>
          <w:rStyle w:val="Znakapoznpodarou"/>
          <w:rFonts w:ascii="Times New Roman" w:hAnsi="Times New Roman"/>
          <w:sz w:val="24"/>
          <w:szCs w:val="24"/>
        </w:rPr>
        <w:footnoteReference w:id="32"/>
      </w:r>
      <w:r>
        <w:rPr>
          <w:rFonts w:ascii="Times New Roman" w:hAnsi="Times New Roman"/>
          <w:sz w:val="24"/>
          <w:szCs w:val="24"/>
        </w:rPr>
        <w:t xml:space="preserve">. Genderové ročenky školství nabízely za předchozí období podrobnější údaje. </w:t>
      </w:r>
      <w:r w:rsidRPr="00742410">
        <w:rPr>
          <w:rFonts w:ascii="Times New Roman" w:hAnsi="Times New Roman"/>
          <w:sz w:val="24"/>
          <w:szCs w:val="24"/>
        </w:rPr>
        <w:t xml:space="preserve">Co se týče nenárokových složek platu, pobíraly učitelky základních škol přibližně </w:t>
      </w:r>
      <w:r>
        <w:rPr>
          <w:rFonts w:ascii="Times New Roman" w:hAnsi="Times New Roman"/>
          <w:sz w:val="24"/>
          <w:szCs w:val="24"/>
        </w:rPr>
        <w:t>o 10 </w:t>
      </w:r>
      <w:r w:rsidRPr="00742410">
        <w:rPr>
          <w:rFonts w:ascii="Times New Roman" w:hAnsi="Times New Roman"/>
          <w:sz w:val="24"/>
          <w:szCs w:val="24"/>
        </w:rPr>
        <w:t>% nižší osobní příplatky než učitel</w:t>
      </w:r>
      <w:r>
        <w:rPr>
          <w:rFonts w:ascii="Times New Roman" w:hAnsi="Times New Roman"/>
          <w:sz w:val="24"/>
          <w:szCs w:val="24"/>
        </w:rPr>
        <w:t>é,</w:t>
      </w:r>
      <w:r w:rsidRPr="00742410">
        <w:rPr>
          <w:rFonts w:ascii="Times New Roman" w:hAnsi="Times New Roman"/>
          <w:sz w:val="24"/>
          <w:szCs w:val="24"/>
        </w:rPr>
        <w:t xml:space="preserve"> v případě odměn činil tento rozdíl 6 </w:t>
      </w:r>
      <w:r>
        <w:rPr>
          <w:rFonts w:ascii="Times New Roman" w:hAnsi="Times New Roman"/>
          <w:sz w:val="24"/>
          <w:szCs w:val="24"/>
        </w:rPr>
        <w:t>%, o</w:t>
      </w:r>
      <w:r w:rsidRPr="00742410">
        <w:rPr>
          <w:rFonts w:ascii="Times New Roman" w:hAnsi="Times New Roman"/>
          <w:sz w:val="24"/>
          <w:szCs w:val="24"/>
        </w:rPr>
        <w:t xml:space="preserve">dměny </w:t>
      </w:r>
      <w:r>
        <w:rPr>
          <w:rFonts w:ascii="Times New Roman" w:hAnsi="Times New Roman"/>
          <w:sz w:val="24"/>
          <w:szCs w:val="24"/>
        </w:rPr>
        <w:t>z </w:t>
      </w:r>
      <w:r w:rsidRPr="00742410">
        <w:rPr>
          <w:rFonts w:ascii="Times New Roman" w:hAnsi="Times New Roman"/>
          <w:sz w:val="24"/>
          <w:szCs w:val="24"/>
        </w:rPr>
        <w:t xml:space="preserve">celkového platu tvořily na základních školách u učitelek 5–6 % (cca 1,1–1,5 tis. Kč) </w:t>
      </w:r>
      <w:r>
        <w:rPr>
          <w:rFonts w:ascii="Times New Roman" w:hAnsi="Times New Roman"/>
          <w:sz w:val="24"/>
          <w:szCs w:val="24"/>
        </w:rPr>
        <w:t>a u </w:t>
      </w:r>
      <w:r w:rsidRPr="00742410">
        <w:rPr>
          <w:rFonts w:ascii="Times New Roman" w:hAnsi="Times New Roman"/>
          <w:sz w:val="24"/>
          <w:szCs w:val="24"/>
        </w:rPr>
        <w:t>učitelů 6–7 % (cca 1,2–1,6 tis. Kč).</w:t>
      </w:r>
      <w:r>
        <w:rPr>
          <w:rFonts w:ascii="Times New Roman" w:hAnsi="Times New Roman"/>
          <w:sz w:val="24"/>
          <w:szCs w:val="24"/>
        </w:rPr>
        <w:t xml:space="preserve"> </w:t>
      </w:r>
    </w:p>
    <w:p w:rsidR="00561843" w:rsidRDefault="00561843" w:rsidP="00D76F5E">
      <w:pPr>
        <w:spacing w:before="160"/>
        <w:jc w:val="both"/>
        <w:rPr>
          <w:rFonts w:ascii="Times New Roman" w:hAnsi="Times New Roman"/>
          <w:sz w:val="24"/>
          <w:szCs w:val="24"/>
        </w:rPr>
      </w:pPr>
      <w:r>
        <w:rPr>
          <w:rFonts w:ascii="Times New Roman" w:hAnsi="Times New Roman"/>
          <w:sz w:val="24"/>
          <w:szCs w:val="24"/>
        </w:rPr>
        <w:t>Situace ve vysokém školství navazuje na popsané trendy z regionálního školství. Podíl mužů mezi akademickými pracovníky/pracovnicemi je nejvyšší ze všech stupňů (66 %). Průměrný plat v roce 2012 činil 33 500 Kč. Ja</w:t>
      </w:r>
      <w:r w:rsidR="00020626">
        <w:rPr>
          <w:rFonts w:ascii="Times New Roman" w:hAnsi="Times New Roman"/>
          <w:sz w:val="24"/>
          <w:szCs w:val="24"/>
        </w:rPr>
        <w:t>k poměr mužů a žen, tak průměrný</w:t>
      </w:r>
      <w:r>
        <w:rPr>
          <w:rFonts w:ascii="Times New Roman" w:hAnsi="Times New Roman"/>
          <w:sz w:val="24"/>
          <w:szCs w:val="24"/>
        </w:rPr>
        <w:t xml:space="preserve"> </w:t>
      </w:r>
      <w:r w:rsidR="00020626">
        <w:rPr>
          <w:rFonts w:ascii="Times New Roman" w:hAnsi="Times New Roman"/>
          <w:sz w:val="24"/>
          <w:szCs w:val="24"/>
        </w:rPr>
        <w:t>plat</w:t>
      </w:r>
      <w:r>
        <w:rPr>
          <w:rFonts w:ascii="Times New Roman" w:hAnsi="Times New Roman"/>
          <w:sz w:val="24"/>
          <w:szCs w:val="24"/>
        </w:rPr>
        <w:t>, tak i rozdíl mezi žensk</w:t>
      </w:r>
      <w:r w:rsidR="00020626">
        <w:rPr>
          <w:rFonts w:ascii="Times New Roman" w:hAnsi="Times New Roman"/>
          <w:sz w:val="24"/>
          <w:szCs w:val="24"/>
        </w:rPr>
        <w:t xml:space="preserve">ým </w:t>
      </w:r>
      <w:r>
        <w:rPr>
          <w:rFonts w:ascii="Times New Roman" w:hAnsi="Times New Roman"/>
          <w:sz w:val="24"/>
          <w:szCs w:val="24"/>
        </w:rPr>
        <w:t>a mužsk</w:t>
      </w:r>
      <w:r w:rsidR="00020626">
        <w:rPr>
          <w:rFonts w:ascii="Times New Roman" w:hAnsi="Times New Roman"/>
          <w:sz w:val="24"/>
          <w:szCs w:val="24"/>
        </w:rPr>
        <w:t>ým</w:t>
      </w:r>
      <w:r>
        <w:rPr>
          <w:rFonts w:ascii="Times New Roman" w:hAnsi="Times New Roman"/>
          <w:sz w:val="24"/>
          <w:szCs w:val="24"/>
        </w:rPr>
        <w:t xml:space="preserve"> </w:t>
      </w:r>
      <w:r w:rsidR="00020626">
        <w:rPr>
          <w:rFonts w:ascii="Times New Roman" w:hAnsi="Times New Roman"/>
          <w:sz w:val="24"/>
          <w:szCs w:val="24"/>
        </w:rPr>
        <w:t>platem</w:t>
      </w:r>
      <w:r>
        <w:rPr>
          <w:rFonts w:ascii="Times New Roman" w:hAnsi="Times New Roman"/>
          <w:sz w:val="24"/>
          <w:szCs w:val="24"/>
        </w:rPr>
        <w:t>, se liší v závislosti na akademické hodnosti. V případě docentské hodnosti byla průměrn</w:t>
      </w:r>
      <w:r w:rsidR="00020626">
        <w:rPr>
          <w:rFonts w:ascii="Times New Roman" w:hAnsi="Times New Roman"/>
          <w:sz w:val="24"/>
          <w:szCs w:val="24"/>
        </w:rPr>
        <w:t>ý plat</w:t>
      </w:r>
      <w:r>
        <w:rPr>
          <w:rFonts w:ascii="Times New Roman" w:hAnsi="Times New Roman"/>
          <w:sz w:val="24"/>
          <w:szCs w:val="24"/>
        </w:rPr>
        <w:t xml:space="preserve"> mužů 43 000 Kč, zatímco žen 35 000 Kč. V případě profesorské hodnosti činil </w:t>
      </w:r>
      <w:r w:rsidR="00020626">
        <w:rPr>
          <w:rFonts w:ascii="Times New Roman" w:hAnsi="Times New Roman"/>
          <w:sz w:val="24"/>
          <w:szCs w:val="24"/>
        </w:rPr>
        <w:t xml:space="preserve">plat </w:t>
      </w:r>
      <w:r>
        <w:rPr>
          <w:rFonts w:ascii="Times New Roman" w:hAnsi="Times New Roman"/>
          <w:sz w:val="24"/>
          <w:szCs w:val="24"/>
        </w:rPr>
        <w:t xml:space="preserve">mužů 52 500 Kč, zatímco žen 46 200 Kč.  </w:t>
      </w:r>
    </w:p>
    <w:p w:rsidR="00561843" w:rsidRDefault="00561843" w:rsidP="000A7AE9">
      <w:pPr>
        <w:spacing w:before="160"/>
        <w:jc w:val="both"/>
        <w:rPr>
          <w:rFonts w:ascii="Times New Roman" w:hAnsi="Times New Roman"/>
          <w:sz w:val="24"/>
          <w:szCs w:val="24"/>
        </w:rPr>
      </w:pPr>
      <w:r w:rsidRPr="00742410">
        <w:rPr>
          <w:rFonts w:ascii="Times New Roman" w:hAnsi="Times New Roman"/>
          <w:sz w:val="24"/>
          <w:szCs w:val="24"/>
        </w:rPr>
        <w:t>Jak bylo naznačeno výše, zahraniční i české studie dokládají, že existuje souvislost mezi zastoupením žen v určitém oboru a finanční prostředky, které jsou do tohoto oboru alokovány, včetně průměrných</w:t>
      </w:r>
      <w:r w:rsidR="00020626">
        <w:rPr>
          <w:rFonts w:ascii="Times New Roman" w:hAnsi="Times New Roman"/>
          <w:sz w:val="24"/>
          <w:szCs w:val="24"/>
        </w:rPr>
        <w:t xml:space="preserve"> platů</w:t>
      </w:r>
      <w:r w:rsidRPr="00742410">
        <w:rPr>
          <w:rFonts w:ascii="Times New Roman" w:hAnsi="Times New Roman"/>
          <w:sz w:val="24"/>
          <w:szCs w:val="24"/>
        </w:rPr>
        <w:t>. V případě školství to znamená, že čím silnější je podíl žen mezi lidmi pracujícími na daném stupni vzdělávání, tím nižší je jejich průměrn</w:t>
      </w:r>
      <w:r w:rsidR="00020626">
        <w:rPr>
          <w:rFonts w:ascii="Times New Roman" w:hAnsi="Times New Roman"/>
          <w:sz w:val="24"/>
          <w:szCs w:val="24"/>
        </w:rPr>
        <w:t>ý</w:t>
      </w:r>
      <w:r w:rsidRPr="00742410">
        <w:rPr>
          <w:rFonts w:ascii="Times New Roman" w:hAnsi="Times New Roman"/>
          <w:sz w:val="24"/>
          <w:szCs w:val="24"/>
        </w:rPr>
        <w:t xml:space="preserve"> </w:t>
      </w:r>
      <w:r w:rsidR="00020626">
        <w:rPr>
          <w:rFonts w:ascii="Times New Roman" w:hAnsi="Times New Roman"/>
          <w:sz w:val="24"/>
          <w:szCs w:val="24"/>
        </w:rPr>
        <w:t>plat</w:t>
      </w:r>
      <w:r w:rsidRPr="00742410">
        <w:rPr>
          <w:rFonts w:ascii="Times New Roman" w:hAnsi="Times New Roman"/>
          <w:sz w:val="24"/>
          <w:szCs w:val="24"/>
        </w:rPr>
        <w:t>. Tuto souvislost dokládá</w:t>
      </w:r>
      <w:r>
        <w:rPr>
          <w:rFonts w:ascii="Times New Roman" w:hAnsi="Times New Roman"/>
          <w:sz w:val="24"/>
          <w:szCs w:val="24"/>
        </w:rPr>
        <w:t xml:space="preserve"> výše prezentovaná</w:t>
      </w:r>
      <w:r w:rsidRPr="00742410">
        <w:rPr>
          <w:rFonts w:ascii="Times New Roman" w:hAnsi="Times New Roman"/>
          <w:sz w:val="24"/>
          <w:szCs w:val="24"/>
        </w:rPr>
        <w:t xml:space="preserve"> tabulka č. 5</w:t>
      </w:r>
      <w:r>
        <w:rPr>
          <w:rFonts w:ascii="Times New Roman" w:hAnsi="Times New Roman"/>
          <w:sz w:val="24"/>
          <w:szCs w:val="24"/>
        </w:rPr>
        <w:t xml:space="preserve">. </w:t>
      </w:r>
      <w:r w:rsidRPr="00742410">
        <w:rPr>
          <w:rFonts w:ascii="Times New Roman" w:hAnsi="Times New Roman"/>
          <w:sz w:val="24"/>
          <w:szCs w:val="24"/>
        </w:rPr>
        <w:t xml:space="preserve">Nejedná se však o mechanický vliv zastoupení žen, nýbrž o vliv zprostředkovaný představou o náročnosti daného povolání, požadavky na minimální vzdělání, striktností pracovních podmínek atd. V případě školství se mimo jiné pracuje s rozdílným akcentem na výchovu a vzdělávání v případě jednotlivých </w:t>
      </w:r>
      <w:r w:rsidRPr="00742410">
        <w:rPr>
          <w:rFonts w:ascii="Times New Roman" w:hAnsi="Times New Roman"/>
          <w:sz w:val="24"/>
          <w:szCs w:val="24"/>
        </w:rPr>
        <w:lastRenderedPageBreak/>
        <w:t>vzdělávacích stupňů</w:t>
      </w:r>
      <w:r w:rsidRPr="00742410">
        <w:rPr>
          <w:rStyle w:val="Znakapoznpodarou"/>
          <w:rFonts w:ascii="Times New Roman" w:hAnsi="Times New Roman"/>
          <w:sz w:val="24"/>
          <w:szCs w:val="24"/>
        </w:rPr>
        <w:footnoteReference w:id="33"/>
      </w:r>
      <w:r w:rsidRPr="00742410">
        <w:rPr>
          <w:rFonts w:ascii="Times New Roman" w:hAnsi="Times New Roman"/>
          <w:sz w:val="24"/>
          <w:szCs w:val="24"/>
        </w:rPr>
        <w:t xml:space="preserve">, přičemž výchova je silněji spojena s přirozenými vlohami daných osob, zatímco vzdělání je spojeno se záměrně rozvíjenou a hlubší expertízou, a tudíž následně i s větší prestiží. </w:t>
      </w:r>
    </w:p>
    <w:p w:rsidR="00561843" w:rsidRDefault="00561843" w:rsidP="004F0B68">
      <w:pPr>
        <w:spacing w:before="160"/>
        <w:jc w:val="both"/>
        <w:rPr>
          <w:rFonts w:ascii="Times New Roman" w:hAnsi="Times New Roman"/>
          <w:sz w:val="24"/>
          <w:szCs w:val="24"/>
        </w:rPr>
      </w:pPr>
      <w:r>
        <w:rPr>
          <w:rFonts w:ascii="Times New Roman" w:hAnsi="Times New Roman"/>
          <w:sz w:val="24"/>
          <w:szCs w:val="24"/>
        </w:rPr>
        <w:t xml:space="preserve">Výše uvedené údaje byly čerpány z několika zdrojů, přičemž u většiny z nich je dlouhodobě upozorňováno na nedostatečnou podrobnost. </w:t>
      </w:r>
      <w:r w:rsidRPr="00742410">
        <w:rPr>
          <w:rFonts w:ascii="Times New Roman" w:hAnsi="Times New Roman"/>
          <w:sz w:val="24"/>
          <w:szCs w:val="24"/>
        </w:rPr>
        <w:t xml:space="preserve">Ve standardních školských statistikách, které jsou publikovány každoročně, </w:t>
      </w:r>
      <w:r>
        <w:rPr>
          <w:rFonts w:ascii="Times New Roman" w:hAnsi="Times New Roman"/>
          <w:sz w:val="24"/>
          <w:szCs w:val="24"/>
        </w:rPr>
        <w:t>není</w:t>
      </w:r>
      <w:r w:rsidRPr="00742410">
        <w:rPr>
          <w:rFonts w:ascii="Times New Roman" w:hAnsi="Times New Roman"/>
          <w:sz w:val="24"/>
          <w:szCs w:val="24"/>
        </w:rPr>
        <w:t xml:space="preserve"> členění údajů podle pohlaví </w:t>
      </w:r>
      <w:r>
        <w:rPr>
          <w:rFonts w:ascii="Times New Roman" w:hAnsi="Times New Roman"/>
          <w:sz w:val="24"/>
          <w:szCs w:val="24"/>
        </w:rPr>
        <w:t xml:space="preserve">zcela </w:t>
      </w:r>
      <w:r w:rsidRPr="00742410">
        <w:rPr>
          <w:rFonts w:ascii="Times New Roman" w:hAnsi="Times New Roman"/>
          <w:sz w:val="24"/>
          <w:szCs w:val="24"/>
        </w:rPr>
        <w:t xml:space="preserve">důsledné. Ústav </w:t>
      </w:r>
      <w:r w:rsidR="00E6783A">
        <w:rPr>
          <w:rFonts w:ascii="Times New Roman" w:hAnsi="Times New Roman"/>
          <w:sz w:val="24"/>
          <w:szCs w:val="24"/>
        </w:rPr>
        <w:br/>
      </w:r>
      <w:r w:rsidRPr="00742410">
        <w:rPr>
          <w:rFonts w:ascii="Times New Roman" w:hAnsi="Times New Roman"/>
          <w:sz w:val="24"/>
          <w:szCs w:val="24"/>
        </w:rPr>
        <w:t xml:space="preserve">pro </w:t>
      </w:r>
      <w:r>
        <w:rPr>
          <w:rFonts w:ascii="Times New Roman" w:hAnsi="Times New Roman"/>
          <w:sz w:val="24"/>
          <w:szCs w:val="24"/>
        </w:rPr>
        <w:t xml:space="preserve">informace ve vzdělávání však publikoval v roce </w:t>
      </w:r>
      <w:smartTag w:uri="urn:schemas-microsoft-com:office:smarttags" w:element="metricconverter">
        <w:smartTagPr>
          <w:attr w:name="ProductID" w:val="2005. A"/>
        </w:smartTagPr>
        <w:r>
          <w:rPr>
            <w:rFonts w:ascii="Times New Roman" w:hAnsi="Times New Roman"/>
            <w:sz w:val="24"/>
            <w:szCs w:val="24"/>
          </w:rPr>
          <w:t>2007 a</w:t>
        </w:r>
      </w:smartTag>
      <w:r>
        <w:rPr>
          <w:rFonts w:ascii="Times New Roman" w:hAnsi="Times New Roman"/>
          <w:sz w:val="24"/>
          <w:szCs w:val="24"/>
        </w:rPr>
        <w:t xml:space="preserve"> 2009</w:t>
      </w:r>
      <w:r w:rsidRPr="00742410">
        <w:rPr>
          <w:rFonts w:ascii="Times New Roman" w:hAnsi="Times New Roman"/>
          <w:sz w:val="24"/>
          <w:szCs w:val="24"/>
        </w:rPr>
        <w:t xml:space="preserve"> </w:t>
      </w:r>
      <w:r w:rsidRPr="00742410">
        <w:rPr>
          <w:rFonts w:ascii="Times New Roman" w:hAnsi="Times New Roman"/>
          <w:i/>
          <w:sz w:val="24"/>
          <w:szCs w:val="24"/>
        </w:rPr>
        <w:t>Genderov</w:t>
      </w:r>
      <w:r>
        <w:rPr>
          <w:rFonts w:ascii="Times New Roman" w:hAnsi="Times New Roman"/>
          <w:i/>
          <w:sz w:val="24"/>
          <w:szCs w:val="24"/>
        </w:rPr>
        <w:t>ou</w:t>
      </w:r>
      <w:r w:rsidRPr="00742410">
        <w:rPr>
          <w:rFonts w:ascii="Times New Roman" w:hAnsi="Times New Roman"/>
          <w:i/>
          <w:sz w:val="24"/>
          <w:szCs w:val="24"/>
        </w:rPr>
        <w:t xml:space="preserve"> ročenk</w:t>
      </w:r>
      <w:r>
        <w:rPr>
          <w:rFonts w:ascii="Times New Roman" w:hAnsi="Times New Roman"/>
          <w:i/>
          <w:sz w:val="24"/>
          <w:szCs w:val="24"/>
        </w:rPr>
        <w:t>u</w:t>
      </w:r>
      <w:r w:rsidRPr="00742410">
        <w:rPr>
          <w:rFonts w:ascii="Times New Roman" w:hAnsi="Times New Roman"/>
          <w:i/>
          <w:sz w:val="24"/>
          <w:szCs w:val="24"/>
        </w:rPr>
        <w:t xml:space="preserve"> školství</w:t>
      </w:r>
      <w:r w:rsidRPr="00C12086">
        <w:rPr>
          <w:rFonts w:ascii="Times New Roman" w:hAnsi="Times New Roman"/>
          <w:i/>
          <w:sz w:val="24"/>
          <w:szCs w:val="24"/>
        </w:rPr>
        <w:t>;</w:t>
      </w:r>
      <w:r w:rsidRPr="00742410">
        <w:rPr>
          <w:rFonts w:ascii="Times New Roman" w:hAnsi="Times New Roman"/>
          <w:sz w:val="24"/>
          <w:szCs w:val="24"/>
        </w:rPr>
        <w:t xml:space="preserve"> </w:t>
      </w:r>
      <w:r>
        <w:rPr>
          <w:rFonts w:ascii="Times New Roman" w:hAnsi="Times New Roman"/>
          <w:sz w:val="24"/>
          <w:szCs w:val="24"/>
        </w:rPr>
        <w:t xml:space="preserve">v roce 2012 MŠMT publikovalo přehled statistických údajů pod názvem </w:t>
      </w:r>
      <w:r>
        <w:rPr>
          <w:rFonts w:ascii="Times New Roman" w:hAnsi="Times New Roman"/>
          <w:i/>
          <w:sz w:val="24"/>
          <w:szCs w:val="24"/>
        </w:rPr>
        <w:t>Genderové otázky pracovníků školství</w:t>
      </w:r>
      <w:r>
        <w:rPr>
          <w:rStyle w:val="Znakapoznpodarou"/>
          <w:rFonts w:ascii="Times New Roman" w:hAnsi="Times New Roman"/>
          <w:i/>
          <w:sz w:val="24"/>
          <w:szCs w:val="24"/>
        </w:rPr>
        <w:footnoteReference w:id="34"/>
      </w:r>
      <w:r>
        <w:rPr>
          <w:rFonts w:ascii="Times New Roman" w:hAnsi="Times New Roman"/>
          <w:i/>
          <w:sz w:val="24"/>
          <w:szCs w:val="24"/>
        </w:rPr>
        <w:t>.</w:t>
      </w:r>
      <w:r w:rsidRPr="00742410">
        <w:rPr>
          <w:rFonts w:ascii="Times New Roman" w:hAnsi="Times New Roman"/>
          <w:sz w:val="24"/>
          <w:szCs w:val="24"/>
        </w:rPr>
        <w:t xml:space="preserve"> Pro formulaci školské politiky a přípravu efektivních opatření v oblasti genderové rovnosti by bylo podstatné standardně zpracovávat statistické údaje </w:t>
      </w:r>
      <w:r w:rsidR="00E6783A">
        <w:rPr>
          <w:rFonts w:ascii="Times New Roman" w:hAnsi="Times New Roman"/>
          <w:sz w:val="24"/>
          <w:szCs w:val="24"/>
        </w:rPr>
        <w:br/>
      </w:r>
      <w:r w:rsidRPr="00742410">
        <w:rPr>
          <w:rFonts w:ascii="Times New Roman" w:hAnsi="Times New Roman"/>
          <w:sz w:val="24"/>
          <w:szCs w:val="24"/>
        </w:rPr>
        <w:t>ve větší míře podrobnosti.</w:t>
      </w:r>
    </w:p>
    <w:p w:rsidR="00561843" w:rsidRPr="00742410" w:rsidRDefault="00561843" w:rsidP="00742410">
      <w:pPr>
        <w:autoSpaceDE w:val="0"/>
        <w:autoSpaceDN w:val="0"/>
        <w:adjustRightInd w:val="0"/>
        <w:spacing w:before="160"/>
        <w:jc w:val="both"/>
        <w:rPr>
          <w:rFonts w:ascii="Times New Roman" w:hAnsi="Times New Roman"/>
          <w:sz w:val="24"/>
          <w:szCs w:val="24"/>
        </w:rPr>
      </w:pPr>
    </w:p>
    <w:p w:rsidR="00561843" w:rsidRPr="00742410"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caps/>
          <w:sz w:val="24"/>
          <w:szCs w:val="24"/>
        </w:rPr>
      </w:pPr>
      <w:bookmarkStart w:id="30" w:name="_Toc361886398"/>
      <w:r w:rsidRPr="00742410">
        <w:rPr>
          <w:rFonts w:ascii="Times New Roman" w:hAnsi="Times New Roman" w:cs="Times New Roman"/>
          <w:caps/>
          <w:sz w:val="24"/>
          <w:szCs w:val="24"/>
        </w:rPr>
        <w:t>genderová rovnost ve sportu</w:t>
      </w:r>
      <w:bookmarkEnd w:id="30"/>
      <w:r w:rsidRPr="00742410">
        <w:rPr>
          <w:rFonts w:ascii="Times New Roman" w:hAnsi="Times New Roman" w:cs="Times New Roman"/>
          <w:caps/>
          <w:sz w:val="24"/>
          <w:szCs w:val="24"/>
        </w:rPr>
        <w:t xml:space="preserve"> </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Podpora ze státního rozpočtu do sportu vyjádřena podílem na HDP je v České republice třetí nejnižší v Evropské unii. Finanční prostředky jsou alokovány diferencovaně do jednotlivých druhů sportu, což platí jak v případě státní, tak i krajské a lokální úrovně. Genderový mainstreaming není v zásadách rozdělování státních dotací uplatňován.</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Stav genderové nerovnosti ve sportu byl zmapován studií, kterou zadalo MŠMT v roce 2004. Tato studie potvrdila, že vedle specifičnosti státní finanční podpory existuje ve sportovním prostředí značná nevyváženost v zastoupení mužů a žen v odborných a řídících pozicích. Studie dále upozornila na závažný problém násilí a sexuálního obtěžování ve sportu.</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 xml:space="preserve">Aktuální rozložení dle pohlaví nabízí společná statistika členské základny za rok 2010 </w:t>
      </w:r>
      <w:r>
        <w:rPr>
          <w:rFonts w:ascii="Times New Roman" w:hAnsi="Times New Roman"/>
          <w:sz w:val="24"/>
          <w:szCs w:val="24"/>
        </w:rPr>
        <w:t>u </w:t>
      </w:r>
      <w:r w:rsidRPr="00742410">
        <w:rPr>
          <w:rFonts w:ascii="Times New Roman" w:hAnsi="Times New Roman"/>
          <w:sz w:val="24"/>
          <w:szCs w:val="24"/>
        </w:rPr>
        <w:t>Českého svazu tělesné výchovy a České asociace sportu pro všechny – dvou největších sportovních občanských sdružení v ČR.</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 xml:space="preserve">Statistika vykazuje celkem 1 831 077 členů, z toho 477 803 žen a dívek (26%). Ve skupině dospělých je poměr 1 009 025 mužů ku 338 148 žen (25%), v dorostu 144 568 dorostenců </w:t>
      </w:r>
      <w:r>
        <w:rPr>
          <w:rFonts w:ascii="Times New Roman" w:hAnsi="Times New Roman"/>
          <w:sz w:val="24"/>
          <w:szCs w:val="24"/>
        </w:rPr>
        <w:t>ku </w:t>
      </w:r>
      <w:r w:rsidRPr="00742410">
        <w:rPr>
          <w:rFonts w:ascii="Times New Roman" w:hAnsi="Times New Roman"/>
          <w:sz w:val="24"/>
          <w:szCs w:val="24"/>
        </w:rPr>
        <w:t>48 378 dorostenkám (25%), v žácích 199 681 chlapců a 91 277 dívek (31%).</w:t>
      </w:r>
    </w:p>
    <w:p w:rsidR="00561843" w:rsidRPr="00742410" w:rsidRDefault="00561843" w:rsidP="00D01B95">
      <w:pPr>
        <w:spacing w:before="160"/>
        <w:jc w:val="both"/>
        <w:rPr>
          <w:rFonts w:ascii="Times New Roman" w:hAnsi="Times New Roman"/>
          <w:sz w:val="24"/>
          <w:szCs w:val="24"/>
        </w:rPr>
      </w:pPr>
      <w:r w:rsidRPr="00742410">
        <w:rPr>
          <w:rFonts w:ascii="Times New Roman" w:hAnsi="Times New Roman"/>
          <w:sz w:val="24"/>
          <w:szCs w:val="24"/>
        </w:rPr>
        <w:t>Ve skupině činovníků, rozhodčích, trenérů a dalších specialistů je uvedeno 142 672 osob, z toho 31 992 žen (22%).</w:t>
      </w:r>
    </w:p>
    <w:p w:rsidR="00561843" w:rsidRPr="00742410" w:rsidRDefault="00561843" w:rsidP="00742410">
      <w:pPr>
        <w:spacing w:before="160" w:line="260" w:lineRule="exact"/>
        <w:jc w:val="both"/>
        <w:rPr>
          <w:rFonts w:ascii="Times New Roman" w:hAnsi="Times New Roman"/>
          <w:sz w:val="24"/>
          <w:szCs w:val="24"/>
        </w:rPr>
      </w:pPr>
    </w:p>
    <w:p w:rsidR="00561843" w:rsidRPr="00742410"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sz w:val="24"/>
          <w:szCs w:val="24"/>
        </w:rPr>
      </w:pPr>
      <w:bookmarkStart w:id="31" w:name="_Toc361886399"/>
      <w:r w:rsidRPr="00742410">
        <w:rPr>
          <w:rFonts w:ascii="Times New Roman" w:hAnsi="Times New Roman" w:cs="Times New Roman"/>
          <w:sz w:val="24"/>
          <w:szCs w:val="24"/>
        </w:rPr>
        <w:t>GENDEROVÁ ROVNOST VE VĚDĚ A VÝZKUMU</w:t>
      </w:r>
      <w:bookmarkEnd w:id="31"/>
      <w:r w:rsidRPr="00742410">
        <w:rPr>
          <w:rFonts w:ascii="Times New Roman" w:hAnsi="Times New Roman" w:cs="Times New Roman"/>
          <w:sz w:val="24"/>
          <w:szCs w:val="24"/>
        </w:rPr>
        <w:t xml:space="preserve"> </w:t>
      </w:r>
    </w:p>
    <w:p w:rsidR="00561843" w:rsidRPr="00742410" w:rsidRDefault="00342D72" w:rsidP="00D01B95">
      <w:pPr>
        <w:widowControl w:val="0"/>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Strategické dokumenty české politiky výzkumu, vývoje a inovací (Reforma výzkumu vývoje a inovací 2008, Národní plán výzkumu, vývoje a inovací na roky 2009-2015, Národní inovační strategie České republiky) se tématu genderové rovnosti a postavení žen </w:t>
      </w:r>
      <w:r>
        <w:rPr>
          <w:rFonts w:ascii="Times New Roman" w:hAnsi="Times New Roman"/>
          <w:sz w:val="24"/>
          <w:szCs w:val="24"/>
        </w:rPr>
        <w:lastRenderedPageBreak/>
        <w:t>ve </w:t>
      </w:r>
      <w:r w:rsidRPr="00742410">
        <w:rPr>
          <w:rFonts w:ascii="Times New Roman" w:hAnsi="Times New Roman"/>
          <w:sz w:val="24"/>
          <w:szCs w:val="24"/>
        </w:rPr>
        <w:t xml:space="preserve">výzkumu, vývoji a inovacích nevěnují. Genderová rovnost a genderový mainstreaming </w:t>
      </w:r>
      <w:r>
        <w:rPr>
          <w:rFonts w:ascii="Times New Roman" w:hAnsi="Times New Roman"/>
          <w:sz w:val="24"/>
          <w:szCs w:val="24"/>
        </w:rPr>
        <w:t>ve </w:t>
      </w:r>
      <w:r w:rsidRPr="00742410">
        <w:rPr>
          <w:rFonts w:ascii="Times New Roman" w:hAnsi="Times New Roman"/>
          <w:sz w:val="24"/>
          <w:szCs w:val="24"/>
        </w:rPr>
        <w:t>vědě a inovacích jsou přitom jednou z pěti hlavních témat v tzv. ERA Komunikaci</w:t>
      </w:r>
      <w:r w:rsidRPr="00742410">
        <w:rPr>
          <w:rStyle w:val="Znakapoznpodarou"/>
          <w:rFonts w:ascii="Times New Roman" w:hAnsi="Times New Roman"/>
          <w:sz w:val="24"/>
          <w:szCs w:val="24"/>
        </w:rPr>
        <w:footnoteReference w:id="35"/>
      </w:r>
      <w:r w:rsidRPr="00742410">
        <w:rPr>
          <w:rFonts w:ascii="Times New Roman" w:hAnsi="Times New Roman"/>
          <w:sz w:val="24"/>
          <w:szCs w:val="24"/>
        </w:rPr>
        <w:t xml:space="preserve"> z června 2012, kterou Evropská komise vyzývá členské státy k vytvoření odpovídajícího legislativního a politického prostředí, vytvoření podmínek pro partnerství s veřejný</w:t>
      </w:r>
      <w:r>
        <w:rPr>
          <w:rFonts w:ascii="Times New Roman" w:hAnsi="Times New Roman"/>
          <w:sz w:val="24"/>
          <w:szCs w:val="24"/>
        </w:rPr>
        <w:t>mi</w:t>
      </w:r>
      <w:r w:rsidRPr="00742410">
        <w:rPr>
          <w:rFonts w:ascii="Times New Roman" w:hAnsi="Times New Roman"/>
          <w:sz w:val="24"/>
          <w:szCs w:val="24"/>
        </w:rPr>
        <w:t xml:space="preserve"> VŠ, </w:t>
      </w:r>
      <w:r w:rsidR="00561843" w:rsidRPr="00742410">
        <w:rPr>
          <w:rFonts w:ascii="Times New Roman" w:hAnsi="Times New Roman"/>
          <w:sz w:val="24"/>
          <w:szCs w:val="24"/>
        </w:rPr>
        <w:t xml:space="preserve">výzkumnými organizacemi a poskytovateli na podporu kulturní a institucionální změny </w:t>
      </w:r>
      <w:r w:rsidR="00561843">
        <w:rPr>
          <w:rFonts w:ascii="Times New Roman" w:hAnsi="Times New Roman"/>
          <w:sz w:val="24"/>
          <w:szCs w:val="24"/>
        </w:rPr>
        <w:t>a </w:t>
      </w:r>
      <w:r w:rsidR="00561843" w:rsidRPr="00742410">
        <w:rPr>
          <w:rFonts w:ascii="Times New Roman" w:hAnsi="Times New Roman"/>
          <w:sz w:val="24"/>
          <w:szCs w:val="24"/>
        </w:rPr>
        <w:t>k 40% zastoupení podrezentovaného pohlaví v hodnotících komisích, které rozhodují</w:t>
      </w:r>
      <w:r w:rsidR="00561843" w:rsidRPr="00D01B95">
        <w:rPr>
          <w:rFonts w:ascii="Times New Roman" w:hAnsi="Times New Roman"/>
          <w:b/>
          <w:sz w:val="24"/>
          <w:szCs w:val="24"/>
        </w:rPr>
        <w:t xml:space="preserve"> </w:t>
      </w:r>
      <w:r w:rsidR="00561843">
        <w:rPr>
          <w:rFonts w:ascii="Times New Roman" w:hAnsi="Times New Roman"/>
          <w:sz w:val="24"/>
          <w:szCs w:val="24"/>
        </w:rPr>
        <w:t>o </w:t>
      </w:r>
      <w:r w:rsidR="00561843" w:rsidRPr="00742410">
        <w:rPr>
          <w:rFonts w:ascii="Times New Roman" w:hAnsi="Times New Roman"/>
          <w:sz w:val="24"/>
          <w:szCs w:val="24"/>
        </w:rPr>
        <w:t>kariérním postupu a udílení grantů.</w:t>
      </w:r>
      <w:r w:rsidR="00561843" w:rsidRPr="00742410">
        <w:rPr>
          <w:rStyle w:val="Znakapoznpodarou"/>
          <w:rFonts w:ascii="Times New Roman" w:hAnsi="Times New Roman"/>
          <w:sz w:val="24"/>
          <w:szCs w:val="24"/>
        </w:rPr>
        <w:t xml:space="preserve"> </w:t>
      </w:r>
      <w:r w:rsidR="00561843" w:rsidRPr="00742410">
        <w:rPr>
          <w:rStyle w:val="Znakapoznpodarou"/>
          <w:rFonts w:ascii="Times New Roman" w:hAnsi="Times New Roman"/>
          <w:sz w:val="24"/>
          <w:szCs w:val="24"/>
        </w:rPr>
        <w:footnoteReference w:id="36"/>
      </w:r>
      <w:r w:rsidR="00561843" w:rsidRPr="00742410">
        <w:rPr>
          <w:rStyle w:val="Znakapoznpodarou"/>
          <w:rFonts w:ascii="Times New Roman" w:hAnsi="Times New Roman"/>
          <w:sz w:val="24"/>
          <w:szCs w:val="24"/>
        </w:rPr>
        <w:t xml:space="preserve"> </w:t>
      </w:r>
      <w:r w:rsidR="00561843" w:rsidRPr="00742410">
        <w:rPr>
          <w:rFonts w:ascii="Times New Roman" w:hAnsi="Times New Roman"/>
          <w:sz w:val="24"/>
          <w:szCs w:val="24"/>
        </w:rPr>
        <w:t>Téma je v ČR řešeno parciálně. V rámci MŠMT je pozornost tématu věnována zejména Odbore</w:t>
      </w:r>
      <w:r w:rsidR="00662F81">
        <w:rPr>
          <w:rFonts w:ascii="Times New Roman" w:hAnsi="Times New Roman"/>
          <w:sz w:val="24"/>
          <w:szCs w:val="24"/>
        </w:rPr>
        <w:t>m výzkumu a vývoje (31</w:t>
      </w:r>
      <w:r w:rsidR="00561843" w:rsidRPr="00742410">
        <w:rPr>
          <w:rFonts w:ascii="Times New Roman" w:hAnsi="Times New Roman"/>
          <w:sz w:val="24"/>
          <w:szCs w:val="24"/>
        </w:rPr>
        <w:t>)</w:t>
      </w:r>
      <w:r w:rsidR="00662F81">
        <w:rPr>
          <w:rFonts w:ascii="Times New Roman" w:hAnsi="Times New Roman"/>
          <w:sz w:val="24"/>
          <w:szCs w:val="24"/>
        </w:rPr>
        <w:t>.</w:t>
      </w:r>
      <w:r w:rsidR="00561843" w:rsidRPr="00742410">
        <w:rPr>
          <w:rFonts w:ascii="Times New Roman" w:hAnsi="Times New Roman"/>
          <w:sz w:val="24"/>
          <w:szCs w:val="24"/>
        </w:rPr>
        <w:t xml:space="preserve"> V návaznosti na mezinárodní zkušenosti a evropskou agendu genderové rovnosti ve výzkumu, vývoji a inovacích (VaVI) odbor inicioval ustavení Ceny Milady Paulové z</w:t>
      </w:r>
      <w:r w:rsidR="00561843">
        <w:rPr>
          <w:rFonts w:ascii="Times New Roman" w:hAnsi="Times New Roman"/>
          <w:sz w:val="24"/>
          <w:szCs w:val="24"/>
        </w:rPr>
        <w:t>a celoživotní přínos vědě, která</w:t>
      </w:r>
      <w:r w:rsidR="00561843" w:rsidRPr="00742410">
        <w:rPr>
          <w:rFonts w:ascii="Times New Roman" w:hAnsi="Times New Roman"/>
          <w:sz w:val="24"/>
          <w:szCs w:val="24"/>
        </w:rPr>
        <w:t xml:space="preserve"> je ministrem školství udílena od roku </w:t>
      </w:r>
      <w:smartTag w:uri="urn:schemas-microsoft-com:office:smarttags" w:element="metricconverter">
        <w:smartTagPr>
          <w:attr w:name="ProductID" w:val="2005. A"/>
        </w:smartTagPr>
        <w:r w:rsidR="00561843" w:rsidRPr="00742410">
          <w:rPr>
            <w:rFonts w:ascii="Times New Roman" w:hAnsi="Times New Roman"/>
            <w:sz w:val="24"/>
            <w:szCs w:val="24"/>
          </w:rPr>
          <w:t>2009 a</w:t>
        </w:r>
      </w:smartTag>
      <w:r w:rsidR="00561843" w:rsidRPr="00742410">
        <w:rPr>
          <w:rFonts w:ascii="Times New Roman" w:hAnsi="Times New Roman"/>
          <w:sz w:val="24"/>
          <w:szCs w:val="24"/>
        </w:rPr>
        <w:t xml:space="preserve"> je spojena s finanční odměnou 150 tis. Kč. Odbor dále prostřednictvím grantu uděleného v programu EUPRO II finančně podporuje a spolupracuje s Národním kontaktním centrem – ženy a věda (NKC-ŽV) při Sociologickém ústavu AV ČR, v.v.i, jehož koordinátorka je členkou Helsinské skupiny o ženách a vědě a Resortní koordinační skupiny MŠMT.</w:t>
      </w: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32" w:name="_Toc361886400"/>
      <w:r>
        <w:rPr>
          <w:rFonts w:ascii="Times New Roman" w:hAnsi="Times New Roman" w:cs="Times New Roman"/>
          <w:sz w:val="24"/>
          <w:szCs w:val="24"/>
        </w:rPr>
        <w:t>S</w:t>
      </w:r>
      <w:r w:rsidRPr="00742410">
        <w:rPr>
          <w:rFonts w:ascii="Times New Roman" w:hAnsi="Times New Roman" w:cs="Times New Roman"/>
          <w:sz w:val="24"/>
          <w:szCs w:val="24"/>
        </w:rPr>
        <w:t>tátní politika rovných příležitostí</w:t>
      </w:r>
      <w:bookmarkEnd w:id="32"/>
    </w:p>
    <w:p w:rsidR="00561843" w:rsidRPr="00742410" w:rsidRDefault="00561843" w:rsidP="00A11D23">
      <w:pPr>
        <w:widowControl w:val="0"/>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V ČR </w:t>
      </w:r>
      <w:r w:rsidRPr="00742410">
        <w:rPr>
          <w:rFonts w:ascii="Times New Roman" w:hAnsi="Times New Roman"/>
          <w:bCs/>
          <w:sz w:val="24"/>
          <w:szCs w:val="24"/>
        </w:rPr>
        <w:t>neexistuje žádný program podpory genderové rovnosti ve výzkumu a vývoji</w:t>
      </w:r>
      <w:r w:rsidRPr="00742410">
        <w:rPr>
          <w:rFonts w:ascii="Times New Roman" w:hAnsi="Times New Roman"/>
          <w:sz w:val="24"/>
          <w:szCs w:val="24"/>
        </w:rPr>
        <w:t>, a to ani na úrovni státních institucí ani v jednotlivých výzkumných organizacích. V důsledku této situace se České republika nemůže účinně zapojovat do mezinárodní spoluprác</w:t>
      </w:r>
      <w:r>
        <w:rPr>
          <w:rFonts w:ascii="Times New Roman" w:hAnsi="Times New Roman"/>
          <w:sz w:val="24"/>
          <w:szCs w:val="24"/>
        </w:rPr>
        <w:t xml:space="preserve">e v oblasti genderové rovnosti </w:t>
      </w:r>
      <w:r w:rsidRPr="00742410">
        <w:rPr>
          <w:rFonts w:ascii="Times New Roman" w:hAnsi="Times New Roman"/>
          <w:sz w:val="24"/>
          <w:szCs w:val="24"/>
        </w:rPr>
        <w:t xml:space="preserve">ve výzkumu, vývoji a inovacích např. prostřednictvím programu ERA-NET, který byl v roce 2013 přijat Evropskou komisí k financování. </w:t>
      </w:r>
      <w:r w:rsidRPr="00742410">
        <w:rPr>
          <w:rFonts w:ascii="Times New Roman" w:hAnsi="Times New Roman"/>
          <w:bCs/>
          <w:sz w:val="24"/>
          <w:szCs w:val="24"/>
        </w:rPr>
        <w:t xml:space="preserve">V řadě oblastí státní a veřejné instituce </w:t>
      </w:r>
      <w:r w:rsidRPr="00742410">
        <w:rPr>
          <w:rFonts w:ascii="Times New Roman" w:hAnsi="Times New Roman"/>
          <w:sz w:val="24"/>
          <w:szCs w:val="24"/>
        </w:rPr>
        <w:t>nezveřejňují genderově segregované statistiky</w:t>
      </w:r>
      <w:r w:rsidRPr="00742410">
        <w:rPr>
          <w:rFonts w:ascii="Times New Roman" w:hAnsi="Times New Roman"/>
          <w:bCs/>
          <w:sz w:val="24"/>
          <w:szCs w:val="24"/>
        </w:rPr>
        <w:t>, např. podíl uchazečů a příjemců grantové podpory. P</w:t>
      </w:r>
      <w:r w:rsidRPr="00742410">
        <w:rPr>
          <w:rFonts w:ascii="Times New Roman" w:hAnsi="Times New Roman"/>
          <w:sz w:val="24"/>
          <w:szCs w:val="24"/>
        </w:rPr>
        <w:t xml:space="preserve">řestože je </w:t>
      </w:r>
      <w:r w:rsidRPr="00742410">
        <w:rPr>
          <w:rFonts w:ascii="Times New Roman" w:hAnsi="Times New Roman"/>
          <w:bCs/>
          <w:sz w:val="24"/>
          <w:szCs w:val="24"/>
        </w:rPr>
        <w:t>genderový výzkum</w:t>
      </w:r>
      <w:r w:rsidRPr="00742410">
        <w:rPr>
          <w:rFonts w:ascii="Times New Roman" w:hAnsi="Times New Roman"/>
          <w:sz w:val="24"/>
          <w:szCs w:val="24"/>
        </w:rPr>
        <w:t xml:space="preserve"> jedním z nástrojů prosazování genderové rovnosti obecně, systémová podpora genderového výzkumu v ČR neexistuje. Vědní politiky ČR genderovou rovnost</w:t>
      </w:r>
      <w:r>
        <w:rPr>
          <w:rFonts w:ascii="Times New Roman" w:hAnsi="Times New Roman"/>
          <w:sz w:val="24"/>
          <w:szCs w:val="24"/>
        </w:rPr>
        <w:t xml:space="preserve">, navzdory četným mezinárodním </w:t>
      </w:r>
      <w:r w:rsidRPr="00742410">
        <w:rPr>
          <w:rFonts w:ascii="Times New Roman" w:hAnsi="Times New Roman"/>
          <w:sz w:val="24"/>
          <w:szCs w:val="24"/>
        </w:rPr>
        <w:t>i vnitrostátním závazkům, v této oblasti ignorují. Je preferován přístup „přirozeného vývoje“ (Tenglerová 2011), jehož důsledkem je stagnace a dokonce zhoršování situace (Tenglerová 2011, 2012).</w:t>
      </w: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33" w:name="_Toc361886401"/>
      <w:r>
        <w:rPr>
          <w:rFonts w:ascii="Times New Roman" w:hAnsi="Times New Roman" w:cs="Times New Roman"/>
          <w:sz w:val="24"/>
          <w:szCs w:val="24"/>
        </w:rPr>
        <w:t>H</w:t>
      </w:r>
      <w:r w:rsidRPr="00742410">
        <w:rPr>
          <w:rFonts w:ascii="Times New Roman" w:hAnsi="Times New Roman" w:cs="Times New Roman"/>
          <w:sz w:val="24"/>
          <w:szCs w:val="24"/>
        </w:rPr>
        <w:t>orizontální segregace</w:t>
      </w:r>
      <w:bookmarkEnd w:id="33"/>
    </w:p>
    <w:p w:rsidR="00561843" w:rsidRPr="00742410" w:rsidRDefault="00561843" w:rsidP="00A11D23">
      <w:pPr>
        <w:widowControl w:val="0"/>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V českém výzkumu a vývoji panuje vysoká míra horizontální segregace, která odráží vysokou míru segregace vzdělávací soustavy. Vědkyně se koncentrují převážně v lékařských (50,2 %), sociálních (41,3 %), humanitních (38,8 %) a zemědělských vědách (42,3 %), naopak v technických a přírodních vědách, kde pracují téměř tři čtvrtiny všech vědců</w:t>
      </w:r>
      <w:r>
        <w:rPr>
          <w:rFonts w:ascii="Times New Roman" w:hAnsi="Times New Roman"/>
          <w:sz w:val="24"/>
          <w:szCs w:val="24"/>
        </w:rPr>
        <w:t xml:space="preserve"> a vědkyň</w:t>
      </w:r>
      <w:r w:rsidR="00342D72">
        <w:rPr>
          <w:rFonts w:ascii="Times New Roman" w:hAnsi="Times New Roman"/>
          <w:sz w:val="24"/>
          <w:szCs w:val="24"/>
        </w:rPr>
        <w:t xml:space="preserve"> </w:t>
      </w:r>
      <w:r w:rsidRPr="00742410">
        <w:rPr>
          <w:rFonts w:ascii="Times New Roman" w:hAnsi="Times New Roman"/>
          <w:sz w:val="24"/>
          <w:szCs w:val="24"/>
        </w:rPr>
        <w:t xml:space="preserve">v ČR, je jejich podíl velmi nízký a činí 12,6 %, resp. 27,8 % (údaje k 31. 12. 2011, Tenglerová 2012). Z hlediska sektoru provádění jsou vědkyně nejméně zastoupené v podnikatelském sektoru, kde pracuje jen 14,7 % výzkumnic. Ve vládním, vysokoškolském i neziskovém </w:t>
      </w:r>
      <w:r w:rsidRPr="00742410">
        <w:rPr>
          <w:rFonts w:ascii="Times New Roman" w:hAnsi="Times New Roman"/>
          <w:sz w:val="24"/>
          <w:szCs w:val="24"/>
        </w:rPr>
        <w:lastRenderedPageBreak/>
        <w:t>sektoru</w:t>
      </w:r>
      <w:r>
        <w:rPr>
          <w:rFonts w:ascii="Times New Roman" w:hAnsi="Times New Roman"/>
          <w:sz w:val="24"/>
          <w:szCs w:val="24"/>
        </w:rPr>
        <w:t xml:space="preserve"> </w:t>
      </w:r>
      <w:r w:rsidRPr="00742410">
        <w:rPr>
          <w:rFonts w:ascii="Times New Roman" w:hAnsi="Times New Roman"/>
          <w:sz w:val="24"/>
          <w:szCs w:val="24"/>
        </w:rPr>
        <w:t>je jejich zastoupení přinejmenším dvojnásobné. V technických vědách</w:t>
      </w:r>
      <w:r>
        <w:rPr>
          <w:rFonts w:ascii="Times New Roman" w:hAnsi="Times New Roman"/>
          <w:sz w:val="24"/>
          <w:szCs w:val="24"/>
        </w:rPr>
        <w:t xml:space="preserve"> a </w:t>
      </w:r>
      <w:r w:rsidRPr="00742410">
        <w:rPr>
          <w:rFonts w:ascii="Times New Roman" w:hAnsi="Times New Roman"/>
          <w:sz w:val="24"/>
          <w:szCs w:val="24"/>
        </w:rPr>
        <w:t>podnikatelském sektoru navíc podíl výzkumnic od roku 2001 klesá a v přírodních vědách stagnuje. Nejvíce finančních prostředků z veřejných zdrojů na výzkum a vývoj je přitom alokováno právě do přírodních a technických věd a do podnikatelského sektoru. Vlivem nerovného zastoupení žen v jednotlivých oborech a sektorech dochází k tomu, že vědkyně v roce 2010 získaly na hlavu o 13,8 % (z hlediska sektorů) a o 13,3 % (z hlediska vědních oborů) finančních prostředků méně než jejich mužští kolegové. To podle Evropské komise představuje značnou míru znevýhodnění žen.</w:t>
      </w: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34" w:name="_Toc361886402"/>
      <w:r>
        <w:rPr>
          <w:rFonts w:ascii="Times New Roman" w:hAnsi="Times New Roman" w:cs="Times New Roman"/>
          <w:sz w:val="24"/>
          <w:szCs w:val="24"/>
        </w:rPr>
        <w:t>V</w:t>
      </w:r>
      <w:r w:rsidRPr="00742410">
        <w:rPr>
          <w:rFonts w:ascii="Times New Roman" w:hAnsi="Times New Roman" w:cs="Times New Roman"/>
          <w:sz w:val="24"/>
          <w:szCs w:val="24"/>
        </w:rPr>
        <w:t>ertikální segregace</w:t>
      </w:r>
      <w:bookmarkEnd w:id="34"/>
    </w:p>
    <w:p w:rsidR="00561843" w:rsidRPr="00742410" w:rsidRDefault="00561843" w:rsidP="00A11D23">
      <w:pPr>
        <w:widowControl w:val="0"/>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Výzkumnice dosahují vyšších kvalifikačních stupňů a pozic v rozhodovacích orgánech výzkumných institucí a institucí odpovědných za tvorbu vědních politik velmi zřídka. V ČR v roce 2011 působilo jen 14,2 % profesorek (nárůst o 5,5 procentního bodu ve srovnání s rokem 2001) a 24,2 % docentek (nárůst o 3 procentní body ve srovnání s rokem 2001). Z dat vyplývá, že za předpokladu stejného průměrného tempa by bylo paritního zastoupení dosaženo na konci tohoto století, konkrétně v roce 2070 v případě profesorek a 2088 v případě docentek. Podíl žen na rozhodování o chodu vědy je též velmi nízký, pohybuje se rozmezí 10 % - 20 %. Evropská komise přitom členské státy v tzv. ERA Komunikaci z června 2012 vyzvala k zajištění 40 % zastoupení podreprezentovaného pohlaví. Celkové zastoupení žen na první pozici výzkumných institucí a státních/vládních orgánů (tj. ředitelek, předsedkyň) je z celkového počtu 117 osob 13, tj. 11,1 %. Ve vedení těchto institucí (rady, sněmy, komory, komise) činí zastoupení žen 17,9 % a v poradních a pracovních orgánech 23,3 %. Celkový podíl žen na těchto úrovních činí dohromady 19,1 %. Výsledné skóre zvyšují především orgány vysokých škol, veřejných výzkumných institucí a Rady vysokých škol.  Ve vedení Grantové agentury Čes</w:t>
      </w:r>
      <w:r w:rsidR="00342D72">
        <w:rPr>
          <w:rFonts w:ascii="Times New Roman" w:hAnsi="Times New Roman"/>
          <w:sz w:val="24"/>
          <w:szCs w:val="24"/>
        </w:rPr>
        <w:t>ké republiky je zastoupení žen n</w:t>
      </w:r>
      <w:r w:rsidRPr="00742410">
        <w:rPr>
          <w:rFonts w:ascii="Times New Roman" w:hAnsi="Times New Roman"/>
          <w:sz w:val="24"/>
          <w:szCs w:val="24"/>
        </w:rPr>
        <w:t xml:space="preserve">ulové a pouze jednu ženu bychom k 31. 1. 2012 našli mezi rektory veřejných a státních vysokých škol. </w:t>
      </w:r>
      <w:r w:rsidR="00342D72">
        <w:rPr>
          <w:rFonts w:ascii="Times New Roman" w:hAnsi="Times New Roman"/>
          <w:sz w:val="24"/>
          <w:szCs w:val="24"/>
        </w:rPr>
        <w:br/>
      </w:r>
      <w:r w:rsidRPr="00742410">
        <w:rPr>
          <w:rFonts w:ascii="Times New Roman" w:hAnsi="Times New Roman"/>
          <w:sz w:val="24"/>
          <w:szCs w:val="24"/>
        </w:rPr>
        <w:t>Vůbec nejnižší zastoupení žen jako celek mají Rada pro výzkum, vývoj a inovace (9,1 %) a Grantová agentura České republiky (9,6 %).</w:t>
      </w: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35" w:name="_Toc361886403"/>
      <w:r>
        <w:rPr>
          <w:rFonts w:ascii="Times New Roman" w:hAnsi="Times New Roman" w:cs="Times New Roman"/>
          <w:sz w:val="24"/>
          <w:szCs w:val="24"/>
        </w:rPr>
        <w:t>G</w:t>
      </w:r>
      <w:r w:rsidRPr="00742410">
        <w:rPr>
          <w:rFonts w:ascii="Times New Roman" w:hAnsi="Times New Roman" w:cs="Times New Roman"/>
          <w:sz w:val="24"/>
          <w:szCs w:val="24"/>
        </w:rPr>
        <w:t>ender pay gap</w:t>
      </w:r>
      <w:bookmarkEnd w:id="35"/>
    </w:p>
    <w:p w:rsidR="00561843" w:rsidRPr="00742410" w:rsidRDefault="00561843" w:rsidP="00A11D23">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Podle Českého statistického úřadu dosáhl průměrný mzdový rozdíl mezi vysokoškolsky vzdělanými muži a ženami v zaměstnanecké skupině vědečtí a odborní duševní pracovníci </w:t>
      </w:r>
      <w:r>
        <w:rPr>
          <w:rFonts w:ascii="Times New Roman" w:hAnsi="Times New Roman"/>
          <w:sz w:val="24"/>
          <w:szCs w:val="24"/>
        </w:rPr>
        <w:t>a </w:t>
      </w:r>
      <w:r w:rsidRPr="00742410">
        <w:rPr>
          <w:rFonts w:ascii="Times New Roman" w:hAnsi="Times New Roman"/>
          <w:sz w:val="24"/>
          <w:szCs w:val="24"/>
        </w:rPr>
        <w:t xml:space="preserve">pracovnice v roce 2010 hodnoty 26,53 % v neprospěch žen. Tento rozdíl je zároveň vyšší, než je průměr celé pracující populace v ČR. Tato hodnota však nezahrnuje vedoucí pracovníky/pracovnice ve vědě, jejichž platy jsou jednak vyšší a jednak mezi nimi, jak ukazují výše zmíněná data, drtivě převládají muži. Studie </w:t>
      </w:r>
      <w:r w:rsidRPr="00742410">
        <w:rPr>
          <w:rFonts w:ascii="Times New Roman" w:hAnsi="Times New Roman"/>
          <w:i/>
          <w:sz w:val="24"/>
          <w:szCs w:val="24"/>
        </w:rPr>
        <w:t xml:space="preserve">Study on the Remuneration </w:t>
      </w:r>
      <w:r w:rsidR="00342D72">
        <w:rPr>
          <w:rFonts w:ascii="Times New Roman" w:hAnsi="Times New Roman"/>
          <w:i/>
          <w:sz w:val="24"/>
          <w:szCs w:val="24"/>
        </w:rPr>
        <w:br/>
      </w:r>
      <w:r w:rsidRPr="00742410">
        <w:rPr>
          <w:rFonts w:ascii="Times New Roman" w:hAnsi="Times New Roman"/>
          <w:i/>
          <w:sz w:val="24"/>
          <w:szCs w:val="24"/>
        </w:rPr>
        <w:t>of Researches in the Public and Private Commercial Sectors</w:t>
      </w:r>
      <w:r w:rsidRPr="00742410">
        <w:rPr>
          <w:rFonts w:ascii="Times New Roman" w:hAnsi="Times New Roman"/>
          <w:sz w:val="24"/>
          <w:szCs w:val="24"/>
        </w:rPr>
        <w:t>, která prostřednictvím dotazníkového šetření v roce 2006 zjišťova</w:t>
      </w:r>
      <w:r w:rsidR="00342D72">
        <w:rPr>
          <w:rFonts w:ascii="Times New Roman" w:hAnsi="Times New Roman"/>
          <w:sz w:val="24"/>
          <w:szCs w:val="24"/>
        </w:rPr>
        <w:t xml:space="preserve">la mzdy vědců a vědkyň v EU </w:t>
      </w:r>
      <w:r w:rsidRPr="00742410">
        <w:rPr>
          <w:rFonts w:ascii="Times New Roman" w:hAnsi="Times New Roman"/>
          <w:sz w:val="24"/>
          <w:szCs w:val="24"/>
        </w:rPr>
        <w:t xml:space="preserve">a přidružených zemích, Českou republiku co do mzdového rozdílu mezi vědci a vědkyněmi řadí </w:t>
      </w:r>
      <w:r>
        <w:rPr>
          <w:rFonts w:ascii="Times New Roman" w:hAnsi="Times New Roman"/>
          <w:sz w:val="24"/>
          <w:szCs w:val="24"/>
        </w:rPr>
        <w:t>na 29. </w:t>
      </w:r>
      <w:r w:rsidRPr="00742410">
        <w:rPr>
          <w:rFonts w:ascii="Times New Roman" w:hAnsi="Times New Roman"/>
          <w:sz w:val="24"/>
          <w:szCs w:val="24"/>
        </w:rPr>
        <w:t>pozici z 32 států před posledními Portugalskem, Izraelem a Estonskem. Zjištěný mzdový rozdíl dosáhl dokonce 37 % v neprospěch českých vědkyň. Studie také ukázala, že se mzdové rozdíly mezi českými vědci a vědkyněmi s rostoucí senioritou snižují, nicméně intenzita „dohánění“ mezd vědců se spolu s dobou</w:t>
      </w:r>
      <w:r>
        <w:rPr>
          <w:rFonts w:ascii="Times New Roman" w:hAnsi="Times New Roman"/>
          <w:sz w:val="24"/>
          <w:szCs w:val="24"/>
        </w:rPr>
        <w:t xml:space="preserve"> délky vědecké praxe zpomaluje.</w:t>
      </w:r>
    </w:p>
    <w:p w:rsidR="00561843" w:rsidRPr="00742410" w:rsidRDefault="00561843" w:rsidP="00742410">
      <w:pPr>
        <w:pStyle w:val="Nadpis2"/>
        <w:numPr>
          <w:ilvl w:val="1"/>
          <w:numId w:val="6"/>
        </w:numPr>
        <w:spacing w:before="160" w:after="0" w:line="260" w:lineRule="exact"/>
        <w:ind w:left="540" w:hanging="540"/>
        <w:jc w:val="both"/>
        <w:rPr>
          <w:rFonts w:ascii="Times New Roman" w:hAnsi="Times New Roman" w:cs="Times New Roman"/>
          <w:sz w:val="24"/>
          <w:szCs w:val="24"/>
        </w:rPr>
      </w:pPr>
      <w:bookmarkStart w:id="36" w:name="_Toc361886404"/>
      <w:r>
        <w:rPr>
          <w:rFonts w:ascii="Times New Roman" w:hAnsi="Times New Roman" w:cs="Times New Roman"/>
          <w:sz w:val="24"/>
          <w:szCs w:val="24"/>
        </w:rPr>
        <w:lastRenderedPageBreak/>
        <w:t>K</w:t>
      </w:r>
      <w:r w:rsidRPr="00742410">
        <w:rPr>
          <w:rFonts w:ascii="Times New Roman" w:hAnsi="Times New Roman" w:cs="Times New Roman"/>
          <w:sz w:val="24"/>
          <w:szCs w:val="24"/>
        </w:rPr>
        <w:t>ombinace soukromého a pracovního života</w:t>
      </w:r>
      <w:bookmarkEnd w:id="36"/>
    </w:p>
    <w:p w:rsidR="00561843" w:rsidRPr="00742410" w:rsidRDefault="00561843" w:rsidP="00A11D23">
      <w:pPr>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 xml:space="preserve">Obtíže s kombinací výzkumné práce a rodinného života tvoří jednu z hlavních bariér profesního rozvoje vědkyň. Projevují se zde zejména tři faktory: 1. Nedostupnost finanční </w:t>
      </w:r>
      <w:r>
        <w:rPr>
          <w:rFonts w:ascii="Times New Roman" w:hAnsi="Times New Roman"/>
          <w:sz w:val="24"/>
          <w:szCs w:val="24"/>
        </w:rPr>
        <w:t>i </w:t>
      </w:r>
      <w:r w:rsidRPr="00742410">
        <w:rPr>
          <w:rFonts w:ascii="Times New Roman" w:hAnsi="Times New Roman"/>
          <w:sz w:val="24"/>
          <w:szCs w:val="24"/>
        </w:rPr>
        <w:t xml:space="preserve">fyzická zařízení péče o děti, zejména do věku tří let. Zatímco v roce 1990 fungovalo v ČR celkem 1043 veřejných jeslí, v roce 2000 jich bylo evidováno pouze </w:t>
      </w:r>
      <w:smartTag w:uri="urn:schemas-microsoft-com:office:smarttags" w:element="metricconverter">
        <w:smartTagPr>
          <w:attr w:name="ProductID" w:val="2005. A"/>
        </w:smartTagPr>
        <w:r w:rsidRPr="00742410">
          <w:rPr>
            <w:rFonts w:ascii="Times New Roman" w:hAnsi="Times New Roman"/>
            <w:sz w:val="24"/>
            <w:szCs w:val="24"/>
          </w:rPr>
          <w:t>67 a</w:t>
        </w:r>
      </w:smartTag>
      <w:r w:rsidRPr="00742410">
        <w:rPr>
          <w:rFonts w:ascii="Times New Roman" w:hAnsi="Times New Roman"/>
          <w:sz w:val="24"/>
          <w:szCs w:val="24"/>
        </w:rPr>
        <w:t xml:space="preserve"> do roku 2007 klesl jejich počet až na 49. Dlouhodobý trend navíc ukazuje, že ubývá i mateřských škol. </w:t>
      </w:r>
      <w:r>
        <w:rPr>
          <w:rFonts w:ascii="Times New Roman" w:hAnsi="Times New Roman"/>
          <w:sz w:val="24"/>
          <w:szCs w:val="24"/>
        </w:rPr>
        <w:t>Od </w:t>
      </w:r>
      <w:r w:rsidRPr="00742410">
        <w:rPr>
          <w:rFonts w:ascii="Times New Roman" w:hAnsi="Times New Roman"/>
          <w:sz w:val="24"/>
          <w:szCs w:val="24"/>
        </w:rPr>
        <w:t xml:space="preserve">roku 2000 do roku 2007 klesl jejich počet o 1093 na 4808. Jesle v současné době využívá pouze 0,5 % všech dětí příslušné věkové skupiny (Kuchařová et al. 2009). Počet dětí, které nejsou přijaty do mateřských škol, se v letech 2000 až 2006 zpětinásobil z důvodu nedostatku míst v mateřských školách (Hašková 2008: 51-55). V roce 2009 nebylo uspokojeno téměř 30 000 žádostí o umístění v mateřské škole (Hašková 2011: 43). </w:t>
      </w:r>
    </w:p>
    <w:p w:rsidR="00561843" w:rsidRPr="00742410" w:rsidRDefault="00561843" w:rsidP="00A11D23">
      <w:pPr>
        <w:spacing w:before="160"/>
        <w:jc w:val="both"/>
        <w:rPr>
          <w:rFonts w:ascii="Times New Roman" w:hAnsi="Times New Roman"/>
          <w:sz w:val="24"/>
          <w:szCs w:val="24"/>
        </w:rPr>
      </w:pPr>
      <w:r w:rsidRPr="00742410">
        <w:rPr>
          <w:rFonts w:ascii="Times New Roman" w:eastAsia="PalladioLOT-Roman" w:hAnsi="Times New Roman"/>
          <w:sz w:val="24"/>
          <w:szCs w:val="24"/>
        </w:rPr>
        <w:t>V roce 2008 zavedla vláda třírychlostní rodičovskou</w:t>
      </w:r>
      <w:r>
        <w:rPr>
          <w:rFonts w:ascii="Times New Roman" w:eastAsia="PalladioLOT-Roman" w:hAnsi="Times New Roman"/>
          <w:sz w:val="24"/>
          <w:szCs w:val="24"/>
        </w:rPr>
        <w:t xml:space="preserve"> dovolenou</w:t>
      </w:r>
      <w:r w:rsidRPr="00742410">
        <w:rPr>
          <w:rFonts w:ascii="Times New Roman" w:eastAsia="PalladioLOT-Roman" w:hAnsi="Times New Roman"/>
          <w:sz w:val="24"/>
          <w:szCs w:val="24"/>
        </w:rPr>
        <w:t xml:space="preserve">. </w:t>
      </w:r>
      <w:r>
        <w:rPr>
          <w:rFonts w:ascii="Times New Roman" w:hAnsi="Times New Roman"/>
          <w:sz w:val="24"/>
          <w:szCs w:val="24"/>
        </w:rPr>
        <w:t>Nedostatek veřejných a </w:t>
      </w:r>
      <w:r w:rsidRPr="00742410">
        <w:rPr>
          <w:rFonts w:ascii="Times New Roman" w:hAnsi="Times New Roman"/>
          <w:sz w:val="24"/>
          <w:szCs w:val="24"/>
        </w:rPr>
        <w:t xml:space="preserve">finančně dostupných soukromých zařízení péče o děti činí z krátké, dvouleté rodičovské </w:t>
      </w:r>
      <w:r>
        <w:rPr>
          <w:rFonts w:ascii="Times New Roman" w:hAnsi="Times New Roman"/>
          <w:sz w:val="24"/>
          <w:szCs w:val="24"/>
        </w:rPr>
        <w:t xml:space="preserve">dovolené </w:t>
      </w:r>
      <w:r w:rsidRPr="00742410">
        <w:rPr>
          <w:rFonts w:ascii="Times New Roman" w:hAnsi="Times New Roman"/>
          <w:sz w:val="24"/>
          <w:szCs w:val="24"/>
        </w:rPr>
        <w:t xml:space="preserve">často jen hypotetickou možnost. Nastavení rodičovské má navíc negativní dopad </w:t>
      </w:r>
      <w:r w:rsidR="00342D72">
        <w:rPr>
          <w:rFonts w:ascii="Times New Roman" w:hAnsi="Times New Roman"/>
          <w:sz w:val="24"/>
          <w:szCs w:val="24"/>
        </w:rPr>
        <w:br/>
      </w:r>
      <w:r w:rsidRPr="00742410">
        <w:rPr>
          <w:rFonts w:ascii="Times New Roman" w:hAnsi="Times New Roman"/>
          <w:sz w:val="24"/>
          <w:szCs w:val="24"/>
        </w:rPr>
        <w:t>na doktorandky, pokud nemají zaměstnání a jsou vedeny pouze jako studentky. V tomto případě totiž ženy nemají volbu a jsou nuceny si zvolit pouze nejdelší čtyřletou rodičovskou.</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V současné době dochází k zásadním proměnám akademického trhu práce. Za prvé, roste účelové financování oproti institucionálnímu (další nárůst účelového financování jako podílu financování osobních nákladů předpokládá i Národní politika výzkumu, vývoje a inovací 2009–2015) a s tím roste počet krátkodobých pracovních smluv. Dochází tak k silné prekarizaci akademického trhu práce. V případě, že pracovní smlouva v průběhu rodičovské dovolené</w:t>
      </w:r>
      <w:r w:rsidR="00342D72">
        <w:rPr>
          <w:rFonts w:ascii="Times New Roman" w:hAnsi="Times New Roman"/>
          <w:sz w:val="24"/>
          <w:szCs w:val="24"/>
        </w:rPr>
        <w:t xml:space="preserve"> uplyne</w:t>
      </w:r>
      <w:r w:rsidRPr="00742410">
        <w:rPr>
          <w:rFonts w:ascii="Times New Roman" w:hAnsi="Times New Roman"/>
          <w:sz w:val="24"/>
          <w:szCs w:val="24"/>
        </w:rPr>
        <w:t xml:space="preserve">, není zaměstnankyně nijakým způsobem chráněna. Zejména začínající vědkyně, které se stanou matkou, se tak na akademickém trhu práce nacházejí ve velice nejisté pozici. Za druhé, roste tlak na hodnocení vědeckého výkonu, přičemž institucionální systémy hodnocení prakticky neberou v potaz kariérní přestávky z důvodu rodičovství. Vědkyně-matky jsou tak systematicky znevýhodněny v hodnocení svého vědeckého výkonu. Za třetí, roste tlak na mezinárodní akademickou mobilitu, zejména v přírodních vědách </w:t>
      </w:r>
      <w:r>
        <w:rPr>
          <w:rFonts w:ascii="Times New Roman" w:hAnsi="Times New Roman"/>
          <w:sz w:val="24"/>
          <w:szCs w:val="24"/>
        </w:rPr>
        <w:t>v </w:t>
      </w:r>
      <w:r w:rsidRPr="00742410">
        <w:rPr>
          <w:rFonts w:ascii="Times New Roman" w:hAnsi="Times New Roman"/>
          <w:sz w:val="24"/>
          <w:szCs w:val="24"/>
        </w:rPr>
        <w:t>postdoktorské fázi, kdy rostoucí počet institucí zavádí pravidla, kdy osoby, které ukončí svá doktorská studia, musí danou instituci opustit. Toto postdoktorské období koinciduje s reprodukčními roky, a činí tak nárok na mobilitu obtížně splni</w:t>
      </w:r>
      <w:r>
        <w:rPr>
          <w:rFonts w:ascii="Times New Roman" w:hAnsi="Times New Roman"/>
          <w:sz w:val="24"/>
          <w:szCs w:val="24"/>
        </w:rPr>
        <w:t>telný pro vědkyně a vědce, kteří</w:t>
      </w:r>
      <w:r w:rsidRPr="00742410">
        <w:rPr>
          <w:rFonts w:ascii="Times New Roman" w:hAnsi="Times New Roman"/>
          <w:sz w:val="24"/>
          <w:szCs w:val="24"/>
        </w:rPr>
        <w:t xml:space="preserve"> plánují rodičovství. Přes důraz, který evropské vědní politiky kladou na geografickou mobilitu začínajících vědců a vědkyň, zde prakticky neexistují podpůrná opatření týkající se mobility akademických párů s dětmi. Tato problematika je v případě vědkyň o to palčivější, že vědkyně mají větší tendenci než muži </w:t>
      </w:r>
      <w:r>
        <w:rPr>
          <w:rFonts w:ascii="Times New Roman" w:hAnsi="Times New Roman"/>
          <w:sz w:val="24"/>
          <w:szCs w:val="24"/>
        </w:rPr>
        <w:t>vykazovat tzv. manželskou homogamii, tj. </w:t>
      </w:r>
      <w:r w:rsidRPr="00742410">
        <w:rPr>
          <w:rFonts w:ascii="Times New Roman" w:hAnsi="Times New Roman"/>
          <w:sz w:val="24"/>
          <w:szCs w:val="24"/>
        </w:rPr>
        <w:t xml:space="preserve">je mnohem větší procento vědkyň v partnerství s vědcem, než kolik </w:t>
      </w:r>
      <w:r>
        <w:rPr>
          <w:rFonts w:ascii="Times New Roman" w:hAnsi="Times New Roman"/>
          <w:sz w:val="24"/>
          <w:szCs w:val="24"/>
        </w:rPr>
        <w:t xml:space="preserve">procent </w:t>
      </w:r>
      <w:r w:rsidRPr="00742410">
        <w:rPr>
          <w:rFonts w:ascii="Times New Roman" w:hAnsi="Times New Roman"/>
          <w:sz w:val="24"/>
          <w:szCs w:val="24"/>
        </w:rPr>
        <w:t>vědců</w:t>
      </w:r>
      <w:r>
        <w:rPr>
          <w:rFonts w:ascii="Times New Roman" w:hAnsi="Times New Roman"/>
          <w:sz w:val="24"/>
          <w:szCs w:val="24"/>
        </w:rPr>
        <w:t xml:space="preserve"> je</w:t>
      </w:r>
      <w:r w:rsidRPr="00742410">
        <w:rPr>
          <w:rFonts w:ascii="Times New Roman" w:hAnsi="Times New Roman"/>
          <w:sz w:val="24"/>
          <w:szCs w:val="24"/>
        </w:rPr>
        <w:t xml:space="preserve"> v partnerství s vědkyní. Tento typ akademických partnerství přináší další obtíže spojené s nutností vyhledávat vhodné stáže pro dva partnery, v případě rodičovství též v souvislosti se zabezpečením péče o dítě.</w:t>
      </w:r>
      <w:r>
        <w:rPr>
          <w:rFonts w:ascii="Times New Roman" w:hAnsi="Times New Roman"/>
          <w:sz w:val="24"/>
          <w:szCs w:val="24"/>
        </w:rPr>
        <w:t xml:space="preserve"> Ačkoli se v partnerství vědce a vědkyně týká problém nalezení stáže pro dva celého páru, při srovnání skupiny vědců a skupiny vědkyň čelí této komplikaci větší procento ze skupiny žen vědkyň.</w:t>
      </w:r>
    </w:p>
    <w:p w:rsidR="00561843" w:rsidRPr="00742410" w:rsidRDefault="00561843" w:rsidP="00A11D23">
      <w:pPr>
        <w:pStyle w:val="Nadpis2"/>
        <w:numPr>
          <w:ilvl w:val="1"/>
          <w:numId w:val="6"/>
        </w:numPr>
        <w:spacing w:before="160" w:after="0" w:line="276" w:lineRule="auto"/>
        <w:ind w:left="540" w:hanging="540"/>
        <w:jc w:val="both"/>
        <w:rPr>
          <w:rFonts w:ascii="Times New Roman" w:hAnsi="Times New Roman" w:cs="Times New Roman"/>
          <w:sz w:val="24"/>
          <w:szCs w:val="24"/>
        </w:rPr>
      </w:pPr>
      <w:bookmarkStart w:id="37" w:name="_Toc361886405"/>
      <w:r>
        <w:rPr>
          <w:rFonts w:ascii="Times New Roman" w:hAnsi="Times New Roman" w:cs="Times New Roman"/>
          <w:sz w:val="24"/>
          <w:szCs w:val="24"/>
        </w:rPr>
        <w:lastRenderedPageBreak/>
        <w:t>G</w:t>
      </w:r>
      <w:r w:rsidRPr="00742410">
        <w:rPr>
          <w:rFonts w:ascii="Times New Roman" w:hAnsi="Times New Roman" w:cs="Times New Roman"/>
          <w:sz w:val="24"/>
          <w:szCs w:val="24"/>
        </w:rPr>
        <w:t>enderová dimenze produkce znalosti</w:t>
      </w:r>
      <w:bookmarkEnd w:id="37"/>
    </w:p>
    <w:p w:rsidR="00561843" w:rsidRPr="00742410" w:rsidRDefault="00561843" w:rsidP="00A11D23">
      <w:pPr>
        <w:widowControl w:val="0"/>
        <w:autoSpaceDE w:val="0"/>
        <w:autoSpaceDN w:val="0"/>
        <w:adjustRightInd w:val="0"/>
        <w:spacing w:before="160"/>
        <w:jc w:val="both"/>
        <w:rPr>
          <w:rFonts w:ascii="Times New Roman" w:hAnsi="Times New Roman"/>
          <w:sz w:val="24"/>
          <w:szCs w:val="24"/>
        </w:rPr>
      </w:pPr>
      <w:r w:rsidRPr="00742410">
        <w:rPr>
          <w:rFonts w:ascii="Times New Roman" w:hAnsi="Times New Roman"/>
          <w:sz w:val="24"/>
          <w:szCs w:val="24"/>
        </w:rPr>
        <w:t>Evropská vědní politika kromě oblasti rozvoje profesního uplatnění žen ve výzkum a vývoji klade důraz i na oblast genderové dimenze v produkci znalosti. Pozornost, kterou Evropská komise tvorbě znalosti věnuje, vychází z vědeckých poznatků, které prokazují vysoce negativní dopady genderově slepého vědeckého bádání. Evropská komise uznává, že zahrnutí genderové dimenze do tvorby znalosti vede k odpovědnější vědě, k posílení vědecké excelence a zároveň k tvorbě nových výzkumných i inovačních příležitostí (Evropská komise 2012b). Tato oblast není v České republice žádným způsobem reflektována. Poskytovatelé nevyžadují zahrnutí genderové dimenze či zhodnocení dopadu genderu na výzkumný projekt v žádostech o financování. Zároveň není v České republice systematicky podporován genderový výzkum obecně, ani specificky genderový výzkum týkající se oblasti výzkumu, vývoje a inovací.</w:t>
      </w:r>
    </w:p>
    <w:p w:rsidR="00561843" w:rsidRPr="00742410" w:rsidRDefault="00561843" w:rsidP="00742410">
      <w:pPr>
        <w:pStyle w:val="Nadpis1"/>
        <w:numPr>
          <w:ilvl w:val="0"/>
          <w:numId w:val="6"/>
        </w:numPr>
        <w:tabs>
          <w:tab w:val="clear" w:pos="720"/>
          <w:tab w:val="num" w:pos="360"/>
        </w:tabs>
        <w:spacing w:before="160" w:after="0" w:line="260" w:lineRule="exact"/>
        <w:ind w:hanging="720"/>
        <w:jc w:val="both"/>
        <w:rPr>
          <w:rFonts w:ascii="Times New Roman" w:hAnsi="Times New Roman" w:cs="Times New Roman"/>
          <w:sz w:val="24"/>
          <w:szCs w:val="24"/>
        </w:rPr>
      </w:pPr>
      <w:bookmarkStart w:id="38" w:name="_Toc361886406"/>
      <w:r w:rsidRPr="00742410">
        <w:rPr>
          <w:rFonts w:ascii="Times New Roman" w:hAnsi="Times New Roman" w:cs="Times New Roman"/>
          <w:sz w:val="24"/>
          <w:szCs w:val="24"/>
        </w:rPr>
        <w:t>ZÁVĚR</w:t>
      </w:r>
      <w:bookmarkEnd w:id="38"/>
      <w:r w:rsidRPr="00742410">
        <w:rPr>
          <w:rFonts w:ascii="Times New Roman" w:hAnsi="Times New Roman" w:cs="Times New Roman"/>
          <w:sz w:val="24"/>
          <w:szCs w:val="24"/>
        </w:rPr>
        <w:t xml:space="preserve">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Vzdělávací systém, systém vědy a výzkumu i systém sportu jsou značně genderově zatíženy. Ve studii byly ukázány jednotlivé aspekty, které je třeba brát v potaz při přípravě politiky genderové rovnosti. Z přehledu je patrné, že jednotlivé oblasti jsou v úzkých vzájemných vztazích. Podpora genderové rovnosti by proto měla probíhat systematicky a koordinovaně </w:t>
      </w:r>
      <w:r>
        <w:rPr>
          <w:rFonts w:ascii="Times New Roman" w:hAnsi="Times New Roman"/>
          <w:sz w:val="24"/>
          <w:szCs w:val="24"/>
        </w:rPr>
        <w:t>ve </w:t>
      </w:r>
      <w:r w:rsidRPr="00742410">
        <w:rPr>
          <w:rFonts w:ascii="Times New Roman" w:hAnsi="Times New Roman"/>
          <w:sz w:val="24"/>
          <w:szCs w:val="24"/>
        </w:rPr>
        <w:t>všech uvedených oblastech. Pokud je naopak pozornost věnována pouze dílčím tématům bez zohlednění kontextu, vyvolané změny nejsou dostatečně hluboké a dlouhodobé. V takovém případě naopak často může nastat zhoršení výchozího stavu, neboť v systému, který si zachovává původní genderově nerovná východiska, dojde k příliš silné protikladné reakci.</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Studie vyzdvihla hlavní oblasti, které by měly být zvažovány při přípravě politiky genderové rovnosti v gesci MŠMT, kterými jsou zejména: zastoupení dívek/žen a chlapců/mužů mezi studujícími různých stupňů a oborů škol, zohlednění genderové problematiky v kurikulu </w:t>
      </w:r>
      <w:r>
        <w:rPr>
          <w:rFonts w:ascii="Times New Roman" w:hAnsi="Times New Roman"/>
          <w:sz w:val="24"/>
          <w:szCs w:val="24"/>
        </w:rPr>
        <w:t>a ve </w:t>
      </w:r>
      <w:r w:rsidRPr="00742410">
        <w:rPr>
          <w:rFonts w:ascii="Times New Roman" w:hAnsi="Times New Roman"/>
          <w:sz w:val="24"/>
          <w:szCs w:val="24"/>
        </w:rPr>
        <w:t xml:space="preserve">vyučovacích metodách, zastoupení mužů a žen v učitelství, vzdělávání a metodická podpora vyučujících. Tyto oblasti by měly být zahrnuty do dlouhodobého strategického dokumentu MŠMT v oblasti genderové rovnosti – tzv. Dlouhodobá koncepce podpory genderové rovnosti. Podle závazků v materiálu „Priority a postupy MŠMT při prosazování rovných příležitostí mužů a žen“ by měla být uvedená koncepce přijata v průběhu roku 2013. </w:t>
      </w:r>
    </w:p>
    <w:p w:rsidR="00561843" w:rsidRPr="00742410" w:rsidRDefault="00561843" w:rsidP="00A11D23">
      <w:pPr>
        <w:spacing w:before="160"/>
        <w:jc w:val="both"/>
        <w:rPr>
          <w:rFonts w:ascii="Times New Roman" w:hAnsi="Times New Roman"/>
          <w:sz w:val="24"/>
          <w:szCs w:val="24"/>
        </w:rPr>
      </w:pPr>
      <w:r w:rsidRPr="00742410">
        <w:rPr>
          <w:rFonts w:ascii="Times New Roman" w:hAnsi="Times New Roman"/>
          <w:sz w:val="24"/>
          <w:szCs w:val="24"/>
        </w:rPr>
        <w:t xml:space="preserve">Studie zároveň identifikovala informace, které jsou v jednotlivých oblastech dostupné, </w:t>
      </w:r>
      <w:r>
        <w:rPr>
          <w:rFonts w:ascii="Times New Roman" w:hAnsi="Times New Roman"/>
          <w:sz w:val="24"/>
          <w:szCs w:val="24"/>
        </w:rPr>
        <w:t>a to </w:t>
      </w:r>
      <w:r w:rsidRPr="00742410">
        <w:rPr>
          <w:rFonts w:ascii="Times New Roman" w:hAnsi="Times New Roman"/>
          <w:sz w:val="24"/>
          <w:szCs w:val="24"/>
        </w:rPr>
        <w:t xml:space="preserve">jak v ČR, tak v mezinárodním srovnání. Absence informací o stavu v určité oblasti brání formulování dlouhodobé koncepce genderové rovnosti v resortu MŠMT i přípravě efektivních dílčích politických opatření. Tam, kde nejsou dostatečně podrobné údaje k dispozici, je třeba provést výzkumná šetření, případně informace získat od institucí, které jimi disponují, avšak nezveřejňují je. Informační saturace všech oblastí, které by měly být zastoupeny v dlouhodobé koncepci, musí proběhnout co nejdříve. </w:t>
      </w:r>
    </w:p>
    <w:p w:rsidR="00561843" w:rsidRPr="00742410" w:rsidRDefault="00561843" w:rsidP="00742410">
      <w:pPr>
        <w:spacing w:before="160" w:line="260" w:lineRule="exact"/>
        <w:jc w:val="both"/>
        <w:rPr>
          <w:rFonts w:ascii="Times New Roman" w:hAnsi="Times New Roman"/>
          <w:sz w:val="24"/>
          <w:szCs w:val="24"/>
        </w:rPr>
      </w:pPr>
    </w:p>
    <w:p w:rsidR="00561843" w:rsidRPr="002753B1" w:rsidRDefault="00561843" w:rsidP="002753B1">
      <w:pPr>
        <w:pStyle w:val="Bezmezer"/>
        <w:jc w:val="both"/>
        <w:rPr>
          <w:rFonts w:ascii="Times New Roman" w:hAnsi="Times New Roman"/>
          <w:b/>
          <w:sz w:val="24"/>
          <w:szCs w:val="24"/>
        </w:rPr>
      </w:pPr>
      <w:r w:rsidRPr="002753B1">
        <w:rPr>
          <w:rFonts w:ascii="Times New Roman" w:hAnsi="Times New Roman"/>
          <w:b/>
          <w:sz w:val="24"/>
          <w:szCs w:val="24"/>
        </w:rPr>
        <w:t xml:space="preserve">POUŽITÁ LITERATURA </w:t>
      </w:r>
    </w:p>
    <w:p w:rsidR="00561843" w:rsidRPr="002753B1" w:rsidRDefault="00561843" w:rsidP="002753B1">
      <w:pPr>
        <w:pStyle w:val="Bezmezer"/>
        <w:jc w:val="both"/>
        <w:rPr>
          <w:rFonts w:ascii="Times New Roman" w:hAnsi="Times New Roman"/>
          <w:sz w:val="24"/>
          <w:szCs w:val="24"/>
        </w:rPr>
      </w:pP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lastRenderedPageBreak/>
        <w:t xml:space="preserve">ČSÚ. 2012. </w:t>
      </w:r>
      <w:r w:rsidRPr="002753B1">
        <w:rPr>
          <w:rFonts w:ascii="Times New Roman" w:hAnsi="Times New Roman"/>
          <w:i/>
          <w:sz w:val="24"/>
          <w:szCs w:val="24"/>
        </w:rPr>
        <w:t>Zaostřeno na ženy a muže 2012</w:t>
      </w:r>
      <w:r w:rsidRPr="002753B1">
        <w:rPr>
          <w:rFonts w:ascii="Times New Roman" w:hAnsi="Times New Roman"/>
          <w:sz w:val="24"/>
          <w:szCs w:val="24"/>
        </w:rPr>
        <w:t>. Český statistický úřad.</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EURYDICE. 2011.</w:t>
      </w:r>
      <w:r w:rsidRPr="002753B1">
        <w:rPr>
          <w:rFonts w:ascii="Times New Roman" w:hAnsi="Times New Roman"/>
          <w:i/>
          <w:sz w:val="24"/>
          <w:szCs w:val="24"/>
        </w:rPr>
        <w:t xml:space="preserve"> Genderové rozdíly ve výsledcích vzdělávání: Opatření a situace v Evropě.</w:t>
      </w:r>
      <w:r w:rsidRPr="002753B1">
        <w:rPr>
          <w:rFonts w:ascii="Times New Roman" w:hAnsi="Times New Roman"/>
          <w:sz w:val="24"/>
          <w:szCs w:val="24"/>
        </w:rPr>
        <w:t xml:space="preserve"> Praha: Ústav pro informace ve vzdělávání.</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Evropská komise. 2012a. </w:t>
      </w:r>
      <w:r w:rsidRPr="002753B1">
        <w:rPr>
          <w:rFonts w:ascii="Times New Roman" w:hAnsi="Times New Roman"/>
          <w:bCs/>
          <w:sz w:val="24"/>
          <w:szCs w:val="24"/>
        </w:rPr>
        <w:t xml:space="preserve">COMMUNICATION FROM THE COMMISSION TO THE EUROPEAN PARLIAMENT, THE COUNCIL, THE EUROPEAN ECONOMIC AND SOCIAL COMMITTEE AND THE COMMITTEE OF THE REGIONS. A Reinforced European Research Area Partnership for Excellence and Growth. </w:t>
      </w:r>
      <w:r w:rsidRPr="002753B1">
        <w:rPr>
          <w:rFonts w:ascii="Times New Roman" w:hAnsi="Times New Roman"/>
          <w:sz w:val="24"/>
          <w:szCs w:val="24"/>
        </w:rPr>
        <w:t>COM(2012) 392 final</w:t>
      </w:r>
      <w:r w:rsidR="008C6A0F">
        <w:rPr>
          <w:rFonts w:ascii="Times New Roman" w:hAnsi="Times New Roman"/>
          <w:sz w:val="24"/>
          <w:szCs w:val="24"/>
        </w:rPr>
        <w:br/>
        <w:t xml:space="preserve">z 17. </w:t>
      </w:r>
      <w:r w:rsidRPr="002753B1">
        <w:rPr>
          <w:rFonts w:ascii="Times New Roman" w:hAnsi="Times New Roman"/>
          <w:sz w:val="24"/>
          <w:szCs w:val="24"/>
        </w:rPr>
        <w:t xml:space="preserve">7. 2012. Dostupné na http://ec.europa.eu/euraxess/pdf/research_policies/era-communication_en.pdf. </w:t>
      </w:r>
    </w:p>
    <w:p w:rsidR="00561843" w:rsidRPr="002753B1" w:rsidRDefault="00561843" w:rsidP="002753B1">
      <w:pPr>
        <w:pStyle w:val="Bezmezer"/>
        <w:jc w:val="both"/>
        <w:rPr>
          <w:rFonts w:ascii="Times New Roman" w:hAnsi="Times New Roman"/>
          <w:i/>
          <w:sz w:val="24"/>
          <w:szCs w:val="24"/>
        </w:rPr>
      </w:pPr>
      <w:r w:rsidRPr="002753B1">
        <w:rPr>
          <w:rFonts w:ascii="Times New Roman" w:hAnsi="Times New Roman"/>
          <w:sz w:val="24"/>
          <w:szCs w:val="24"/>
        </w:rPr>
        <w:t xml:space="preserve">Evropská komise. 2012b. </w:t>
      </w:r>
      <w:r w:rsidRPr="002753B1">
        <w:rPr>
          <w:rFonts w:ascii="Times New Roman" w:hAnsi="Times New Roman"/>
          <w:i/>
          <w:sz w:val="24"/>
          <w:szCs w:val="24"/>
        </w:rPr>
        <w:t xml:space="preserve">Structural change in research institutions:  Enhancing excellence, </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i/>
          <w:sz w:val="24"/>
          <w:szCs w:val="24"/>
        </w:rPr>
        <w:t>gender equality and  efficiency in research and innovation</w:t>
      </w:r>
      <w:r w:rsidRPr="002753B1">
        <w:rPr>
          <w:rFonts w:ascii="Times New Roman" w:hAnsi="Times New Roman"/>
          <w:sz w:val="24"/>
          <w:szCs w:val="24"/>
        </w:rPr>
        <w:t>. Luxembourg: Publications Office of the European Union.</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i/>
          <w:sz w:val="24"/>
          <w:szCs w:val="24"/>
        </w:rPr>
        <w:t>Genderová ročenka školství</w:t>
      </w:r>
      <w:r w:rsidRPr="002753B1">
        <w:rPr>
          <w:rFonts w:ascii="Times New Roman" w:hAnsi="Times New Roman"/>
          <w:sz w:val="24"/>
          <w:szCs w:val="24"/>
        </w:rPr>
        <w:t>. Praha: ÚIV, 2009.</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i/>
          <w:sz w:val="24"/>
          <w:szCs w:val="24"/>
        </w:rPr>
        <w:t>Gender Differences in Educational Outcomes: Study on the Measures Taken and the Current Situation in Europe.</w:t>
      </w:r>
      <w:r w:rsidRPr="002753B1">
        <w:rPr>
          <w:rFonts w:ascii="Times New Roman" w:hAnsi="Times New Roman"/>
          <w:sz w:val="24"/>
          <w:szCs w:val="24"/>
        </w:rPr>
        <w:t xml:space="preserve"> Eurydice, 2010.</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Gobyová, Jana. 1994. </w:t>
      </w:r>
      <w:r w:rsidRPr="002753B1">
        <w:rPr>
          <w:rFonts w:ascii="Times New Roman" w:hAnsi="Times New Roman"/>
          <w:i/>
          <w:sz w:val="24"/>
          <w:szCs w:val="24"/>
        </w:rPr>
        <w:t xml:space="preserve">Feminizace ve školství. </w:t>
      </w:r>
      <w:r w:rsidRPr="002753B1">
        <w:rPr>
          <w:rFonts w:ascii="Times New Roman" w:hAnsi="Times New Roman"/>
          <w:sz w:val="24"/>
          <w:szCs w:val="24"/>
        </w:rPr>
        <w:t>Praha: ÚIV.</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Hašková, Hana. 2008. Kam směřuje česká společnost v oblasti denní péče o předškolní děti?. Pp. 51</w:t>
      </w:r>
      <w:r w:rsidRPr="002753B1">
        <w:rPr>
          <w:rFonts w:ascii="Times New Roman" w:eastAsia="PalladioLOT-Italic" w:hAnsi="Times New Roman"/>
          <w:sz w:val="24"/>
          <w:szCs w:val="24"/>
        </w:rPr>
        <w:t>–</w:t>
      </w:r>
      <w:r w:rsidRPr="002753B1">
        <w:rPr>
          <w:rFonts w:ascii="Times New Roman" w:hAnsi="Times New Roman"/>
          <w:sz w:val="24"/>
          <w:szCs w:val="24"/>
        </w:rPr>
        <w:t xml:space="preserve">70 in Alena Křížková, Radka Dudová, Hana Hašková, Hana Maříková, Zuzana Uhde (eds.). </w:t>
      </w:r>
      <w:r w:rsidRPr="002753B1">
        <w:rPr>
          <w:rFonts w:ascii="Times New Roman" w:hAnsi="Times New Roman"/>
          <w:i/>
          <w:sz w:val="24"/>
          <w:szCs w:val="24"/>
        </w:rPr>
        <w:t>Práce a péče</w:t>
      </w:r>
      <w:r w:rsidRPr="002753B1">
        <w:rPr>
          <w:rFonts w:ascii="Times New Roman" w:hAnsi="Times New Roman"/>
          <w:sz w:val="24"/>
          <w:szCs w:val="24"/>
        </w:rPr>
        <w:t xml:space="preserve">. Praha: Sociologické nakladatelství. </w:t>
      </w:r>
    </w:p>
    <w:p w:rsidR="00561843" w:rsidRPr="002753B1" w:rsidRDefault="00561843" w:rsidP="002753B1">
      <w:pPr>
        <w:pStyle w:val="Bezmezer"/>
        <w:jc w:val="both"/>
        <w:rPr>
          <w:rFonts w:ascii="Times New Roman" w:hAnsi="Times New Roman"/>
          <w:bCs/>
          <w:sz w:val="24"/>
          <w:szCs w:val="24"/>
        </w:rPr>
      </w:pPr>
      <w:r w:rsidRPr="002753B1">
        <w:rPr>
          <w:rFonts w:ascii="Times New Roman" w:hAnsi="Times New Roman"/>
          <w:sz w:val="24"/>
          <w:szCs w:val="24"/>
        </w:rPr>
        <w:t>Hašková, Hana. 2011. „</w:t>
      </w:r>
      <w:r w:rsidRPr="002753B1">
        <w:rPr>
          <w:rFonts w:ascii="Times New Roman" w:hAnsi="Times New Roman"/>
          <w:bCs/>
          <w:sz w:val="24"/>
          <w:szCs w:val="24"/>
        </w:rPr>
        <w:t xml:space="preserve">Proměny časování a způsobu návratu matek do zaměstnání“. </w:t>
      </w:r>
      <w:r w:rsidRPr="002753B1">
        <w:rPr>
          <w:rFonts w:ascii="Times New Roman" w:hAnsi="Times New Roman"/>
          <w:bCs/>
          <w:i/>
          <w:sz w:val="24"/>
          <w:szCs w:val="24"/>
        </w:rPr>
        <w:t xml:space="preserve">Gender, rovné příležitosti, výzkum </w:t>
      </w:r>
      <w:r w:rsidRPr="002753B1">
        <w:rPr>
          <w:rFonts w:ascii="Times New Roman" w:hAnsi="Times New Roman"/>
          <w:bCs/>
          <w:sz w:val="24"/>
          <w:szCs w:val="24"/>
        </w:rPr>
        <w:t>12 (2): 40-52.</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Holter, O. G., Svaer, H., Egeland, C. 2009. </w:t>
      </w:r>
      <w:r w:rsidRPr="002753B1">
        <w:rPr>
          <w:rFonts w:ascii="Times New Roman" w:hAnsi="Times New Roman"/>
          <w:i/>
          <w:sz w:val="24"/>
          <w:szCs w:val="24"/>
        </w:rPr>
        <w:t xml:space="preserve">Gender Equality and Quality of Life – A Nordic Perspective. </w:t>
      </w:r>
      <w:r w:rsidRPr="002753B1">
        <w:rPr>
          <w:rFonts w:ascii="Times New Roman" w:hAnsi="Times New Roman"/>
          <w:sz w:val="24"/>
          <w:szCs w:val="24"/>
        </w:rPr>
        <w:t xml:space="preserve">Oslo: Nordic Gender Institute. </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Hyde, J. S. 2005. The Gender Similarities Hypothesis. </w:t>
      </w:r>
      <w:r w:rsidRPr="002753B1">
        <w:rPr>
          <w:rFonts w:ascii="Times New Roman" w:hAnsi="Times New Roman"/>
          <w:i/>
          <w:sz w:val="24"/>
          <w:szCs w:val="24"/>
        </w:rPr>
        <w:t>American Psychologist,</w:t>
      </w:r>
      <w:r w:rsidRPr="002753B1">
        <w:rPr>
          <w:rFonts w:ascii="Times New Roman" w:hAnsi="Times New Roman"/>
          <w:sz w:val="24"/>
          <w:szCs w:val="24"/>
        </w:rPr>
        <w:t xml:space="preserve"> 60 (6), 581–592.</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Ivan Gabal Analysis &amp; Consulting. </w:t>
      </w:r>
      <w:r w:rsidRPr="002753B1">
        <w:rPr>
          <w:rFonts w:ascii="Times New Roman" w:hAnsi="Times New Roman"/>
          <w:i/>
          <w:sz w:val="24"/>
          <w:szCs w:val="24"/>
        </w:rPr>
        <w:t xml:space="preserve">Sociologický výzkum zaměřený na analýzu podoby a příčin segregace dětí, žákyň, žáků a mladých lidí ze sociokulturně znevýhodňujícího prostředí. Praha, 2009., Výzkum na téma "Klíčové faktory ovlivňující inkluzi dětí a mládeže se </w:t>
      </w:r>
      <w:r w:rsidRPr="00F032B9">
        <w:rPr>
          <w:rFonts w:ascii="Times New Roman" w:hAnsi="Times New Roman"/>
          <w:sz w:val="24"/>
          <w:szCs w:val="24"/>
        </w:rPr>
        <w:t>specifickými vzdělávacími potřebami do zájmového a neformálního vzdělávání".</w:t>
      </w:r>
      <w:r w:rsidRPr="002753B1">
        <w:rPr>
          <w:rFonts w:ascii="Times New Roman" w:hAnsi="Times New Roman"/>
          <w:sz w:val="24"/>
          <w:szCs w:val="24"/>
        </w:rPr>
        <w:t xml:space="preserve"> Praha, 2009. </w:t>
      </w:r>
    </w:p>
    <w:p w:rsidR="00561843" w:rsidRDefault="00561843" w:rsidP="00262185">
      <w:pPr>
        <w:pStyle w:val="Bezmezer"/>
        <w:jc w:val="both"/>
        <w:rPr>
          <w:rFonts w:ascii="Times New Roman" w:hAnsi="Times New Roman"/>
          <w:sz w:val="24"/>
          <w:szCs w:val="24"/>
        </w:rPr>
      </w:pPr>
      <w:r w:rsidRPr="00262185">
        <w:rPr>
          <w:rFonts w:ascii="Times New Roman" w:hAnsi="Times New Roman"/>
          <w:sz w:val="24"/>
          <w:szCs w:val="24"/>
        </w:rPr>
        <w:t>Jarkovská, Lucie. 2012</w:t>
      </w:r>
      <w:r>
        <w:rPr>
          <w:rFonts w:ascii="Times New Roman" w:hAnsi="Times New Roman"/>
          <w:sz w:val="24"/>
          <w:szCs w:val="24"/>
        </w:rPr>
        <w:t>a</w:t>
      </w:r>
      <w:r w:rsidRPr="00262185">
        <w:rPr>
          <w:rFonts w:ascii="Times New Roman" w:hAnsi="Times New Roman"/>
          <w:sz w:val="24"/>
          <w:szCs w:val="24"/>
        </w:rPr>
        <w:t xml:space="preserve">. </w:t>
      </w:r>
      <w:r w:rsidRPr="00F032B9">
        <w:rPr>
          <w:rFonts w:ascii="Times New Roman" w:hAnsi="Times New Roman"/>
          <w:i/>
          <w:sz w:val="24"/>
          <w:szCs w:val="24"/>
        </w:rPr>
        <w:t>Gender před tabulí. Etnografický výzkum genderové reprodukce v každodennosti školní třídy.</w:t>
      </w:r>
      <w:r w:rsidRPr="00262185">
        <w:rPr>
          <w:rFonts w:ascii="Times New Roman" w:hAnsi="Times New Roman"/>
          <w:sz w:val="24"/>
          <w:szCs w:val="24"/>
        </w:rPr>
        <w:t xml:space="preserve"> Praha: Slon.</w:t>
      </w:r>
    </w:p>
    <w:p w:rsidR="00561843" w:rsidRPr="00F032B9" w:rsidRDefault="00561843" w:rsidP="00F032B9">
      <w:pPr>
        <w:pStyle w:val="Bezmezer"/>
        <w:jc w:val="both"/>
        <w:rPr>
          <w:rFonts w:ascii="Times New Roman" w:hAnsi="Times New Roman"/>
          <w:sz w:val="24"/>
          <w:szCs w:val="24"/>
        </w:rPr>
      </w:pPr>
      <w:r w:rsidRPr="00262185">
        <w:rPr>
          <w:rFonts w:ascii="Times New Roman" w:hAnsi="Times New Roman"/>
          <w:sz w:val="24"/>
          <w:szCs w:val="24"/>
        </w:rPr>
        <w:t>Jarkovská, Lucie. 2012</w:t>
      </w:r>
      <w:r>
        <w:rPr>
          <w:rFonts w:ascii="Times New Roman" w:hAnsi="Times New Roman"/>
          <w:sz w:val="24"/>
          <w:szCs w:val="24"/>
        </w:rPr>
        <w:t>b</w:t>
      </w:r>
      <w:r w:rsidRPr="00262185">
        <w:rPr>
          <w:rFonts w:ascii="Times New Roman" w:hAnsi="Times New Roman"/>
          <w:sz w:val="24"/>
          <w:szCs w:val="24"/>
        </w:rPr>
        <w:t>. „O dívkách či pro dívky? aneb Sexuální výchova a gende</w:t>
      </w:r>
      <w:r>
        <w:rPr>
          <w:rFonts w:ascii="Times New Roman" w:hAnsi="Times New Roman"/>
          <w:sz w:val="24"/>
          <w:szCs w:val="24"/>
        </w:rPr>
        <w:t xml:space="preserve">r“ </w:t>
      </w:r>
      <w:r w:rsidR="008C6A0F">
        <w:rPr>
          <w:rFonts w:ascii="Times New Roman" w:hAnsi="Times New Roman"/>
          <w:sz w:val="24"/>
          <w:szCs w:val="24"/>
        </w:rPr>
        <w:br/>
      </w:r>
      <w:r>
        <w:rPr>
          <w:rFonts w:ascii="Times New Roman" w:hAnsi="Times New Roman"/>
          <w:sz w:val="24"/>
          <w:szCs w:val="24"/>
        </w:rPr>
        <w:t xml:space="preserve">In: </w:t>
      </w:r>
      <w:r w:rsidRPr="00F032B9">
        <w:rPr>
          <w:rFonts w:ascii="Times New Roman" w:hAnsi="Times New Roman"/>
          <w:i/>
          <w:sz w:val="24"/>
          <w:szCs w:val="24"/>
        </w:rPr>
        <w:t>Sborník z Celostátního kongresu k sexuální výchově v Pardubicích.</w:t>
      </w:r>
      <w:r>
        <w:rPr>
          <w:rFonts w:ascii="Times New Roman" w:hAnsi="Times New Roman"/>
          <w:sz w:val="24"/>
          <w:szCs w:val="24"/>
        </w:rPr>
        <w:t xml:space="preserve"> Praha: SPRSV.</w:t>
      </w:r>
      <w:r>
        <w:rPr>
          <w:rFonts w:ascii="Times New Roman" w:hAnsi="Times New Roman"/>
          <w:sz w:val="24"/>
          <w:szCs w:val="24"/>
        </w:rPr>
        <w:br/>
      </w:r>
      <w:r w:rsidR="008C6A0F">
        <w:rPr>
          <w:rFonts w:ascii="Times New Roman" w:hAnsi="Times New Roman"/>
          <w:sz w:val="24"/>
          <w:szCs w:val="24"/>
        </w:rPr>
        <w:t>Dostupné z</w:t>
      </w:r>
      <w:r>
        <w:rPr>
          <w:rFonts w:ascii="Times New Roman" w:hAnsi="Times New Roman"/>
          <w:sz w:val="24"/>
          <w:szCs w:val="24"/>
        </w:rPr>
        <w:t xml:space="preserve">: </w:t>
      </w:r>
      <w:r w:rsidRPr="00F032B9">
        <w:rPr>
          <w:rFonts w:ascii="Times New Roman" w:hAnsi="Times New Roman"/>
          <w:sz w:val="24"/>
          <w:szCs w:val="24"/>
        </w:rPr>
        <w:t>http://www.planovanirodiny.cz/search.php?rsvelikost=nv&amp;rstext=all-phpRS-all&amp;rstema=80</w:t>
      </w:r>
    </w:p>
    <w:p w:rsidR="00561843" w:rsidRPr="00262185" w:rsidRDefault="00561843" w:rsidP="00262185">
      <w:pPr>
        <w:pStyle w:val="Bezmezer"/>
        <w:jc w:val="both"/>
        <w:rPr>
          <w:rFonts w:ascii="Times New Roman" w:hAnsi="Times New Roman"/>
          <w:sz w:val="24"/>
          <w:szCs w:val="24"/>
        </w:rPr>
      </w:pPr>
      <w:r>
        <w:rPr>
          <w:rFonts w:ascii="Times New Roman" w:hAnsi="Times New Roman"/>
          <w:sz w:val="24"/>
          <w:szCs w:val="24"/>
        </w:rPr>
        <w:t>Jarkovská, Lucie, Lišková Kateřina. 2013. „Tradice, její rozpad a záchrana skrze sex.</w:t>
      </w:r>
      <w:r w:rsidRPr="00F032B9">
        <w:rPr>
          <w:rFonts w:ascii="Times New Roman" w:hAnsi="Times New Roman"/>
          <w:b/>
          <w:bCs/>
          <w:sz w:val="24"/>
          <w:szCs w:val="24"/>
        </w:rPr>
        <w:t xml:space="preserve"> </w:t>
      </w:r>
      <w:r w:rsidRPr="00F032B9">
        <w:rPr>
          <w:rFonts w:ascii="Times New Roman" w:hAnsi="Times New Roman"/>
          <w:sz w:val="24"/>
          <w:szCs w:val="24"/>
        </w:rPr>
        <w:t>Diskurzivní strategie odpůrců sexuální výchovy.</w:t>
      </w:r>
      <w:r>
        <w:rPr>
          <w:rFonts w:ascii="Times New Roman" w:hAnsi="Times New Roman"/>
          <w:sz w:val="24"/>
          <w:szCs w:val="24"/>
        </w:rPr>
        <w:t xml:space="preserve">“ In: </w:t>
      </w:r>
      <w:r w:rsidRPr="00F032B9">
        <w:rPr>
          <w:rFonts w:ascii="Times New Roman" w:hAnsi="Times New Roman"/>
          <w:i/>
          <w:sz w:val="24"/>
          <w:szCs w:val="24"/>
        </w:rPr>
        <w:t>Sociologický časopis</w:t>
      </w:r>
      <w:r>
        <w:rPr>
          <w:rFonts w:ascii="Times New Roman" w:hAnsi="Times New Roman"/>
          <w:sz w:val="24"/>
          <w:szCs w:val="24"/>
        </w:rPr>
        <w:t>, 49 (2):</w:t>
      </w:r>
      <w:r w:rsidRPr="00F032B9">
        <w:rPr>
          <w:rFonts w:ascii="Times New Roman" w:hAnsi="Times New Roman"/>
          <w:sz w:val="24"/>
          <w:szCs w:val="24"/>
        </w:rPr>
        <w:t xml:space="preserve"> 269–290</w:t>
      </w:r>
      <w:r>
        <w:rPr>
          <w:rFonts w:ascii="Times New Roman" w:hAnsi="Times New Roman"/>
          <w:sz w:val="24"/>
          <w:szCs w:val="24"/>
        </w:rPr>
        <w:t>.</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Jarkovská, Lucie, Lišková, Kateřina. 2008. </w:t>
      </w:r>
      <w:r w:rsidRPr="00F032B9">
        <w:rPr>
          <w:rFonts w:ascii="Times New Roman" w:hAnsi="Times New Roman"/>
          <w:sz w:val="24"/>
          <w:szCs w:val="24"/>
        </w:rPr>
        <w:t>„</w:t>
      </w:r>
      <w:bookmarkStart w:id="39" w:name="aa301b14f_caaa_48f5_bee2_c3246e131688"/>
      <w:bookmarkEnd w:id="39"/>
      <w:r w:rsidRPr="00F032B9">
        <w:rPr>
          <w:rFonts w:ascii="Times New Roman" w:hAnsi="Times New Roman"/>
          <w:sz w:val="24"/>
          <w:szCs w:val="24"/>
        </w:rPr>
        <w:t>Genderové aspekty českého školství.“</w:t>
      </w:r>
      <w:r w:rsidRPr="002753B1">
        <w:rPr>
          <w:rFonts w:ascii="Times New Roman" w:hAnsi="Times New Roman"/>
          <w:sz w:val="24"/>
          <w:szCs w:val="24"/>
        </w:rPr>
        <w:t xml:space="preserve"> </w:t>
      </w:r>
      <w:r>
        <w:rPr>
          <w:rFonts w:ascii="Times New Roman" w:hAnsi="Times New Roman"/>
          <w:sz w:val="24"/>
          <w:szCs w:val="24"/>
        </w:rPr>
        <w:t xml:space="preserve">In: </w:t>
      </w:r>
      <w:r w:rsidRPr="00F032B9">
        <w:rPr>
          <w:rFonts w:ascii="Times New Roman" w:hAnsi="Times New Roman"/>
          <w:i/>
          <w:sz w:val="24"/>
          <w:szCs w:val="24"/>
        </w:rPr>
        <w:t>Sociologický časopis</w:t>
      </w:r>
      <w:r w:rsidRPr="002753B1">
        <w:rPr>
          <w:rFonts w:ascii="Times New Roman" w:hAnsi="Times New Roman"/>
          <w:sz w:val="24"/>
          <w:szCs w:val="24"/>
        </w:rPr>
        <w:t>, 44 (4): 683–701.</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Kreimer, </w:t>
      </w:r>
      <w:r w:rsidRPr="002753B1">
        <w:rPr>
          <w:rStyle w:val="st"/>
          <w:rFonts w:ascii="Times New Roman" w:hAnsi="Times New Roman"/>
          <w:sz w:val="24"/>
          <w:szCs w:val="24"/>
        </w:rPr>
        <w:t>Margareta</w:t>
      </w:r>
      <w:r w:rsidRPr="002753B1">
        <w:rPr>
          <w:rFonts w:ascii="Times New Roman" w:hAnsi="Times New Roman"/>
          <w:sz w:val="24"/>
          <w:szCs w:val="24"/>
        </w:rPr>
        <w:t xml:space="preserve">. 2008. „Labour Market Segregation and the Gender-Based Division of Labour.“ </w:t>
      </w:r>
      <w:r w:rsidRPr="002753B1">
        <w:rPr>
          <w:rFonts w:ascii="Times New Roman" w:hAnsi="Times New Roman"/>
          <w:i/>
          <w:sz w:val="24"/>
          <w:szCs w:val="24"/>
        </w:rPr>
        <w:t>European Journal of Women’s Studies</w:t>
      </w:r>
      <w:r w:rsidRPr="002753B1">
        <w:rPr>
          <w:rFonts w:ascii="Times New Roman" w:hAnsi="Times New Roman"/>
          <w:sz w:val="24"/>
          <w:szCs w:val="24"/>
        </w:rPr>
        <w:t>: 223–246;</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Kuchařová, Věra et al. 2009. </w:t>
      </w:r>
      <w:r w:rsidRPr="002753B1">
        <w:rPr>
          <w:rStyle w:val="Zvraznn"/>
          <w:rFonts w:ascii="Times New Roman" w:hAnsi="Times New Roman"/>
          <w:iCs/>
          <w:sz w:val="24"/>
          <w:szCs w:val="24"/>
        </w:rPr>
        <w:t>Péče o děti předškolního a raného školního věku</w:t>
      </w:r>
      <w:r w:rsidRPr="002753B1">
        <w:rPr>
          <w:rFonts w:ascii="Times New Roman" w:hAnsi="Times New Roman"/>
          <w:sz w:val="24"/>
          <w:szCs w:val="24"/>
        </w:rPr>
        <w:t>. Praha: VÚPSV, v.v.i.</w:t>
      </w:r>
    </w:p>
    <w:p w:rsidR="00561843" w:rsidRPr="002753B1" w:rsidRDefault="00300C9A" w:rsidP="002753B1">
      <w:pPr>
        <w:pStyle w:val="Bezmezer"/>
        <w:jc w:val="both"/>
        <w:rPr>
          <w:rFonts w:ascii="Times New Roman" w:hAnsi="Times New Roman"/>
          <w:sz w:val="24"/>
          <w:szCs w:val="24"/>
        </w:rPr>
      </w:pPr>
      <w:hyperlink r:id="rId11" w:tgtFrame="_blank" w:history="1">
        <w:r w:rsidR="00561843" w:rsidRPr="002753B1">
          <w:rPr>
            <w:rFonts w:ascii="Times New Roman" w:hAnsi="Times New Roman"/>
            <w:sz w:val="24"/>
            <w:szCs w:val="24"/>
          </w:rPr>
          <w:t>Matějů, Petr, Smith, Michael L., Basl, Josef. 2008. „Rozdílné mechanismy – stejné nerovnosti. Změny v determinaci vzdělanostních aspirací mezi roky 1989 a 2003</w:t>
        </w:r>
      </w:hyperlink>
      <w:r w:rsidR="00561843" w:rsidRPr="002753B1">
        <w:rPr>
          <w:rFonts w:ascii="Times New Roman" w:hAnsi="Times New Roman"/>
          <w:sz w:val="24"/>
          <w:szCs w:val="24"/>
        </w:rPr>
        <w:t xml:space="preserve">.“ </w:t>
      </w:r>
      <w:r w:rsidR="00561843" w:rsidRPr="002753B1">
        <w:rPr>
          <w:rFonts w:ascii="Times New Roman" w:hAnsi="Times New Roman"/>
          <w:i/>
          <w:sz w:val="24"/>
          <w:szCs w:val="24"/>
        </w:rPr>
        <w:t>Sociologický časopis/Czech Sociological Review</w:t>
      </w:r>
      <w:r w:rsidR="00561843" w:rsidRPr="002753B1">
        <w:rPr>
          <w:rFonts w:ascii="Times New Roman" w:hAnsi="Times New Roman"/>
          <w:sz w:val="24"/>
          <w:szCs w:val="24"/>
        </w:rPr>
        <w:t>, Vol. 44, No. 2.: 371–399.</w:t>
      </w:r>
    </w:p>
    <w:p w:rsidR="00561843" w:rsidRPr="00C12086" w:rsidRDefault="00561843" w:rsidP="002753B1">
      <w:pPr>
        <w:pStyle w:val="Bezmezer"/>
        <w:jc w:val="both"/>
        <w:rPr>
          <w:rFonts w:ascii="Times New Roman" w:hAnsi="Times New Roman"/>
          <w:sz w:val="24"/>
          <w:szCs w:val="24"/>
        </w:rPr>
      </w:pPr>
      <w:r>
        <w:rPr>
          <w:rFonts w:ascii="Times New Roman" w:hAnsi="Times New Roman"/>
          <w:sz w:val="24"/>
          <w:szCs w:val="24"/>
        </w:rPr>
        <w:t xml:space="preserve">OECD. 2012. </w:t>
      </w:r>
      <w:r w:rsidRPr="00C12086">
        <w:rPr>
          <w:rFonts w:ascii="Times New Roman" w:hAnsi="Times New Roman"/>
          <w:i/>
          <w:sz w:val="24"/>
          <w:szCs w:val="24"/>
        </w:rPr>
        <w:t>OECD Employment Outlook</w:t>
      </w:r>
      <w:r w:rsidRPr="00C12086">
        <w:rPr>
          <w:rFonts w:ascii="Times New Roman" w:hAnsi="Times New Roman"/>
          <w:sz w:val="24"/>
          <w:szCs w:val="24"/>
        </w:rPr>
        <w:t>.</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Palečková, Jana, Tomášek, Vladislav, Basl, Jan. 2010. </w:t>
      </w:r>
      <w:r w:rsidRPr="002753B1">
        <w:rPr>
          <w:rFonts w:ascii="Times New Roman" w:hAnsi="Times New Roman"/>
          <w:i/>
          <w:sz w:val="24"/>
          <w:szCs w:val="24"/>
        </w:rPr>
        <w:t xml:space="preserve">Hlavní zjištění výzkumu PISA 2009: umíme ještě číst? </w:t>
      </w:r>
      <w:r w:rsidRPr="002753B1">
        <w:rPr>
          <w:rFonts w:ascii="Times New Roman" w:hAnsi="Times New Roman"/>
          <w:sz w:val="24"/>
          <w:szCs w:val="24"/>
        </w:rPr>
        <w:t>Praha: ÚIV</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Průcha, Jan. 1997. Moderní pedagogika. Praha: Portál.</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lastRenderedPageBreak/>
        <w:t xml:space="preserve">Reimer, David, Noelke, Clemens, Kucel, Aleksander. 2008. „Labor Market Effects of Field of Study in Comparative Perspective: An Analysis of 22 European Countries.“ </w:t>
      </w:r>
      <w:r w:rsidRPr="002753B1">
        <w:rPr>
          <w:rFonts w:ascii="Times New Roman" w:hAnsi="Times New Roman"/>
          <w:i/>
          <w:sz w:val="24"/>
          <w:szCs w:val="24"/>
        </w:rPr>
        <w:t>International Journal of Comparative Sociology</w:t>
      </w:r>
      <w:r w:rsidRPr="002753B1">
        <w:rPr>
          <w:rFonts w:ascii="Times New Roman" w:hAnsi="Times New Roman"/>
          <w:sz w:val="24"/>
          <w:szCs w:val="24"/>
        </w:rPr>
        <w:t>, 49: 233–256</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Simonová, Natálie. 2012. </w:t>
      </w:r>
      <w:r w:rsidRPr="002753B1">
        <w:rPr>
          <w:rFonts w:ascii="Times New Roman" w:hAnsi="Times New Roman"/>
          <w:i/>
          <w:sz w:val="24"/>
          <w:szCs w:val="24"/>
        </w:rPr>
        <w:t>Vzdělanostní nerovnosti v české společnosti. Vývoj od počátku 20. století do současnosti.</w:t>
      </w:r>
      <w:r w:rsidRPr="002753B1">
        <w:rPr>
          <w:rFonts w:ascii="Times New Roman" w:hAnsi="Times New Roman"/>
          <w:sz w:val="24"/>
          <w:szCs w:val="24"/>
        </w:rPr>
        <w:t xml:space="preserve"> Praha: Slon.</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Smetáčková, Irena. 2013. „Genderová rovnost ve výsledcích: znevýhodňují české školy chlapce, nebo dívky?“. </w:t>
      </w:r>
      <w:r w:rsidRPr="002753B1">
        <w:rPr>
          <w:rFonts w:ascii="Times New Roman" w:hAnsi="Times New Roman"/>
          <w:i/>
          <w:sz w:val="24"/>
          <w:szCs w:val="24"/>
        </w:rPr>
        <w:t>E-Pedagogium</w:t>
      </w:r>
      <w:r w:rsidRPr="002753B1">
        <w:rPr>
          <w:rFonts w:ascii="Times New Roman" w:hAnsi="Times New Roman"/>
          <w:sz w:val="24"/>
          <w:szCs w:val="24"/>
        </w:rPr>
        <w:t xml:space="preserve"> 8 (1): 15-29. </w:t>
      </w:r>
    </w:p>
    <w:p w:rsidR="00561843" w:rsidRPr="002753B1" w:rsidRDefault="00561843" w:rsidP="002753B1">
      <w:pPr>
        <w:pStyle w:val="Bezmezer"/>
        <w:jc w:val="both"/>
        <w:rPr>
          <w:rFonts w:ascii="Times New Roman" w:hAnsi="Times New Roman"/>
          <w:sz w:val="24"/>
          <w:szCs w:val="24"/>
        </w:rPr>
      </w:pPr>
      <w:r w:rsidRPr="002753B1">
        <w:rPr>
          <w:rFonts w:ascii="Times New Roman" w:hAnsi="Times New Roman"/>
          <w:sz w:val="24"/>
          <w:szCs w:val="24"/>
        </w:rPr>
        <w:t xml:space="preserve">Smetáčková, Irena (ed.). 2006. </w:t>
      </w:r>
      <w:r w:rsidRPr="002753B1">
        <w:rPr>
          <w:rFonts w:ascii="Times New Roman" w:hAnsi="Times New Roman"/>
          <w:i/>
          <w:sz w:val="24"/>
          <w:szCs w:val="24"/>
        </w:rPr>
        <w:t>Genderové aspekty přechodu žáků a žákyň mezi vzdělávacími stupni. Závěrečná zpráva z výzkumu.</w:t>
      </w:r>
      <w:r w:rsidRPr="002753B1">
        <w:rPr>
          <w:rFonts w:ascii="Times New Roman" w:hAnsi="Times New Roman"/>
          <w:sz w:val="24"/>
          <w:szCs w:val="24"/>
        </w:rPr>
        <w:t xml:space="preserve"> Praha: Sociologicky ustav AV ČR. Interní zpráva. Dostupné na: </w:t>
      </w:r>
      <w:hyperlink r:id="rId12" w:history="1">
        <w:r w:rsidRPr="002753B1">
          <w:rPr>
            <w:rFonts w:ascii="Times New Roman" w:hAnsi="Times New Roman"/>
            <w:sz w:val="24"/>
            <w:szCs w:val="24"/>
          </w:rPr>
          <w:t>www.soc.cas.cz</w:t>
        </w:r>
      </w:hyperlink>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Smetáčková, Irena (ed.) 2006. </w:t>
      </w:r>
      <w:r w:rsidRPr="002753B1">
        <w:rPr>
          <w:rFonts w:ascii="Times New Roman" w:hAnsi="Times New Roman"/>
          <w:i/>
          <w:sz w:val="24"/>
          <w:szCs w:val="24"/>
        </w:rPr>
        <w:t xml:space="preserve">Gender ve výchovném poradenství. </w:t>
      </w:r>
      <w:r w:rsidRPr="002753B1">
        <w:rPr>
          <w:rFonts w:ascii="Times New Roman" w:hAnsi="Times New Roman"/>
          <w:sz w:val="24"/>
          <w:szCs w:val="24"/>
        </w:rPr>
        <w:t>Praha: Otevřená společnost, o.p.s.</w:t>
      </w:r>
    </w:p>
    <w:p w:rsidR="00561843" w:rsidRPr="002753B1" w:rsidRDefault="00561843" w:rsidP="002753B1">
      <w:pPr>
        <w:pStyle w:val="Bezmezer"/>
        <w:rPr>
          <w:rFonts w:ascii="Times New Roman" w:hAnsi="Times New Roman"/>
          <w:sz w:val="24"/>
          <w:szCs w:val="24"/>
        </w:rPr>
      </w:pPr>
      <w:r w:rsidRPr="002753B1">
        <w:rPr>
          <w:rFonts w:ascii="Times New Roman" w:hAnsi="Times New Roman"/>
          <w:i/>
          <w:sz w:val="24"/>
          <w:szCs w:val="24"/>
        </w:rPr>
        <w:t>Statistická ročenka školství – Výkonové ukazatele. 2012/2013. 2011/2012</w:t>
      </w:r>
      <w:r w:rsidRPr="002753B1">
        <w:rPr>
          <w:rFonts w:ascii="Times New Roman" w:hAnsi="Times New Roman"/>
          <w:sz w:val="24"/>
          <w:szCs w:val="24"/>
        </w:rPr>
        <w:t>. Praha: ÚIV. www.uiv.cz</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Smyth, Emer, Steinmetz, Stephanie. 2008. „Field of Study and Gender Segregation in European Labour Markets.“ </w:t>
      </w:r>
      <w:r w:rsidRPr="002753B1">
        <w:rPr>
          <w:rFonts w:ascii="Times New Roman" w:hAnsi="Times New Roman"/>
          <w:i/>
          <w:sz w:val="24"/>
          <w:szCs w:val="24"/>
        </w:rPr>
        <w:t>International Journal of Comparative Sociology</w:t>
      </w:r>
      <w:r w:rsidRPr="002753B1">
        <w:rPr>
          <w:rFonts w:ascii="Times New Roman" w:hAnsi="Times New Roman"/>
          <w:sz w:val="24"/>
          <w:szCs w:val="24"/>
        </w:rPr>
        <w:t>, 49 (4–5): 257–281.</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Straková, Jana, Matějů Petr, Veselý, Arnošt (eds.) 2010. </w:t>
      </w:r>
      <w:r w:rsidRPr="002753B1">
        <w:rPr>
          <w:rFonts w:ascii="Times New Roman" w:hAnsi="Times New Roman"/>
          <w:i/>
          <w:sz w:val="24"/>
          <w:szCs w:val="24"/>
        </w:rPr>
        <w:t>Nerovnosti ve vzdělávání. Od měření k řešení.</w:t>
      </w:r>
      <w:r w:rsidRPr="002753B1">
        <w:rPr>
          <w:rFonts w:ascii="Times New Roman" w:hAnsi="Times New Roman"/>
          <w:sz w:val="24"/>
          <w:szCs w:val="24"/>
        </w:rPr>
        <w:t xml:space="preserve"> Praha: Slon.</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Straková, Jana, Potužníková, Eva. 2006. „Rozdíly ve vědomostech a dovednostech českých chlapců a děvčat na základě zjištění mezinárodních výzkumů.“ </w:t>
      </w:r>
      <w:r w:rsidRPr="002753B1">
        <w:rPr>
          <w:rFonts w:ascii="Times New Roman" w:hAnsi="Times New Roman"/>
          <w:i/>
          <w:sz w:val="24"/>
          <w:szCs w:val="24"/>
        </w:rPr>
        <w:t>Sociologický časopis,</w:t>
      </w:r>
      <w:r w:rsidRPr="002753B1">
        <w:rPr>
          <w:rFonts w:ascii="Times New Roman" w:hAnsi="Times New Roman"/>
          <w:sz w:val="24"/>
          <w:szCs w:val="24"/>
        </w:rPr>
        <w:t xml:space="preserve"> 42 (4): 701–717.</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Ševčíková, Renata. 2006. </w:t>
      </w:r>
      <w:r w:rsidR="008C6A0F">
        <w:rPr>
          <w:rFonts w:ascii="Times New Roman" w:hAnsi="Times New Roman"/>
          <w:i/>
          <w:sz w:val="24"/>
          <w:szCs w:val="24"/>
        </w:rPr>
        <w:t xml:space="preserve">Rovnost mužů a žen, rovné </w:t>
      </w:r>
      <w:r w:rsidRPr="002753B1">
        <w:rPr>
          <w:rFonts w:ascii="Times New Roman" w:hAnsi="Times New Roman"/>
          <w:i/>
          <w:sz w:val="24"/>
          <w:szCs w:val="24"/>
        </w:rPr>
        <w:t>příležitosti ve vzdělávání</w:t>
      </w:r>
      <w:r w:rsidRPr="002753B1">
        <w:rPr>
          <w:rFonts w:ascii="Times New Roman" w:hAnsi="Times New Roman"/>
          <w:sz w:val="24"/>
          <w:szCs w:val="24"/>
        </w:rPr>
        <w:t>. Tematická inspekce, interní materiál. Praha: Česká školní inspekce.</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Tenglerová, Hana. 2012. </w:t>
      </w:r>
      <w:r w:rsidRPr="002753B1">
        <w:rPr>
          <w:rFonts w:ascii="Times New Roman" w:hAnsi="Times New Roman"/>
          <w:i/>
          <w:sz w:val="24"/>
          <w:szCs w:val="24"/>
        </w:rPr>
        <w:t>Postavení žen v české vědě. Monitorovací zpráva za rok 2011</w:t>
      </w:r>
      <w:r w:rsidRPr="002753B1">
        <w:rPr>
          <w:rFonts w:ascii="Times New Roman" w:hAnsi="Times New Roman"/>
          <w:sz w:val="24"/>
          <w:szCs w:val="24"/>
        </w:rPr>
        <w:t>. Praha: Sociologický ústav AV ČR, v.v.i.</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Tenglerová, Hana. 2011. </w:t>
      </w:r>
      <w:r w:rsidRPr="002753B1">
        <w:rPr>
          <w:rFonts w:ascii="Times New Roman" w:hAnsi="Times New Roman"/>
          <w:i/>
          <w:sz w:val="24"/>
          <w:szCs w:val="24"/>
        </w:rPr>
        <w:t>Postavení žen v české vědě. Monitorovací zpráva za rok 2010</w:t>
      </w:r>
      <w:r w:rsidRPr="002753B1">
        <w:rPr>
          <w:rFonts w:ascii="Times New Roman" w:hAnsi="Times New Roman"/>
          <w:sz w:val="24"/>
          <w:szCs w:val="24"/>
        </w:rPr>
        <w:t>. Praha: Sociologický ústav AV ČR, v.v.i.</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Tenglerová, Hana. 2011. Politiky nečinnosti: Genderová rovnost v české vědní politice. </w:t>
      </w:r>
      <w:r w:rsidRPr="002753B1">
        <w:rPr>
          <w:rFonts w:ascii="Times New Roman" w:hAnsi="Times New Roman"/>
          <w:i/>
          <w:sz w:val="24"/>
          <w:szCs w:val="24"/>
        </w:rPr>
        <w:t xml:space="preserve">Gender, rovné příležitosti, výzkum </w:t>
      </w:r>
      <w:r w:rsidRPr="002753B1">
        <w:rPr>
          <w:rFonts w:ascii="Times New Roman" w:hAnsi="Times New Roman"/>
          <w:sz w:val="24"/>
          <w:szCs w:val="24"/>
        </w:rPr>
        <w:t>12 (1): 63–73.</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Tomášek, Vladislav a kol. 2008. </w:t>
      </w:r>
      <w:r w:rsidRPr="002753B1">
        <w:rPr>
          <w:rFonts w:ascii="Times New Roman" w:hAnsi="Times New Roman"/>
          <w:i/>
          <w:sz w:val="24"/>
          <w:szCs w:val="24"/>
        </w:rPr>
        <w:t xml:space="preserve">Výzkum TIMSS 2007 – Obstojí čeští žáci v mezinárodní konkurenci? </w:t>
      </w:r>
      <w:r w:rsidRPr="002753B1">
        <w:rPr>
          <w:rFonts w:ascii="Times New Roman" w:hAnsi="Times New Roman"/>
          <w:sz w:val="24"/>
          <w:szCs w:val="24"/>
        </w:rPr>
        <w:t>Praha: ÚIV.</w:t>
      </w:r>
    </w:p>
    <w:p w:rsidR="00561843" w:rsidRPr="002753B1" w:rsidRDefault="00561843" w:rsidP="002753B1">
      <w:pPr>
        <w:pStyle w:val="Bezmezer"/>
        <w:rPr>
          <w:rFonts w:ascii="Times New Roman" w:hAnsi="Times New Roman"/>
          <w:sz w:val="24"/>
          <w:szCs w:val="24"/>
        </w:rPr>
      </w:pPr>
      <w:r w:rsidRPr="002753B1">
        <w:rPr>
          <w:rFonts w:ascii="Times New Roman" w:hAnsi="Times New Roman"/>
          <w:sz w:val="24"/>
          <w:szCs w:val="24"/>
        </w:rPr>
        <w:t xml:space="preserve">Valentová, Marie, Šmídová, Iva, Katrňák, Tomáš. 2007. „Genderová segregace trhu práce v kontextu segregace vzdělanostní: Mezinárodní srovnání.“ </w:t>
      </w:r>
      <w:r w:rsidRPr="002753B1">
        <w:rPr>
          <w:rFonts w:ascii="Times New Roman" w:hAnsi="Times New Roman"/>
          <w:i/>
          <w:sz w:val="24"/>
          <w:szCs w:val="24"/>
        </w:rPr>
        <w:t>Gender, rovné příležitosti, výzkum</w:t>
      </w:r>
      <w:r w:rsidRPr="002753B1">
        <w:rPr>
          <w:rFonts w:ascii="Times New Roman" w:hAnsi="Times New Roman"/>
          <w:sz w:val="24"/>
          <w:szCs w:val="24"/>
        </w:rPr>
        <w:t>, 8 (2): 43–52.</w:t>
      </w:r>
    </w:p>
    <w:p w:rsidR="00561843" w:rsidRDefault="00561843" w:rsidP="00BC7385">
      <w:pPr>
        <w:pStyle w:val="Bezmezer"/>
        <w:rPr>
          <w:rFonts w:ascii="Times New Roman" w:hAnsi="Times New Roman"/>
          <w:sz w:val="24"/>
          <w:szCs w:val="24"/>
        </w:rPr>
      </w:pPr>
      <w:r w:rsidRPr="002753B1">
        <w:rPr>
          <w:rFonts w:ascii="Times New Roman" w:hAnsi="Times New Roman"/>
          <w:sz w:val="24"/>
          <w:szCs w:val="24"/>
        </w:rPr>
        <w:t xml:space="preserve">Willkinson, R., Pickett, K. 2009. </w:t>
      </w:r>
      <w:r w:rsidRPr="002753B1">
        <w:rPr>
          <w:rFonts w:ascii="Times New Roman" w:hAnsi="Times New Roman"/>
          <w:i/>
          <w:iCs/>
          <w:sz w:val="24"/>
          <w:szCs w:val="24"/>
        </w:rPr>
        <w:t xml:space="preserve">The Spirit Level. </w:t>
      </w:r>
      <w:r>
        <w:rPr>
          <w:rFonts w:ascii="Times New Roman" w:hAnsi="Times New Roman"/>
          <w:sz w:val="24"/>
          <w:szCs w:val="24"/>
        </w:rPr>
        <w:t>London: Penguin.</w:t>
      </w:r>
    </w:p>
    <w:p w:rsidR="00561843" w:rsidRDefault="00561843" w:rsidP="002753B1">
      <w:pPr>
        <w:pStyle w:val="Bezmezer"/>
        <w:rPr>
          <w:rFonts w:ascii="Times New Roman" w:hAnsi="Times New Roman"/>
          <w:sz w:val="24"/>
          <w:szCs w:val="24"/>
        </w:rPr>
      </w:pPr>
      <w:r w:rsidRPr="00BC7385">
        <w:rPr>
          <w:rFonts w:ascii="Times New Roman" w:hAnsi="Times New Roman"/>
          <w:sz w:val="24"/>
          <w:szCs w:val="24"/>
        </w:rPr>
        <w:t>Women and Work Commission</w:t>
      </w:r>
      <w:r>
        <w:rPr>
          <w:rFonts w:ascii="Times New Roman" w:hAnsi="Times New Roman"/>
          <w:sz w:val="24"/>
          <w:szCs w:val="24"/>
        </w:rPr>
        <w:t>.</w:t>
      </w:r>
      <w:r w:rsidRPr="00BC7385">
        <w:rPr>
          <w:rFonts w:ascii="Times New Roman" w:hAnsi="Times New Roman"/>
          <w:sz w:val="24"/>
          <w:szCs w:val="24"/>
        </w:rPr>
        <w:t xml:space="preserve"> </w:t>
      </w:r>
      <w:smartTag w:uri="urn:schemas-microsoft-com:office:smarttags" w:element="metricconverter">
        <w:smartTagPr>
          <w:attr w:name="ProductID" w:val="2005. A"/>
        </w:smartTagPr>
        <w:r w:rsidRPr="00BC7385">
          <w:rPr>
            <w:rFonts w:ascii="Times New Roman" w:hAnsi="Times New Roman"/>
            <w:sz w:val="24"/>
            <w:szCs w:val="24"/>
          </w:rPr>
          <w:t>2005</w:t>
        </w:r>
        <w:r>
          <w:rPr>
            <w:rFonts w:ascii="Times New Roman" w:hAnsi="Times New Roman"/>
            <w:sz w:val="24"/>
            <w:szCs w:val="24"/>
          </w:rPr>
          <w:t xml:space="preserve">. </w:t>
        </w:r>
        <w:r w:rsidRPr="00BC7385">
          <w:rPr>
            <w:rFonts w:ascii="Times New Roman" w:hAnsi="Times New Roman"/>
            <w:i/>
            <w:sz w:val="24"/>
            <w:szCs w:val="24"/>
          </w:rPr>
          <w:t>A</w:t>
        </w:r>
      </w:smartTag>
      <w:r w:rsidRPr="00BC7385">
        <w:rPr>
          <w:rFonts w:ascii="Times New Roman" w:hAnsi="Times New Roman"/>
          <w:i/>
          <w:sz w:val="24"/>
          <w:szCs w:val="24"/>
        </w:rPr>
        <w:t xml:space="preserve"> fair deal for women in the workplace: An interim statement.</w:t>
      </w:r>
      <w:r w:rsidRPr="00BC7385">
        <w:rPr>
          <w:rFonts w:ascii="Times New Roman" w:hAnsi="Times New Roman"/>
          <w:sz w:val="24"/>
          <w:szCs w:val="24"/>
        </w:rPr>
        <w:t xml:space="preserve"> </w:t>
      </w:r>
      <w:r>
        <w:rPr>
          <w:rFonts w:ascii="Times New Roman" w:hAnsi="Times New Roman"/>
          <w:sz w:val="24"/>
          <w:szCs w:val="24"/>
        </w:rPr>
        <w:t xml:space="preserve">Dostupné z: </w:t>
      </w:r>
      <w:r w:rsidRPr="00BC7385">
        <w:rPr>
          <w:rFonts w:ascii="Times New Roman" w:hAnsi="Times New Roman"/>
          <w:sz w:val="24"/>
          <w:szCs w:val="24"/>
        </w:rPr>
        <w:t>http://www.womenandequalityunit.gov.uk/women_work_commission/fairdealforwomen_interim_statement</w:t>
      </w:r>
      <w:r>
        <w:rPr>
          <w:rFonts w:ascii="Times New Roman" w:hAnsi="Times New Roman"/>
          <w:sz w:val="24"/>
          <w:szCs w:val="24"/>
        </w:rPr>
        <w:t xml:space="preserve">.pdf </w:t>
      </w:r>
    </w:p>
    <w:p w:rsidR="00561843" w:rsidRDefault="00561843" w:rsidP="002753B1">
      <w:pPr>
        <w:pStyle w:val="Bezmezer"/>
        <w:rPr>
          <w:rFonts w:ascii="Times New Roman" w:hAnsi="Times New Roman"/>
          <w:sz w:val="24"/>
          <w:szCs w:val="24"/>
        </w:rPr>
      </w:pPr>
    </w:p>
    <w:p w:rsidR="008C6A0F" w:rsidRDefault="008C6A0F" w:rsidP="002753B1">
      <w:pPr>
        <w:pStyle w:val="Bezmezer"/>
        <w:rPr>
          <w:rFonts w:ascii="Times New Roman" w:hAnsi="Times New Roman"/>
          <w:sz w:val="24"/>
          <w:szCs w:val="24"/>
        </w:rPr>
      </w:pPr>
    </w:p>
    <w:p w:rsidR="008C6A0F" w:rsidRDefault="008C6A0F" w:rsidP="002753B1">
      <w:pPr>
        <w:pStyle w:val="Bezmezer"/>
        <w:rPr>
          <w:rFonts w:ascii="Times New Roman" w:hAnsi="Times New Roman"/>
          <w:sz w:val="24"/>
          <w:szCs w:val="24"/>
        </w:rPr>
      </w:pPr>
    </w:p>
    <w:p w:rsidR="008C6A0F" w:rsidRDefault="008C6A0F" w:rsidP="002753B1">
      <w:pPr>
        <w:pStyle w:val="Bezmezer"/>
        <w:rPr>
          <w:rFonts w:ascii="Times New Roman" w:hAnsi="Times New Roman"/>
          <w:sz w:val="24"/>
          <w:szCs w:val="24"/>
        </w:rPr>
      </w:pPr>
    </w:p>
    <w:p w:rsidR="008C6A0F" w:rsidRDefault="008C6A0F" w:rsidP="002753B1">
      <w:pPr>
        <w:pStyle w:val="Bezmezer"/>
        <w:rPr>
          <w:rFonts w:ascii="Times New Roman" w:hAnsi="Times New Roman"/>
          <w:sz w:val="24"/>
          <w:szCs w:val="24"/>
        </w:rPr>
      </w:pPr>
    </w:p>
    <w:p w:rsidR="008C6A0F" w:rsidRDefault="008C6A0F" w:rsidP="002753B1">
      <w:pPr>
        <w:pStyle w:val="Bezmezer"/>
        <w:rPr>
          <w:rFonts w:ascii="Times New Roman" w:hAnsi="Times New Roman"/>
          <w:sz w:val="24"/>
          <w:szCs w:val="24"/>
        </w:rPr>
      </w:pPr>
    </w:p>
    <w:p w:rsidR="008C6A0F" w:rsidRDefault="008C6A0F" w:rsidP="002753B1">
      <w:pPr>
        <w:pStyle w:val="Bezmezer"/>
        <w:rPr>
          <w:rFonts w:ascii="Times New Roman" w:hAnsi="Times New Roman"/>
          <w:sz w:val="24"/>
          <w:szCs w:val="24"/>
        </w:rPr>
      </w:pPr>
    </w:p>
    <w:p w:rsidR="00561843" w:rsidRPr="00AE3051" w:rsidRDefault="00561843" w:rsidP="00AE3051">
      <w:pPr>
        <w:autoSpaceDE w:val="0"/>
        <w:autoSpaceDN w:val="0"/>
        <w:adjustRightInd w:val="0"/>
        <w:jc w:val="center"/>
        <w:rPr>
          <w:rFonts w:ascii="Times New Roman" w:hAnsi="Times New Roman"/>
          <w:b/>
          <w:sz w:val="28"/>
        </w:rPr>
      </w:pPr>
      <w:r w:rsidRPr="00AE3051">
        <w:rPr>
          <w:rFonts w:ascii="Times New Roman" w:hAnsi="Times New Roman"/>
          <w:b/>
          <w:sz w:val="28"/>
        </w:rPr>
        <w:t>NÁVRH STŘEDNĚDOBÉ STRATEGIE GENDEROVÉ ROVNOSTI V GESCI MŠMT</w:t>
      </w:r>
    </w:p>
    <w:p w:rsidR="00561843" w:rsidRDefault="00561843" w:rsidP="00AE3051">
      <w:pPr>
        <w:autoSpaceDE w:val="0"/>
        <w:autoSpaceDN w:val="0"/>
        <w:adjustRightInd w:val="0"/>
        <w:rPr>
          <w:b/>
        </w:rPr>
      </w:pPr>
    </w:p>
    <w:p w:rsidR="00561843"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rPr>
        <w:t xml:space="preserve">Střednědobá strategie genderové rovnosti v gesci Ministerstva školství, mládeže </w:t>
      </w:r>
      <w:r>
        <w:rPr>
          <w:rFonts w:ascii="Times New Roman" w:hAnsi="Times New Roman"/>
          <w:sz w:val="24"/>
          <w:szCs w:val="24"/>
        </w:rPr>
        <w:t>a </w:t>
      </w:r>
      <w:r w:rsidRPr="00AE3051">
        <w:rPr>
          <w:rFonts w:ascii="Times New Roman" w:hAnsi="Times New Roman"/>
          <w:sz w:val="24"/>
          <w:szCs w:val="24"/>
        </w:rPr>
        <w:t xml:space="preserve">tělovýchovy představuje soubor opatření směřujících k prosazení stavu rovných příležitostí a rovného postavení žen a mužů ve vzdělávání, vědě a výzkumu. Seznam navržených opatření je výsledkem dvou typů analýz – analýzy současného stavu genderové rovnosti v uvedených oblastech a analýzy zahraničních politik. Oba dokumenty byly předloženy MŠMT v průběhu roku 2013. Strategie je rozdělena do dvou samostatných částí, z nichž jedna se věnuje oblasti školství a druhá oblasti vědy a výzkumu. Každá oblast obsahuje výčet strategických cílů </w:t>
      </w:r>
      <w:r>
        <w:rPr>
          <w:rFonts w:ascii="Times New Roman" w:hAnsi="Times New Roman"/>
          <w:sz w:val="24"/>
          <w:szCs w:val="24"/>
        </w:rPr>
        <w:t>a </w:t>
      </w:r>
      <w:r w:rsidRPr="00AE3051">
        <w:rPr>
          <w:rFonts w:ascii="Times New Roman" w:hAnsi="Times New Roman"/>
          <w:sz w:val="24"/>
          <w:szCs w:val="24"/>
        </w:rPr>
        <w:t xml:space="preserve">k nim vztažených dílčích indikátorů. Jejich naplňování je dlouhodobé a předpokládá alespoň částečnou realizaci jiných kroků, jejich prostřednictvím se vytváří podmínky </w:t>
      </w:r>
      <w:r>
        <w:rPr>
          <w:rFonts w:ascii="Times New Roman" w:hAnsi="Times New Roman"/>
          <w:sz w:val="24"/>
          <w:szCs w:val="24"/>
        </w:rPr>
        <w:t>pro </w:t>
      </w:r>
      <w:r w:rsidRPr="00AE3051">
        <w:rPr>
          <w:rFonts w:ascii="Times New Roman" w:hAnsi="Times New Roman"/>
          <w:sz w:val="24"/>
          <w:szCs w:val="24"/>
        </w:rPr>
        <w:t xml:space="preserve">implementaci navazujících opatření. </w:t>
      </w:r>
    </w:p>
    <w:p w:rsidR="00561843" w:rsidRPr="00AE3051" w:rsidRDefault="00561843" w:rsidP="00AE3051">
      <w:pPr>
        <w:autoSpaceDE w:val="0"/>
        <w:autoSpaceDN w:val="0"/>
        <w:adjustRightInd w:val="0"/>
        <w:jc w:val="both"/>
        <w:rPr>
          <w:rFonts w:ascii="Times New Roman" w:hAnsi="Times New Roman"/>
          <w:sz w:val="24"/>
          <w:szCs w:val="24"/>
        </w:rPr>
      </w:pPr>
    </w:p>
    <w:p w:rsidR="00561843" w:rsidRPr="00A50975" w:rsidRDefault="00561843" w:rsidP="00A50975">
      <w:pPr>
        <w:pStyle w:val="Odstavecseseznamem"/>
        <w:numPr>
          <w:ilvl w:val="0"/>
          <w:numId w:val="19"/>
        </w:numPr>
        <w:autoSpaceDE w:val="0"/>
        <w:autoSpaceDN w:val="0"/>
        <w:adjustRightInd w:val="0"/>
        <w:jc w:val="center"/>
        <w:rPr>
          <w:rFonts w:ascii="Times New Roman" w:hAnsi="Times New Roman"/>
          <w:b/>
          <w:sz w:val="28"/>
          <w:szCs w:val="28"/>
        </w:rPr>
      </w:pPr>
      <w:r w:rsidRPr="00A50975">
        <w:rPr>
          <w:rFonts w:ascii="Times New Roman" w:hAnsi="Times New Roman"/>
          <w:b/>
          <w:sz w:val="28"/>
          <w:szCs w:val="28"/>
        </w:rPr>
        <w:t xml:space="preserve">Střednědobá strategie genderové rovnosti ve vzdělávání </w:t>
      </w: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rPr>
        <w:t xml:space="preserve">Genderová rovnost ve vzdělávání je jedním ze základních principů demokratického školství. Jejím prostřednictvím je naplňována </w:t>
      </w:r>
      <w:r w:rsidRPr="00AE3051">
        <w:rPr>
          <w:rFonts w:ascii="Times New Roman" w:hAnsi="Times New Roman"/>
          <w:b/>
          <w:sz w:val="24"/>
          <w:szCs w:val="24"/>
        </w:rPr>
        <w:t>idea svobodné životní volby</w:t>
      </w:r>
      <w:r w:rsidRPr="00AE3051">
        <w:rPr>
          <w:rFonts w:ascii="Times New Roman" w:hAnsi="Times New Roman"/>
          <w:sz w:val="24"/>
          <w:szCs w:val="24"/>
        </w:rPr>
        <w:t xml:space="preserve"> každého jedince a zvyšuje se prosperita celé společnosti. Posílení genderové rovnosti ve vzdělávání vede ke zvýšení rovného zastoupení žen a mužů v politickém životě, v různých segmentech trhu práce a v péči o rodinu a domácnost. Vzdělávání má široké konsekvence pro občansko-politickou, pracovní </w:t>
      </w:r>
      <w:r>
        <w:rPr>
          <w:rFonts w:ascii="Times New Roman" w:hAnsi="Times New Roman"/>
          <w:sz w:val="24"/>
          <w:szCs w:val="24"/>
        </w:rPr>
        <w:t>i </w:t>
      </w:r>
      <w:r w:rsidRPr="00AE3051">
        <w:rPr>
          <w:rFonts w:ascii="Times New Roman" w:hAnsi="Times New Roman"/>
          <w:sz w:val="24"/>
          <w:szCs w:val="24"/>
        </w:rPr>
        <w:t xml:space="preserve">soukromou sféru.  </w:t>
      </w: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rPr>
        <w:t xml:space="preserve">Strategie genderové rovnosti ve vzdělávání vychází z představy genderově rovného školství, které se vyznačuje třemi následujícími znaky: </w:t>
      </w:r>
    </w:p>
    <w:p w:rsidR="00561843" w:rsidRPr="00AE3051" w:rsidRDefault="00561843" w:rsidP="00AE3051">
      <w:pPr>
        <w:pStyle w:val="Odstavecseseznamem"/>
        <w:numPr>
          <w:ilvl w:val="0"/>
          <w:numId w:val="16"/>
        </w:numPr>
        <w:autoSpaceDE w:val="0"/>
        <w:autoSpaceDN w:val="0"/>
        <w:adjustRightInd w:val="0"/>
        <w:spacing w:after="0" w:line="240" w:lineRule="auto"/>
        <w:contextualSpacing/>
        <w:jc w:val="both"/>
        <w:rPr>
          <w:rFonts w:ascii="Times New Roman" w:hAnsi="Times New Roman"/>
          <w:sz w:val="24"/>
          <w:szCs w:val="24"/>
        </w:rPr>
      </w:pPr>
      <w:r w:rsidRPr="00AE3051">
        <w:rPr>
          <w:rFonts w:ascii="Times New Roman" w:hAnsi="Times New Roman"/>
          <w:sz w:val="24"/>
          <w:szCs w:val="24"/>
        </w:rPr>
        <w:t xml:space="preserve">genderová parita, tj. </w:t>
      </w:r>
      <w:r>
        <w:rPr>
          <w:rFonts w:ascii="Times New Roman" w:hAnsi="Times New Roman"/>
          <w:b/>
          <w:sz w:val="24"/>
          <w:szCs w:val="24"/>
        </w:rPr>
        <w:t>vyrovnanější</w:t>
      </w:r>
      <w:r w:rsidRPr="00AE3051">
        <w:rPr>
          <w:rFonts w:ascii="Times New Roman" w:hAnsi="Times New Roman"/>
          <w:b/>
          <w:sz w:val="24"/>
          <w:szCs w:val="24"/>
        </w:rPr>
        <w:t xml:space="preserve"> zastoupení dívek a chlapců</w:t>
      </w:r>
      <w:r w:rsidRPr="00AE3051">
        <w:rPr>
          <w:rFonts w:ascii="Times New Roman" w:hAnsi="Times New Roman"/>
          <w:sz w:val="24"/>
          <w:szCs w:val="24"/>
        </w:rPr>
        <w:t xml:space="preserve"> v různých segmentech vzdělávacího systému, </w:t>
      </w:r>
    </w:p>
    <w:p w:rsidR="00561843" w:rsidRPr="00AE3051" w:rsidRDefault="00561843" w:rsidP="00AE3051">
      <w:pPr>
        <w:pStyle w:val="Odstavecseseznamem"/>
        <w:numPr>
          <w:ilvl w:val="0"/>
          <w:numId w:val="16"/>
        </w:numPr>
        <w:autoSpaceDE w:val="0"/>
        <w:autoSpaceDN w:val="0"/>
        <w:adjustRightInd w:val="0"/>
        <w:spacing w:after="0" w:line="240" w:lineRule="auto"/>
        <w:contextualSpacing/>
        <w:jc w:val="both"/>
        <w:rPr>
          <w:rFonts w:ascii="Times New Roman" w:hAnsi="Times New Roman"/>
          <w:sz w:val="24"/>
          <w:szCs w:val="24"/>
        </w:rPr>
      </w:pPr>
      <w:r w:rsidRPr="00AE3051">
        <w:rPr>
          <w:rFonts w:ascii="Times New Roman" w:hAnsi="Times New Roman"/>
          <w:b/>
          <w:sz w:val="24"/>
          <w:szCs w:val="24"/>
        </w:rPr>
        <w:t xml:space="preserve">rovné a spravedlivé podmínky a zacházení s dívkami a chlapci </w:t>
      </w:r>
      <w:r w:rsidRPr="00AE3051">
        <w:rPr>
          <w:rFonts w:ascii="Times New Roman" w:hAnsi="Times New Roman"/>
          <w:sz w:val="24"/>
          <w:szCs w:val="24"/>
        </w:rPr>
        <w:t xml:space="preserve">v průběhu vzdělávání, </w:t>
      </w:r>
    </w:p>
    <w:p w:rsidR="00561843" w:rsidRPr="00AE3051" w:rsidRDefault="00561843" w:rsidP="00AE3051">
      <w:pPr>
        <w:pStyle w:val="Odstavecseseznamem"/>
        <w:numPr>
          <w:ilvl w:val="0"/>
          <w:numId w:val="16"/>
        </w:numPr>
        <w:autoSpaceDE w:val="0"/>
        <w:autoSpaceDN w:val="0"/>
        <w:adjustRightInd w:val="0"/>
        <w:spacing w:after="0" w:line="240" w:lineRule="auto"/>
        <w:contextualSpacing/>
        <w:jc w:val="both"/>
        <w:rPr>
          <w:rFonts w:ascii="Times New Roman" w:hAnsi="Times New Roman"/>
          <w:sz w:val="24"/>
          <w:szCs w:val="24"/>
        </w:rPr>
      </w:pPr>
      <w:r w:rsidRPr="00AE3051">
        <w:rPr>
          <w:rFonts w:ascii="Times New Roman" w:hAnsi="Times New Roman"/>
          <w:b/>
          <w:sz w:val="24"/>
          <w:szCs w:val="24"/>
        </w:rPr>
        <w:t>zahrnutí genderové problematiky do obsahu vzdělávání</w:t>
      </w:r>
      <w:r w:rsidRPr="00AE3051">
        <w:rPr>
          <w:rFonts w:ascii="Times New Roman" w:hAnsi="Times New Roman"/>
          <w:sz w:val="24"/>
          <w:szCs w:val="24"/>
        </w:rPr>
        <w:t xml:space="preserve"> tak, aby mohlo dojít </w:t>
      </w:r>
      <w:r w:rsidRPr="00AE3051">
        <w:rPr>
          <w:rFonts w:ascii="Times New Roman" w:hAnsi="Times New Roman"/>
          <w:sz w:val="24"/>
          <w:szCs w:val="24"/>
        </w:rPr>
        <w:br/>
        <w:t xml:space="preserve">k uvědomění a porozumění genderovým stereotypům v myslích žáků a žákyň. </w:t>
      </w:r>
    </w:p>
    <w:p w:rsidR="00561843" w:rsidRDefault="00561843" w:rsidP="00AE3051">
      <w:pPr>
        <w:autoSpaceDE w:val="0"/>
        <w:autoSpaceDN w:val="0"/>
        <w:adjustRightInd w:val="0"/>
        <w:jc w:val="both"/>
        <w:rPr>
          <w:rFonts w:ascii="Times New Roman" w:hAnsi="Times New Roman"/>
          <w:sz w:val="24"/>
          <w:szCs w:val="24"/>
        </w:rPr>
      </w:pP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rPr>
        <w:t xml:space="preserve">Z toho vyplývá, že genderovou rovnost nelze redukovat pouze na rovný přístup ke vzdělávání, nýbrž je nutné ji rozšířit i o rovné podmínky vzdělávacího procesu, které podpoří dosahování rovných výsledků chlapců a dívek (vymezení pojetí rovnosti viz Studie genderové rovnosti v resortu MŠMT). U všech tří aspektů rovnosti je nutné sledovat jak </w:t>
      </w:r>
      <w:r w:rsidRPr="00AE3051">
        <w:rPr>
          <w:rFonts w:ascii="Times New Roman" w:hAnsi="Times New Roman"/>
          <w:b/>
          <w:sz w:val="24"/>
          <w:szCs w:val="24"/>
        </w:rPr>
        <w:t>rovinu formálních podmínek a průběhu</w:t>
      </w:r>
      <w:r w:rsidRPr="00AE3051">
        <w:rPr>
          <w:rFonts w:ascii="Times New Roman" w:hAnsi="Times New Roman"/>
          <w:sz w:val="24"/>
          <w:szCs w:val="24"/>
        </w:rPr>
        <w:t xml:space="preserve"> školního vzdělávání, jako je znění zákonných a podzákonných norem, oficiální kurikulum, záměrně užívané materiály atd., tak </w:t>
      </w:r>
      <w:r w:rsidRPr="00AE3051">
        <w:rPr>
          <w:rFonts w:ascii="Times New Roman" w:hAnsi="Times New Roman"/>
          <w:b/>
          <w:sz w:val="24"/>
          <w:szCs w:val="24"/>
        </w:rPr>
        <w:t>i skrytou rovinu každodenního života</w:t>
      </w:r>
      <w:r w:rsidRPr="00AE3051">
        <w:rPr>
          <w:rFonts w:ascii="Times New Roman" w:hAnsi="Times New Roman"/>
          <w:sz w:val="24"/>
          <w:szCs w:val="24"/>
        </w:rPr>
        <w:t xml:space="preserve"> ve škole, kterou představují skrytá očekávání na straně žákovské, rodičovské </w:t>
      </w:r>
      <w:r>
        <w:rPr>
          <w:rFonts w:ascii="Times New Roman" w:hAnsi="Times New Roman"/>
          <w:sz w:val="24"/>
          <w:szCs w:val="24"/>
        </w:rPr>
        <w:t>i </w:t>
      </w:r>
      <w:r w:rsidRPr="00AE3051">
        <w:rPr>
          <w:rFonts w:ascii="Times New Roman" w:hAnsi="Times New Roman"/>
          <w:sz w:val="24"/>
          <w:szCs w:val="24"/>
        </w:rPr>
        <w:t>pedagogické veřejnosti.</w:t>
      </w:r>
    </w:p>
    <w:p w:rsidR="00561843" w:rsidRDefault="00561843" w:rsidP="00AE3051">
      <w:pPr>
        <w:autoSpaceDE w:val="0"/>
        <w:autoSpaceDN w:val="0"/>
        <w:adjustRightInd w:val="0"/>
        <w:jc w:val="both"/>
      </w:pP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rPr>
        <w:t xml:space="preserve">Pro dosažení popsaného stavu genderové rovnosti v českém vzdělávacím systému jsou identifikovány následující čtyři střednědobé cíle, k nimž jsou navrženy dílčí opatření </w:t>
      </w:r>
      <w:r>
        <w:rPr>
          <w:rFonts w:ascii="Times New Roman" w:hAnsi="Times New Roman"/>
          <w:sz w:val="24"/>
          <w:szCs w:val="24"/>
        </w:rPr>
        <w:t>a </w:t>
      </w:r>
      <w:r w:rsidRPr="00AE3051">
        <w:rPr>
          <w:rFonts w:ascii="Times New Roman" w:hAnsi="Times New Roman"/>
          <w:sz w:val="24"/>
          <w:szCs w:val="24"/>
        </w:rPr>
        <w:t>indikátory.</w:t>
      </w: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rPr>
        <w:lastRenderedPageBreak/>
        <w:t xml:space="preserve">Časovým i tematickým horizontem navržených opatření v oblasti školství je Strategie vzdělávání 2020, s níž je principiálně v souladu. Protože se idea genderové rovnosti prolíná všemi oblastmi a úrovněmi vzdělávání, je nutné při prosazování Strategie jednat s různými skupinami aktérů a zohledňovat jejich perspektivy. Efektivní implementace opatření vyžaduje, aby byla napříč resortem ustavena </w:t>
      </w:r>
      <w:r w:rsidRPr="00AE3051">
        <w:rPr>
          <w:rFonts w:ascii="Times New Roman" w:hAnsi="Times New Roman"/>
          <w:b/>
          <w:sz w:val="24"/>
          <w:szCs w:val="24"/>
        </w:rPr>
        <w:t xml:space="preserve">platforma pro dlouhodobou a systematickou diskusi </w:t>
      </w:r>
      <w:r w:rsidRPr="00AE3051">
        <w:rPr>
          <w:rFonts w:ascii="Times New Roman" w:hAnsi="Times New Roman"/>
          <w:sz w:val="24"/>
          <w:szCs w:val="24"/>
        </w:rPr>
        <w:t>o podobě zaváděných</w:t>
      </w:r>
      <w:r w:rsidR="008C6A0F">
        <w:rPr>
          <w:rFonts w:ascii="Times New Roman" w:hAnsi="Times New Roman"/>
          <w:sz w:val="24"/>
          <w:szCs w:val="24"/>
        </w:rPr>
        <w:t xml:space="preserve"> opatření</w:t>
      </w:r>
      <w:r w:rsidRPr="00AE3051">
        <w:rPr>
          <w:rFonts w:ascii="Times New Roman" w:hAnsi="Times New Roman"/>
          <w:sz w:val="24"/>
          <w:szCs w:val="24"/>
        </w:rPr>
        <w:t xml:space="preserve">, která by zahrnovala zástupce/kyně MŠMT, přímo řízených organizací, zřizovatelů škol, akademických pracovišť a školního terénu. Vedle toho je nutné v řadě oblastí realizovat </w:t>
      </w:r>
      <w:r w:rsidRPr="00AE3051">
        <w:rPr>
          <w:rFonts w:ascii="Times New Roman" w:hAnsi="Times New Roman"/>
          <w:b/>
          <w:sz w:val="24"/>
          <w:szCs w:val="24"/>
        </w:rPr>
        <w:t>výzkumná šetření</w:t>
      </w:r>
      <w:r w:rsidRPr="00AE3051">
        <w:rPr>
          <w:rFonts w:ascii="Times New Roman" w:hAnsi="Times New Roman"/>
          <w:sz w:val="24"/>
          <w:szCs w:val="24"/>
        </w:rPr>
        <w:t xml:space="preserve"> a tím získat systematické a detailní poznatky o tématu, které dosud chybí, a bez nichž nelze některá rozhodnutí fundovaně učinit. </w:t>
      </w:r>
    </w:p>
    <w:p w:rsidR="00135D4C" w:rsidRDefault="00135D4C" w:rsidP="00077770">
      <w:pPr>
        <w:autoSpaceDE w:val="0"/>
        <w:autoSpaceDN w:val="0"/>
        <w:adjustRightInd w:val="0"/>
        <w:rPr>
          <w:rFonts w:ascii="Times New Roman" w:hAnsi="Times New Roman"/>
          <w:b/>
          <w:sz w:val="24"/>
          <w:szCs w:val="24"/>
        </w:rPr>
      </w:pPr>
    </w:p>
    <w:p w:rsidR="00561843" w:rsidRDefault="00561843" w:rsidP="008A1538">
      <w:pPr>
        <w:autoSpaceDE w:val="0"/>
        <w:autoSpaceDN w:val="0"/>
        <w:adjustRightInd w:val="0"/>
        <w:jc w:val="center"/>
        <w:rPr>
          <w:rFonts w:ascii="Times New Roman" w:hAnsi="Times New Roman"/>
          <w:b/>
          <w:sz w:val="24"/>
          <w:szCs w:val="24"/>
        </w:rPr>
      </w:pPr>
      <w:r w:rsidRPr="00AE3051">
        <w:rPr>
          <w:rFonts w:ascii="Times New Roman" w:hAnsi="Times New Roman"/>
          <w:b/>
          <w:sz w:val="24"/>
          <w:szCs w:val="24"/>
        </w:rPr>
        <w:t>STŘEDNĚDOBÉ CÍLE V OBLASTI ŠKOLSTVÍ</w:t>
      </w:r>
    </w:p>
    <w:p w:rsidR="00561843" w:rsidRDefault="00561843" w:rsidP="00A50975">
      <w:pPr>
        <w:autoSpaceDE w:val="0"/>
        <w:autoSpaceDN w:val="0"/>
        <w:adjustRightInd w:val="0"/>
        <w:spacing w:after="0" w:line="240" w:lineRule="auto"/>
        <w:ind w:left="360"/>
        <w:jc w:val="both"/>
        <w:rPr>
          <w:rFonts w:ascii="Times New Roman" w:hAnsi="Times New Roman"/>
          <w:b/>
          <w:sz w:val="24"/>
          <w:szCs w:val="24"/>
        </w:rPr>
      </w:pPr>
    </w:p>
    <w:p w:rsidR="00561843" w:rsidRPr="00AE3051" w:rsidRDefault="00561843" w:rsidP="00AE3051">
      <w:pPr>
        <w:numPr>
          <w:ilvl w:val="0"/>
          <w:numId w:val="14"/>
        </w:numPr>
        <w:autoSpaceDE w:val="0"/>
        <w:autoSpaceDN w:val="0"/>
        <w:adjustRightInd w:val="0"/>
        <w:spacing w:after="0" w:line="240" w:lineRule="auto"/>
        <w:ind w:left="360"/>
        <w:jc w:val="both"/>
        <w:rPr>
          <w:rFonts w:ascii="Times New Roman" w:hAnsi="Times New Roman"/>
          <w:b/>
          <w:sz w:val="24"/>
          <w:szCs w:val="24"/>
        </w:rPr>
      </w:pPr>
      <w:r w:rsidRPr="00AE3051">
        <w:rPr>
          <w:rFonts w:ascii="Times New Roman" w:hAnsi="Times New Roman"/>
          <w:b/>
          <w:sz w:val="24"/>
          <w:szCs w:val="24"/>
        </w:rPr>
        <w:t>zvýšení prostupnosti dívčích a chlapeckých vzdělávacích trajektorií</w:t>
      </w:r>
    </w:p>
    <w:p w:rsidR="00561843" w:rsidRDefault="00561843" w:rsidP="00AE3051">
      <w:pPr>
        <w:autoSpaceDE w:val="0"/>
        <w:autoSpaceDN w:val="0"/>
        <w:adjustRightInd w:val="0"/>
        <w:jc w:val="both"/>
        <w:rPr>
          <w:rFonts w:ascii="Times New Roman" w:hAnsi="Times New Roman"/>
          <w:sz w:val="24"/>
          <w:szCs w:val="24"/>
        </w:rPr>
      </w:pP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rPr>
        <w:t>Stav genderové rovnosti ve vzdělávání se vyznačuje mimo jiné tím, že chlapci/muži</w:t>
      </w:r>
      <w:r>
        <w:rPr>
          <w:rFonts w:ascii="Times New Roman" w:hAnsi="Times New Roman"/>
          <w:sz w:val="24"/>
          <w:szCs w:val="24"/>
        </w:rPr>
        <w:t xml:space="preserve"> a </w:t>
      </w:r>
      <w:r w:rsidRPr="00AE3051">
        <w:rPr>
          <w:rFonts w:ascii="Times New Roman" w:hAnsi="Times New Roman"/>
          <w:sz w:val="24"/>
          <w:szCs w:val="24"/>
        </w:rPr>
        <w:t xml:space="preserve">dívky/ženy mají </w:t>
      </w:r>
      <w:r w:rsidRPr="00AE3051">
        <w:rPr>
          <w:rFonts w:ascii="Times New Roman" w:hAnsi="Times New Roman"/>
          <w:b/>
          <w:sz w:val="24"/>
          <w:szCs w:val="24"/>
        </w:rPr>
        <w:t xml:space="preserve">svobodnou volbu </w:t>
      </w:r>
      <w:r w:rsidRPr="00AE3051">
        <w:rPr>
          <w:rFonts w:ascii="Times New Roman" w:hAnsi="Times New Roman"/>
          <w:sz w:val="24"/>
          <w:szCs w:val="24"/>
        </w:rPr>
        <w:t>své další vzdělávací a pracovní dráhy. Svobodná volba musí být zajištěna nejen legislativně (tj. formálně), ale také neformálně tím, že</w:t>
      </w:r>
      <w:r>
        <w:rPr>
          <w:rFonts w:ascii="Times New Roman" w:hAnsi="Times New Roman"/>
          <w:sz w:val="24"/>
          <w:szCs w:val="24"/>
        </w:rPr>
        <w:t xml:space="preserve"> žáci a</w:t>
      </w:r>
      <w:r w:rsidRPr="00AE3051">
        <w:rPr>
          <w:rFonts w:ascii="Times New Roman" w:hAnsi="Times New Roman"/>
          <w:sz w:val="24"/>
          <w:szCs w:val="24"/>
        </w:rPr>
        <w:t xml:space="preserve"> </w:t>
      </w:r>
      <w:r>
        <w:rPr>
          <w:rFonts w:ascii="Times New Roman" w:hAnsi="Times New Roman"/>
          <w:sz w:val="24"/>
          <w:szCs w:val="24"/>
        </w:rPr>
        <w:t xml:space="preserve">žákyně </w:t>
      </w:r>
      <w:r w:rsidRPr="00AE3051">
        <w:rPr>
          <w:rFonts w:ascii="Times New Roman" w:hAnsi="Times New Roman"/>
          <w:sz w:val="24"/>
          <w:szCs w:val="24"/>
        </w:rPr>
        <w:t xml:space="preserve">jsou vedeni k tomu, aby při rozhodování o své budoucí dráze </w:t>
      </w:r>
      <w:r w:rsidRPr="00AE3051">
        <w:rPr>
          <w:rFonts w:ascii="Times New Roman" w:hAnsi="Times New Roman"/>
          <w:b/>
          <w:sz w:val="24"/>
          <w:szCs w:val="24"/>
        </w:rPr>
        <w:t>nebyli omezováni vlivem genderových stereotypů</w:t>
      </w:r>
      <w:r w:rsidRPr="00AE3051">
        <w:rPr>
          <w:rFonts w:ascii="Times New Roman" w:hAnsi="Times New Roman"/>
          <w:sz w:val="24"/>
          <w:szCs w:val="24"/>
        </w:rPr>
        <w:t xml:space="preserve">, nýbrž se primárně řídili svými schopnostmi a zájmy. Tomuto cíli musí být podřízena jak příprava na volbu povolání, tak prezentace vzdělávacích oborů </w:t>
      </w:r>
      <w:r>
        <w:rPr>
          <w:rFonts w:ascii="Times New Roman" w:hAnsi="Times New Roman"/>
          <w:sz w:val="24"/>
          <w:szCs w:val="24"/>
        </w:rPr>
        <w:t>a </w:t>
      </w:r>
      <w:r w:rsidRPr="00AE3051">
        <w:rPr>
          <w:rFonts w:ascii="Times New Roman" w:hAnsi="Times New Roman"/>
          <w:sz w:val="24"/>
          <w:szCs w:val="24"/>
        </w:rPr>
        <w:t xml:space="preserve">průběh samotných přijímacích řízení. Důraz je nutné klást jednak na </w:t>
      </w:r>
      <w:r w:rsidRPr="00AE3051">
        <w:rPr>
          <w:rFonts w:ascii="Times New Roman" w:hAnsi="Times New Roman"/>
          <w:b/>
          <w:sz w:val="24"/>
          <w:szCs w:val="24"/>
        </w:rPr>
        <w:t xml:space="preserve">individuální </w:t>
      </w:r>
      <w:r>
        <w:rPr>
          <w:rFonts w:ascii="Times New Roman" w:hAnsi="Times New Roman"/>
          <w:b/>
          <w:sz w:val="24"/>
          <w:szCs w:val="24"/>
        </w:rPr>
        <w:t>a </w:t>
      </w:r>
      <w:r w:rsidRPr="00AE3051">
        <w:rPr>
          <w:rFonts w:ascii="Times New Roman" w:hAnsi="Times New Roman"/>
          <w:b/>
          <w:sz w:val="24"/>
          <w:szCs w:val="24"/>
        </w:rPr>
        <w:t>svobodnou volbu</w:t>
      </w:r>
      <w:r w:rsidRPr="00AE3051">
        <w:rPr>
          <w:rFonts w:ascii="Times New Roman" w:hAnsi="Times New Roman"/>
          <w:sz w:val="24"/>
          <w:szCs w:val="24"/>
        </w:rPr>
        <w:t xml:space="preserve"> další životní dráhy, jednak na </w:t>
      </w:r>
      <w:r w:rsidRPr="00AE3051">
        <w:rPr>
          <w:rFonts w:ascii="Times New Roman" w:hAnsi="Times New Roman"/>
          <w:b/>
          <w:sz w:val="24"/>
          <w:szCs w:val="24"/>
        </w:rPr>
        <w:t>identifikaci systémových překážek</w:t>
      </w:r>
      <w:r w:rsidRPr="00AE3051">
        <w:rPr>
          <w:rFonts w:ascii="Times New Roman" w:hAnsi="Times New Roman"/>
          <w:sz w:val="24"/>
          <w:szCs w:val="24"/>
        </w:rPr>
        <w:t xml:space="preserve"> vyplývajících z genderového řádu a jejich odstranění (tj. zejména narušení představ o tom, </w:t>
      </w:r>
      <w:r>
        <w:rPr>
          <w:rFonts w:ascii="Times New Roman" w:hAnsi="Times New Roman"/>
          <w:sz w:val="24"/>
          <w:szCs w:val="24"/>
        </w:rPr>
        <w:t>že </w:t>
      </w:r>
      <w:r w:rsidRPr="00AE3051">
        <w:rPr>
          <w:rFonts w:ascii="Times New Roman" w:hAnsi="Times New Roman"/>
          <w:sz w:val="24"/>
          <w:szCs w:val="24"/>
        </w:rPr>
        <w:t xml:space="preserve">určité obory a povolání jsou vhodné pouze pro ženy, respektive pro muže). Výsledkem podpory individuálně svobodné volby v systému oborů, které nejsou mechanicky spojovány s představou maskulinity a femininity, bude snížení genderových rozdílů ve vzdělávacích trajektoriích, tj. větší zájem mužů o obory dříve preferované ženami a opačně. Dlouhodobým cílem by mělo být rostoucí zastoupení žen a mužů v oborech, které v současnosti vykazují výrazný nepoměr, a tím rovnoměrnější poměr mužů a žen v žákovské/studentské populaci. </w:t>
      </w: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u w:val="single"/>
        </w:rPr>
        <w:t>Indikátory hodnocení</w:t>
      </w:r>
      <w:r w:rsidRPr="00AE3051">
        <w:rPr>
          <w:rFonts w:ascii="Times New Roman" w:hAnsi="Times New Roman"/>
          <w:sz w:val="24"/>
          <w:szCs w:val="24"/>
        </w:rPr>
        <w:t>:</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 xml:space="preserve">dosažení vyrovnanějšího poměru žen a mužů studující jednotlivé obory </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 xml:space="preserve">uskutečnění informační kampaně adresované veřejnosti týkající se vhodnosti všech studijních, respektive pracovních oborů pro </w:t>
      </w:r>
      <w:r>
        <w:rPr>
          <w:rFonts w:ascii="Times New Roman" w:hAnsi="Times New Roman"/>
          <w:sz w:val="24"/>
          <w:szCs w:val="24"/>
        </w:rPr>
        <w:t xml:space="preserve">muže i </w:t>
      </w:r>
      <w:r w:rsidRPr="00AE3051">
        <w:rPr>
          <w:rFonts w:ascii="Times New Roman" w:hAnsi="Times New Roman"/>
          <w:sz w:val="24"/>
          <w:szCs w:val="24"/>
        </w:rPr>
        <w:t>ženy v závislosti na jejich individuálních dispozicích a zájmech</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 xml:space="preserve">uskutečnění informační kampaně adresované žákům/yním 2. stupně základních škol </w:t>
      </w:r>
      <w:r>
        <w:rPr>
          <w:rFonts w:ascii="Times New Roman" w:hAnsi="Times New Roman"/>
          <w:sz w:val="24"/>
          <w:szCs w:val="24"/>
        </w:rPr>
        <w:t>a </w:t>
      </w:r>
      <w:r w:rsidRPr="00AE3051">
        <w:rPr>
          <w:rFonts w:ascii="Times New Roman" w:hAnsi="Times New Roman"/>
          <w:sz w:val="24"/>
          <w:szCs w:val="24"/>
        </w:rPr>
        <w:t xml:space="preserve">středních škol týkající se vhodnosti všech studijních, respektive pracovních oborů </w:t>
      </w:r>
      <w:r>
        <w:rPr>
          <w:rFonts w:ascii="Times New Roman" w:hAnsi="Times New Roman"/>
          <w:sz w:val="24"/>
          <w:szCs w:val="24"/>
        </w:rPr>
        <w:t>pro </w:t>
      </w:r>
      <w:r w:rsidRPr="00AE3051">
        <w:rPr>
          <w:rFonts w:ascii="Times New Roman" w:hAnsi="Times New Roman"/>
          <w:sz w:val="24"/>
          <w:szCs w:val="24"/>
        </w:rPr>
        <w:t>ženy i muže v závislosti na jejich individuálních dispozicích a zájmech</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 xml:space="preserve">metodická podpora a systematické vzdělávání vyučujících relevantních předmětů </w:t>
      </w:r>
      <w:r>
        <w:rPr>
          <w:rFonts w:ascii="Times New Roman" w:hAnsi="Times New Roman"/>
          <w:sz w:val="24"/>
          <w:szCs w:val="24"/>
        </w:rPr>
        <w:t>a </w:t>
      </w:r>
      <w:r w:rsidRPr="00AE3051">
        <w:rPr>
          <w:rFonts w:ascii="Times New Roman" w:hAnsi="Times New Roman"/>
          <w:sz w:val="24"/>
          <w:szCs w:val="24"/>
        </w:rPr>
        <w:t xml:space="preserve">výchovných poradců a poradkyň v tom, aby působili na žáky a žákyně ve směru genderově nestereotypní volby povolání </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lastRenderedPageBreak/>
        <w:t>využívání stávajících nástrojů k volbě povolání k podpoře genderově nestereotypní volby povolání</w:t>
      </w:r>
      <w:r w:rsidRPr="00C12086">
        <w:rPr>
          <w:rFonts w:ascii="Times New Roman" w:hAnsi="Times New Roman"/>
          <w:sz w:val="24"/>
          <w:szCs w:val="24"/>
        </w:rPr>
        <w:t>;</w:t>
      </w:r>
      <w:r w:rsidRPr="00AE3051">
        <w:rPr>
          <w:rFonts w:ascii="Times New Roman" w:hAnsi="Times New Roman"/>
          <w:sz w:val="24"/>
          <w:szCs w:val="24"/>
        </w:rPr>
        <w:t xml:space="preserve"> vyzdvižení genderové problematiky v existujících materiálech, jako </w:t>
      </w:r>
      <w:r>
        <w:rPr>
          <w:rFonts w:ascii="Times New Roman" w:hAnsi="Times New Roman"/>
          <w:sz w:val="24"/>
          <w:szCs w:val="24"/>
        </w:rPr>
        <w:t>je </w:t>
      </w:r>
      <w:r w:rsidRPr="00AE3051">
        <w:rPr>
          <w:rFonts w:ascii="Times New Roman" w:hAnsi="Times New Roman"/>
          <w:sz w:val="24"/>
          <w:szCs w:val="24"/>
        </w:rPr>
        <w:t xml:space="preserve">www.infoabsolvent.cz </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pravidelná realizace soutěže „Škola pro dívky i pro chlapce“, která podpoří a ocení střední školy usilující o vyrovnání podílu uchazečů a ucha</w:t>
      </w:r>
      <w:r>
        <w:rPr>
          <w:rFonts w:ascii="Times New Roman" w:hAnsi="Times New Roman"/>
          <w:sz w:val="24"/>
          <w:szCs w:val="24"/>
        </w:rPr>
        <w:t>zeček, respektive žáků a žákyň,</w:t>
      </w:r>
      <w:r>
        <w:rPr>
          <w:rFonts w:ascii="Times New Roman" w:hAnsi="Times New Roman"/>
          <w:sz w:val="24"/>
          <w:szCs w:val="24"/>
        </w:rPr>
        <w:br/>
      </w:r>
      <w:r w:rsidRPr="00AE3051">
        <w:rPr>
          <w:rFonts w:ascii="Times New Roman" w:hAnsi="Times New Roman"/>
          <w:sz w:val="24"/>
          <w:szCs w:val="24"/>
        </w:rPr>
        <w:t>a případně dalších projektů propagujících genderovou rovnost jako hodnotu demokratického školství</w:t>
      </w:r>
    </w:p>
    <w:p w:rsidR="00561843" w:rsidRPr="00AE3051" w:rsidRDefault="00561843" w:rsidP="00AE3051">
      <w:pPr>
        <w:autoSpaceDE w:val="0"/>
        <w:autoSpaceDN w:val="0"/>
        <w:adjustRightInd w:val="0"/>
        <w:jc w:val="both"/>
        <w:rPr>
          <w:rFonts w:ascii="Times New Roman" w:hAnsi="Times New Roman"/>
          <w:sz w:val="24"/>
          <w:szCs w:val="24"/>
        </w:rPr>
      </w:pPr>
    </w:p>
    <w:p w:rsidR="00561843" w:rsidRPr="00AE3051" w:rsidRDefault="00561843" w:rsidP="00AE3051">
      <w:pPr>
        <w:numPr>
          <w:ilvl w:val="0"/>
          <w:numId w:val="14"/>
        </w:numPr>
        <w:autoSpaceDE w:val="0"/>
        <w:autoSpaceDN w:val="0"/>
        <w:adjustRightInd w:val="0"/>
        <w:spacing w:after="0" w:line="240" w:lineRule="auto"/>
        <w:ind w:left="360"/>
        <w:jc w:val="both"/>
        <w:rPr>
          <w:rFonts w:ascii="Times New Roman" w:hAnsi="Times New Roman"/>
          <w:b/>
          <w:sz w:val="24"/>
          <w:szCs w:val="24"/>
        </w:rPr>
      </w:pPr>
      <w:r w:rsidRPr="00AE3051">
        <w:rPr>
          <w:rFonts w:ascii="Times New Roman" w:hAnsi="Times New Roman"/>
          <w:b/>
          <w:sz w:val="24"/>
          <w:szCs w:val="24"/>
        </w:rPr>
        <w:t xml:space="preserve">vyrovnání genderového rozdílu ve školních výkonech </w:t>
      </w:r>
    </w:p>
    <w:p w:rsidR="00561843" w:rsidRPr="00AE3051" w:rsidRDefault="00561843" w:rsidP="00AE3051">
      <w:pPr>
        <w:autoSpaceDE w:val="0"/>
        <w:autoSpaceDN w:val="0"/>
        <w:adjustRightInd w:val="0"/>
        <w:ind w:left="360"/>
        <w:jc w:val="both"/>
        <w:rPr>
          <w:rFonts w:ascii="Times New Roman" w:hAnsi="Times New Roman"/>
          <w:b/>
          <w:sz w:val="24"/>
          <w:szCs w:val="24"/>
        </w:rPr>
      </w:pP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rPr>
        <w:t xml:space="preserve">Aktuální školní výsledky dívek a chlapců vykazují systematické rozdíly. Dívky dosahují v průměru lepšího školního prospěchu než chlapci. Chlapci zároveň mají nižší vzdělanostní aspirace a častěji předčasně opouštějí studium. Školní prospěch však nekoresponduje s dalšími typy výstupů. Lepší školní známky dívek nejsou doprovázeny jejich lepšími výsledky v externích evaluačních nástrojích, ani vyšším hodnocením jejich studijních výkonů. Jednotlivé typy školních výkonů vykazují nekonzistenci a systematické rozdíly mezi dívkami a chlapci, které poukazují mimo jiné na vliv genderových stereotypů. Školní výsledky v podobě formalizovaného prospěchu, výsledků v externích evaluačních nástrojích, ale také adekvátního poznání vlastních znalostí a dovedností a vzdělávacích aspirací, by měly odrážet výhradně individuální dispozice a zájmy, </w:t>
      </w:r>
      <w:r w:rsidRPr="00AE3051">
        <w:rPr>
          <w:rFonts w:ascii="Times New Roman" w:hAnsi="Times New Roman"/>
          <w:b/>
          <w:sz w:val="24"/>
          <w:szCs w:val="24"/>
        </w:rPr>
        <w:t>nikoliv rozdílná očekávání vůči schopnostem dívek a chlapců</w:t>
      </w:r>
      <w:r w:rsidRPr="00AE3051">
        <w:rPr>
          <w:rFonts w:ascii="Times New Roman" w:hAnsi="Times New Roman"/>
          <w:sz w:val="24"/>
          <w:szCs w:val="24"/>
        </w:rPr>
        <w:t xml:space="preserve">, která vyrůstají z genderových stereotypů. Dívky a chlapci by v průměru měli dosahovat obdobných výsledků a </w:t>
      </w:r>
      <w:r w:rsidRPr="00AE3051">
        <w:rPr>
          <w:rFonts w:ascii="Times New Roman" w:hAnsi="Times New Roman"/>
          <w:b/>
          <w:sz w:val="24"/>
          <w:szCs w:val="24"/>
        </w:rPr>
        <w:t>obdobné míry rozvinutí svého individuálního potenciálu</w:t>
      </w:r>
      <w:r w:rsidRPr="00AE3051">
        <w:rPr>
          <w:rFonts w:ascii="Times New Roman" w:hAnsi="Times New Roman"/>
          <w:sz w:val="24"/>
          <w:szCs w:val="24"/>
        </w:rPr>
        <w:t xml:space="preserve">.   </w:t>
      </w:r>
    </w:p>
    <w:p w:rsidR="00561843" w:rsidRPr="00AE3051" w:rsidRDefault="00561843" w:rsidP="00AE3051">
      <w:pPr>
        <w:autoSpaceDE w:val="0"/>
        <w:autoSpaceDN w:val="0"/>
        <w:adjustRightInd w:val="0"/>
        <w:jc w:val="both"/>
        <w:rPr>
          <w:rFonts w:ascii="Times New Roman" w:hAnsi="Times New Roman"/>
          <w:sz w:val="24"/>
          <w:szCs w:val="24"/>
        </w:rPr>
      </w:pPr>
      <w:r w:rsidRPr="00AE3051">
        <w:rPr>
          <w:rFonts w:ascii="Times New Roman" w:hAnsi="Times New Roman"/>
          <w:sz w:val="24"/>
          <w:szCs w:val="24"/>
          <w:u w:val="single"/>
        </w:rPr>
        <w:t>Indikátory hodnocení</w:t>
      </w:r>
      <w:r w:rsidRPr="00AE3051">
        <w:rPr>
          <w:rFonts w:ascii="Times New Roman" w:hAnsi="Times New Roman"/>
          <w:sz w:val="24"/>
          <w:szCs w:val="24"/>
        </w:rPr>
        <w:t>:</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 xml:space="preserve">dlouhodobé sledování a vyhodnocování vývoje různých typů školních výkonů dívek </w:t>
      </w:r>
      <w:r>
        <w:rPr>
          <w:rFonts w:ascii="Times New Roman" w:hAnsi="Times New Roman"/>
          <w:sz w:val="24"/>
          <w:szCs w:val="24"/>
        </w:rPr>
        <w:t>a </w:t>
      </w:r>
      <w:r w:rsidRPr="00AE3051">
        <w:rPr>
          <w:rFonts w:ascii="Times New Roman" w:hAnsi="Times New Roman"/>
          <w:sz w:val="24"/>
          <w:szCs w:val="24"/>
        </w:rPr>
        <w:t xml:space="preserve">chlapců, a to při zohlednění socio-kulturního původu a věku </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provádění genderových analýz externích evaluačních nástrojů a jejich výsledků (zvláště v případě nástrojů zaváděných MŠMT)</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průběžné informování pedagogické veřejnosti o genderových rozdílech ve školních výkonech a o možnostech jejich snížení ve školní výuce</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 xml:space="preserve">organizační, metodická a finanční podpora aktivit na úrovni konkrétních škol vedoucí </w:t>
      </w:r>
      <w:r>
        <w:rPr>
          <w:rFonts w:ascii="Times New Roman" w:hAnsi="Times New Roman"/>
          <w:sz w:val="24"/>
          <w:szCs w:val="24"/>
        </w:rPr>
        <w:t>ke </w:t>
      </w:r>
      <w:r w:rsidRPr="00AE3051">
        <w:rPr>
          <w:rFonts w:ascii="Times New Roman" w:hAnsi="Times New Roman"/>
          <w:sz w:val="24"/>
          <w:szCs w:val="24"/>
        </w:rPr>
        <w:t xml:space="preserve">zvýšení školních výkonů systematicky neúspěšných skupin žáků a žákyň  </w:t>
      </w:r>
    </w:p>
    <w:p w:rsidR="00561843" w:rsidRPr="00AE3051"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AE3051">
        <w:rPr>
          <w:rFonts w:ascii="Times New Roman" w:hAnsi="Times New Roman"/>
          <w:sz w:val="24"/>
          <w:szCs w:val="24"/>
        </w:rPr>
        <w:t xml:space="preserve">zahrnutí problematiky genderových rozdílů ve školních výkonech a projevech dívek </w:t>
      </w:r>
      <w:r>
        <w:rPr>
          <w:rFonts w:ascii="Times New Roman" w:hAnsi="Times New Roman"/>
          <w:sz w:val="24"/>
          <w:szCs w:val="24"/>
        </w:rPr>
        <w:t>a </w:t>
      </w:r>
      <w:r w:rsidRPr="00AE3051">
        <w:rPr>
          <w:rFonts w:ascii="Times New Roman" w:hAnsi="Times New Roman"/>
          <w:sz w:val="24"/>
          <w:szCs w:val="24"/>
        </w:rPr>
        <w:t>chlapců do profesní přípravy a celoživotního vzdělávání vyučujících tak, aby vyučující rozuměli zdrojům těchto rozdílů a postupům k jejich eliminaci</w:t>
      </w:r>
    </w:p>
    <w:p w:rsidR="00561843" w:rsidRPr="00AE3051" w:rsidRDefault="00561843" w:rsidP="00AE3051">
      <w:pPr>
        <w:autoSpaceDE w:val="0"/>
        <w:autoSpaceDN w:val="0"/>
        <w:adjustRightInd w:val="0"/>
        <w:ind w:left="360"/>
        <w:jc w:val="both"/>
        <w:rPr>
          <w:rFonts w:ascii="Times New Roman" w:hAnsi="Times New Roman"/>
          <w:b/>
          <w:sz w:val="24"/>
          <w:szCs w:val="24"/>
        </w:rPr>
      </w:pPr>
    </w:p>
    <w:p w:rsidR="00077770" w:rsidRDefault="00077770" w:rsidP="00077770">
      <w:pPr>
        <w:autoSpaceDE w:val="0"/>
        <w:autoSpaceDN w:val="0"/>
        <w:adjustRightInd w:val="0"/>
        <w:spacing w:after="0" w:line="240" w:lineRule="auto"/>
        <w:ind w:left="360"/>
        <w:jc w:val="both"/>
        <w:rPr>
          <w:rFonts w:ascii="Times New Roman" w:hAnsi="Times New Roman"/>
          <w:b/>
          <w:sz w:val="24"/>
          <w:szCs w:val="24"/>
        </w:rPr>
      </w:pPr>
    </w:p>
    <w:p w:rsidR="00077770" w:rsidRDefault="00077770" w:rsidP="00077770">
      <w:pPr>
        <w:autoSpaceDE w:val="0"/>
        <w:autoSpaceDN w:val="0"/>
        <w:adjustRightInd w:val="0"/>
        <w:spacing w:after="0" w:line="240" w:lineRule="auto"/>
        <w:ind w:left="360"/>
        <w:jc w:val="both"/>
        <w:rPr>
          <w:rFonts w:ascii="Times New Roman" w:hAnsi="Times New Roman"/>
          <w:b/>
          <w:sz w:val="24"/>
          <w:szCs w:val="24"/>
        </w:rPr>
      </w:pPr>
    </w:p>
    <w:p w:rsidR="00077770" w:rsidRDefault="00077770" w:rsidP="00077770">
      <w:pPr>
        <w:autoSpaceDE w:val="0"/>
        <w:autoSpaceDN w:val="0"/>
        <w:adjustRightInd w:val="0"/>
        <w:spacing w:after="0" w:line="240" w:lineRule="auto"/>
        <w:ind w:left="360"/>
        <w:jc w:val="both"/>
        <w:rPr>
          <w:rFonts w:ascii="Times New Roman" w:hAnsi="Times New Roman"/>
          <w:b/>
          <w:sz w:val="24"/>
          <w:szCs w:val="24"/>
        </w:rPr>
      </w:pPr>
    </w:p>
    <w:p w:rsidR="00077770" w:rsidRDefault="00077770" w:rsidP="00077770">
      <w:pPr>
        <w:autoSpaceDE w:val="0"/>
        <w:autoSpaceDN w:val="0"/>
        <w:adjustRightInd w:val="0"/>
        <w:spacing w:after="0" w:line="240" w:lineRule="auto"/>
        <w:ind w:left="360"/>
        <w:jc w:val="both"/>
        <w:rPr>
          <w:rFonts w:ascii="Times New Roman" w:hAnsi="Times New Roman"/>
          <w:b/>
          <w:sz w:val="24"/>
          <w:szCs w:val="24"/>
        </w:rPr>
      </w:pPr>
    </w:p>
    <w:p w:rsidR="00561843" w:rsidRPr="0035101E" w:rsidRDefault="00561843" w:rsidP="00AE3051">
      <w:pPr>
        <w:numPr>
          <w:ilvl w:val="0"/>
          <w:numId w:val="14"/>
        </w:numPr>
        <w:autoSpaceDE w:val="0"/>
        <w:autoSpaceDN w:val="0"/>
        <w:adjustRightInd w:val="0"/>
        <w:spacing w:after="0" w:line="240" w:lineRule="auto"/>
        <w:ind w:left="360"/>
        <w:jc w:val="both"/>
        <w:rPr>
          <w:rFonts w:ascii="Times New Roman" w:hAnsi="Times New Roman"/>
          <w:b/>
          <w:sz w:val="24"/>
          <w:szCs w:val="24"/>
        </w:rPr>
      </w:pPr>
      <w:r w:rsidRPr="0035101E">
        <w:rPr>
          <w:rFonts w:ascii="Times New Roman" w:hAnsi="Times New Roman"/>
          <w:b/>
          <w:sz w:val="24"/>
          <w:szCs w:val="24"/>
        </w:rPr>
        <w:t>podpora genderové perspektivy v kurikulu</w:t>
      </w:r>
    </w:p>
    <w:p w:rsidR="00561843" w:rsidRPr="0035101E" w:rsidRDefault="00561843" w:rsidP="00AE3051">
      <w:pPr>
        <w:autoSpaceDE w:val="0"/>
        <w:autoSpaceDN w:val="0"/>
        <w:adjustRightInd w:val="0"/>
        <w:ind w:left="360"/>
        <w:jc w:val="both"/>
        <w:rPr>
          <w:rFonts w:ascii="Times New Roman" w:hAnsi="Times New Roman"/>
          <w:b/>
          <w:sz w:val="24"/>
          <w:szCs w:val="24"/>
        </w:rPr>
      </w:pPr>
    </w:p>
    <w:p w:rsidR="00561843"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lastRenderedPageBreak/>
        <w:t xml:space="preserve">V širokém slova smyslu je cílem školního vzdělávání, aby žákyně a žáci získali orientaci </w:t>
      </w:r>
      <w:r>
        <w:rPr>
          <w:rFonts w:ascii="Times New Roman" w:hAnsi="Times New Roman"/>
          <w:sz w:val="24"/>
          <w:szCs w:val="24"/>
        </w:rPr>
        <w:t>a </w:t>
      </w:r>
      <w:r w:rsidRPr="0035101E">
        <w:rPr>
          <w:rFonts w:ascii="Times New Roman" w:hAnsi="Times New Roman"/>
          <w:sz w:val="24"/>
          <w:szCs w:val="24"/>
        </w:rPr>
        <w:t xml:space="preserve">porozumění realitě, která je obklopuje. Součástí sociální reality je i gender jako organizační společenský princip. Škola by proto měla studujícím zprostředkovat </w:t>
      </w:r>
      <w:r w:rsidRPr="0035101E">
        <w:rPr>
          <w:rFonts w:ascii="Times New Roman" w:hAnsi="Times New Roman"/>
          <w:b/>
          <w:sz w:val="24"/>
          <w:szCs w:val="24"/>
        </w:rPr>
        <w:t>porozumění genderové problematice</w:t>
      </w:r>
      <w:r w:rsidRPr="0035101E">
        <w:rPr>
          <w:rFonts w:ascii="Times New Roman" w:hAnsi="Times New Roman"/>
          <w:sz w:val="24"/>
          <w:szCs w:val="24"/>
        </w:rPr>
        <w:t xml:space="preserve"> neboli porozumění tomu, že životy žen a mužů jsou mimo jiné ovlivňovány společenskými představami o femininitě a maskulinitě a jaký vliv to může mít na jejich budoucí životy. Poznání genderových stereotypů a jejich funkce v životě společnosti </w:t>
      </w:r>
      <w:r>
        <w:rPr>
          <w:rFonts w:ascii="Times New Roman" w:hAnsi="Times New Roman"/>
          <w:sz w:val="24"/>
          <w:szCs w:val="24"/>
        </w:rPr>
        <w:t>i </w:t>
      </w:r>
      <w:r w:rsidRPr="0035101E">
        <w:rPr>
          <w:rFonts w:ascii="Times New Roman" w:hAnsi="Times New Roman"/>
          <w:sz w:val="24"/>
          <w:szCs w:val="24"/>
        </w:rPr>
        <w:t xml:space="preserve">jednotlivců by mělo být obsahem školního vyučování v příslušných vzdělávacích oborech, které náleží do vzdělávací oblasti Člověk a společnost, případně dalších (v kombinaci s vhodnou formou podání v závislosti na věku studujících). I v ostatních vzdělávacích oblastech by ale měla být genderová problematika reflektována, a to jak aktivně </w:t>
      </w:r>
      <w:r>
        <w:rPr>
          <w:rFonts w:ascii="Times New Roman" w:hAnsi="Times New Roman"/>
          <w:sz w:val="24"/>
          <w:szCs w:val="24"/>
        </w:rPr>
        <w:t>(při </w:t>
      </w:r>
      <w:r w:rsidRPr="0035101E">
        <w:rPr>
          <w:rFonts w:ascii="Times New Roman" w:hAnsi="Times New Roman"/>
          <w:sz w:val="24"/>
          <w:szCs w:val="24"/>
        </w:rPr>
        <w:t xml:space="preserve">uplatňování mezioborových vazeb), tak pasivně (ve smyslu nevyužívání genderově stereotypních obsahů). </w:t>
      </w:r>
    </w:p>
    <w:p w:rsidR="00561843"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t>Zahrnutí genderové problematiky do vzdělávání se tedy týká jak všech vyučovacích předmětů a všech vzdělávacích stupňů, tak vzdělávacího obsahu i vyučovacích metod a forem. Cílem začlenění genderové problematiky do národních, respektive školních kurikulárních dokumentů a do předávaného kurikula, je, aby</w:t>
      </w:r>
      <w:r>
        <w:rPr>
          <w:rFonts w:ascii="Times New Roman" w:hAnsi="Times New Roman"/>
          <w:sz w:val="24"/>
          <w:szCs w:val="24"/>
        </w:rPr>
        <w:t xml:space="preserve"> žáci a</w:t>
      </w:r>
      <w:r w:rsidRPr="0035101E">
        <w:rPr>
          <w:rFonts w:ascii="Times New Roman" w:hAnsi="Times New Roman"/>
          <w:sz w:val="24"/>
          <w:szCs w:val="24"/>
        </w:rPr>
        <w:t xml:space="preserve"> </w:t>
      </w:r>
      <w:r>
        <w:rPr>
          <w:rFonts w:ascii="Times New Roman" w:hAnsi="Times New Roman"/>
          <w:sz w:val="24"/>
          <w:szCs w:val="24"/>
        </w:rPr>
        <w:t xml:space="preserve">žákyně </w:t>
      </w:r>
      <w:r w:rsidRPr="0035101E">
        <w:rPr>
          <w:rFonts w:ascii="Times New Roman" w:hAnsi="Times New Roman"/>
          <w:sz w:val="24"/>
          <w:szCs w:val="24"/>
        </w:rPr>
        <w:t xml:space="preserve">porozuměli vztahu mezi biologickou a socio-kulturní podmíněností ženství a mužství, rozpoznali negativní i pozitivní funkce genderových stereotypů a uvědomili si jejich vliv na sebe samé a jejich okolí. V návaznosti na to pak budou schopni provést </w:t>
      </w:r>
      <w:r w:rsidRPr="0035101E">
        <w:rPr>
          <w:rFonts w:ascii="Times New Roman" w:hAnsi="Times New Roman"/>
          <w:b/>
          <w:sz w:val="24"/>
          <w:szCs w:val="24"/>
        </w:rPr>
        <w:t xml:space="preserve">reálně svobodnou volbu své další studijní </w:t>
      </w:r>
      <w:r>
        <w:rPr>
          <w:rFonts w:ascii="Times New Roman" w:hAnsi="Times New Roman"/>
          <w:b/>
          <w:sz w:val="24"/>
          <w:szCs w:val="24"/>
        </w:rPr>
        <w:t>a </w:t>
      </w:r>
      <w:r w:rsidRPr="0035101E">
        <w:rPr>
          <w:rFonts w:ascii="Times New Roman" w:hAnsi="Times New Roman"/>
          <w:b/>
          <w:sz w:val="24"/>
          <w:szCs w:val="24"/>
        </w:rPr>
        <w:t>pracovní dráhy a životního stylu</w:t>
      </w:r>
      <w:r w:rsidRPr="0035101E">
        <w:rPr>
          <w:rFonts w:ascii="Times New Roman" w:hAnsi="Times New Roman"/>
          <w:sz w:val="24"/>
          <w:szCs w:val="24"/>
        </w:rPr>
        <w:t xml:space="preserve">.  </w:t>
      </w:r>
    </w:p>
    <w:p w:rsidR="00135D4C" w:rsidRPr="00077770"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t xml:space="preserve">Aktuální znění rámcových vzdělávacích programů pro všechny úrovně vzdělávání v sobě v určité míře zahrnují otázky související s genderovým řádem a vztahy mezi ženami a muži. Dosud však nedošlo k vyhodnocení, zda je rozsah a forma zahrnutí témat do RVP a ŠVP efektivní a adekvátní vzhledem k věku a k cílům vzdělávání, ani zda je problematika vhodně zapojena do realizované výuky. Na základě výsledků analýzy dokumentů i analýzy výuky </w:t>
      </w:r>
      <w:r>
        <w:rPr>
          <w:rFonts w:ascii="Times New Roman" w:hAnsi="Times New Roman"/>
          <w:sz w:val="24"/>
          <w:szCs w:val="24"/>
        </w:rPr>
        <w:t>a </w:t>
      </w:r>
      <w:r w:rsidRPr="0035101E">
        <w:rPr>
          <w:rFonts w:ascii="Times New Roman" w:hAnsi="Times New Roman"/>
          <w:sz w:val="24"/>
          <w:szCs w:val="24"/>
        </w:rPr>
        <w:t xml:space="preserve">na základě inspirace úspěšnými zahraničními kurikulárními dokumenty by bylo vhodné zvážit </w:t>
      </w:r>
      <w:r w:rsidRPr="0035101E">
        <w:rPr>
          <w:rFonts w:ascii="Times New Roman" w:hAnsi="Times New Roman"/>
          <w:b/>
          <w:sz w:val="24"/>
          <w:szCs w:val="24"/>
        </w:rPr>
        <w:t>úpravy RVP</w:t>
      </w:r>
      <w:r w:rsidRPr="0035101E">
        <w:rPr>
          <w:rFonts w:ascii="Times New Roman" w:hAnsi="Times New Roman"/>
          <w:sz w:val="24"/>
          <w:szCs w:val="24"/>
        </w:rPr>
        <w:t xml:space="preserve"> z hlediska doplnění či pozměnění obsahu, posunu vzdělávacích cílů </w:t>
      </w:r>
      <w:r>
        <w:rPr>
          <w:rFonts w:ascii="Times New Roman" w:hAnsi="Times New Roman"/>
          <w:sz w:val="24"/>
          <w:szCs w:val="24"/>
        </w:rPr>
        <w:t>a </w:t>
      </w:r>
      <w:r w:rsidRPr="0035101E">
        <w:rPr>
          <w:rFonts w:ascii="Times New Roman" w:hAnsi="Times New Roman"/>
          <w:sz w:val="24"/>
          <w:szCs w:val="24"/>
        </w:rPr>
        <w:t xml:space="preserve">vhodnosti terminologie a dále vytvoření </w:t>
      </w:r>
      <w:r w:rsidRPr="0035101E">
        <w:rPr>
          <w:rFonts w:ascii="Times New Roman" w:hAnsi="Times New Roman"/>
          <w:b/>
          <w:sz w:val="24"/>
          <w:szCs w:val="24"/>
        </w:rPr>
        <w:t>metodické podpory pro vyučující</w:t>
      </w:r>
      <w:r w:rsidRPr="0035101E">
        <w:rPr>
          <w:rFonts w:ascii="Times New Roman" w:hAnsi="Times New Roman"/>
          <w:sz w:val="24"/>
          <w:szCs w:val="24"/>
        </w:rPr>
        <w:t xml:space="preserve"> při zavádění genderové proble</w:t>
      </w:r>
      <w:r w:rsidR="00077770">
        <w:rPr>
          <w:rFonts w:ascii="Times New Roman" w:hAnsi="Times New Roman"/>
          <w:sz w:val="24"/>
          <w:szCs w:val="24"/>
        </w:rPr>
        <w:t xml:space="preserve">matiky do výuky.  </w:t>
      </w:r>
    </w:p>
    <w:p w:rsidR="00561843"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u w:val="single"/>
        </w:rPr>
        <w:t>Indikátory hodnocení</w:t>
      </w:r>
      <w:r w:rsidRPr="0035101E">
        <w:rPr>
          <w:rFonts w:ascii="Times New Roman" w:hAnsi="Times New Roman"/>
          <w:sz w:val="24"/>
          <w:szCs w:val="24"/>
        </w:rPr>
        <w:t>:</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b/>
          <w:sz w:val="24"/>
          <w:szCs w:val="24"/>
        </w:rPr>
      </w:pPr>
      <w:r w:rsidRPr="0035101E">
        <w:rPr>
          <w:rFonts w:ascii="Times New Roman" w:hAnsi="Times New Roman"/>
          <w:sz w:val="24"/>
          <w:szCs w:val="24"/>
        </w:rPr>
        <w:t>zahrnutí genderových aspektů do systematického monitoringu práce škol a podpory vyučujících produktivní práci ve třídě</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b/>
          <w:sz w:val="24"/>
          <w:szCs w:val="24"/>
        </w:rPr>
      </w:pPr>
      <w:r w:rsidRPr="0035101E">
        <w:rPr>
          <w:rFonts w:ascii="Times New Roman" w:hAnsi="Times New Roman"/>
          <w:sz w:val="24"/>
          <w:szCs w:val="24"/>
        </w:rPr>
        <w:t>provedení didaktické analýzy rámcových vzdělávacích programů s ohledem na začlenění genderové problematiky</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b/>
          <w:sz w:val="24"/>
          <w:szCs w:val="24"/>
        </w:rPr>
      </w:pPr>
      <w:r w:rsidRPr="0035101E">
        <w:rPr>
          <w:rFonts w:ascii="Times New Roman" w:hAnsi="Times New Roman"/>
          <w:sz w:val="24"/>
          <w:szCs w:val="24"/>
        </w:rPr>
        <w:t xml:space="preserve">na základě výsledků monitoringu a analýzy kurikulárních dokumentů zavedení genderové problematiky (s adekvátní terminologií) do rámcových vzdělávacích programů </w:t>
      </w:r>
      <w:r>
        <w:rPr>
          <w:rFonts w:ascii="Times New Roman" w:hAnsi="Times New Roman"/>
          <w:sz w:val="24"/>
          <w:szCs w:val="24"/>
        </w:rPr>
        <w:t>pro </w:t>
      </w:r>
      <w:r w:rsidRPr="0035101E">
        <w:rPr>
          <w:rFonts w:ascii="Times New Roman" w:hAnsi="Times New Roman"/>
          <w:sz w:val="24"/>
          <w:szCs w:val="24"/>
        </w:rPr>
        <w:t>předškolní, základní, gymnaziální a odborné vzdělávání</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b/>
          <w:sz w:val="24"/>
          <w:szCs w:val="24"/>
        </w:rPr>
      </w:pPr>
      <w:r w:rsidRPr="0035101E">
        <w:rPr>
          <w:rFonts w:ascii="Times New Roman" w:hAnsi="Times New Roman"/>
          <w:sz w:val="24"/>
          <w:szCs w:val="24"/>
        </w:rPr>
        <w:t>zohlednění genderové problematiky v kurikulu a vedení k</w:t>
      </w:r>
      <w:r w:rsidR="00DD3E05">
        <w:rPr>
          <w:rFonts w:ascii="Times New Roman" w:hAnsi="Times New Roman"/>
          <w:sz w:val="24"/>
          <w:szCs w:val="24"/>
        </w:rPr>
        <w:t>e</w:t>
      </w:r>
      <w:r w:rsidRPr="0035101E">
        <w:rPr>
          <w:rFonts w:ascii="Times New Roman" w:hAnsi="Times New Roman"/>
          <w:sz w:val="24"/>
          <w:szCs w:val="24"/>
        </w:rPr>
        <w:t xml:space="preserve"> genderové rovnosti v akreditačních kritériích, jimiž jsou posuzovány vysokoškolské pedagogické obory </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b/>
          <w:sz w:val="24"/>
          <w:szCs w:val="24"/>
        </w:rPr>
      </w:pPr>
      <w:r w:rsidRPr="0035101E">
        <w:rPr>
          <w:rFonts w:ascii="Times New Roman" w:hAnsi="Times New Roman"/>
          <w:sz w:val="24"/>
          <w:szCs w:val="24"/>
        </w:rPr>
        <w:t>zohlednění genderové problematiky v kurikulu a vedení k</w:t>
      </w:r>
      <w:r w:rsidR="00DD3E05">
        <w:rPr>
          <w:rFonts w:ascii="Times New Roman" w:hAnsi="Times New Roman"/>
          <w:sz w:val="24"/>
          <w:szCs w:val="24"/>
        </w:rPr>
        <w:t>e</w:t>
      </w:r>
      <w:r w:rsidRPr="0035101E">
        <w:rPr>
          <w:rFonts w:ascii="Times New Roman" w:hAnsi="Times New Roman"/>
          <w:sz w:val="24"/>
          <w:szCs w:val="24"/>
        </w:rPr>
        <w:t xml:space="preserve"> genderové rovnosti v nabídce celoživotního vzdělávání pro vyučující </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lastRenderedPageBreak/>
        <w:t>organizační, metodická a finanční podpora projektů napomáhajících zařazení genderové problematiky do obsahu a formy výuky na školách</w:t>
      </w:r>
    </w:p>
    <w:p w:rsidR="00561843" w:rsidRPr="0035101E" w:rsidRDefault="00561843" w:rsidP="00AE3051">
      <w:pPr>
        <w:autoSpaceDE w:val="0"/>
        <w:autoSpaceDN w:val="0"/>
        <w:adjustRightInd w:val="0"/>
        <w:jc w:val="both"/>
        <w:rPr>
          <w:rFonts w:ascii="Times New Roman" w:hAnsi="Times New Roman"/>
          <w:sz w:val="24"/>
          <w:szCs w:val="24"/>
        </w:rPr>
      </w:pPr>
    </w:p>
    <w:p w:rsidR="00561843" w:rsidRPr="0035101E" w:rsidRDefault="00561843" w:rsidP="00AE3051">
      <w:pPr>
        <w:numPr>
          <w:ilvl w:val="0"/>
          <w:numId w:val="14"/>
        </w:numPr>
        <w:autoSpaceDE w:val="0"/>
        <w:autoSpaceDN w:val="0"/>
        <w:adjustRightInd w:val="0"/>
        <w:spacing w:after="0" w:line="240" w:lineRule="auto"/>
        <w:ind w:left="360"/>
        <w:jc w:val="both"/>
        <w:rPr>
          <w:rFonts w:ascii="Times New Roman" w:hAnsi="Times New Roman"/>
          <w:b/>
          <w:sz w:val="24"/>
          <w:szCs w:val="24"/>
        </w:rPr>
      </w:pPr>
      <w:r w:rsidRPr="0035101E">
        <w:rPr>
          <w:rFonts w:ascii="Times New Roman" w:hAnsi="Times New Roman"/>
          <w:b/>
          <w:sz w:val="24"/>
          <w:szCs w:val="24"/>
        </w:rPr>
        <w:t>změna podílu mužů a žen v učitelství</w:t>
      </w:r>
    </w:p>
    <w:p w:rsidR="00561843" w:rsidRPr="0035101E" w:rsidRDefault="00561843" w:rsidP="00AE3051">
      <w:pPr>
        <w:autoSpaceDE w:val="0"/>
        <w:autoSpaceDN w:val="0"/>
        <w:adjustRightInd w:val="0"/>
        <w:jc w:val="both"/>
        <w:rPr>
          <w:rFonts w:ascii="Times New Roman" w:hAnsi="Times New Roman"/>
          <w:sz w:val="24"/>
          <w:szCs w:val="24"/>
        </w:rPr>
      </w:pPr>
    </w:p>
    <w:p w:rsidR="00561843"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t xml:space="preserve">Současný vzdělávací systém vykazuje velmi vysoké zastoupení žen mezi vyučujícími v předškolním a základním vzdělávání. Výzkumy ukazují, že </w:t>
      </w:r>
      <w:r w:rsidRPr="0035101E">
        <w:rPr>
          <w:rFonts w:ascii="Times New Roman" w:hAnsi="Times New Roman"/>
          <w:b/>
          <w:sz w:val="24"/>
          <w:szCs w:val="24"/>
        </w:rPr>
        <w:t>pestrost učitelských sborů z hlediska genderu, věku, etnicity a dalších proměnných přispívá k vyšší efektivitě školního vzdělávání</w:t>
      </w:r>
      <w:r w:rsidRPr="0035101E">
        <w:rPr>
          <w:rFonts w:ascii="Times New Roman" w:hAnsi="Times New Roman"/>
          <w:sz w:val="24"/>
          <w:szCs w:val="24"/>
        </w:rPr>
        <w:t xml:space="preserve">. Je proto žádoucí, aby na úrovni mateřských a základních škol došlo k výraznému nárůstu podílu mužů-učitelů. Na úrovni středního školství je žádoucí, aby se upravil podíl mužů a žen mezi vyučujícími odborných předmětů v oborech asociovaných s maskulinitou či femininitou. Na úrovni vysokého školství je žádoucí, aby se upravil podíl mužů a žen v jednotlivých oborech a aby se zvýšil podíl žen s akademickými hodnostmi. Smíšené pedagogické sbory nabízejí větší škálu vzorů pro studující, generují lepší pracovní klima a pozitivně ovlivňují prestiž učitelského povolání ve veřejnosti. </w:t>
      </w:r>
    </w:p>
    <w:p w:rsidR="00561843"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u w:val="single"/>
        </w:rPr>
        <w:t>Indikátory hodnocení</w:t>
      </w:r>
      <w:r w:rsidRPr="0035101E">
        <w:rPr>
          <w:rFonts w:ascii="Times New Roman" w:hAnsi="Times New Roman"/>
          <w:sz w:val="24"/>
          <w:szCs w:val="24"/>
        </w:rPr>
        <w:t>:</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b/>
          <w:sz w:val="24"/>
          <w:szCs w:val="24"/>
        </w:rPr>
      </w:pPr>
      <w:r w:rsidRPr="0035101E">
        <w:rPr>
          <w:rFonts w:ascii="Times New Roman" w:hAnsi="Times New Roman"/>
          <w:sz w:val="24"/>
          <w:szCs w:val="24"/>
        </w:rPr>
        <w:t xml:space="preserve">výrazné zvýšení podílu učitelů-mužů v předškolním a základním vzdělávání </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uskutečnění informační kampaně adresované veřejnosti týkající se vhodnosti učitelství jako povolání pro</w:t>
      </w:r>
      <w:r>
        <w:rPr>
          <w:rFonts w:ascii="Times New Roman" w:hAnsi="Times New Roman"/>
          <w:sz w:val="24"/>
          <w:szCs w:val="24"/>
        </w:rPr>
        <w:t xml:space="preserve"> muže i</w:t>
      </w:r>
      <w:r w:rsidRPr="0035101E">
        <w:rPr>
          <w:rFonts w:ascii="Times New Roman" w:hAnsi="Times New Roman"/>
          <w:sz w:val="24"/>
          <w:szCs w:val="24"/>
        </w:rPr>
        <w:t xml:space="preserve"> ženy, přičemž nejde pouze o zobrazování mužů v učitelství, nýbrž o změnu obrazu učitelství jako vysoce expertní profese, která je atraktivní profese kvůli své zajímavosti a společenskému přínosu </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průběžné zjišťování a vyhodnocování podrobných informací o zasto</w:t>
      </w:r>
      <w:r>
        <w:rPr>
          <w:rFonts w:ascii="Times New Roman" w:hAnsi="Times New Roman"/>
          <w:sz w:val="24"/>
          <w:szCs w:val="24"/>
        </w:rPr>
        <w:t xml:space="preserve">upení žen a mužů v učitelství, </w:t>
      </w:r>
      <w:r w:rsidRPr="0035101E">
        <w:rPr>
          <w:rFonts w:ascii="Times New Roman" w:hAnsi="Times New Roman"/>
          <w:sz w:val="24"/>
          <w:szCs w:val="24"/>
        </w:rPr>
        <w:t>o jejich kariérním postupu a o finančním ohodnocení</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 xml:space="preserve">informování vedení škol o rizicích genderových stereotypů ovlivňujících řízení školy </w:t>
      </w:r>
      <w:r>
        <w:rPr>
          <w:rFonts w:ascii="Times New Roman" w:hAnsi="Times New Roman"/>
          <w:sz w:val="24"/>
          <w:szCs w:val="24"/>
        </w:rPr>
        <w:t>a </w:t>
      </w:r>
      <w:r w:rsidRPr="0035101E">
        <w:rPr>
          <w:rFonts w:ascii="Times New Roman" w:hAnsi="Times New Roman"/>
          <w:sz w:val="24"/>
          <w:szCs w:val="24"/>
        </w:rPr>
        <w:t>pedagogického sboru</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 xml:space="preserve">jednání se zřizovateli škol o kritériích výběru ředitelů/ředitelek s ohledem na potenciální vliv genderových stereotypů, které implicitně </w:t>
      </w:r>
      <w:r>
        <w:rPr>
          <w:rFonts w:ascii="Times New Roman" w:hAnsi="Times New Roman"/>
          <w:sz w:val="24"/>
          <w:szCs w:val="24"/>
        </w:rPr>
        <w:t>porušují zákonnou</w:t>
      </w:r>
      <w:r w:rsidRPr="0035101E">
        <w:rPr>
          <w:rFonts w:ascii="Times New Roman" w:hAnsi="Times New Roman"/>
          <w:sz w:val="24"/>
          <w:szCs w:val="24"/>
        </w:rPr>
        <w:t xml:space="preserve"> úprav</w:t>
      </w:r>
      <w:r>
        <w:rPr>
          <w:rFonts w:ascii="Times New Roman" w:hAnsi="Times New Roman"/>
          <w:sz w:val="24"/>
          <w:szCs w:val="24"/>
        </w:rPr>
        <w:t>u</w:t>
      </w:r>
      <w:r w:rsidRPr="0035101E">
        <w:rPr>
          <w:rFonts w:ascii="Times New Roman" w:hAnsi="Times New Roman"/>
          <w:sz w:val="24"/>
          <w:szCs w:val="24"/>
        </w:rPr>
        <w:t xml:space="preserve"> výběrových řízení</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b/>
          <w:sz w:val="24"/>
          <w:szCs w:val="24"/>
        </w:rPr>
      </w:pPr>
      <w:r w:rsidRPr="0035101E">
        <w:rPr>
          <w:rFonts w:ascii="Times New Roman" w:hAnsi="Times New Roman"/>
          <w:sz w:val="24"/>
          <w:szCs w:val="24"/>
        </w:rPr>
        <w:t xml:space="preserve">zvýšení finančních prostředků alokovaných na školství a specificky mzdových prostředků </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b/>
          <w:sz w:val="24"/>
          <w:szCs w:val="24"/>
        </w:rPr>
      </w:pPr>
      <w:r w:rsidRPr="0035101E">
        <w:rPr>
          <w:rFonts w:ascii="Times New Roman" w:hAnsi="Times New Roman"/>
          <w:sz w:val="24"/>
          <w:szCs w:val="24"/>
        </w:rPr>
        <w:t>zavedení kariérního řádu se zohledněním rizika genderových stereotypů</w:t>
      </w:r>
    </w:p>
    <w:p w:rsidR="00561843" w:rsidRDefault="00561843">
      <w:pPr>
        <w:rPr>
          <w:rFonts w:ascii="Times New Roman" w:hAnsi="Times New Roman"/>
          <w:b/>
          <w:sz w:val="28"/>
          <w:szCs w:val="28"/>
        </w:rPr>
      </w:pPr>
    </w:p>
    <w:p w:rsidR="00561843" w:rsidRPr="00A50975" w:rsidRDefault="00561843" w:rsidP="00AE3051">
      <w:pPr>
        <w:pStyle w:val="Odstavecseseznamem"/>
        <w:numPr>
          <w:ilvl w:val="0"/>
          <w:numId w:val="19"/>
        </w:numPr>
        <w:autoSpaceDE w:val="0"/>
        <w:autoSpaceDN w:val="0"/>
        <w:adjustRightInd w:val="0"/>
        <w:jc w:val="both"/>
        <w:rPr>
          <w:rFonts w:ascii="Times New Roman" w:hAnsi="Times New Roman"/>
          <w:sz w:val="28"/>
          <w:szCs w:val="28"/>
        </w:rPr>
      </w:pPr>
      <w:r w:rsidRPr="00A50975">
        <w:rPr>
          <w:rFonts w:ascii="Times New Roman" w:hAnsi="Times New Roman"/>
          <w:b/>
          <w:sz w:val="28"/>
          <w:szCs w:val="28"/>
        </w:rPr>
        <w:t xml:space="preserve">Střednědobá strategie genderové rovnosti ve výzkumu a vývoji </w:t>
      </w:r>
    </w:p>
    <w:p w:rsidR="00561843" w:rsidRPr="00A50975" w:rsidRDefault="00561843" w:rsidP="00A50975">
      <w:pPr>
        <w:autoSpaceDE w:val="0"/>
        <w:autoSpaceDN w:val="0"/>
        <w:adjustRightInd w:val="0"/>
        <w:jc w:val="both"/>
        <w:rPr>
          <w:rFonts w:ascii="Times New Roman" w:hAnsi="Times New Roman"/>
          <w:sz w:val="24"/>
          <w:szCs w:val="24"/>
        </w:rPr>
      </w:pPr>
      <w:r w:rsidRPr="00A50975">
        <w:rPr>
          <w:rFonts w:ascii="Times New Roman" w:hAnsi="Times New Roman"/>
          <w:sz w:val="24"/>
          <w:szCs w:val="24"/>
        </w:rPr>
        <w:t xml:space="preserve">Strategie genderové rovnosti ve výzkumu, vývoji a inovacích </w:t>
      </w:r>
      <w:r w:rsidR="002F2EA9">
        <w:rPr>
          <w:rFonts w:ascii="Times New Roman" w:hAnsi="Times New Roman"/>
          <w:sz w:val="24"/>
          <w:szCs w:val="24"/>
        </w:rPr>
        <w:t>(</w:t>
      </w:r>
      <w:r w:rsidR="002F2EA9" w:rsidRPr="00A50975">
        <w:rPr>
          <w:rFonts w:ascii="Times New Roman" w:hAnsi="Times New Roman"/>
          <w:sz w:val="24"/>
          <w:szCs w:val="24"/>
        </w:rPr>
        <w:t xml:space="preserve">VaVaI </w:t>
      </w:r>
      <w:r w:rsidR="002F2EA9">
        <w:rPr>
          <w:rFonts w:ascii="Times New Roman" w:hAnsi="Times New Roman"/>
          <w:sz w:val="24"/>
          <w:szCs w:val="24"/>
        </w:rPr>
        <w:t xml:space="preserve">) </w:t>
      </w:r>
      <w:r w:rsidRPr="00A50975">
        <w:rPr>
          <w:rFonts w:ascii="Times New Roman" w:hAnsi="Times New Roman"/>
          <w:sz w:val="24"/>
          <w:szCs w:val="24"/>
        </w:rPr>
        <w:t xml:space="preserve">je nástrojem budování vědecké excelence, společenské odpovědnosti vědy a nových příležitostí pro inovace </w:t>
      </w:r>
      <w:r>
        <w:rPr>
          <w:rFonts w:ascii="Times New Roman" w:hAnsi="Times New Roman"/>
          <w:sz w:val="24"/>
          <w:szCs w:val="24"/>
        </w:rPr>
        <w:t>a </w:t>
      </w:r>
      <w:r w:rsidRPr="00A50975">
        <w:rPr>
          <w:rFonts w:ascii="Times New Roman" w:hAnsi="Times New Roman"/>
          <w:sz w:val="24"/>
          <w:szCs w:val="24"/>
        </w:rPr>
        <w:t xml:space="preserve">soustřeďuje se na čtyři hlavní cíle: 1) </w:t>
      </w:r>
      <w:r w:rsidRPr="00A50975">
        <w:rPr>
          <w:rFonts w:ascii="Times New Roman" w:hAnsi="Times New Roman"/>
          <w:b/>
          <w:sz w:val="24"/>
          <w:szCs w:val="24"/>
        </w:rPr>
        <w:t>vytvoření právního a politického prostředí</w:t>
      </w:r>
      <w:r w:rsidRPr="00A50975">
        <w:rPr>
          <w:rFonts w:ascii="Times New Roman" w:hAnsi="Times New Roman"/>
          <w:sz w:val="24"/>
          <w:szCs w:val="24"/>
        </w:rPr>
        <w:t xml:space="preserve"> k zajištění genderové rovnosti ve VaVaI, 2) </w:t>
      </w:r>
      <w:r w:rsidRPr="00A50975">
        <w:rPr>
          <w:rFonts w:ascii="Times New Roman" w:hAnsi="Times New Roman"/>
          <w:b/>
          <w:sz w:val="24"/>
          <w:szCs w:val="24"/>
        </w:rPr>
        <w:t>podpora</w:t>
      </w:r>
      <w:r w:rsidRPr="00A50975">
        <w:rPr>
          <w:rFonts w:ascii="Times New Roman" w:hAnsi="Times New Roman"/>
          <w:sz w:val="24"/>
          <w:szCs w:val="24"/>
        </w:rPr>
        <w:t xml:space="preserve"> </w:t>
      </w:r>
      <w:r w:rsidRPr="00A50975">
        <w:rPr>
          <w:rFonts w:ascii="Times New Roman" w:hAnsi="Times New Roman"/>
          <w:b/>
          <w:sz w:val="24"/>
          <w:szCs w:val="24"/>
        </w:rPr>
        <w:t xml:space="preserve">genderové rovnosti v profesním uplatnění ve VaVaI </w:t>
      </w:r>
      <w:r w:rsidRPr="00A50975">
        <w:rPr>
          <w:rFonts w:ascii="Times New Roman" w:hAnsi="Times New Roman"/>
          <w:sz w:val="24"/>
          <w:szCs w:val="24"/>
        </w:rPr>
        <w:t xml:space="preserve">prostřednictví partnerství veřejných výzkumných organizací </w:t>
      </w:r>
      <w:r>
        <w:rPr>
          <w:rFonts w:ascii="Times New Roman" w:hAnsi="Times New Roman"/>
          <w:sz w:val="24"/>
          <w:szCs w:val="24"/>
        </w:rPr>
        <w:t>a </w:t>
      </w:r>
      <w:r w:rsidRPr="00A50975">
        <w:rPr>
          <w:rFonts w:ascii="Times New Roman" w:hAnsi="Times New Roman"/>
          <w:sz w:val="24"/>
          <w:szCs w:val="24"/>
        </w:rPr>
        <w:t xml:space="preserve">poskytovatelů k podpoře kulturní a institucionální změny, 3) </w:t>
      </w:r>
      <w:r w:rsidRPr="00A50975">
        <w:rPr>
          <w:rFonts w:ascii="Times New Roman" w:hAnsi="Times New Roman"/>
          <w:b/>
          <w:sz w:val="24"/>
          <w:szCs w:val="24"/>
        </w:rPr>
        <w:t xml:space="preserve">40% zastoupení méně </w:t>
      </w:r>
      <w:r w:rsidR="002F2EA9">
        <w:rPr>
          <w:rFonts w:ascii="Times New Roman" w:hAnsi="Times New Roman"/>
          <w:b/>
          <w:sz w:val="24"/>
          <w:szCs w:val="24"/>
        </w:rPr>
        <w:t>reprezentovaného</w:t>
      </w:r>
      <w:r w:rsidRPr="00A50975">
        <w:rPr>
          <w:rFonts w:ascii="Times New Roman" w:hAnsi="Times New Roman"/>
          <w:b/>
          <w:sz w:val="24"/>
          <w:szCs w:val="24"/>
        </w:rPr>
        <w:t xml:space="preserve"> pohlaví</w:t>
      </w:r>
      <w:r w:rsidRPr="00A50975">
        <w:rPr>
          <w:rFonts w:ascii="Times New Roman" w:hAnsi="Times New Roman"/>
          <w:sz w:val="24"/>
          <w:szCs w:val="24"/>
        </w:rPr>
        <w:t xml:space="preserve">, 4) </w:t>
      </w:r>
      <w:r w:rsidRPr="00A50975">
        <w:rPr>
          <w:rFonts w:ascii="Times New Roman" w:hAnsi="Times New Roman"/>
          <w:b/>
          <w:sz w:val="24"/>
          <w:szCs w:val="24"/>
        </w:rPr>
        <w:t xml:space="preserve">zahrnutí genderové perspektivy do tvorby vědecké znalosti </w:t>
      </w:r>
      <w:r>
        <w:rPr>
          <w:rFonts w:ascii="Times New Roman" w:hAnsi="Times New Roman"/>
          <w:b/>
          <w:sz w:val="24"/>
          <w:szCs w:val="24"/>
        </w:rPr>
        <w:t>a </w:t>
      </w:r>
      <w:r w:rsidRPr="00A50975">
        <w:rPr>
          <w:rFonts w:ascii="Times New Roman" w:hAnsi="Times New Roman"/>
          <w:b/>
          <w:sz w:val="24"/>
          <w:szCs w:val="24"/>
        </w:rPr>
        <w:t>inovací</w:t>
      </w:r>
      <w:r w:rsidRPr="00A50975">
        <w:rPr>
          <w:rFonts w:ascii="Times New Roman" w:hAnsi="Times New Roman"/>
          <w:sz w:val="24"/>
          <w:szCs w:val="24"/>
        </w:rPr>
        <w:t>.</w:t>
      </w:r>
    </w:p>
    <w:p w:rsidR="00135D4C"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lastRenderedPageBreak/>
        <w:t>Pro dosažení čtyř výše uvedených cílů genderové rovnosti jsou identifikovány následující čtyři střednědobé cíle, k nimž jsou navržena dílčí opatření a indikátory.</w:t>
      </w:r>
    </w:p>
    <w:p w:rsidR="00561843" w:rsidRPr="0035101E" w:rsidRDefault="00561843" w:rsidP="00AE3051">
      <w:pPr>
        <w:autoSpaceDE w:val="0"/>
        <w:autoSpaceDN w:val="0"/>
        <w:adjustRightInd w:val="0"/>
        <w:jc w:val="both"/>
        <w:rPr>
          <w:rFonts w:ascii="Times New Roman" w:hAnsi="Times New Roman"/>
          <w:b/>
          <w:sz w:val="24"/>
          <w:szCs w:val="24"/>
        </w:rPr>
      </w:pPr>
      <w:r w:rsidRPr="0035101E">
        <w:rPr>
          <w:rFonts w:ascii="Times New Roman" w:hAnsi="Times New Roman"/>
          <w:b/>
          <w:sz w:val="24"/>
          <w:szCs w:val="24"/>
        </w:rPr>
        <w:t>1.</w:t>
      </w:r>
      <w:r>
        <w:rPr>
          <w:rFonts w:ascii="Times New Roman" w:hAnsi="Times New Roman"/>
          <w:b/>
          <w:sz w:val="24"/>
          <w:szCs w:val="24"/>
        </w:rPr>
        <w:t>)</w:t>
      </w:r>
      <w:r w:rsidRPr="0035101E">
        <w:rPr>
          <w:rFonts w:ascii="Times New Roman" w:hAnsi="Times New Roman"/>
          <w:b/>
          <w:sz w:val="24"/>
          <w:szCs w:val="24"/>
        </w:rPr>
        <w:t xml:space="preserve"> Vznik platformy pro zavádění genderové rovnosti ve VaVaI</w:t>
      </w:r>
    </w:p>
    <w:p w:rsidR="00561843"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t>V současné době je systém VaVaI roztříštěný do gescí několika ministerstev a úřadů, včetně poradního orgánu vlády Rady pro výzkum, vývoj a inovace, státních a veřejných institucí (Grantová agentura ČR, Technologická agentura ČR, Akademie věd ČR, vysoké školy). Úkolem platformy bude mimo jiné zajistit pravidelnou komunikaci s institucemi, které</w:t>
      </w:r>
      <w:r w:rsidRPr="0035101E">
        <w:rPr>
          <w:rFonts w:ascii="Times New Roman" w:hAnsi="Times New Roman"/>
          <w:b/>
          <w:sz w:val="24"/>
          <w:szCs w:val="24"/>
        </w:rPr>
        <w:t xml:space="preserve"> </w:t>
      </w:r>
      <w:r w:rsidRPr="0035101E">
        <w:rPr>
          <w:rFonts w:ascii="Times New Roman" w:hAnsi="Times New Roman"/>
          <w:sz w:val="24"/>
          <w:szCs w:val="24"/>
        </w:rPr>
        <w:t xml:space="preserve">mají </w:t>
      </w:r>
      <w:r>
        <w:rPr>
          <w:rFonts w:ascii="Times New Roman" w:hAnsi="Times New Roman"/>
          <w:sz w:val="24"/>
          <w:szCs w:val="24"/>
        </w:rPr>
        <w:t>v </w:t>
      </w:r>
      <w:r w:rsidRPr="0035101E">
        <w:rPr>
          <w:rFonts w:ascii="Times New Roman" w:hAnsi="Times New Roman"/>
          <w:sz w:val="24"/>
          <w:szCs w:val="24"/>
        </w:rPr>
        <w:t xml:space="preserve">gesci genderovou rovnost a výzkum, vypracovávat stanoviska k návrhům koncepcí politik </w:t>
      </w:r>
      <w:r>
        <w:rPr>
          <w:rFonts w:ascii="Times New Roman" w:hAnsi="Times New Roman"/>
          <w:sz w:val="24"/>
          <w:szCs w:val="24"/>
        </w:rPr>
        <w:t>a </w:t>
      </w:r>
      <w:r w:rsidRPr="0035101E">
        <w:rPr>
          <w:rFonts w:ascii="Times New Roman" w:hAnsi="Times New Roman"/>
          <w:sz w:val="24"/>
          <w:szCs w:val="24"/>
        </w:rPr>
        <w:t xml:space="preserve">programů VaVaI, dohlížet na dodržování a zavádění principu genderového mainstreamingu v rámci VaVaI, vypracovat ucelenou strategii prosazování genderové rovnosti ve VaVaI </w:t>
      </w:r>
      <w:r>
        <w:rPr>
          <w:rFonts w:ascii="Times New Roman" w:hAnsi="Times New Roman"/>
          <w:sz w:val="24"/>
          <w:szCs w:val="24"/>
        </w:rPr>
        <w:t>a </w:t>
      </w:r>
      <w:r w:rsidRPr="0035101E">
        <w:rPr>
          <w:rFonts w:ascii="Times New Roman" w:hAnsi="Times New Roman"/>
          <w:sz w:val="24"/>
          <w:szCs w:val="24"/>
        </w:rPr>
        <w:t>spolupracovat s dalšími státními i nestátními institucemi.</w:t>
      </w:r>
    </w:p>
    <w:p w:rsidR="00561843" w:rsidRPr="0035101E" w:rsidRDefault="00561843" w:rsidP="00AE3051">
      <w:pPr>
        <w:autoSpaceDE w:val="0"/>
        <w:autoSpaceDN w:val="0"/>
        <w:adjustRightInd w:val="0"/>
        <w:jc w:val="both"/>
        <w:rPr>
          <w:rFonts w:ascii="Times New Roman" w:hAnsi="Times New Roman"/>
          <w:sz w:val="24"/>
          <w:szCs w:val="24"/>
          <w:u w:val="single"/>
        </w:rPr>
      </w:pPr>
      <w:r w:rsidRPr="0035101E">
        <w:rPr>
          <w:rFonts w:ascii="Times New Roman" w:hAnsi="Times New Roman"/>
          <w:sz w:val="24"/>
          <w:szCs w:val="24"/>
          <w:u w:val="single"/>
        </w:rPr>
        <w:t>Indikátory hodnocení:</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 xml:space="preserve">vznik a činnost platformy pro implementaci genderové rovnosti ve VaVaI </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vytvoření koncepce implementace genderové rovnosti ve VaVaI</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meziroční srovnání zastoupení žen v rozhodova</w:t>
      </w:r>
      <w:r>
        <w:rPr>
          <w:rFonts w:ascii="Times New Roman" w:hAnsi="Times New Roman"/>
          <w:sz w:val="24"/>
          <w:szCs w:val="24"/>
        </w:rPr>
        <w:t>cích orgánech VaVaI na státní i </w:t>
      </w:r>
      <w:r w:rsidRPr="0035101E">
        <w:rPr>
          <w:rFonts w:ascii="Times New Roman" w:hAnsi="Times New Roman"/>
          <w:sz w:val="24"/>
          <w:szCs w:val="24"/>
        </w:rPr>
        <w:t>nestátní úrovni</w:t>
      </w:r>
    </w:p>
    <w:p w:rsidR="00561843" w:rsidRPr="0035101E" w:rsidRDefault="00561843" w:rsidP="00AE3051">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realizace vzdělávacích aktivit pro odpovědné pracovníky a pracovnice v oblasti genderové rovnosti ve VaVaV</w:t>
      </w:r>
    </w:p>
    <w:p w:rsidR="00077770" w:rsidRPr="002F2EA9" w:rsidRDefault="00561843" w:rsidP="0035101E">
      <w:pPr>
        <w:numPr>
          <w:ilvl w:val="0"/>
          <w:numId w:val="15"/>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výše prostředků uvolněných na fungování platformy pro implementaci genderové rovnosti ve VaVaI</w:t>
      </w:r>
    </w:p>
    <w:p w:rsidR="00077770" w:rsidRDefault="00077770" w:rsidP="0035101E">
      <w:pPr>
        <w:autoSpaceDE w:val="0"/>
        <w:autoSpaceDN w:val="0"/>
        <w:adjustRightInd w:val="0"/>
        <w:jc w:val="both"/>
        <w:rPr>
          <w:rFonts w:ascii="Times New Roman" w:hAnsi="Times New Roman"/>
          <w:b/>
          <w:sz w:val="24"/>
          <w:szCs w:val="24"/>
        </w:rPr>
      </w:pPr>
    </w:p>
    <w:p w:rsidR="00561843" w:rsidRPr="0035101E" w:rsidRDefault="00561843" w:rsidP="00AE3051">
      <w:pPr>
        <w:autoSpaceDE w:val="0"/>
        <w:autoSpaceDN w:val="0"/>
        <w:adjustRightInd w:val="0"/>
        <w:jc w:val="both"/>
        <w:rPr>
          <w:rFonts w:ascii="Times New Roman" w:hAnsi="Times New Roman"/>
          <w:b/>
          <w:sz w:val="24"/>
          <w:szCs w:val="24"/>
        </w:rPr>
      </w:pPr>
      <w:r w:rsidRPr="0035101E">
        <w:rPr>
          <w:rFonts w:ascii="Times New Roman" w:hAnsi="Times New Roman"/>
          <w:b/>
          <w:sz w:val="24"/>
          <w:szCs w:val="24"/>
        </w:rPr>
        <w:t>2.</w:t>
      </w:r>
      <w:r>
        <w:rPr>
          <w:rFonts w:ascii="Times New Roman" w:hAnsi="Times New Roman"/>
          <w:b/>
          <w:sz w:val="24"/>
          <w:szCs w:val="24"/>
        </w:rPr>
        <w:t>)</w:t>
      </w:r>
      <w:r w:rsidRPr="0035101E">
        <w:rPr>
          <w:rFonts w:ascii="Times New Roman" w:hAnsi="Times New Roman"/>
          <w:b/>
          <w:sz w:val="24"/>
          <w:szCs w:val="24"/>
        </w:rPr>
        <w:t xml:space="preserve"> Systém účinného genderového mainstreamingu</w:t>
      </w:r>
      <w:r w:rsidRPr="0035101E">
        <w:rPr>
          <w:rStyle w:val="Znakapoznpodarou"/>
          <w:rFonts w:ascii="Times New Roman" w:hAnsi="Times New Roman"/>
          <w:sz w:val="24"/>
          <w:szCs w:val="24"/>
        </w:rPr>
        <w:footnoteReference w:id="37"/>
      </w:r>
      <w:r w:rsidRPr="0035101E">
        <w:rPr>
          <w:rFonts w:ascii="Times New Roman" w:hAnsi="Times New Roman"/>
          <w:b/>
          <w:sz w:val="24"/>
          <w:szCs w:val="24"/>
        </w:rPr>
        <w:t xml:space="preserve"> ve strategických dokumentech </w:t>
      </w:r>
      <w:r>
        <w:rPr>
          <w:rFonts w:ascii="Times New Roman" w:hAnsi="Times New Roman"/>
          <w:b/>
          <w:sz w:val="24"/>
          <w:szCs w:val="24"/>
        </w:rPr>
        <w:t>a </w:t>
      </w:r>
      <w:r w:rsidRPr="0035101E">
        <w:rPr>
          <w:rFonts w:ascii="Times New Roman" w:hAnsi="Times New Roman"/>
          <w:b/>
          <w:sz w:val="24"/>
          <w:szCs w:val="24"/>
        </w:rPr>
        <w:t>politikách VaVaI</w:t>
      </w:r>
    </w:p>
    <w:p w:rsidR="00561843"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t xml:space="preserve">V současné době na MŠMT působí Pracovní skupina Výboru ERA pro rozvoj lidských zdrojů mužů a žen a genderovou rovnost ve VaVaI a Pracovní skupina MŠMT pro rovnost příležitostí žen a mužů. V rámci odboru Výzkumu a vývoje je řešena agenda rozvoje lidských zdrojů ve VaVaI, zejména z hlediska mezinárodní spolupráce. Institucionální zabezpečení rovných příležitostí v gesci MŠMT je tak zajištěno. Zároveň ale není prováděn účinný genderový mainstreaming politik a strategických dokumentů VaVaI, ať již politik </w:t>
      </w:r>
      <w:r>
        <w:rPr>
          <w:rFonts w:ascii="Times New Roman" w:hAnsi="Times New Roman"/>
          <w:sz w:val="24"/>
          <w:szCs w:val="24"/>
        </w:rPr>
        <w:t>a </w:t>
      </w:r>
      <w:r w:rsidRPr="0035101E">
        <w:rPr>
          <w:rFonts w:ascii="Times New Roman" w:hAnsi="Times New Roman"/>
          <w:sz w:val="24"/>
          <w:szCs w:val="24"/>
        </w:rPr>
        <w:t>programů zaváděných MŠMT či politik a programů, které MŠMT připomínkuje v rámci meziresortního připomínkovacího řízení v oblasti VaVaI.</w:t>
      </w:r>
    </w:p>
    <w:p w:rsidR="00561843" w:rsidRPr="0035101E" w:rsidRDefault="00561843" w:rsidP="00AE3051">
      <w:pPr>
        <w:autoSpaceDE w:val="0"/>
        <w:autoSpaceDN w:val="0"/>
        <w:adjustRightInd w:val="0"/>
        <w:jc w:val="both"/>
        <w:rPr>
          <w:rFonts w:ascii="Times New Roman" w:hAnsi="Times New Roman"/>
          <w:sz w:val="24"/>
          <w:szCs w:val="24"/>
          <w:u w:val="single"/>
        </w:rPr>
      </w:pPr>
      <w:r w:rsidRPr="0035101E">
        <w:rPr>
          <w:rFonts w:ascii="Times New Roman" w:hAnsi="Times New Roman"/>
          <w:sz w:val="24"/>
          <w:szCs w:val="24"/>
          <w:u w:val="single"/>
        </w:rPr>
        <w:lastRenderedPageBreak/>
        <w:t>Indikátory hodnocení:</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 xml:space="preserve">zahrnutí genderové dimenze do programů podpory VaV, operačních programů </w:t>
      </w:r>
      <w:r>
        <w:rPr>
          <w:rFonts w:ascii="Times New Roman" w:hAnsi="Times New Roman"/>
          <w:sz w:val="24"/>
          <w:szCs w:val="24"/>
        </w:rPr>
        <w:t>a </w:t>
      </w:r>
      <w:r w:rsidRPr="0035101E">
        <w:rPr>
          <w:rFonts w:ascii="Times New Roman" w:hAnsi="Times New Roman"/>
          <w:sz w:val="24"/>
          <w:szCs w:val="24"/>
        </w:rPr>
        <w:t>dalších koncepcí podpory VaVaI a VŠ v gesci MŠMT</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zavedení systému genderového mainstreamingu ve strategických a politických dokumentech a programech VaVaI (ex-ante hodnocení)</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zavedení systému hodnocení politik a programů dopadu z hlediska genderu (tzv. gender impact assessment, ex-post hodnocení)</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zavedení průběžného hodnocení politik a programů z hlediska genderu (tzv. střednědobé hodnocení)</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genderový mainstreaming a podpora genderové rovnosti v pozicích a stanoviscích MŠMT v oblasti mezinárodní spolupráce ve VaVaI</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sběr a publikování statistik o zastoupení žen v expertní databázi MŠMT, mezi hodnotiteli projektů a mezi experty poradních a expertních orgánů MŠMT</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podmínka zahrnutí kategorií pohlaví a gender do přípravy projektů financovaných z prostředků MŠMT tam, kde jde o relevantní hledisko</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publikování statistik segregovaných dle pohlaví u uchazečů a příjemců podpory v gesci MŠMT</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vytvořit program podpory tzv. „návratových grantů“ pro osoby po kariérní přestávce z důvodu péče o dítě v délce vyšší než jeden rok</w:t>
      </w:r>
    </w:p>
    <w:p w:rsidR="00561843" w:rsidRPr="0035101E" w:rsidRDefault="00561843" w:rsidP="00AE3051">
      <w:pPr>
        <w:autoSpaceDE w:val="0"/>
        <w:autoSpaceDN w:val="0"/>
        <w:adjustRightInd w:val="0"/>
        <w:jc w:val="both"/>
        <w:rPr>
          <w:rFonts w:ascii="Times New Roman" w:hAnsi="Times New Roman"/>
          <w:sz w:val="24"/>
          <w:szCs w:val="24"/>
        </w:rPr>
      </w:pPr>
    </w:p>
    <w:p w:rsidR="00561843" w:rsidRPr="0035101E" w:rsidRDefault="00561843" w:rsidP="00AE3051">
      <w:pPr>
        <w:autoSpaceDE w:val="0"/>
        <w:autoSpaceDN w:val="0"/>
        <w:adjustRightInd w:val="0"/>
        <w:jc w:val="both"/>
        <w:rPr>
          <w:rFonts w:ascii="Times New Roman" w:hAnsi="Times New Roman"/>
          <w:b/>
          <w:sz w:val="24"/>
          <w:szCs w:val="24"/>
        </w:rPr>
      </w:pPr>
      <w:r w:rsidRPr="0035101E">
        <w:rPr>
          <w:rFonts w:ascii="Times New Roman" w:hAnsi="Times New Roman"/>
          <w:b/>
          <w:sz w:val="24"/>
          <w:szCs w:val="24"/>
        </w:rPr>
        <w:t>3.</w:t>
      </w:r>
      <w:r>
        <w:rPr>
          <w:rFonts w:ascii="Times New Roman" w:hAnsi="Times New Roman"/>
          <w:b/>
          <w:sz w:val="24"/>
          <w:szCs w:val="24"/>
        </w:rPr>
        <w:t>)</w:t>
      </w:r>
      <w:r w:rsidRPr="0035101E">
        <w:rPr>
          <w:rFonts w:ascii="Times New Roman" w:hAnsi="Times New Roman"/>
          <w:b/>
          <w:sz w:val="24"/>
          <w:szCs w:val="24"/>
        </w:rPr>
        <w:t xml:space="preserve"> Modernizace vysokoškolských a výzkumných institucí prostřednictvím kulturní </w:t>
      </w:r>
      <w:r>
        <w:rPr>
          <w:rFonts w:ascii="Times New Roman" w:hAnsi="Times New Roman"/>
          <w:b/>
          <w:sz w:val="24"/>
          <w:szCs w:val="24"/>
        </w:rPr>
        <w:t>a </w:t>
      </w:r>
      <w:r w:rsidRPr="0035101E">
        <w:rPr>
          <w:rFonts w:ascii="Times New Roman" w:hAnsi="Times New Roman"/>
          <w:b/>
          <w:sz w:val="24"/>
          <w:szCs w:val="24"/>
        </w:rPr>
        <w:t>institucionální změny pro genderovou rovnost</w:t>
      </w:r>
      <w:r w:rsidRPr="0035101E">
        <w:rPr>
          <w:rStyle w:val="Znakapoznpodarou"/>
          <w:rFonts w:ascii="Times New Roman" w:hAnsi="Times New Roman"/>
          <w:b/>
          <w:sz w:val="24"/>
          <w:szCs w:val="24"/>
        </w:rPr>
        <w:footnoteReference w:id="38"/>
      </w:r>
    </w:p>
    <w:p w:rsidR="00561843"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t>Strategie kulturní a institucionální změny pro genderovou rovnost je v USA i západní Evropě účinnou strategií pro budování genderové rovnosti ve VaVaI. K její podpoře vyzvala členské státy i Evropské komise. Vytvoření programu podpory pro institucionální změnu zajistí nové příležitosti mezinárodní spolupráce ve VaVaI.</w:t>
      </w:r>
    </w:p>
    <w:p w:rsidR="00561843" w:rsidRPr="0035101E" w:rsidRDefault="00561843" w:rsidP="00AE3051">
      <w:pPr>
        <w:autoSpaceDE w:val="0"/>
        <w:autoSpaceDN w:val="0"/>
        <w:adjustRightInd w:val="0"/>
        <w:jc w:val="both"/>
        <w:rPr>
          <w:rFonts w:ascii="Times New Roman" w:hAnsi="Times New Roman"/>
          <w:sz w:val="24"/>
          <w:szCs w:val="24"/>
          <w:u w:val="single"/>
        </w:rPr>
      </w:pPr>
      <w:r w:rsidRPr="0035101E">
        <w:rPr>
          <w:rFonts w:ascii="Times New Roman" w:hAnsi="Times New Roman"/>
          <w:sz w:val="24"/>
          <w:szCs w:val="24"/>
          <w:u w:val="single"/>
        </w:rPr>
        <w:t>Indikátory hodnocení:</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vytvoření programu podpory institucionální změny pro genderovou rovnost ve VaVaI v Operačním program výzkum, vývoj, vzdělávání</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prostřednictvím Platformy (střednědobý cíl 1) vytvoření systému pro sdílení příkladů nejlepší praxe financovaných projektů</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zapojení do mezinárodní spolupráce institucí (např. COST Action TA 1201 genderSTE, ERA-NET, Horizont 2020 atd.)</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zahrnutí genderové rovnosti do systému hodnocení VŠ (např. v podobě zastoupení žen v profesorském sboru, zastoupení žen mezi doktorandy)</w:t>
      </w:r>
    </w:p>
    <w:p w:rsidR="00561843" w:rsidRPr="0035101E" w:rsidRDefault="00561843" w:rsidP="00AE3051">
      <w:pPr>
        <w:numPr>
          <w:ilvl w:val="0"/>
          <w:numId w:val="17"/>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 xml:space="preserve">zahrnutí genderové rovnosti do systému hodnocení VaVaI </w:t>
      </w:r>
    </w:p>
    <w:p w:rsidR="00561843" w:rsidRPr="0035101E" w:rsidRDefault="00561843" w:rsidP="00AE3051">
      <w:pPr>
        <w:autoSpaceDE w:val="0"/>
        <w:autoSpaceDN w:val="0"/>
        <w:adjustRightInd w:val="0"/>
        <w:jc w:val="both"/>
        <w:rPr>
          <w:rFonts w:ascii="Times New Roman" w:hAnsi="Times New Roman"/>
          <w:sz w:val="24"/>
          <w:szCs w:val="24"/>
        </w:rPr>
      </w:pPr>
    </w:p>
    <w:p w:rsidR="00561843" w:rsidRPr="0035101E" w:rsidRDefault="00561843" w:rsidP="00AE3051">
      <w:pPr>
        <w:autoSpaceDE w:val="0"/>
        <w:autoSpaceDN w:val="0"/>
        <w:adjustRightInd w:val="0"/>
        <w:jc w:val="both"/>
        <w:rPr>
          <w:rFonts w:ascii="Times New Roman" w:hAnsi="Times New Roman"/>
          <w:b/>
          <w:sz w:val="24"/>
          <w:szCs w:val="24"/>
        </w:rPr>
      </w:pPr>
      <w:r w:rsidRPr="0035101E">
        <w:rPr>
          <w:rFonts w:ascii="Times New Roman" w:hAnsi="Times New Roman"/>
          <w:b/>
          <w:sz w:val="24"/>
          <w:szCs w:val="24"/>
        </w:rPr>
        <w:t>4.</w:t>
      </w:r>
      <w:r>
        <w:rPr>
          <w:rFonts w:ascii="Times New Roman" w:hAnsi="Times New Roman"/>
          <w:b/>
          <w:sz w:val="24"/>
          <w:szCs w:val="24"/>
        </w:rPr>
        <w:t>)</w:t>
      </w:r>
      <w:r w:rsidRPr="0035101E">
        <w:rPr>
          <w:rFonts w:ascii="Times New Roman" w:hAnsi="Times New Roman"/>
          <w:b/>
          <w:sz w:val="24"/>
          <w:szCs w:val="24"/>
        </w:rPr>
        <w:t xml:space="preserve"> podpořit rozvoj expertní znalosti v oblasti genderové rovnosti ve VaVaI</w:t>
      </w:r>
    </w:p>
    <w:p w:rsidR="00561843" w:rsidRPr="0035101E" w:rsidRDefault="00561843" w:rsidP="00AE3051">
      <w:pPr>
        <w:autoSpaceDE w:val="0"/>
        <w:autoSpaceDN w:val="0"/>
        <w:adjustRightInd w:val="0"/>
        <w:jc w:val="both"/>
        <w:rPr>
          <w:rFonts w:ascii="Times New Roman" w:hAnsi="Times New Roman"/>
          <w:sz w:val="24"/>
          <w:szCs w:val="24"/>
        </w:rPr>
      </w:pPr>
      <w:r w:rsidRPr="0035101E">
        <w:rPr>
          <w:rFonts w:ascii="Times New Roman" w:hAnsi="Times New Roman"/>
          <w:sz w:val="24"/>
          <w:szCs w:val="24"/>
        </w:rPr>
        <w:lastRenderedPageBreak/>
        <w:t>Genderový výzkum a genderové statistiky jsou základními nástroji prosazování genderové rovnosti. Genderový výzkum lze nepřímo podpořit i podporou vzniku a fungování organizací, které genderový výzkum provádějí a/nebo vzdělávají budoucí odbornice a odborníky.</w:t>
      </w:r>
    </w:p>
    <w:p w:rsidR="00561843" w:rsidRPr="0035101E" w:rsidRDefault="00561843" w:rsidP="00AE3051">
      <w:pPr>
        <w:autoSpaceDE w:val="0"/>
        <w:autoSpaceDN w:val="0"/>
        <w:adjustRightInd w:val="0"/>
        <w:jc w:val="both"/>
        <w:rPr>
          <w:rFonts w:ascii="Times New Roman" w:hAnsi="Times New Roman"/>
          <w:sz w:val="24"/>
          <w:szCs w:val="24"/>
          <w:u w:val="single"/>
        </w:rPr>
      </w:pPr>
      <w:r w:rsidRPr="0035101E">
        <w:rPr>
          <w:rFonts w:ascii="Times New Roman" w:hAnsi="Times New Roman"/>
          <w:sz w:val="24"/>
          <w:szCs w:val="24"/>
          <w:u w:val="single"/>
        </w:rPr>
        <w:t>Indikátory hodnocení:</w:t>
      </w:r>
    </w:p>
    <w:p w:rsidR="00561843" w:rsidRPr="0035101E" w:rsidRDefault="00561843" w:rsidP="00AE3051">
      <w:pPr>
        <w:numPr>
          <w:ilvl w:val="0"/>
          <w:numId w:val="18"/>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počet realizovaných výzkumů v oblasti genderové rovnosti ve VaVaI</w:t>
      </w:r>
    </w:p>
    <w:p w:rsidR="00561843" w:rsidRPr="0035101E" w:rsidRDefault="00561843" w:rsidP="00AE3051">
      <w:pPr>
        <w:numPr>
          <w:ilvl w:val="0"/>
          <w:numId w:val="18"/>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prostředky alokované na podporu genderového výzkumu ve VaVaI</w:t>
      </w:r>
    </w:p>
    <w:p w:rsidR="00561843" w:rsidRPr="0035101E" w:rsidRDefault="00561843" w:rsidP="00AE3051">
      <w:pPr>
        <w:numPr>
          <w:ilvl w:val="0"/>
          <w:numId w:val="18"/>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počet podpořených osob či institucí</w:t>
      </w:r>
    </w:p>
    <w:p w:rsidR="00561843" w:rsidRPr="0035101E" w:rsidRDefault="00561843" w:rsidP="00AE3051">
      <w:pPr>
        <w:numPr>
          <w:ilvl w:val="0"/>
          <w:numId w:val="18"/>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počet publikačních řad a vydaných publikací</w:t>
      </w:r>
    </w:p>
    <w:p w:rsidR="00561843" w:rsidRPr="0035101E" w:rsidRDefault="00561843" w:rsidP="00AE3051">
      <w:pPr>
        <w:numPr>
          <w:ilvl w:val="0"/>
          <w:numId w:val="18"/>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počet vzniklých vzdělávacích programů a center excelence</w:t>
      </w:r>
    </w:p>
    <w:p w:rsidR="00561843" w:rsidRPr="0035101E" w:rsidRDefault="00561843" w:rsidP="00AE3051">
      <w:pPr>
        <w:numPr>
          <w:ilvl w:val="0"/>
          <w:numId w:val="18"/>
        </w:numPr>
        <w:autoSpaceDE w:val="0"/>
        <w:autoSpaceDN w:val="0"/>
        <w:adjustRightInd w:val="0"/>
        <w:spacing w:after="0" w:line="240" w:lineRule="auto"/>
        <w:jc w:val="both"/>
        <w:rPr>
          <w:rFonts w:ascii="Times New Roman" w:hAnsi="Times New Roman"/>
          <w:sz w:val="24"/>
          <w:szCs w:val="24"/>
        </w:rPr>
      </w:pPr>
      <w:r w:rsidRPr="0035101E">
        <w:rPr>
          <w:rFonts w:ascii="Times New Roman" w:hAnsi="Times New Roman"/>
          <w:sz w:val="24"/>
          <w:szCs w:val="24"/>
        </w:rPr>
        <w:t>počet sbíraných, zveřejňovaných a nově zavedených statistik segregovaných dle pohlaví</w:t>
      </w:r>
    </w:p>
    <w:p w:rsidR="00561843" w:rsidRPr="0035101E" w:rsidRDefault="00561843" w:rsidP="00AE3051">
      <w:pPr>
        <w:rPr>
          <w:rFonts w:ascii="Times New Roman" w:hAnsi="Times New Roman"/>
          <w:sz w:val="24"/>
          <w:szCs w:val="24"/>
        </w:rPr>
      </w:pPr>
    </w:p>
    <w:p w:rsidR="00561843" w:rsidRPr="0035101E" w:rsidRDefault="00561843" w:rsidP="002753B1">
      <w:pPr>
        <w:pStyle w:val="Bezmezer"/>
        <w:rPr>
          <w:rFonts w:ascii="Times New Roman" w:hAnsi="Times New Roman"/>
          <w:sz w:val="24"/>
          <w:szCs w:val="24"/>
        </w:rPr>
      </w:pPr>
    </w:p>
    <w:sectPr w:rsidR="00561843" w:rsidRPr="0035101E" w:rsidSect="00382BA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C9A" w:rsidRDefault="00300C9A" w:rsidP="00742410">
      <w:pPr>
        <w:spacing w:after="0" w:line="240" w:lineRule="auto"/>
      </w:pPr>
      <w:r>
        <w:separator/>
      </w:r>
    </w:p>
  </w:endnote>
  <w:endnote w:type="continuationSeparator" w:id="0">
    <w:p w:rsidR="00300C9A" w:rsidRDefault="00300C9A" w:rsidP="0074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PalladioLOT-Roman">
    <w:altName w:val="MS Gothic"/>
    <w:panose1 w:val="00000000000000000000"/>
    <w:charset w:val="80"/>
    <w:family w:val="auto"/>
    <w:notTrueType/>
    <w:pitch w:val="default"/>
    <w:sig w:usb0="00000001" w:usb1="08070000" w:usb2="00000010" w:usb3="00000000" w:csb0="00020000" w:csb1="00000000"/>
  </w:font>
  <w:font w:name="PalladioLOT-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5B" w:rsidRDefault="00D070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5B" w:rsidRDefault="00D0705B">
    <w:pPr>
      <w:pStyle w:val="Zpat"/>
      <w:jc w:val="center"/>
    </w:pPr>
    <w:r>
      <w:fldChar w:fldCharType="begin"/>
    </w:r>
    <w:r>
      <w:instrText>PAGE   \* MERGEFORMAT</w:instrText>
    </w:r>
    <w:r>
      <w:fldChar w:fldCharType="separate"/>
    </w:r>
    <w:r w:rsidR="00451F37">
      <w:rPr>
        <w:noProof/>
      </w:rPr>
      <w:t>1</w:t>
    </w:r>
    <w:r>
      <w:fldChar w:fldCharType="end"/>
    </w:r>
  </w:p>
  <w:p w:rsidR="00D0705B" w:rsidRDefault="00D0705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5B" w:rsidRDefault="00D070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C9A" w:rsidRDefault="00300C9A" w:rsidP="00742410">
      <w:pPr>
        <w:spacing w:after="0" w:line="240" w:lineRule="auto"/>
      </w:pPr>
      <w:r>
        <w:separator/>
      </w:r>
    </w:p>
  </w:footnote>
  <w:footnote w:type="continuationSeparator" w:id="0">
    <w:p w:rsidR="00300C9A" w:rsidRDefault="00300C9A" w:rsidP="00742410">
      <w:pPr>
        <w:spacing w:after="0" w:line="240" w:lineRule="auto"/>
      </w:pPr>
      <w:r>
        <w:continuationSeparator/>
      </w:r>
    </w:p>
  </w:footnote>
  <w:footnote w:id="1">
    <w:p w:rsidR="00D0705B" w:rsidRDefault="00D0705B" w:rsidP="00742410">
      <w:pPr>
        <w:pStyle w:val="Textpoznpodarou"/>
      </w:pPr>
      <w:r w:rsidRPr="00264E87">
        <w:rPr>
          <w:rStyle w:val="Znakapoznpodarou"/>
          <w:rFonts w:ascii="Times New Roman" w:hAnsi="Times New Roman"/>
          <w:sz w:val="18"/>
          <w:szCs w:val="18"/>
        </w:rPr>
        <w:footnoteRef/>
      </w:r>
      <w:r w:rsidRPr="00264E87">
        <w:rPr>
          <w:rFonts w:ascii="Times New Roman" w:hAnsi="Times New Roman"/>
          <w:sz w:val="18"/>
          <w:szCs w:val="18"/>
        </w:rPr>
        <w:t xml:space="preserve"> COM (2010) 2020.</w:t>
      </w:r>
    </w:p>
  </w:footnote>
  <w:footnote w:id="2">
    <w:p w:rsidR="00D0705B" w:rsidRPr="00687A5F" w:rsidRDefault="00D0705B" w:rsidP="00207EDB">
      <w:pPr>
        <w:pStyle w:val="Textpoznpodarou"/>
        <w:jc w:val="both"/>
        <w:rPr>
          <w:rFonts w:ascii="Times New Roman" w:hAnsi="Times New Roman"/>
          <w:sz w:val="18"/>
          <w:szCs w:val="18"/>
        </w:rPr>
      </w:pPr>
      <w:r w:rsidRPr="00264E87">
        <w:rPr>
          <w:rStyle w:val="Znakapoznpodarou"/>
          <w:rFonts w:ascii="Times New Roman" w:hAnsi="Times New Roman"/>
          <w:sz w:val="18"/>
          <w:szCs w:val="18"/>
        </w:rPr>
        <w:footnoteRef/>
      </w:r>
      <w:r w:rsidRPr="00264E87">
        <w:rPr>
          <w:rFonts w:ascii="Times New Roman" w:hAnsi="Times New Roman"/>
          <w:sz w:val="18"/>
          <w:szCs w:val="18"/>
        </w:rPr>
        <w:t xml:space="preserve"> </w:t>
      </w:r>
      <w:r w:rsidRPr="00264E87">
        <w:rPr>
          <w:rFonts w:ascii="Times New Roman" w:hAnsi="Times New Roman"/>
          <w:i/>
          <w:sz w:val="18"/>
          <w:szCs w:val="18"/>
        </w:rPr>
        <w:t>Úmluva o odstranění všech</w:t>
      </w:r>
      <w:r w:rsidRPr="00687A5F">
        <w:rPr>
          <w:rFonts w:ascii="Times New Roman" w:hAnsi="Times New Roman"/>
          <w:i/>
          <w:sz w:val="18"/>
          <w:szCs w:val="18"/>
        </w:rPr>
        <w:t xml:space="preserve"> forem diskriminace žen</w:t>
      </w:r>
      <w:r w:rsidRPr="00687A5F">
        <w:rPr>
          <w:rFonts w:ascii="Times New Roman" w:hAnsi="Times New Roman"/>
          <w:sz w:val="18"/>
          <w:szCs w:val="18"/>
        </w:rPr>
        <w:t xml:space="preserve">, New York, 18. 12. 1979. </w:t>
      </w:r>
    </w:p>
    <w:p w:rsidR="00D0705B" w:rsidRDefault="00D0705B" w:rsidP="00207EDB">
      <w:pPr>
        <w:pStyle w:val="Textpoznpodarou"/>
        <w:jc w:val="both"/>
      </w:pPr>
      <w:r w:rsidRPr="00687A5F">
        <w:rPr>
          <w:rFonts w:ascii="Times New Roman" w:hAnsi="Times New Roman"/>
          <w:i/>
          <w:sz w:val="18"/>
          <w:szCs w:val="18"/>
        </w:rPr>
        <w:t>Lisabonská smlouva</w:t>
      </w:r>
      <w:r w:rsidRPr="00687A5F">
        <w:rPr>
          <w:rFonts w:ascii="Times New Roman" w:hAnsi="Times New Roman"/>
          <w:sz w:val="18"/>
          <w:szCs w:val="18"/>
        </w:rPr>
        <w:t xml:space="preserve"> pozměňující Smlouvu o Evropské unii a Smlouvu o založení Evropského společenství, podepsaná v Lisabonu dne 13. prosince 2007 (2007/C 306/01)</w:t>
      </w:r>
    </w:p>
  </w:footnote>
  <w:footnote w:id="3">
    <w:p w:rsidR="00D0705B" w:rsidRDefault="00D0705B" w:rsidP="00264E87">
      <w:pPr>
        <w:pStyle w:val="Bezmezer"/>
      </w:pPr>
      <w:r w:rsidRPr="00264E87">
        <w:rPr>
          <w:rStyle w:val="Znakapoznpodarou"/>
          <w:rFonts w:ascii="Times New Roman" w:hAnsi="Times New Roman"/>
          <w:sz w:val="18"/>
          <w:szCs w:val="18"/>
        </w:rPr>
        <w:footnoteRef/>
      </w:r>
      <w:r w:rsidRPr="00264E87">
        <w:rPr>
          <w:rFonts w:ascii="Times New Roman" w:hAnsi="Times New Roman"/>
          <w:sz w:val="18"/>
          <w:szCs w:val="18"/>
        </w:rPr>
        <w:t xml:space="preserve"> Council conclusions, 17165/10,  Europe 2020 Flagship Initiative: "Innovation Union": Accelerating the transformation of Europe through innovation in a fast changing World. </w:t>
      </w:r>
    </w:p>
  </w:footnote>
  <w:footnote w:id="4">
    <w:p w:rsidR="00D0705B" w:rsidRDefault="00D0705B" w:rsidP="00264E87">
      <w:pPr>
        <w:pStyle w:val="Bezmezer"/>
      </w:pPr>
      <w:r w:rsidRPr="00264E87">
        <w:rPr>
          <w:rStyle w:val="Znakapoznpodarou"/>
          <w:rFonts w:ascii="Times New Roman" w:hAnsi="Times New Roman"/>
          <w:sz w:val="18"/>
          <w:szCs w:val="18"/>
        </w:rPr>
        <w:footnoteRef/>
      </w:r>
      <w:r w:rsidRPr="00264E87">
        <w:rPr>
          <w:rFonts w:ascii="Times New Roman" w:hAnsi="Times New Roman"/>
          <w:sz w:val="18"/>
          <w:szCs w:val="18"/>
        </w:rPr>
        <w:t xml:space="preserve"> Kromě výše zmíněných dokumentů se jednalo rovněž o </w:t>
      </w:r>
      <w:r w:rsidRPr="00264E87">
        <w:rPr>
          <w:rFonts w:ascii="Times New Roman" w:hAnsi="Times New Roman"/>
          <w:i/>
          <w:sz w:val="18"/>
          <w:szCs w:val="18"/>
        </w:rPr>
        <w:t>Pekingskou akční platformu</w:t>
      </w:r>
      <w:r w:rsidRPr="00264E87">
        <w:rPr>
          <w:rFonts w:ascii="Times New Roman" w:hAnsi="Times New Roman"/>
          <w:sz w:val="18"/>
          <w:szCs w:val="18"/>
        </w:rPr>
        <w:t xml:space="preserve">. </w:t>
      </w:r>
    </w:p>
  </w:footnote>
  <w:footnote w:id="5">
    <w:p w:rsidR="00D0705B" w:rsidRDefault="00D0705B">
      <w:pPr>
        <w:pStyle w:val="Textpoznpodarou"/>
      </w:pPr>
      <w:r w:rsidRPr="007A4437">
        <w:rPr>
          <w:rStyle w:val="Znakapoznpodarou"/>
          <w:rFonts w:ascii="Times New Roman" w:hAnsi="Times New Roman"/>
          <w:sz w:val="18"/>
          <w:szCs w:val="18"/>
          <w:lang w:eastAsia="en-US"/>
        </w:rPr>
        <w:footnoteRef/>
      </w:r>
      <w:r>
        <w:t xml:space="preserve"> </w:t>
      </w:r>
      <w:r w:rsidRPr="007A4437">
        <w:rPr>
          <w:rFonts w:ascii="Times New Roman" w:hAnsi="Times New Roman"/>
          <w:sz w:val="18"/>
          <w:szCs w:val="18"/>
          <w:lang w:eastAsia="en-US"/>
        </w:rPr>
        <w:t>Zákon č. 198/2009 Sb. - Zákon o rovném zacházení a o právních prostředcích ochrany před diskriminací a o změně některých zákonů</w:t>
      </w:r>
    </w:p>
  </w:footnote>
  <w:footnote w:id="6">
    <w:p w:rsidR="00D0705B" w:rsidRDefault="00D0705B" w:rsidP="00207EDB">
      <w:pPr>
        <w:pStyle w:val="Textpoznpodarou"/>
        <w:jc w:val="both"/>
      </w:pPr>
      <w:r w:rsidRPr="00264E87">
        <w:rPr>
          <w:rStyle w:val="Znakapoznpodarou"/>
          <w:rFonts w:ascii="Times New Roman" w:hAnsi="Times New Roman"/>
          <w:sz w:val="18"/>
          <w:szCs w:val="18"/>
        </w:rPr>
        <w:footnoteRef/>
      </w:r>
      <w:r w:rsidRPr="00264E87">
        <w:rPr>
          <w:rFonts w:ascii="Times New Roman" w:hAnsi="Times New Roman"/>
          <w:sz w:val="18"/>
          <w:szCs w:val="18"/>
        </w:rPr>
        <w:t xml:space="preserve"> Zákon č. 561/2004 Sb., o předškolním, základním, středním, vyšším odborném a jiném vzdělávání (školský zákon), ve znění pozdějších předpisů.</w:t>
      </w:r>
    </w:p>
  </w:footnote>
  <w:footnote w:id="7">
    <w:p w:rsidR="00D0705B" w:rsidRDefault="00D0705B" w:rsidP="00207EDB">
      <w:pPr>
        <w:pStyle w:val="Textpoznpodarou"/>
        <w:jc w:val="both"/>
      </w:pPr>
      <w:r w:rsidRPr="00687A5F">
        <w:rPr>
          <w:rStyle w:val="Znakapoznpodarou"/>
          <w:rFonts w:ascii="Times New Roman" w:hAnsi="Times New Roman"/>
          <w:sz w:val="18"/>
          <w:szCs w:val="18"/>
        </w:rPr>
        <w:footnoteRef/>
      </w:r>
      <w:r w:rsidRPr="00687A5F">
        <w:rPr>
          <w:rFonts w:ascii="Times New Roman" w:hAnsi="Times New Roman"/>
          <w:sz w:val="18"/>
          <w:szCs w:val="18"/>
        </w:rPr>
        <w:t xml:space="preserve"> Pokyn ministra školství, mládeže a tělovýchovy k prosazování rovnosti mužů a žen ve výchovně vzdělávacím procesu ve školách a školských zařízení. Č.j. 12908/2000-23. </w:t>
      </w:r>
    </w:p>
  </w:footnote>
  <w:footnote w:id="8">
    <w:p w:rsidR="00D0705B" w:rsidRDefault="00D0705B">
      <w:pPr>
        <w:pStyle w:val="Textpoznpodarou"/>
      </w:pPr>
      <w:r w:rsidRPr="00211741">
        <w:rPr>
          <w:rStyle w:val="Znakapoznpodarou"/>
          <w:rFonts w:ascii="Times New Roman" w:hAnsi="Times New Roman"/>
          <w:sz w:val="18"/>
          <w:szCs w:val="18"/>
        </w:rPr>
        <w:footnoteRef/>
      </w:r>
      <w:r>
        <w:t xml:space="preserve"> </w:t>
      </w:r>
      <w:r w:rsidRPr="00211741">
        <w:rPr>
          <w:rFonts w:ascii="Times New Roman" w:hAnsi="Times New Roman"/>
          <w:sz w:val="18"/>
          <w:szCs w:val="18"/>
        </w:rPr>
        <w:t xml:space="preserve">Studie používá označení žáci/žákyně, studenti/studentky, studující nebo děti, a to s ohledem na stylistiku textu. V případě pojmu studující či děti význam odpovídá legislativně ukotvenému pojmu „žáci“. </w:t>
      </w:r>
      <w:r>
        <w:t xml:space="preserve"> </w:t>
      </w:r>
    </w:p>
  </w:footnote>
  <w:footnote w:id="9">
    <w:p w:rsidR="00D0705B" w:rsidRDefault="00D0705B" w:rsidP="00742410">
      <w:pPr>
        <w:pStyle w:val="Textpoznpodarou"/>
      </w:pPr>
      <w:r w:rsidRPr="00687A5F">
        <w:rPr>
          <w:rStyle w:val="Znakapoznpodarou"/>
          <w:rFonts w:ascii="Times New Roman" w:hAnsi="Times New Roman"/>
          <w:sz w:val="18"/>
          <w:szCs w:val="18"/>
        </w:rPr>
        <w:footnoteRef/>
      </w:r>
      <w:r w:rsidRPr="00687A5F">
        <w:rPr>
          <w:rFonts w:ascii="Times New Roman" w:hAnsi="Times New Roman"/>
          <w:sz w:val="18"/>
          <w:szCs w:val="18"/>
        </w:rPr>
        <w:t>portal.unesco.org/education/.../daa3a7d75587a9ae6c</w:t>
      </w:r>
    </w:p>
  </w:footnote>
  <w:footnote w:id="10">
    <w:p w:rsidR="00D0705B" w:rsidRDefault="00D0705B" w:rsidP="00742410">
      <w:pPr>
        <w:pStyle w:val="Textpoznpodarou"/>
      </w:pPr>
      <w:r w:rsidRPr="00687A5F">
        <w:rPr>
          <w:rStyle w:val="Znakapoznpodarou"/>
          <w:rFonts w:ascii="Times New Roman" w:hAnsi="Times New Roman"/>
          <w:sz w:val="18"/>
          <w:szCs w:val="18"/>
        </w:rPr>
        <w:footnoteRef/>
      </w:r>
      <w:r w:rsidRPr="00687A5F">
        <w:rPr>
          <w:rFonts w:ascii="Times New Roman" w:hAnsi="Times New Roman"/>
          <w:sz w:val="18"/>
          <w:szCs w:val="18"/>
        </w:rPr>
        <w:t xml:space="preserve"> Či naopak přijmout, avšak vědomě, při znalosti všech negativ (a pozitiv), která jsou se stereotypy spojena. </w:t>
      </w:r>
    </w:p>
  </w:footnote>
  <w:footnote w:id="11">
    <w:p w:rsidR="00D0705B" w:rsidRDefault="00D0705B" w:rsidP="00742410">
      <w:pPr>
        <w:pStyle w:val="Textpoznpodarou"/>
      </w:pPr>
      <w:r w:rsidRPr="00687A5F">
        <w:rPr>
          <w:rStyle w:val="Znakapoznpodarou"/>
          <w:rFonts w:ascii="Times New Roman" w:hAnsi="Times New Roman"/>
          <w:sz w:val="18"/>
          <w:szCs w:val="18"/>
        </w:rPr>
        <w:footnoteRef/>
      </w:r>
      <w:r w:rsidRPr="00687A5F">
        <w:rPr>
          <w:rFonts w:ascii="Times New Roman" w:hAnsi="Times New Roman"/>
          <w:sz w:val="18"/>
          <w:szCs w:val="18"/>
        </w:rPr>
        <w:t xml:space="preserve"> http://www.aeufederal.org.au/Policy/GendEq2008.pdf</w:t>
      </w:r>
    </w:p>
  </w:footnote>
  <w:footnote w:id="12">
    <w:p w:rsidR="00D0705B" w:rsidRDefault="00D0705B">
      <w:pPr>
        <w:pStyle w:val="Textpoznpodarou"/>
      </w:pPr>
      <w:r>
        <w:rPr>
          <w:rStyle w:val="Znakapoznpodarou"/>
        </w:rPr>
        <w:footnoteRef/>
      </w:r>
      <w:r>
        <w:t xml:space="preserve"> </w:t>
      </w:r>
      <w:r>
        <w:rPr>
          <w:rFonts w:ascii="Times New Roman" w:hAnsi="Times New Roman"/>
          <w:sz w:val="18"/>
          <w:szCs w:val="18"/>
        </w:rPr>
        <w:t>D</w:t>
      </w:r>
      <w:r w:rsidRPr="005716D9">
        <w:rPr>
          <w:rFonts w:ascii="Times New Roman" w:hAnsi="Times New Roman"/>
          <w:sz w:val="18"/>
          <w:szCs w:val="18"/>
        </w:rPr>
        <w:t>alší skupiny pracovníků/pracovnic ve školství ponechává tato analýza stranou pozornosti, avšak v dohledné době by měly být rovněž zahrnuty</w:t>
      </w:r>
      <w:r>
        <w:rPr>
          <w:rFonts w:ascii="Times New Roman" w:hAnsi="Times New Roman"/>
          <w:sz w:val="18"/>
          <w:szCs w:val="18"/>
        </w:rPr>
        <w:t xml:space="preserve">. Důvodem je jednak omezená dostupnost údajů za ostatní skupiny pracovníků/pracovnic, jednak zásadní význam vyučujících, eventuálně vedení škol pro změnu pedagogické praxe. </w:t>
      </w:r>
    </w:p>
  </w:footnote>
  <w:footnote w:id="13">
    <w:p w:rsidR="00D0705B" w:rsidRDefault="00D0705B" w:rsidP="00675E9C">
      <w:pPr>
        <w:pStyle w:val="Textpoznpodarou"/>
        <w:jc w:val="both"/>
      </w:pPr>
      <w:r w:rsidRPr="00687A5F">
        <w:rPr>
          <w:rStyle w:val="Znakapoznpodarou"/>
          <w:rFonts w:ascii="Times New Roman" w:hAnsi="Times New Roman"/>
          <w:sz w:val="18"/>
          <w:szCs w:val="18"/>
        </w:rPr>
        <w:footnoteRef/>
      </w:r>
      <w:r w:rsidRPr="00687A5F">
        <w:rPr>
          <w:rFonts w:ascii="Times New Roman" w:hAnsi="Times New Roman"/>
          <w:sz w:val="18"/>
          <w:szCs w:val="18"/>
        </w:rPr>
        <w:t xml:space="preserve"> Jedná se o tzv. efekt skleněného stropu, v důsledku kterého je kariérní vzestup mužů v povoláních s převahou žen urychlován kvůli uplatnění stereotypních představ o vhodnějších charakteristikách mužů pro vedoucí funkce. Tento efekt kombinuje vliv strukturálních podmínek, které vstupují do výběru uchazečů/ek, a vliv individuálních aspirací žen a mužů, jež vyrůstají z přijetí ve společnosti ukotvených genderových představ. </w:t>
      </w:r>
    </w:p>
  </w:footnote>
  <w:footnote w:id="14">
    <w:p w:rsidR="00D0705B" w:rsidRDefault="00D0705B" w:rsidP="00AA3C8A">
      <w:pPr>
        <w:pStyle w:val="Bezmezer"/>
        <w:jc w:val="both"/>
      </w:pPr>
      <w:r w:rsidRPr="00D54B05">
        <w:rPr>
          <w:rStyle w:val="Znakapoznpodarou"/>
          <w:rFonts w:ascii="Times New Roman" w:hAnsi="Times New Roman"/>
          <w:sz w:val="18"/>
          <w:szCs w:val="18"/>
        </w:rPr>
        <w:footnoteRef/>
      </w:r>
      <w:r w:rsidRPr="00D54B05">
        <w:rPr>
          <w:rFonts w:ascii="Times New Roman" w:hAnsi="Times New Roman"/>
          <w:sz w:val="18"/>
          <w:szCs w:val="18"/>
        </w:rPr>
        <w:t xml:space="preserve"> V případě chlapců je třeba si uvědomit, že to nejsou všichni chlapci, kteří jsou ohroženi nedostatečným vzděláním, ale jsou to chlapci z nižších sociálních vrstev, popřípadě etnických minorit, kde se znevýhodnění sociální kloubí se znevýhodňováním na základě etnicity. Jak ukázal již v roce 1977 Paul Willis, u chlapců z dělnických rodin existuje větší neochota podřizovat se školní disciplíně, která ústí do vytvoření jisté kontrakultury, kdy chlapci revoltují proti škole. Protože úspěch podle kritérií střední třídy je pro ně výrazně obtížnější než pro chlapce z dobře situovaných rodin, budují si postavení v jiné sféře. Preferují model drsňácké maskulinity, která jim má zajistit uznávané postavení ve vrstevnické skupině. Dobrý studijní výkon a neproblematické vztahy s vyučujícími by byly považovány za něco změkčilého, nechlapského – drsný chlap je totiž rebel a nesklání hlavu před autoritou. Tento drsňácký lesk je zajímavý zvláště pro chlapce, kteří jsou jinak ve výuce spíše podprůměrní, jejich sociální zázemí je slabší a nemohou tak dobrého postavení dosáhnout pomocí kulturního, sociálního ani materiálního kapitálu vlastní rodiny. Důsledkem takovýchto vzorců maskulinity je potom jejich negativní vztah ke škole a negativní vztah školy k nim. Na tomto příkladu vidíme, že genderová reprodukce jde ruku v ruce s reprodukcí sociálního statusu. Problémoví žáci dosahují nízkého vzdělání a často předčasně ze vzdělávacího systému vypadnou a rebelující maskulinita je tím, co k tomuto nezdaru ve vzdělávání přispívá.</w:t>
      </w:r>
    </w:p>
  </w:footnote>
  <w:footnote w:id="15">
    <w:p w:rsidR="00D0705B" w:rsidRDefault="00D0705B" w:rsidP="00AA3C8A">
      <w:pPr>
        <w:pStyle w:val="Bezmezer"/>
        <w:jc w:val="both"/>
      </w:pPr>
      <w:r w:rsidRPr="00D54B05">
        <w:rPr>
          <w:rStyle w:val="Znakapoznpodarou"/>
          <w:rFonts w:ascii="Times New Roman" w:hAnsi="Times New Roman"/>
          <w:sz w:val="18"/>
          <w:szCs w:val="18"/>
        </w:rPr>
        <w:footnoteRef/>
      </w:r>
      <w:r w:rsidRPr="00D54B05">
        <w:rPr>
          <w:rFonts w:ascii="Times New Roman" w:hAnsi="Times New Roman"/>
          <w:sz w:val="18"/>
          <w:szCs w:val="18"/>
        </w:rPr>
        <w:t xml:space="preserve"> Zaostřeno na ženy a muže 2012, http://www.czso.cz/csu/2012edicniplan.nsf/kapitola/1413-12-r_2012-14</w:t>
      </w:r>
    </w:p>
  </w:footnote>
  <w:footnote w:id="16">
    <w:p w:rsidR="00D0705B" w:rsidRDefault="00D0705B" w:rsidP="00675E9C">
      <w:pPr>
        <w:pStyle w:val="Textpoznpodarou"/>
        <w:jc w:val="both"/>
      </w:pPr>
      <w:r w:rsidRPr="00687A5F">
        <w:rPr>
          <w:rStyle w:val="Znakapoznpodarou"/>
          <w:rFonts w:ascii="Times New Roman" w:hAnsi="Times New Roman"/>
          <w:sz w:val="18"/>
          <w:szCs w:val="18"/>
        </w:rPr>
        <w:footnoteRef/>
      </w:r>
      <w:r w:rsidRPr="00687A5F">
        <w:rPr>
          <w:rFonts w:ascii="Times New Roman" w:hAnsi="Times New Roman"/>
          <w:sz w:val="18"/>
          <w:szCs w:val="18"/>
        </w:rPr>
        <w:t xml:space="preserve"> Tuto otázku ve vztahu ke konceptualizaci genderové rovnosti ve vzdělávání diskutují například texty Jarkovská (2010) či Smetáčková (2013), ve vztahu k širšímu pojetí rovnosti ve vzdělávání např. Simonová (2012). </w:t>
      </w:r>
    </w:p>
  </w:footnote>
  <w:footnote w:id="17">
    <w:p w:rsidR="00D0705B" w:rsidRDefault="00D0705B" w:rsidP="00742410">
      <w:pPr>
        <w:pStyle w:val="Textpoznpodarou"/>
      </w:pPr>
      <w:r w:rsidRPr="00687A5F">
        <w:rPr>
          <w:rStyle w:val="Znakapoznpodarou"/>
          <w:rFonts w:ascii="Times New Roman" w:hAnsi="Times New Roman"/>
          <w:sz w:val="18"/>
          <w:szCs w:val="18"/>
        </w:rPr>
        <w:footnoteRef/>
      </w:r>
      <w:r w:rsidRPr="00687A5F">
        <w:rPr>
          <w:rFonts w:ascii="Times New Roman" w:hAnsi="Times New Roman"/>
          <w:sz w:val="18"/>
          <w:szCs w:val="18"/>
        </w:rPr>
        <w:t xml:space="preserve"> K nejrozsáhlejším patřil projekt </w:t>
      </w:r>
      <w:r w:rsidRPr="00687A5F">
        <w:rPr>
          <w:rFonts w:ascii="Times New Roman" w:hAnsi="Times New Roman"/>
          <w:i/>
          <w:sz w:val="18"/>
          <w:szCs w:val="18"/>
        </w:rPr>
        <w:t>Genderové aspekty přechodu žáků a žákyň mezi vzdělávacími stupni</w:t>
      </w:r>
      <w:r w:rsidRPr="00687A5F">
        <w:rPr>
          <w:rFonts w:ascii="Times New Roman" w:hAnsi="Times New Roman"/>
          <w:sz w:val="18"/>
          <w:szCs w:val="18"/>
        </w:rPr>
        <w:t xml:space="preserve">  (Smetáčková, 2006).</w:t>
      </w:r>
    </w:p>
  </w:footnote>
  <w:footnote w:id="18">
    <w:p w:rsidR="00D0705B" w:rsidRDefault="00D0705B" w:rsidP="00D54B05">
      <w:pPr>
        <w:pStyle w:val="Bezmezer"/>
      </w:pPr>
      <w:r w:rsidRPr="00D54B05">
        <w:rPr>
          <w:rStyle w:val="Znakapoznpodarou"/>
          <w:rFonts w:ascii="Times New Roman" w:hAnsi="Times New Roman"/>
          <w:sz w:val="18"/>
          <w:szCs w:val="18"/>
        </w:rPr>
        <w:footnoteRef/>
      </w:r>
      <w:r w:rsidRPr="00D54B05">
        <w:rPr>
          <w:rFonts w:ascii="Times New Roman" w:hAnsi="Times New Roman"/>
          <w:sz w:val="18"/>
          <w:szCs w:val="18"/>
        </w:rPr>
        <w:t xml:space="preserve"> Výsledky ostatních výzkumů, které zjišťovaly průměrný prospěch dívek a chlapců, jsou shodné.</w:t>
      </w:r>
    </w:p>
  </w:footnote>
  <w:footnote w:id="19">
    <w:p w:rsidR="00D0705B" w:rsidRDefault="00D0705B">
      <w:pPr>
        <w:pStyle w:val="Textpoznpodarou"/>
      </w:pPr>
      <w:r w:rsidRPr="00AA7871">
        <w:rPr>
          <w:rStyle w:val="Znakapoznpodarou"/>
          <w:rFonts w:ascii="Times New Roman" w:hAnsi="Times New Roman"/>
          <w:sz w:val="18"/>
          <w:szCs w:val="18"/>
        </w:rPr>
        <w:footnoteRef/>
      </w:r>
      <w:r w:rsidRPr="00AA7871">
        <w:rPr>
          <w:rStyle w:val="Znakapoznpodarou"/>
        </w:rPr>
        <w:t xml:space="preserve"> </w:t>
      </w:r>
      <w:r>
        <w:rPr>
          <w:rFonts w:ascii="Times New Roman" w:hAnsi="Times New Roman"/>
          <w:sz w:val="18"/>
          <w:szCs w:val="18"/>
        </w:rPr>
        <w:t>Někdy též za gender pay či wage gap je termín označující rozdíl v platech žen a mužů. OECD jej definuje jako pměr mezi mediánem mužských a mediánem ženských výdělků (OECD 2012). Liší se v různých státech a podle výše vzdělání a oboru činnosti.</w:t>
      </w:r>
    </w:p>
  </w:footnote>
  <w:footnote w:id="20">
    <w:p w:rsidR="00D0705B" w:rsidRDefault="00D0705B" w:rsidP="00742410">
      <w:pPr>
        <w:pStyle w:val="Textpoznpodarou"/>
        <w:jc w:val="both"/>
      </w:pPr>
      <w:r w:rsidRPr="00687A5F">
        <w:rPr>
          <w:rStyle w:val="Znakapoznpodarou"/>
          <w:rFonts w:ascii="Times New Roman" w:hAnsi="Times New Roman"/>
          <w:sz w:val="18"/>
          <w:szCs w:val="18"/>
        </w:rPr>
        <w:footnoteRef/>
      </w:r>
      <w:r w:rsidRPr="00687A5F">
        <w:rPr>
          <w:rFonts w:ascii="Times New Roman" w:hAnsi="Times New Roman"/>
          <w:sz w:val="18"/>
          <w:szCs w:val="18"/>
        </w:rPr>
        <w:t xml:space="preserve"> Ačkoliv v matematické gramotnosti převažuje stav, kdy lepších výsledků dosahují chlapci, existují i země, které mají rozdíly mezi chlapci a dívkami nejnižší a zároveň mají velmi kvalitní celkové výsledky (např. Hongkong, Nizozemsko, Japonsko). Česká republika patří v obou parametrech spíše ke slabším zemím. To naznačuje, že je zde prostor pro opatření, která by mohla tento rozdíl zmírnit a mohla podpořit celkové zlepšení výsledků chlapců i dívek v této oblasti.</w:t>
      </w:r>
    </w:p>
  </w:footnote>
  <w:footnote w:id="21">
    <w:p w:rsidR="00D0705B" w:rsidRDefault="00D0705B" w:rsidP="00742410">
      <w:pPr>
        <w:autoSpaceDE w:val="0"/>
        <w:autoSpaceDN w:val="0"/>
        <w:adjustRightInd w:val="0"/>
        <w:jc w:val="both"/>
      </w:pPr>
      <w:r w:rsidRPr="00687A5F">
        <w:rPr>
          <w:rStyle w:val="Znakapoznpodarou"/>
          <w:rFonts w:ascii="Times New Roman" w:hAnsi="Times New Roman"/>
          <w:sz w:val="18"/>
          <w:szCs w:val="18"/>
        </w:rPr>
        <w:footnoteRef/>
      </w:r>
      <w:r w:rsidRPr="00687A5F">
        <w:rPr>
          <w:rFonts w:ascii="Times New Roman" w:hAnsi="Times New Roman"/>
          <w:sz w:val="18"/>
          <w:szCs w:val="18"/>
        </w:rPr>
        <w:t xml:space="preserve"> Náznak genderové analýzy lze spatřovat v materiálech k výzkumu PISA 2006, která byla zaměřena na přírodovědnou gramotnost. Na škále neživé systémy měli chlapci ve všech zemích OECD výrazně lepší výsledky než dívky, přičemž Česká republika spolu s Rakouskem, Maďarskem a Slovenskem patří k zemím s největším rozdílem ve výsledcích chlapců a dívek. Autorský kolektiv naznačuje, že tento rozdíl může být způsoben tím, že učebnice zejména fyziky a chemie jsou často velmi teoretické a ilustrační příklady jsou spíše technického charakteru, což vyhovuje spíše chlapcům než dívkám. Pro dívky je tak obtížnější najít ke studiu těchto předmětů vztah, což zřejmě vede i k tomu, že v úlohách blízkých</w:t>
      </w:r>
      <w:r w:rsidRPr="00675E9C">
        <w:rPr>
          <w:rFonts w:ascii="Times New Roman" w:hAnsi="Times New Roman"/>
          <w:sz w:val="20"/>
          <w:szCs w:val="20"/>
        </w:rPr>
        <w:t xml:space="preserve"> </w:t>
      </w:r>
      <w:r w:rsidRPr="0070680B">
        <w:rPr>
          <w:rFonts w:ascii="Times New Roman" w:hAnsi="Times New Roman"/>
          <w:sz w:val="18"/>
          <w:szCs w:val="18"/>
        </w:rPr>
        <w:t>svým obsahem fyzice, chemii a geografii mají horší výsledky (Palečková a kol. 2007).</w:t>
      </w:r>
    </w:p>
  </w:footnote>
  <w:footnote w:id="22">
    <w:p w:rsidR="00D0705B" w:rsidRDefault="00D0705B" w:rsidP="00742410">
      <w:pPr>
        <w:pStyle w:val="Textpoznpodarou"/>
      </w:pPr>
      <w:r w:rsidRPr="00675E9C">
        <w:rPr>
          <w:rStyle w:val="Znakapoznpodarou"/>
          <w:rFonts w:ascii="Times New Roman" w:hAnsi="Times New Roman"/>
        </w:rPr>
        <w:footnoteRef/>
      </w:r>
      <w:r w:rsidRPr="00675E9C">
        <w:rPr>
          <w:rFonts w:ascii="Times New Roman" w:hAnsi="Times New Roman"/>
        </w:rPr>
        <w:t xml:space="preserve"> </w:t>
      </w:r>
      <w:r w:rsidRPr="0070680B">
        <w:rPr>
          <w:rFonts w:ascii="Times New Roman" w:hAnsi="Times New Roman"/>
          <w:sz w:val="18"/>
          <w:szCs w:val="18"/>
        </w:rPr>
        <w:t>http://toiler.uiv.cz/rocenka/rocenka.asp</w:t>
      </w:r>
    </w:p>
  </w:footnote>
  <w:footnote w:id="23">
    <w:p w:rsidR="00D0705B" w:rsidRDefault="00D0705B">
      <w:pPr>
        <w:pStyle w:val="Textpoznpodarou"/>
      </w:pPr>
      <w:r w:rsidRPr="001B3E0E">
        <w:rPr>
          <w:rStyle w:val="Znakapoznpodarou"/>
          <w:rFonts w:ascii="Times New Roman" w:hAnsi="Times New Roman"/>
        </w:rPr>
        <w:footnoteRef/>
      </w:r>
      <w:r w:rsidRPr="001B3E0E">
        <w:rPr>
          <w:rFonts w:ascii="Times New Roman" w:hAnsi="Times New Roman"/>
        </w:rPr>
        <w:t xml:space="preserve"> </w:t>
      </w:r>
      <w:r>
        <w:rPr>
          <w:rFonts w:ascii="Times New Roman" w:hAnsi="Times New Roman"/>
          <w:sz w:val="18"/>
          <w:szCs w:val="18"/>
        </w:rPr>
        <w:t>Tolerance a respekt mezi pohlavími jsou někdy vnímány jako potřeba galantnosti chlapců vůči dívkám. Tento přístup je problematický, protože jednak staví chlapce do nadřazené pozice těch, kteří ochraňují slabé dívky, a zároveň disciplinuje dívky tím, že galantnost si zaslouží jen ty, které odpovídají genderovým normám – jsou milé, tiché a bezbranné. Blíže viz Jarkovská (2012a).</w:t>
      </w:r>
    </w:p>
  </w:footnote>
  <w:footnote w:id="24">
    <w:p w:rsidR="00D0705B" w:rsidRDefault="00D0705B" w:rsidP="00211741">
      <w:pPr>
        <w:pStyle w:val="Textpoznpodarou"/>
      </w:pPr>
      <w:r>
        <w:rPr>
          <w:rStyle w:val="Znakapoznpodarou"/>
        </w:rPr>
        <w:footnoteRef/>
      </w:r>
      <w:r>
        <w:t xml:space="preserve"> </w:t>
      </w:r>
      <w:r w:rsidRPr="005716D9">
        <w:rPr>
          <w:rFonts w:ascii="Times New Roman" w:hAnsi="Times New Roman"/>
          <w:sz w:val="18"/>
          <w:szCs w:val="18"/>
        </w:rPr>
        <w:t xml:space="preserve">V aktuální analýze je pozornost věnována učitelům a učitelkám. Příští rozbory musí začlenit rovněž další skupiny pracovníků/pracovnic působících ve školství. </w:t>
      </w:r>
      <w:r>
        <w:t xml:space="preserve"> </w:t>
      </w:r>
    </w:p>
  </w:footnote>
  <w:footnote w:id="25">
    <w:p w:rsidR="00D0705B" w:rsidRDefault="00D0705B" w:rsidP="00742410">
      <w:pPr>
        <w:pStyle w:val="Textpoznpodarou"/>
        <w:jc w:val="both"/>
      </w:pPr>
      <w:r w:rsidRPr="00BE0FDF">
        <w:rPr>
          <w:rStyle w:val="Znakapoznpodarou"/>
          <w:rFonts w:ascii="Times New Roman" w:hAnsi="Times New Roman"/>
          <w:sz w:val="18"/>
          <w:szCs w:val="18"/>
        </w:rPr>
        <w:footnoteRef/>
      </w:r>
      <w:r w:rsidRPr="00BE0FDF">
        <w:rPr>
          <w:rFonts w:ascii="Times New Roman" w:hAnsi="Times New Roman"/>
          <w:sz w:val="18"/>
          <w:szCs w:val="18"/>
        </w:rPr>
        <w:t xml:space="preserve"> Příkladem je projekt Prolomit vlny, v rámci jehož dílčího modulu Vzdělávání byla v letech 2007-2008  </w:t>
      </w:r>
    </w:p>
  </w:footnote>
  <w:footnote w:id="26">
    <w:p w:rsidR="00D0705B" w:rsidRDefault="00D0705B" w:rsidP="00742410">
      <w:pPr>
        <w:pStyle w:val="Textpoznpodarou"/>
      </w:pPr>
      <w:r w:rsidRPr="00BE0FDF">
        <w:rPr>
          <w:rStyle w:val="Znakapoznpodarou"/>
          <w:rFonts w:ascii="Times New Roman" w:hAnsi="Times New Roman"/>
          <w:sz w:val="18"/>
          <w:szCs w:val="18"/>
        </w:rPr>
        <w:footnoteRef/>
      </w:r>
      <w:r w:rsidRPr="00BE0FDF">
        <w:rPr>
          <w:rFonts w:ascii="Times New Roman" w:hAnsi="Times New Roman"/>
          <w:sz w:val="18"/>
          <w:szCs w:val="18"/>
        </w:rPr>
        <w:t xml:space="preserve"> http://www.czso.cz/csu/2012edicniplan.nsf/kapitola/1607-12-r_2012-7, http://appsso.eurostat.ec.europa.eu/nui/show.do?dataset=educ_figdp&amp;lang=en</w:t>
      </w:r>
    </w:p>
  </w:footnote>
  <w:footnote w:id="27">
    <w:p w:rsidR="00D0705B" w:rsidRDefault="00D0705B" w:rsidP="00742410">
      <w:pPr>
        <w:pStyle w:val="Textpoznpodarou"/>
      </w:pPr>
      <w:r w:rsidRPr="00BE0FDF">
        <w:rPr>
          <w:rStyle w:val="Znakapoznpodarou"/>
          <w:rFonts w:ascii="Times New Roman" w:hAnsi="Times New Roman"/>
          <w:sz w:val="18"/>
          <w:szCs w:val="18"/>
        </w:rPr>
        <w:footnoteRef/>
      </w:r>
      <w:r w:rsidRPr="00BE0FDF">
        <w:rPr>
          <w:rFonts w:ascii="Times New Roman" w:hAnsi="Times New Roman"/>
          <w:sz w:val="18"/>
          <w:szCs w:val="18"/>
        </w:rPr>
        <w:t xml:space="preserve"> http://apl.czso.cz/pll/eutab/html.h?ptabkod=tps00069</w:t>
      </w:r>
    </w:p>
  </w:footnote>
  <w:footnote w:id="28">
    <w:p w:rsidR="00D0705B" w:rsidRDefault="00D0705B" w:rsidP="00E25BFF">
      <w:pPr>
        <w:pStyle w:val="Textpoznpodarou"/>
        <w:jc w:val="both"/>
      </w:pPr>
      <w:r w:rsidRPr="00B87698">
        <w:rPr>
          <w:rStyle w:val="Znakapoznpodarou"/>
          <w:rFonts w:ascii="Times New Roman" w:hAnsi="Times New Roman"/>
          <w:sz w:val="18"/>
          <w:szCs w:val="18"/>
        </w:rPr>
        <w:footnoteRef/>
      </w:r>
      <w:r w:rsidRPr="00B87698">
        <w:rPr>
          <w:rFonts w:ascii="Times New Roman" w:hAnsi="Times New Roman"/>
          <w:sz w:val="18"/>
          <w:szCs w:val="18"/>
        </w:rPr>
        <w:t xml:space="preserve"> Ačkoliv výzkumy veřejného mínění přinášejí trvale vysoké hodnocení učitelství na všech stupních škol mezi prvními deseti nejlépe hodnocenými povoláními, subjektivně vnímaná prestiž vyučujících</w:t>
      </w:r>
      <w:r>
        <w:rPr>
          <w:rFonts w:ascii="Times New Roman" w:hAnsi="Times New Roman"/>
          <w:sz w:val="18"/>
          <w:szCs w:val="18"/>
        </w:rPr>
        <w:t>, vycházející z kontaktů s rodičovskou i širší laickou veřejností,</w:t>
      </w:r>
      <w:r w:rsidRPr="00B87698">
        <w:rPr>
          <w:rFonts w:ascii="Times New Roman" w:hAnsi="Times New Roman"/>
          <w:sz w:val="18"/>
          <w:szCs w:val="18"/>
        </w:rPr>
        <w:t xml:space="preserve"> je </w:t>
      </w:r>
      <w:r>
        <w:rPr>
          <w:rFonts w:ascii="Times New Roman" w:hAnsi="Times New Roman"/>
          <w:sz w:val="18"/>
          <w:szCs w:val="18"/>
        </w:rPr>
        <w:t xml:space="preserve">výrazně </w:t>
      </w:r>
      <w:r w:rsidRPr="00B87698">
        <w:rPr>
          <w:rFonts w:ascii="Times New Roman" w:hAnsi="Times New Roman"/>
          <w:sz w:val="18"/>
          <w:szCs w:val="18"/>
        </w:rPr>
        <w:t xml:space="preserve">nižší. </w:t>
      </w:r>
    </w:p>
  </w:footnote>
  <w:footnote w:id="29">
    <w:p w:rsidR="00D0705B" w:rsidRDefault="00D0705B" w:rsidP="00E25BFF">
      <w:pPr>
        <w:pStyle w:val="Textpoznpodarou"/>
        <w:jc w:val="both"/>
      </w:pPr>
      <w:r w:rsidRPr="00BE0FDF">
        <w:rPr>
          <w:rStyle w:val="Znakapoznpodarou"/>
          <w:rFonts w:ascii="Times New Roman" w:hAnsi="Times New Roman"/>
          <w:sz w:val="18"/>
          <w:szCs w:val="18"/>
        </w:rPr>
        <w:footnoteRef/>
      </w:r>
      <w:r w:rsidRPr="00BE0FDF">
        <w:rPr>
          <w:rFonts w:ascii="Times New Roman" w:hAnsi="Times New Roman"/>
          <w:sz w:val="18"/>
          <w:szCs w:val="18"/>
        </w:rPr>
        <w:t xml:space="preserve"> http://www.czso.cz/csu/2012edicniplan.nsf/kapitola/1413-12-r_2012-14</w:t>
      </w:r>
      <w:r>
        <w:rPr>
          <w:rFonts w:ascii="Times New Roman" w:hAnsi="Times New Roman"/>
          <w:sz w:val="18"/>
          <w:szCs w:val="18"/>
        </w:rPr>
        <w:t>.</w:t>
      </w:r>
    </w:p>
  </w:footnote>
  <w:footnote w:id="30">
    <w:p w:rsidR="00D0705B" w:rsidRDefault="00D0705B" w:rsidP="00E25BFF">
      <w:pPr>
        <w:pStyle w:val="Textpoznpodarou"/>
        <w:jc w:val="both"/>
      </w:pPr>
      <w:r w:rsidRPr="00CF62E5">
        <w:rPr>
          <w:rStyle w:val="Znakapoznpodarou"/>
          <w:rFonts w:ascii="Times New Roman" w:hAnsi="Times New Roman"/>
          <w:sz w:val="18"/>
          <w:szCs w:val="18"/>
        </w:rPr>
        <w:footnoteRef/>
      </w:r>
      <w:r w:rsidRPr="00CF62E5">
        <w:rPr>
          <w:rFonts w:ascii="Times New Roman" w:hAnsi="Times New Roman"/>
          <w:sz w:val="18"/>
          <w:szCs w:val="18"/>
        </w:rPr>
        <w:t xml:space="preserve"> </w:t>
      </w:r>
      <w:r>
        <w:rPr>
          <w:rFonts w:ascii="Times New Roman" w:hAnsi="Times New Roman"/>
          <w:sz w:val="18"/>
          <w:szCs w:val="18"/>
        </w:rPr>
        <w:t xml:space="preserve">V této části analýzy vycházím e z údajů ČSÚ, který vyčleňuje segment školství, aniž by detailně třídil různé pozice osob pracujících ve školství. Odměňování učitelů a učitelek, na které je celý materiál primárně zaměřen, je pojednáno níže na základě Genderové ročenky školství. </w:t>
      </w:r>
    </w:p>
  </w:footnote>
  <w:footnote w:id="31">
    <w:p w:rsidR="00D0705B" w:rsidRDefault="00D0705B">
      <w:pPr>
        <w:pStyle w:val="Textpoznpodarou"/>
      </w:pPr>
      <w:r w:rsidRPr="00CD077F">
        <w:rPr>
          <w:rStyle w:val="Znakapoznpodarou"/>
          <w:rFonts w:ascii="Times New Roman" w:hAnsi="Times New Roman"/>
          <w:sz w:val="18"/>
          <w:szCs w:val="18"/>
        </w:rPr>
        <w:footnoteRef/>
      </w:r>
      <w:r>
        <w:t xml:space="preserve"> </w:t>
      </w:r>
      <w:r w:rsidRPr="000A7AE9">
        <w:rPr>
          <w:rFonts w:ascii="Times New Roman" w:hAnsi="Times New Roman"/>
          <w:sz w:val="18"/>
          <w:szCs w:val="18"/>
        </w:rPr>
        <w:t>http://www.msmt.cz/file/28719</w:t>
      </w:r>
    </w:p>
  </w:footnote>
  <w:footnote w:id="32">
    <w:p w:rsidR="00D0705B" w:rsidRDefault="00D0705B">
      <w:pPr>
        <w:pStyle w:val="Textpoznpodarou"/>
      </w:pPr>
      <w:r w:rsidRPr="00CD077F">
        <w:rPr>
          <w:rStyle w:val="Znakapoznpodarou"/>
          <w:rFonts w:ascii="Times New Roman" w:hAnsi="Times New Roman"/>
          <w:sz w:val="18"/>
          <w:szCs w:val="18"/>
        </w:rPr>
        <w:footnoteRef/>
      </w:r>
      <w:r w:rsidRPr="00CD077F">
        <w:rPr>
          <w:rFonts w:ascii="Times New Roman" w:hAnsi="Times New Roman"/>
          <w:sz w:val="18"/>
          <w:szCs w:val="18"/>
        </w:rPr>
        <w:t xml:space="preserve"> Existenci genderových stereotypů v ředitelském zdůvodňování odměňování učitelek a učitelů prokázal i kvalitativní výzkum (Smetáčková, Pavlík, 2006).</w:t>
      </w:r>
    </w:p>
  </w:footnote>
  <w:footnote w:id="33">
    <w:p w:rsidR="00D0705B" w:rsidRDefault="00D0705B" w:rsidP="000A7AE9">
      <w:pPr>
        <w:pStyle w:val="Textpoznpodarou"/>
        <w:jc w:val="both"/>
      </w:pPr>
      <w:r w:rsidRPr="00BE0FDF">
        <w:rPr>
          <w:rStyle w:val="Znakapoznpodarou"/>
          <w:rFonts w:ascii="Times New Roman" w:hAnsi="Times New Roman"/>
          <w:sz w:val="18"/>
          <w:szCs w:val="18"/>
        </w:rPr>
        <w:footnoteRef/>
      </w:r>
      <w:r w:rsidRPr="00BE0FDF">
        <w:rPr>
          <w:rFonts w:ascii="Times New Roman" w:hAnsi="Times New Roman"/>
          <w:sz w:val="18"/>
          <w:szCs w:val="18"/>
        </w:rPr>
        <w:t xml:space="preserve"> Výchova dominuje v mateřských školách, kde tomu napovídá i vlastní název, naopak důraz na vzdělávání jednoznačně převažuje na středních a vysokých školách. Čím větší je důraz na vzdělání, tím větší je zastoupení mužů a tím větší je prestiž daného povolání.  </w:t>
      </w:r>
    </w:p>
  </w:footnote>
  <w:footnote w:id="34">
    <w:p w:rsidR="00D0705B" w:rsidRDefault="00D0705B" w:rsidP="004F0B68">
      <w:pPr>
        <w:pStyle w:val="Textpoznpodarou"/>
      </w:pPr>
      <w:r w:rsidRPr="000A7AE9">
        <w:rPr>
          <w:rStyle w:val="Znakapoznpodarou"/>
          <w:rFonts w:ascii="Times New Roman" w:hAnsi="Times New Roman"/>
          <w:sz w:val="18"/>
          <w:szCs w:val="18"/>
        </w:rPr>
        <w:footnoteRef/>
      </w:r>
      <w:r w:rsidRPr="000A7AE9">
        <w:rPr>
          <w:rFonts w:ascii="Times New Roman" w:hAnsi="Times New Roman"/>
          <w:sz w:val="18"/>
          <w:szCs w:val="18"/>
        </w:rPr>
        <w:t xml:space="preserve"> http://www.msmt.cz/file/28719</w:t>
      </w:r>
    </w:p>
  </w:footnote>
  <w:footnote w:id="35">
    <w:p w:rsidR="00342D72" w:rsidRDefault="00342D72" w:rsidP="00342D72">
      <w:pPr>
        <w:jc w:val="both"/>
      </w:pPr>
      <w:r w:rsidRPr="00BE0FDF">
        <w:rPr>
          <w:rStyle w:val="Znakapoznpodarou"/>
          <w:rFonts w:ascii="Times New Roman" w:hAnsi="Times New Roman"/>
          <w:sz w:val="18"/>
          <w:szCs w:val="18"/>
        </w:rPr>
        <w:footnoteRef/>
      </w:r>
      <w:r w:rsidRPr="00BE0FDF">
        <w:rPr>
          <w:rFonts w:ascii="Times New Roman" w:hAnsi="Times New Roman"/>
          <w:sz w:val="18"/>
          <w:szCs w:val="18"/>
        </w:rPr>
        <w:t xml:space="preserve"> </w:t>
      </w:r>
      <w:r w:rsidRPr="000026F9">
        <w:rPr>
          <w:rFonts w:ascii="Times New Roman" w:hAnsi="Times New Roman"/>
          <w:bCs/>
          <w:sz w:val="18"/>
          <w:szCs w:val="18"/>
        </w:rPr>
        <w:t>Communication from the Commission to the European Parliament, the Council, the European Economic and Social Committee and the Committee of the Regions</w:t>
      </w:r>
      <w:r w:rsidRPr="00BE0FDF">
        <w:rPr>
          <w:rFonts w:ascii="Times New Roman" w:hAnsi="Times New Roman"/>
          <w:bCs/>
          <w:sz w:val="18"/>
          <w:szCs w:val="18"/>
        </w:rPr>
        <w:t xml:space="preserve"> European Research Area Partnership for Excellence and Growth. </w:t>
      </w:r>
      <w:r w:rsidRPr="00D203E3">
        <w:rPr>
          <w:rFonts w:ascii="Times New Roman" w:hAnsi="Times New Roman"/>
          <w:bCs/>
          <w:sz w:val="18"/>
          <w:szCs w:val="18"/>
        </w:rPr>
        <w:t>COM(2012) 392 final z 17. 7. 2012.</w:t>
      </w:r>
    </w:p>
  </w:footnote>
  <w:footnote w:id="36">
    <w:p w:rsidR="00D0705B" w:rsidRDefault="00D0705B" w:rsidP="00BE0FDF">
      <w:pPr>
        <w:jc w:val="both"/>
      </w:pPr>
      <w:r w:rsidRPr="00BE0FDF">
        <w:rPr>
          <w:rStyle w:val="Znakapoznpodarou"/>
          <w:rFonts w:ascii="Times New Roman" w:hAnsi="Times New Roman"/>
          <w:sz w:val="18"/>
          <w:szCs w:val="18"/>
        </w:rPr>
        <w:footnoteRef/>
      </w:r>
      <w:r w:rsidRPr="00BE0FDF">
        <w:rPr>
          <w:rFonts w:ascii="Times New Roman" w:hAnsi="Times New Roman"/>
          <w:sz w:val="18"/>
          <w:szCs w:val="18"/>
        </w:rPr>
        <w:t xml:space="preserve"> </w:t>
      </w:r>
      <w:r w:rsidRPr="00BE0FDF">
        <w:rPr>
          <w:rFonts w:ascii="Times New Roman" w:hAnsi="Times New Roman"/>
          <w:bCs/>
          <w:sz w:val="18"/>
          <w:szCs w:val="18"/>
        </w:rPr>
        <w:t xml:space="preserve">COMMUNICATION FROM THE COMMISSION TO THE EUROPEAN PARLIAMENT, THE COUNCIL, THE EUROPEAN ECONOMIC AND SOCIAL COMMITTEE AND THE COMMITTEE OF THE REGIONS. A Reinforced European Research Area Partnership for Excellence and Growth. </w:t>
      </w:r>
      <w:r w:rsidRPr="00BE0FDF">
        <w:rPr>
          <w:rFonts w:ascii="Times New Roman" w:hAnsi="Times New Roman"/>
          <w:sz w:val="18"/>
          <w:szCs w:val="18"/>
        </w:rPr>
        <w:t>COM(2012) 392 final z 17. 7. 2012.</w:t>
      </w:r>
    </w:p>
  </w:footnote>
  <w:footnote w:id="37">
    <w:p w:rsidR="00D0705B" w:rsidRDefault="00D0705B" w:rsidP="00AE3051">
      <w:pPr>
        <w:pStyle w:val="Textpoznpodarou"/>
        <w:jc w:val="both"/>
      </w:pPr>
      <w:r w:rsidRPr="0035101E">
        <w:rPr>
          <w:rStyle w:val="Znakapoznpodarou"/>
          <w:rFonts w:ascii="Times New Roman" w:hAnsi="Times New Roman"/>
          <w:sz w:val="18"/>
          <w:szCs w:val="18"/>
        </w:rPr>
        <w:footnoteRef/>
      </w:r>
      <w:r w:rsidRPr="0035101E">
        <w:rPr>
          <w:rFonts w:ascii="Times New Roman" w:hAnsi="Times New Roman"/>
          <w:sz w:val="18"/>
          <w:szCs w:val="18"/>
        </w:rPr>
        <w:t xml:space="preserve"> Genderový mainstreaming je metoda, kterou vláda České republiky uznala jako legitimní nástroj pro prosazování politiky rovných příležitostí pro muže a ženy. Na základě usnesení vlády č. 456 z 9. května 2001 je genderový mainstreaming od roku 2001 zakotven v Prioritách a postupech vlády při prosazování rovnosti mužů a žen v tomto znění: „Podřizovat koncepční, rozhodovací a vyhodnocovací procesy ve všech fázích jejich přípravy a provádění hledisku rovnosti příležitostí mužů a žen.“ Genderový mainstreaming znamená „prostoupení hlediska vyrovnávání příležitostí pro muže a ženy všemi koncepčními a rozhodovacími procesy ve všech jejich fázích, včetně plánování, provádění a vyhodnocování. Před přijetím jakéhokoli rozhodnutí je nutné vyhodnotit dopad takového rozhodnutí na muže a na ženy </w:t>
      </w:r>
      <w:r w:rsidRPr="0035101E">
        <w:rPr>
          <w:rStyle w:val="Siln"/>
          <w:rFonts w:ascii="Times New Roman" w:hAnsi="Times New Roman"/>
          <w:sz w:val="18"/>
          <w:szCs w:val="18"/>
        </w:rPr>
        <w:t>(tzv. genderová analýza)</w:t>
      </w:r>
      <w:r w:rsidRPr="0035101E">
        <w:rPr>
          <w:rFonts w:ascii="Times New Roman" w:hAnsi="Times New Roman"/>
          <w:b/>
          <w:sz w:val="18"/>
          <w:szCs w:val="18"/>
        </w:rPr>
        <w:t>.</w:t>
      </w:r>
      <w:r w:rsidRPr="0035101E">
        <w:rPr>
          <w:rFonts w:ascii="Times New Roman" w:hAnsi="Times New Roman"/>
          <w:sz w:val="18"/>
          <w:szCs w:val="18"/>
        </w:rPr>
        <w:t xml:space="preserve"> Zjistí-li se, že jedno z pohlaví bude negativně ovlivněno, musí ten, kdo rozhodnutí přijímá podniknout kroky k tomu, aby škodlivé účinky příslušného rozhodnutí odstranil nebo alespoň minimalizoval. Důsledná aplikace genderového mainstreamingu znamená </w:t>
      </w:r>
      <w:r w:rsidRPr="0035101E">
        <w:rPr>
          <w:rStyle w:val="Siln"/>
          <w:rFonts w:ascii="Times New Roman" w:hAnsi="Times New Roman"/>
          <w:sz w:val="18"/>
          <w:szCs w:val="18"/>
        </w:rPr>
        <w:t>integraci genderové perspektivy do všech existujících politik</w:t>
      </w:r>
      <w:r w:rsidRPr="0035101E">
        <w:rPr>
          <w:rFonts w:ascii="Times New Roman" w:hAnsi="Times New Roman"/>
          <w:sz w:val="18"/>
          <w:szCs w:val="18"/>
        </w:rPr>
        <w:t xml:space="preserve">, a to i do těch, které se na první pohled </w:t>
      </w:r>
      <w:r w:rsidR="002F2EA9">
        <w:rPr>
          <w:rFonts w:ascii="Times New Roman" w:hAnsi="Times New Roman"/>
          <w:sz w:val="18"/>
          <w:szCs w:val="18"/>
        </w:rPr>
        <w:t xml:space="preserve">zdají </w:t>
      </w:r>
      <w:r w:rsidRPr="0035101E">
        <w:rPr>
          <w:rFonts w:ascii="Times New Roman" w:hAnsi="Times New Roman"/>
          <w:sz w:val="18"/>
          <w:szCs w:val="18"/>
        </w:rPr>
        <w:t xml:space="preserve">jako genderově neutrální. Tato politika musí být aplikována napříč celou společností, což v praxi znamená, že každé ministerstvo (úřad) musí provádět </w:t>
      </w:r>
      <w:r w:rsidRPr="0035101E">
        <w:rPr>
          <w:rStyle w:val="Siln"/>
          <w:rFonts w:ascii="Times New Roman" w:hAnsi="Times New Roman"/>
          <w:sz w:val="18"/>
          <w:szCs w:val="18"/>
        </w:rPr>
        <w:t xml:space="preserve">vlastní soubor opatření </w:t>
      </w:r>
      <w:r w:rsidRPr="0035101E">
        <w:rPr>
          <w:rFonts w:ascii="Times New Roman" w:hAnsi="Times New Roman"/>
          <w:sz w:val="18"/>
          <w:szCs w:val="18"/>
        </w:rPr>
        <w:t>k vyrovnávání příležitostí mužů a žen v té oblasti veřejné politiky, za kterou nese odpovědnost (</w:t>
      </w:r>
      <w:r w:rsidRPr="0035101E">
        <w:rPr>
          <w:rStyle w:val="Siln"/>
          <w:rFonts w:ascii="Times New Roman" w:hAnsi="Times New Roman"/>
          <w:sz w:val="18"/>
          <w:szCs w:val="18"/>
        </w:rPr>
        <w:t>věcná politika</w:t>
      </w:r>
      <w:r w:rsidRPr="0035101E">
        <w:rPr>
          <w:rFonts w:ascii="Times New Roman" w:hAnsi="Times New Roman"/>
          <w:sz w:val="18"/>
          <w:szCs w:val="18"/>
        </w:rPr>
        <w:t>). Genderový mainstreaming musí být rovněž prováděn i ve vlastních strukturách (</w:t>
      </w:r>
      <w:r w:rsidRPr="0035101E">
        <w:rPr>
          <w:rStyle w:val="Siln"/>
          <w:rFonts w:ascii="Times New Roman" w:hAnsi="Times New Roman"/>
          <w:sz w:val="18"/>
          <w:szCs w:val="18"/>
        </w:rPr>
        <w:t>personální politika</w:t>
      </w:r>
      <w:r w:rsidRPr="0035101E">
        <w:rPr>
          <w:rFonts w:ascii="Times New Roman" w:hAnsi="Times New Roman"/>
          <w:sz w:val="18"/>
          <w:szCs w:val="18"/>
        </w:rPr>
        <w:t xml:space="preserve">). K úspěšnému provádění této metody je nutné disponovat </w:t>
      </w:r>
      <w:r w:rsidRPr="0035101E">
        <w:rPr>
          <w:rStyle w:val="Siln"/>
          <w:rFonts w:ascii="Times New Roman" w:hAnsi="Times New Roman"/>
          <w:sz w:val="18"/>
          <w:szCs w:val="18"/>
        </w:rPr>
        <w:t>statistikami segregovanými dle pohlaví</w:t>
      </w:r>
      <w:r w:rsidRPr="0035101E">
        <w:rPr>
          <w:rFonts w:ascii="Times New Roman" w:hAnsi="Times New Roman"/>
          <w:sz w:val="18"/>
          <w:szCs w:val="18"/>
        </w:rPr>
        <w:t>. (zdroj: MPSV)</w:t>
      </w:r>
    </w:p>
  </w:footnote>
  <w:footnote w:id="38">
    <w:p w:rsidR="00D0705B" w:rsidRDefault="00D0705B" w:rsidP="00AE3051">
      <w:pPr>
        <w:pStyle w:val="Textpoznpodarou"/>
        <w:jc w:val="both"/>
      </w:pPr>
      <w:r w:rsidRPr="0035101E">
        <w:rPr>
          <w:rStyle w:val="Znakapoznpodarou"/>
          <w:rFonts w:ascii="Times New Roman" w:hAnsi="Times New Roman"/>
          <w:sz w:val="18"/>
          <w:szCs w:val="18"/>
        </w:rPr>
        <w:footnoteRef/>
      </w:r>
      <w:r w:rsidRPr="0035101E">
        <w:rPr>
          <w:rFonts w:ascii="Times New Roman" w:hAnsi="Times New Roman"/>
          <w:sz w:val="18"/>
          <w:szCs w:val="18"/>
        </w:rPr>
        <w:t xml:space="preserve"> Přístup tzv. kulturní a institucionální změny je jedním z nástrojů pro budování Evropského výzkumného prostoru, který byl přijat Radou konkurenceschopnosti z 26. 5. </w:t>
      </w:r>
      <w:smartTag w:uri="urn:schemas-microsoft-com:office:smarttags" w:element="metricconverter">
        <w:smartTagPr>
          <w:attr w:name="ProductID" w:val="2010 a"/>
        </w:smartTagPr>
        <w:r w:rsidRPr="0035101E">
          <w:rPr>
            <w:rFonts w:ascii="Times New Roman" w:hAnsi="Times New Roman"/>
            <w:sz w:val="18"/>
            <w:szCs w:val="18"/>
          </w:rPr>
          <w:t>2010 a</w:t>
        </w:r>
      </w:smartTag>
      <w:r w:rsidRPr="0035101E">
        <w:rPr>
          <w:rFonts w:ascii="Times New Roman" w:hAnsi="Times New Roman"/>
          <w:sz w:val="18"/>
          <w:szCs w:val="18"/>
        </w:rPr>
        <w:t xml:space="preserve"> který je součástí tzv. ERA Komunikace z 17. 7.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5B" w:rsidRDefault="00D0705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5B" w:rsidRPr="00AE2F6B" w:rsidRDefault="00D0705B" w:rsidP="00AE2F6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05B" w:rsidRDefault="00D070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95B"/>
    <w:multiLevelType w:val="hybridMultilevel"/>
    <w:tmpl w:val="2A1484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5930E92"/>
    <w:multiLevelType w:val="hybridMultilevel"/>
    <w:tmpl w:val="254AFF88"/>
    <w:lvl w:ilvl="0" w:tplc="DC10077A">
      <w:start w:val="2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2E32D7"/>
    <w:multiLevelType w:val="hybridMultilevel"/>
    <w:tmpl w:val="11369D34"/>
    <w:lvl w:ilvl="0" w:tplc="B1C6A4A0">
      <w:numFmt w:val="bullet"/>
      <w:lvlText w:val="-"/>
      <w:lvlJc w:val="left"/>
      <w:pPr>
        <w:ind w:left="720" w:hanging="360"/>
      </w:pPr>
      <w:rPr>
        <w:rFonts w:ascii="Tahoma" w:eastAsia="Times New Roman" w:hAnsi="Tahoma"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441DC5"/>
    <w:multiLevelType w:val="hybridMultilevel"/>
    <w:tmpl w:val="9432C52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E626C21"/>
    <w:multiLevelType w:val="hybridMultilevel"/>
    <w:tmpl w:val="5F80313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ED9591C"/>
    <w:multiLevelType w:val="hybridMultilevel"/>
    <w:tmpl w:val="BE0EC6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51B5413"/>
    <w:multiLevelType w:val="hybridMultilevel"/>
    <w:tmpl w:val="563A48EC"/>
    <w:lvl w:ilvl="0" w:tplc="674A17DA">
      <w:start w:val="2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AD22768"/>
    <w:multiLevelType w:val="hybridMultilevel"/>
    <w:tmpl w:val="9E9C458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B9D7DFA"/>
    <w:multiLevelType w:val="multilevel"/>
    <w:tmpl w:val="BEA41AC2"/>
    <w:lvl w:ilvl="0">
      <w:start w:val="10"/>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1F0258DF"/>
    <w:multiLevelType w:val="hybridMultilevel"/>
    <w:tmpl w:val="3E1C32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3D31BB4"/>
    <w:multiLevelType w:val="hybridMultilevel"/>
    <w:tmpl w:val="8058588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C5F0174"/>
    <w:multiLevelType w:val="hybridMultilevel"/>
    <w:tmpl w:val="15665C68"/>
    <w:lvl w:ilvl="0" w:tplc="968C09CE">
      <w:start w:val="1"/>
      <w:numFmt w:val="bullet"/>
      <w:lvlText w:val="-"/>
      <w:lvlJc w:val="left"/>
      <w:pPr>
        <w:tabs>
          <w:tab w:val="num" w:pos="720"/>
        </w:tabs>
        <w:ind w:left="720" w:hanging="360"/>
      </w:pPr>
      <w:rPr>
        <w:rFonts w:ascii="Tahoma" w:eastAsia="Times New Roman" w:hAnsi="Tahom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D25764C"/>
    <w:multiLevelType w:val="multilevel"/>
    <w:tmpl w:val="D996005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nsid w:val="42684226"/>
    <w:multiLevelType w:val="hybridMultilevel"/>
    <w:tmpl w:val="E1D42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4F90BA4"/>
    <w:multiLevelType w:val="hybridMultilevel"/>
    <w:tmpl w:val="F4D88714"/>
    <w:lvl w:ilvl="0" w:tplc="04050011">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nsid w:val="59BC48E0"/>
    <w:multiLevelType w:val="hybridMultilevel"/>
    <w:tmpl w:val="ED30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9EB542C"/>
    <w:multiLevelType w:val="hybridMultilevel"/>
    <w:tmpl w:val="B9741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0D92E74"/>
    <w:multiLevelType w:val="hybridMultilevel"/>
    <w:tmpl w:val="B64E64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62C850AB"/>
    <w:multiLevelType w:val="hybridMultilevel"/>
    <w:tmpl w:val="EFF2D82E"/>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705F312F"/>
    <w:multiLevelType w:val="multilevel"/>
    <w:tmpl w:val="25F0D4A4"/>
    <w:lvl w:ilvl="0">
      <w:start w:val="1"/>
      <w:numFmt w:val="decimal"/>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750"/>
        </w:tabs>
        <w:ind w:left="750" w:hanging="39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0">
    <w:nsid w:val="782C1224"/>
    <w:multiLevelType w:val="hybridMultilevel"/>
    <w:tmpl w:val="543875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1"/>
  </w:num>
  <w:num w:numId="4">
    <w:abstractNumId w:val="8"/>
  </w:num>
  <w:num w:numId="5">
    <w:abstractNumId w:val="19"/>
  </w:num>
  <w:num w:numId="6">
    <w:abstractNumId w:val="12"/>
  </w:num>
  <w:num w:numId="7">
    <w:abstractNumId w:val="3"/>
  </w:num>
  <w:num w:numId="8">
    <w:abstractNumId w:val="2"/>
  </w:num>
  <w:num w:numId="9">
    <w:abstractNumId w:val="10"/>
  </w:num>
  <w:num w:numId="10">
    <w:abstractNumId w:val="18"/>
  </w:num>
  <w:num w:numId="11">
    <w:abstractNumId w:val="13"/>
  </w:num>
  <w:num w:numId="12">
    <w:abstractNumId w:val="16"/>
  </w:num>
  <w:num w:numId="13">
    <w:abstractNumId w:val="15"/>
  </w:num>
  <w:num w:numId="14">
    <w:abstractNumId w:val="0"/>
  </w:num>
  <w:num w:numId="15">
    <w:abstractNumId w:val="20"/>
  </w:num>
  <w:num w:numId="16">
    <w:abstractNumId w:val="14"/>
  </w:num>
  <w:num w:numId="17">
    <w:abstractNumId w:val="5"/>
  </w:num>
  <w:num w:numId="18">
    <w:abstractNumId w:val="17"/>
  </w:num>
  <w:num w:numId="19">
    <w:abstractNumId w:val="4"/>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10"/>
    <w:rsid w:val="00020626"/>
    <w:rsid w:val="00036C85"/>
    <w:rsid w:val="00041B10"/>
    <w:rsid w:val="00077770"/>
    <w:rsid w:val="000A7AE9"/>
    <w:rsid w:val="000C0C78"/>
    <w:rsid w:val="000C6015"/>
    <w:rsid w:val="000E1147"/>
    <w:rsid w:val="00135D4C"/>
    <w:rsid w:val="001A1902"/>
    <w:rsid w:val="001A4B2C"/>
    <w:rsid w:val="001A533C"/>
    <w:rsid w:val="001A5F22"/>
    <w:rsid w:val="001B3E0E"/>
    <w:rsid w:val="001D12BE"/>
    <w:rsid w:val="001D54F4"/>
    <w:rsid w:val="001F460A"/>
    <w:rsid w:val="00207EDB"/>
    <w:rsid w:val="00211741"/>
    <w:rsid w:val="00215483"/>
    <w:rsid w:val="00234071"/>
    <w:rsid w:val="00243FE3"/>
    <w:rsid w:val="00262185"/>
    <w:rsid w:val="00264E87"/>
    <w:rsid w:val="002753B1"/>
    <w:rsid w:val="002956E8"/>
    <w:rsid w:val="00295930"/>
    <w:rsid w:val="002A2F38"/>
    <w:rsid w:val="002A6EDB"/>
    <w:rsid w:val="002B4104"/>
    <w:rsid w:val="002F2EA9"/>
    <w:rsid w:val="002F744F"/>
    <w:rsid w:val="00300C9A"/>
    <w:rsid w:val="0033307C"/>
    <w:rsid w:val="00342D72"/>
    <w:rsid w:val="0035101E"/>
    <w:rsid w:val="00351EF0"/>
    <w:rsid w:val="00367653"/>
    <w:rsid w:val="0038211C"/>
    <w:rsid w:val="00382BAA"/>
    <w:rsid w:val="003B122D"/>
    <w:rsid w:val="003D301C"/>
    <w:rsid w:val="003D30A2"/>
    <w:rsid w:val="003E70CE"/>
    <w:rsid w:val="003F3062"/>
    <w:rsid w:val="00404787"/>
    <w:rsid w:val="00424F64"/>
    <w:rsid w:val="00451F37"/>
    <w:rsid w:val="00466373"/>
    <w:rsid w:val="004C1D3E"/>
    <w:rsid w:val="004F0B68"/>
    <w:rsid w:val="0050308D"/>
    <w:rsid w:val="00540D2E"/>
    <w:rsid w:val="00555980"/>
    <w:rsid w:val="00561843"/>
    <w:rsid w:val="005716D9"/>
    <w:rsid w:val="00573A18"/>
    <w:rsid w:val="006313EC"/>
    <w:rsid w:val="0063705B"/>
    <w:rsid w:val="00662F81"/>
    <w:rsid w:val="00667A74"/>
    <w:rsid w:val="00675E9C"/>
    <w:rsid w:val="00687A5F"/>
    <w:rsid w:val="006D241B"/>
    <w:rsid w:val="0070680B"/>
    <w:rsid w:val="0073249B"/>
    <w:rsid w:val="00740749"/>
    <w:rsid w:val="00742410"/>
    <w:rsid w:val="00746945"/>
    <w:rsid w:val="00770236"/>
    <w:rsid w:val="00775439"/>
    <w:rsid w:val="00782ABA"/>
    <w:rsid w:val="007A09AF"/>
    <w:rsid w:val="007A4437"/>
    <w:rsid w:val="007B2FE4"/>
    <w:rsid w:val="00855D8C"/>
    <w:rsid w:val="00857CB8"/>
    <w:rsid w:val="00876597"/>
    <w:rsid w:val="00887EC6"/>
    <w:rsid w:val="008A1538"/>
    <w:rsid w:val="008C6A0F"/>
    <w:rsid w:val="008D074F"/>
    <w:rsid w:val="008D326E"/>
    <w:rsid w:val="008D53C6"/>
    <w:rsid w:val="008F5FAA"/>
    <w:rsid w:val="009205C5"/>
    <w:rsid w:val="00945902"/>
    <w:rsid w:val="009508B3"/>
    <w:rsid w:val="009768D6"/>
    <w:rsid w:val="009C0186"/>
    <w:rsid w:val="009C11F4"/>
    <w:rsid w:val="009F1929"/>
    <w:rsid w:val="00A11D23"/>
    <w:rsid w:val="00A24EB0"/>
    <w:rsid w:val="00A50975"/>
    <w:rsid w:val="00A55293"/>
    <w:rsid w:val="00A73A88"/>
    <w:rsid w:val="00A85CAA"/>
    <w:rsid w:val="00AA3C8A"/>
    <w:rsid w:val="00AA7871"/>
    <w:rsid w:val="00AB2ADF"/>
    <w:rsid w:val="00AC6E0A"/>
    <w:rsid w:val="00AD6477"/>
    <w:rsid w:val="00AE2F6B"/>
    <w:rsid w:val="00AE3051"/>
    <w:rsid w:val="00AE6BBA"/>
    <w:rsid w:val="00B038B3"/>
    <w:rsid w:val="00B06CF7"/>
    <w:rsid w:val="00B13DF3"/>
    <w:rsid w:val="00B14C65"/>
    <w:rsid w:val="00B52FC7"/>
    <w:rsid w:val="00B54325"/>
    <w:rsid w:val="00B6186B"/>
    <w:rsid w:val="00B87698"/>
    <w:rsid w:val="00BC1A50"/>
    <w:rsid w:val="00BC7385"/>
    <w:rsid w:val="00BE0FDF"/>
    <w:rsid w:val="00C03251"/>
    <w:rsid w:val="00C12086"/>
    <w:rsid w:val="00C13472"/>
    <w:rsid w:val="00C23E5D"/>
    <w:rsid w:val="00C621F9"/>
    <w:rsid w:val="00C9378D"/>
    <w:rsid w:val="00CA230C"/>
    <w:rsid w:val="00CB133D"/>
    <w:rsid w:val="00CD077F"/>
    <w:rsid w:val="00CF62E5"/>
    <w:rsid w:val="00CF7C98"/>
    <w:rsid w:val="00D01B95"/>
    <w:rsid w:val="00D0705B"/>
    <w:rsid w:val="00D21118"/>
    <w:rsid w:val="00D54B05"/>
    <w:rsid w:val="00D76F5E"/>
    <w:rsid w:val="00DD3E05"/>
    <w:rsid w:val="00DF4F11"/>
    <w:rsid w:val="00E25BFF"/>
    <w:rsid w:val="00E473E6"/>
    <w:rsid w:val="00E6783A"/>
    <w:rsid w:val="00E72A2E"/>
    <w:rsid w:val="00E73784"/>
    <w:rsid w:val="00EB322F"/>
    <w:rsid w:val="00EC0696"/>
    <w:rsid w:val="00F032B9"/>
    <w:rsid w:val="00FA0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382BAA"/>
    <w:pPr>
      <w:spacing w:after="200" w:line="276" w:lineRule="auto"/>
    </w:pPr>
    <w:rPr>
      <w:sz w:val="22"/>
      <w:szCs w:val="22"/>
      <w:lang w:eastAsia="en-US"/>
    </w:rPr>
  </w:style>
  <w:style w:type="paragraph" w:styleId="Nadpis1">
    <w:name w:val="heading 1"/>
    <w:basedOn w:val="Normln"/>
    <w:next w:val="Normln"/>
    <w:link w:val="Nadpis1Char"/>
    <w:uiPriority w:val="99"/>
    <w:qFormat/>
    <w:rsid w:val="00742410"/>
    <w:pPr>
      <w:keepNext/>
      <w:spacing w:before="240" w:after="60" w:line="240" w:lineRule="auto"/>
      <w:outlineLvl w:val="0"/>
    </w:pPr>
    <w:rPr>
      <w:rFonts w:ascii="Tahoma" w:eastAsia="Times New Roman" w:hAnsi="Tahoma" w:cs="Arial"/>
      <w:b/>
      <w:bCs/>
      <w:kern w:val="32"/>
      <w:sz w:val="20"/>
      <w:szCs w:val="32"/>
      <w:lang w:eastAsia="cs-CZ"/>
    </w:rPr>
  </w:style>
  <w:style w:type="paragraph" w:styleId="Nadpis2">
    <w:name w:val="heading 2"/>
    <w:basedOn w:val="Normln"/>
    <w:next w:val="Normln"/>
    <w:link w:val="Nadpis2Char"/>
    <w:uiPriority w:val="99"/>
    <w:qFormat/>
    <w:rsid w:val="00742410"/>
    <w:pPr>
      <w:keepNext/>
      <w:spacing w:before="240" w:after="60" w:line="240" w:lineRule="auto"/>
      <w:outlineLvl w:val="1"/>
    </w:pPr>
    <w:rPr>
      <w:rFonts w:ascii="Tahoma" w:eastAsia="Times New Roman" w:hAnsi="Tahoma" w:cs="Arial"/>
      <w:b/>
      <w:bCs/>
      <w:iCs/>
      <w:sz w:val="20"/>
      <w:szCs w:val="28"/>
      <w:lang w:eastAsia="cs-CZ"/>
    </w:rPr>
  </w:style>
  <w:style w:type="paragraph" w:styleId="Nadpis4">
    <w:name w:val="heading 4"/>
    <w:basedOn w:val="Normln"/>
    <w:next w:val="Normln"/>
    <w:link w:val="Nadpis4Char"/>
    <w:uiPriority w:val="99"/>
    <w:qFormat/>
    <w:locked/>
    <w:rsid w:val="00F032B9"/>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42410"/>
    <w:rPr>
      <w:rFonts w:ascii="Tahoma" w:hAnsi="Tahoma" w:cs="Arial"/>
      <w:b/>
      <w:bCs/>
      <w:kern w:val="32"/>
      <w:sz w:val="32"/>
      <w:szCs w:val="32"/>
      <w:lang w:eastAsia="cs-CZ"/>
    </w:rPr>
  </w:style>
  <w:style w:type="character" w:customStyle="1" w:styleId="Nadpis2Char">
    <w:name w:val="Nadpis 2 Char"/>
    <w:link w:val="Nadpis2"/>
    <w:uiPriority w:val="99"/>
    <w:locked/>
    <w:rsid w:val="00742410"/>
    <w:rPr>
      <w:rFonts w:ascii="Tahoma" w:hAnsi="Tahoma" w:cs="Arial"/>
      <w:b/>
      <w:bCs/>
      <w:iCs/>
      <w:sz w:val="28"/>
      <w:szCs w:val="28"/>
      <w:lang w:eastAsia="cs-CZ"/>
    </w:rPr>
  </w:style>
  <w:style w:type="character" w:customStyle="1" w:styleId="Nadpis4Char">
    <w:name w:val="Nadpis 4 Char"/>
    <w:link w:val="Nadpis4"/>
    <w:uiPriority w:val="99"/>
    <w:semiHidden/>
    <w:locked/>
    <w:rsid w:val="008D074F"/>
    <w:rPr>
      <w:rFonts w:ascii="Calibri" w:hAnsi="Calibri" w:cs="Times New Roman"/>
      <w:b/>
      <w:bCs/>
      <w:sz w:val="28"/>
      <w:szCs w:val="28"/>
      <w:lang w:eastAsia="en-US"/>
    </w:rPr>
  </w:style>
  <w:style w:type="paragraph" w:styleId="Zkladntextodsazen">
    <w:name w:val="Body Text Indent"/>
    <w:basedOn w:val="Normln"/>
    <w:link w:val="ZkladntextodsazenChar"/>
    <w:uiPriority w:val="99"/>
    <w:rsid w:val="00742410"/>
    <w:pPr>
      <w:tabs>
        <w:tab w:val="right" w:pos="9072"/>
      </w:tabs>
      <w:spacing w:after="0" w:line="240" w:lineRule="auto"/>
      <w:ind w:left="851" w:hanging="851"/>
      <w:jc w:val="center"/>
    </w:pPr>
    <w:rPr>
      <w:rFonts w:ascii="Times New Roman" w:eastAsia="Times New Roman" w:hAnsi="Times New Roman"/>
      <w:b/>
      <w:bCs/>
      <w:i/>
      <w:sz w:val="28"/>
      <w:szCs w:val="28"/>
      <w:lang w:eastAsia="cs-CZ"/>
    </w:rPr>
  </w:style>
  <w:style w:type="character" w:customStyle="1" w:styleId="ZkladntextodsazenChar">
    <w:name w:val="Základní text odsazený Char"/>
    <w:link w:val="Zkladntextodsazen"/>
    <w:uiPriority w:val="99"/>
    <w:locked/>
    <w:rsid w:val="00742410"/>
    <w:rPr>
      <w:rFonts w:ascii="Times New Roman" w:hAnsi="Times New Roman" w:cs="Times New Roman"/>
      <w:b/>
      <w:bCs/>
      <w:i/>
      <w:sz w:val="28"/>
      <w:szCs w:val="28"/>
      <w:lang w:eastAsia="cs-CZ"/>
    </w:rPr>
  </w:style>
  <w:style w:type="paragraph" w:styleId="Zhlav">
    <w:name w:val="header"/>
    <w:basedOn w:val="Normln"/>
    <w:link w:val="ZhlavChar"/>
    <w:uiPriority w:val="99"/>
    <w:rsid w:val="00742410"/>
    <w:pPr>
      <w:tabs>
        <w:tab w:val="center" w:pos="4536"/>
        <w:tab w:val="right" w:pos="9072"/>
      </w:tabs>
      <w:spacing w:after="0" w:line="240" w:lineRule="auto"/>
    </w:pPr>
  </w:style>
  <w:style w:type="character" w:customStyle="1" w:styleId="ZhlavChar">
    <w:name w:val="Záhlaví Char"/>
    <w:link w:val="Zhlav"/>
    <w:uiPriority w:val="99"/>
    <w:locked/>
    <w:rsid w:val="00742410"/>
    <w:rPr>
      <w:rFonts w:cs="Times New Roman"/>
    </w:rPr>
  </w:style>
  <w:style w:type="paragraph" w:styleId="Zpat">
    <w:name w:val="footer"/>
    <w:basedOn w:val="Normln"/>
    <w:link w:val="ZpatChar"/>
    <w:uiPriority w:val="99"/>
    <w:rsid w:val="00742410"/>
    <w:pPr>
      <w:tabs>
        <w:tab w:val="center" w:pos="4536"/>
        <w:tab w:val="right" w:pos="9072"/>
      </w:tabs>
      <w:spacing w:after="0" w:line="240" w:lineRule="auto"/>
    </w:pPr>
  </w:style>
  <w:style w:type="character" w:customStyle="1" w:styleId="ZpatChar">
    <w:name w:val="Zápatí Char"/>
    <w:link w:val="Zpat"/>
    <w:uiPriority w:val="99"/>
    <w:locked/>
    <w:rsid w:val="00742410"/>
    <w:rPr>
      <w:rFonts w:cs="Times New Roman"/>
    </w:rPr>
  </w:style>
  <w:style w:type="paragraph" w:styleId="Textbubliny">
    <w:name w:val="Balloon Text"/>
    <w:basedOn w:val="Normln"/>
    <w:link w:val="TextbublinyChar"/>
    <w:uiPriority w:val="99"/>
    <w:semiHidden/>
    <w:rsid w:val="00742410"/>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42410"/>
    <w:rPr>
      <w:rFonts w:ascii="Tahoma" w:hAnsi="Tahoma" w:cs="Tahoma"/>
      <w:sz w:val="16"/>
      <w:szCs w:val="16"/>
    </w:rPr>
  </w:style>
  <w:style w:type="paragraph" w:styleId="Textpoznpodarou">
    <w:name w:val="footnote text"/>
    <w:basedOn w:val="Normln"/>
    <w:link w:val="TextpoznpodarouChar"/>
    <w:uiPriority w:val="99"/>
    <w:semiHidden/>
    <w:rsid w:val="00742410"/>
    <w:pPr>
      <w:spacing w:after="0" w:line="240" w:lineRule="auto"/>
    </w:pPr>
    <w:rPr>
      <w:rFonts w:ascii="Verdana" w:eastAsia="Times New Roman" w:hAnsi="Verdana"/>
      <w:sz w:val="20"/>
      <w:szCs w:val="20"/>
      <w:lang w:eastAsia="cs-CZ"/>
    </w:rPr>
  </w:style>
  <w:style w:type="character" w:customStyle="1" w:styleId="TextpoznpodarouChar">
    <w:name w:val="Text pozn. pod čarou Char"/>
    <w:link w:val="Textpoznpodarou"/>
    <w:uiPriority w:val="99"/>
    <w:semiHidden/>
    <w:locked/>
    <w:rsid w:val="00742410"/>
    <w:rPr>
      <w:rFonts w:ascii="Verdana" w:hAnsi="Verdana" w:cs="Times New Roman"/>
      <w:sz w:val="20"/>
      <w:szCs w:val="20"/>
      <w:lang w:eastAsia="cs-CZ"/>
    </w:rPr>
  </w:style>
  <w:style w:type="character" w:styleId="Znakapoznpodarou">
    <w:name w:val="footnote reference"/>
    <w:uiPriority w:val="99"/>
    <w:semiHidden/>
    <w:rsid w:val="00742410"/>
    <w:rPr>
      <w:rFonts w:cs="Times New Roman"/>
      <w:vertAlign w:val="superscript"/>
    </w:rPr>
  </w:style>
  <w:style w:type="paragraph" w:styleId="Odstavecseseznamem">
    <w:name w:val="List Paragraph"/>
    <w:basedOn w:val="Normln"/>
    <w:uiPriority w:val="99"/>
    <w:qFormat/>
    <w:rsid w:val="00742410"/>
    <w:pPr>
      <w:ind w:left="708"/>
    </w:pPr>
    <w:rPr>
      <w:rFonts w:eastAsia="Times New Roman"/>
    </w:rPr>
  </w:style>
  <w:style w:type="paragraph" w:styleId="Textkomente">
    <w:name w:val="annotation text"/>
    <w:basedOn w:val="Normln"/>
    <w:link w:val="TextkomenteChar"/>
    <w:uiPriority w:val="99"/>
    <w:rsid w:val="00742410"/>
    <w:pPr>
      <w:spacing w:after="0" w:line="240" w:lineRule="auto"/>
    </w:pPr>
    <w:rPr>
      <w:rFonts w:ascii="Verdana" w:eastAsia="Times New Roman" w:hAnsi="Verdana"/>
      <w:sz w:val="20"/>
      <w:szCs w:val="20"/>
      <w:lang w:eastAsia="cs-CZ"/>
    </w:rPr>
  </w:style>
  <w:style w:type="character" w:customStyle="1" w:styleId="TextkomenteChar">
    <w:name w:val="Text komentáře Char"/>
    <w:link w:val="Textkomente"/>
    <w:uiPriority w:val="99"/>
    <w:locked/>
    <w:rsid w:val="00742410"/>
    <w:rPr>
      <w:rFonts w:ascii="Verdana" w:hAnsi="Verdana" w:cs="Times New Roman"/>
      <w:sz w:val="20"/>
      <w:szCs w:val="20"/>
      <w:lang w:eastAsia="cs-CZ"/>
    </w:rPr>
  </w:style>
  <w:style w:type="character" w:customStyle="1" w:styleId="CommentSubjectChar">
    <w:name w:val="Comment Subject Char"/>
    <w:uiPriority w:val="99"/>
    <w:semiHidden/>
    <w:locked/>
    <w:rsid w:val="00742410"/>
    <w:rPr>
      <w:rFonts w:ascii="Verdana" w:hAnsi="Verdana"/>
      <w:b/>
      <w:sz w:val="20"/>
      <w:lang w:eastAsia="cs-CZ"/>
    </w:rPr>
  </w:style>
  <w:style w:type="paragraph" w:styleId="Pedmtkomente">
    <w:name w:val="annotation subject"/>
    <w:basedOn w:val="Textkomente"/>
    <w:next w:val="Textkomente"/>
    <w:link w:val="PedmtkomenteChar"/>
    <w:uiPriority w:val="99"/>
    <w:semiHidden/>
    <w:rsid w:val="00742410"/>
    <w:rPr>
      <w:rFonts w:eastAsia="Calibri"/>
      <w:b/>
      <w:bCs/>
    </w:rPr>
  </w:style>
  <w:style w:type="character" w:customStyle="1" w:styleId="PedmtkomenteChar">
    <w:name w:val="Předmět komentáře Char"/>
    <w:link w:val="Pedmtkomente"/>
    <w:uiPriority w:val="99"/>
    <w:semiHidden/>
    <w:locked/>
    <w:rsid w:val="00AC6E0A"/>
    <w:rPr>
      <w:rFonts w:ascii="Verdana" w:hAnsi="Verdana" w:cs="Times New Roman"/>
      <w:b/>
      <w:bCs/>
      <w:sz w:val="20"/>
      <w:szCs w:val="20"/>
      <w:lang w:eastAsia="en-US"/>
    </w:rPr>
  </w:style>
  <w:style w:type="character" w:styleId="Zvraznn">
    <w:name w:val="Emphasis"/>
    <w:uiPriority w:val="99"/>
    <w:qFormat/>
    <w:rsid w:val="00742410"/>
    <w:rPr>
      <w:rFonts w:cs="Times New Roman"/>
      <w:i/>
    </w:rPr>
  </w:style>
  <w:style w:type="character" w:styleId="Siln">
    <w:name w:val="Strong"/>
    <w:uiPriority w:val="99"/>
    <w:qFormat/>
    <w:rsid w:val="00742410"/>
    <w:rPr>
      <w:rFonts w:cs="Times New Roman"/>
      <w:b/>
    </w:rPr>
  </w:style>
  <w:style w:type="paragraph" w:styleId="Nadpisobsahu">
    <w:name w:val="TOC Heading"/>
    <w:basedOn w:val="Nadpis1"/>
    <w:next w:val="Normln"/>
    <w:uiPriority w:val="99"/>
    <w:qFormat/>
    <w:rsid w:val="00742410"/>
    <w:pPr>
      <w:keepLines/>
      <w:spacing w:before="480" w:after="0" w:line="276" w:lineRule="auto"/>
      <w:outlineLvl w:val="9"/>
    </w:pPr>
    <w:rPr>
      <w:rFonts w:ascii="Cambria" w:hAnsi="Cambria" w:cs="Times New Roman"/>
      <w:color w:val="365F91"/>
      <w:kern w:val="0"/>
      <w:sz w:val="28"/>
      <w:szCs w:val="28"/>
      <w:lang w:eastAsia="en-US"/>
    </w:rPr>
  </w:style>
  <w:style w:type="paragraph" w:styleId="Obsah1">
    <w:name w:val="toc 1"/>
    <w:basedOn w:val="Normln"/>
    <w:next w:val="Normln"/>
    <w:autoRedefine/>
    <w:uiPriority w:val="99"/>
    <w:rsid w:val="00742410"/>
    <w:pPr>
      <w:tabs>
        <w:tab w:val="left" w:pos="440"/>
        <w:tab w:val="right" w:leader="dot" w:pos="9062"/>
      </w:tabs>
      <w:spacing w:after="0" w:line="240" w:lineRule="auto"/>
    </w:pPr>
    <w:rPr>
      <w:rFonts w:ascii="Times New Roman" w:eastAsia="Times New Roman" w:hAnsi="Times New Roman"/>
      <w:b/>
      <w:sz w:val="24"/>
      <w:szCs w:val="24"/>
      <w:lang w:eastAsia="cs-CZ"/>
    </w:rPr>
  </w:style>
  <w:style w:type="paragraph" w:styleId="Obsah2">
    <w:name w:val="toc 2"/>
    <w:basedOn w:val="Normln"/>
    <w:next w:val="Normln"/>
    <w:autoRedefine/>
    <w:uiPriority w:val="99"/>
    <w:rsid w:val="00742410"/>
    <w:pPr>
      <w:spacing w:after="0" w:line="240" w:lineRule="auto"/>
      <w:ind w:left="200"/>
    </w:pPr>
    <w:rPr>
      <w:rFonts w:ascii="Verdana" w:eastAsia="Times New Roman" w:hAnsi="Verdana"/>
      <w:sz w:val="20"/>
      <w:szCs w:val="20"/>
      <w:lang w:eastAsia="cs-CZ"/>
    </w:rPr>
  </w:style>
  <w:style w:type="character" w:styleId="Hypertextovodkaz">
    <w:name w:val="Hyperlink"/>
    <w:uiPriority w:val="99"/>
    <w:rsid w:val="00742410"/>
    <w:rPr>
      <w:rFonts w:cs="Times New Roman"/>
      <w:color w:val="0000FF"/>
      <w:u w:val="single"/>
    </w:rPr>
  </w:style>
  <w:style w:type="character" w:styleId="slostrnky">
    <w:name w:val="page number"/>
    <w:uiPriority w:val="99"/>
    <w:rsid w:val="00742410"/>
    <w:rPr>
      <w:rFonts w:cs="Times New Roman"/>
    </w:rPr>
  </w:style>
  <w:style w:type="character" w:customStyle="1" w:styleId="ds261">
    <w:name w:val="ds261"/>
    <w:uiPriority w:val="99"/>
    <w:rsid w:val="00742410"/>
    <w:rPr>
      <w:color w:val="000000"/>
      <w:spacing w:val="0"/>
      <w:sz w:val="24"/>
      <w:u w:val="none"/>
      <w:effect w:val="none"/>
      <w:vertAlign w:val="baseline"/>
    </w:rPr>
  </w:style>
  <w:style w:type="character" w:customStyle="1" w:styleId="googqs-tidbit">
    <w:name w:val="goog_qs-tidbit"/>
    <w:uiPriority w:val="99"/>
    <w:rsid w:val="00742410"/>
    <w:rPr>
      <w:rFonts w:cs="Times New Roman"/>
    </w:rPr>
  </w:style>
  <w:style w:type="paragraph" w:styleId="FormtovanvHTML">
    <w:name w:val="HTML Preformatted"/>
    <w:basedOn w:val="Normln"/>
    <w:link w:val="FormtovanvHTMLChar"/>
    <w:uiPriority w:val="99"/>
    <w:rsid w:val="0074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cs-CZ"/>
    </w:rPr>
  </w:style>
  <w:style w:type="character" w:customStyle="1" w:styleId="FormtovanvHTMLChar">
    <w:name w:val="Formátovaný v HTML Char"/>
    <w:link w:val="FormtovanvHTML"/>
    <w:uiPriority w:val="99"/>
    <w:locked/>
    <w:rsid w:val="00742410"/>
    <w:rPr>
      <w:rFonts w:ascii="Courier New" w:hAnsi="Courier New" w:cs="Times New Roman"/>
      <w:sz w:val="20"/>
      <w:szCs w:val="20"/>
      <w:lang w:eastAsia="cs-CZ"/>
    </w:rPr>
  </w:style>
  <w:style w:type="paragraph" w:styleId="Zkladntext2">
    <w:name w:val="Body Text 2"/>
    <w:basedOn w:val="Normln"/>
    <w:link w:val="Zkladntext2Char"/>
    <w:uiPriority w:val="99"/>
    <w:rsid w:val="00742410"/>
    <w:pPr>
      <w:widowControl w:val="0"/>
      <w:autoSpaceDE w:val="0"/>
      <w:autoSpaceDN w:val="0"/>
      <w:spacing w:before="120" w:after="0" w:line="240" w:lineRule="auto"/>
      <w:jc w:val="both"/>
    </w:pPr>
    <w:rPr>
      <w:rFonts w:ascii="Times" w:eastAsia="Times New Roman" w:hAnsi="Times" w:cs="Times"/>
      <w:sz w:val="24"/>
      <w:szCs w:val="24"/>
      <w:lang w:eastAsia="cs-CZ"/>
    </w:rPr>
  </w:style>
  <w:style w:type="character" w:customStyle="1" w:styleId="Zkladntext2Char">
    <w:name w:val="Základní text 2 Char"/>
    <w:link w:val="Zkladntext2"/>
    <w:uiPriority w:val="99"/>
    <w:locked/>
    <w:rsid w:val="00742410"/>
    <w:rPr>
      <w:rFonts w:ascii="Times" w:hAnsi="Times" w:cs="Times"/>
      <w:sz w:val="24"/>
      <w:szCs w:val="24"/>
      <w:lang w:eastAsia="cs-CZ"/>
    </w:rPr>
  </w:style>
  <w:style w:type="character" w:customStyle="1" w:styleId="st">
    <w:name w:val="st"/>
    <w:uiPriority w:val="99"/>
    <w:rsid w:val="00742410"/>
    <w:rPr>
      <w:rFonts w:cs="Times New Roman"/>
    </w:rPr>
  </w:style>
  <w:style w:type="table" w:styleId="Mkatabulky">
    <w:name w:val="Table Grid"/>
    <w:basedOn w:val="Normlntabulka"/>
    <w:uiPriority w:val="99"/>
    <w:rsid w:val="007424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99"/>
    <w:qFormat/>
    <w:rsid w:val="00687A5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382BAA"/>
    <w:pPr>
      <w:spacing w:after="200" w:line="276" w:lineRule="auto"/>
    </w:pPr>
    <w:rPr>
      <w:sz w:val="22"/>
      <w:szCs w:val="22"/>
      <w:lang w:eastAsia="en-US"/>
    </w:rPr>
  </w:style>
  <w:style w:type="paragraph" w:styleId="Nadpis1">
    <w:name w:val="heading 1"/>
    <w:basedOn w:val="Normln"/>
    <w:next w:val="Normln"/>
    <w:link w:val="Nadpis1Char"/>
    <w:uiPriority w:val="99"/>
    <w:qFormat/>
    <w:rsid w:val="00742410"/>
    <w:pPr>
      <w:keepNext/>
      <w:spacing w:before="240" w:after="60" w:line="240" w:lineRule="auto"/>
      <w:outlineLvl w:val="0"/>
    </w:pPr>
    <w:rPr>
      <w:rFonts w:ascii="Tahoma" w:eastAsia="Times New Roman" w:hAnsi="Tahoma" w:cs="Arial"/>
      <w:b/>
      <w:bCs/>
      <w:kern w:val="32"/>
      <w:sz w:val="20"/>
      <w:szCs w:val="32"/>
      <w:lang w:eastAsia="cs-CZ"/>
    </w:rPr>
  </w:style>
  <w:style w:type="paragraph" w:styleId="Nadpis2">
    <w:name w:val="heading 2"/>
    <w:basedOn w:val="Normln"/>
    <w:next w:val="Normln"/>
    <w:link w:val="Nadpis2Char"/>
    <w:uiPriority w:val="99"/>
    <w:qFormat/>
    <w:rsid w:val="00742410"/>
    <w:pPr>
      <w:keepNext/>
      <w:spacing w:before="240" w:after="60" w:line="240" w:lineRule="auto"/>
      <w:outlineLvl w:val="1"/>
    </w:pPr>
    <w:rPr>
      <w:rFonts w:ascii="Tahoma" w:eastAsia="Times New Roman" w:hAnsi="Tahoma" w:cs="Arial"/>
      <w:b/>
      <w:bCs/>
      <w:iCs/>
      <w:sz w:val="20"/>
      <w:szCs w:val="28"/>
      <w:lang w:eastAsia="cs-CZ"/>
    </w:rPr>
  </w:style>
  <w:style w:type="paragraph" w:styleId="Nadpis4">
    <w:name w:val="heading 4"/>
    <w:basedOn w:val="Normln"/>
    <w:next w:val="Normln"/>
    <w:link w:val="Nadpis4Char"/>
    <w:uiPriority w:val="99"/>
    <w:qFormat/>
    <w:locked/>
    <w:rsid w:val="00F032B9"/>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42410"/>
    <w:rPr>
      <w:rFonts w:ascii="Tahoma" w:hAnsi="Tahoma" w:cs="Arial"/>
      <w:b/>
      <w:bCs/>
      <w:kern w:val="32"/>
      <w:sz w:val="32"/>
      <w:szCs w:val="32"/>
      <w:lang w:eastAsia="cs-CZ"/>
    </w:rPr>
  </w:style>
  <w:style w:type="character" w:customStyle="1" w:styleId="Nadpis2Char">
    <w:name w:val="Nadpis 2 Char"/>
    <w:link w:val="Nadpis2"/>
    <w:uiPriority w:val="99"/>
    <w:locked/>
    <w:rsid w:val="00742410"/>
    <w:rPr>
      <w:rFonts w:ascii="Tahoma" w:hAnsi="Tahoma" w:cs="Arial"/>
      <w:b/>
      <w:bCs/>
      <w:iCs/>
      <w:sz w:val="28"/>
      <w:szCs w:val="28"/>
      <w:lang w:eastAsia="cs-CZ"/>
    </w:rPr>
  </w:style>
  <w:style w:type="character" w:customStyle="1" w:styleId="Nadpis4Char">
    <w:name w:val="Nadpis 4 Char"/>
    <w:link w:val="Nadpis4"/>
    <w:uiPriority w:val="99"/>
    <w:semiHidden/>
    <w:locked/>
    <w:rsid w:val="008D074F"/>
    <w:rPr>
      <w:rFonts w:ascii="Calibri" w:hAnsi="Calibri" w:cs="Times New Roman"/>
      <w:b/>
      <w:bCs/>
      <w:sz w:val="28"/>
      <w:szCs w:val="28"/>
      <w:lang w:eastAsia="en-US"/>
    </w:rPr>
  </w:style>
  <w:style w:type="paragraph" w:styleId="Zkladntextodsazen">
    <w:name w:val="Body Text Indent"/>
    <w:basedOn w:val="Normln"/>
    <w:link w:val="ZkladntextodsazenChar"/>
    <w:uiPriority w:val="99"/>
    <w:rsid w:val="00742410"/>
    <w:pPr>
      <w:tabs>
        <w:tab w:val="right" w:pos="9072"/>
      </w:tabs>
      <w:spacing w:after="0" w:line="240" w:lineRule="auto"/>
      <w:ind w:left="851" w:hanging="851"/>
      <w:jc w:val="center"/>
    </w:pPr>
    <w:rPr>
      <w:rFonts w:ascii="Times New Roman" w:eastAsia="Times New Roman" w:hAnsi="Times New Roman"/>
      <w:b/>
      <w:bCs/>
      <w:i/>
      <w:sz w:val="28"/>
      <w:szCs w:val="28"/>
      <w:lang w:eastAsia="cs-CZ"/>
    </w:rPr>
  </w:style>
  <w:style w:type="character" w:customStyle="1" w:styleId="ZkladntextodsazenChar">
    <w:name w:val="Základní text odsazený Char"/>
    <w:link w:val="Zkladntextodsazen"/>
    <w:uiPriority w:val="99"/>
    <w:locked/>
    <w:rsid w:val="00742410"/>
    <w:rPr>
      <w:rFonts w:ascii="Times New Roman" w:hAnsi="Times New Roman" w:cs="Times New Roman"/>
      <w:b/>
      <w:bCs/>
      <w:i/>
      <w:sz w:val="28"/>
      <w:szCs w:val="28"/>
      <w:lang w:eastAsia="cs-CZ"/>
    </w:rPr>
  </w:style>
  <w:style w:type="paragraph" w:styleId="Zhlav">
    <w:name w:val="header"/>
    <w:basedOn w:val="Normln"/>
    <w:link w:val="ZhlavChar"/>
    <w:uiPriority w:val="99"/>
    <w:rsid w:val="00742410"/>
    <w:pPr>
      <w:tabs>
        <w:tab w:val="center" w:pos="4536"/>
        <w:tab w:val="right" w:pos="9072"/>
      </w:tabs>
      <w:spacing w:after="0" w:line="240" w:lineRule="auto"/>
    </w:pPr>
  </w:style>
  <w:style w:type="character" w:customStyle="1" w:styleId="ZhlavChar">
    <w:name w:val="Záhlaví Char"/>
    <w:link w:val="Zhlav"/>
    <w:uiPriority w:val="99"/>
    <w:locked/>
    <w:rsid w:val="00742410"/>
    <w:rPr>
      <w:rFonts w:cs="Times New Roman"/>
    </w:rPr>
  </w:style>
  <w:style w:type="paragraph" w:styleId="Zpat">
    <w:name w:val="footer"/>
    <w:basedOn w:val="Normln"/>
    <w:link w:val="ZpatChar"/>
    <w:uiPriority w:val="99"/>
    <w:rsid w:val="00742410"/>
    <w:pPr>
      <w:tabs>
        <w:tab w:val="center" w:pos="4536"/>
        <w:tab w:val="right" w:pos="9072"/>
      </w:tabs>
      <w:spacing w:after="0" w:line="240" w:lineRule="auto"/>
    </w:pPr>
  </w:style>
  <w:style w:type="character" w:customStyle="1" w:styleId="ZpatChar">
    <w:name w:val="Zápatí Char"/>
    <w:link w:val="Zpat"/>
    <w:uiPriority w:val="99"/>
    <w:locked/>
    <w:rsid w:val="00742410"/>
    <w:rPr>
      <w:rFonts w:cs="Times New Roman"/>
    </w:rPr>
  </w:style>
  <w:style w:type="paragraph" w:styleId="Textbubliny">
    <w:name w:val="Balloon Text"/>
    <w:basedOn w:val="Normln"/>
    <w:link w:val="TextbublinyChar"/>
    <w:uiPriority w:val="99"/>
    <w:semiHidden/>
    <w:rsid w:val="00742410"/>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742410"/>
    <w:rPr>
      <w:rFonts w:ascii="Tahoma" w:hAnsi="Tahoma" w:cs="Tahoma"/>
      <w:sz w:val="16"/>
      <w:szCs w:val="16"/>
    </w:rPr>
  </w:style>
  <w:style w:type="paragraph" w:styleId="Textpoznpodarou">
    <w:name w:val="footnote text"/>
    <w:basedOn w:val="Normln"/>
    <w:link w:val="TextpoznpodarouChar"/>
    <w:uiPriority w:val="99"/>
    <w:semiHidden/>
    <w:rsid w:val="00742410"/>
    <w:pPr>
      <w:spacing w:after="0" w:line="240" w:lineRule="auto"/>
    </w:pPr>
    <w:rPr>
      <w:rFonts w:ascii="Verdana" w:eastAsia="Times New Roman" w:hAnsi="Verdana"/>
      <w:sz w:val="20"/>
      <w:szCs w:val="20"/>
      <w:lang w:eastAsia="cs-CZ"/>
    </w:rPr>
  </w:style>
  <w:style w:type="character" w:customStyle="1" w:styleId="TextpoznpodarouChar">
    <w:name w:val="Text pozn. pod čarou Char"/>
    <w:link w:val="Textpoznpodarou"/>
    <w:uiPriority w:val="99"/>
    <w:semiHidden/>
    <w:locked/>
    <w:rsid w:val="00742410"/>
    <w:rPr>
      <w:rFonts w:ascii="Verdana" w:hAnsi="Verdana" w:cs="Times New Roman"/>
      <w:sz w:val="20"/>
      <w:szCs w:val="20"/>
      <w:lang w:eastAsia="cs-CZ"/>
    </w:rPr>
  </w:style>
  <w:style w:type="character" w:styleId="Znakapoznpodarou">
    <w:name w:val="footnote reference"/>
    <w:uiPriority w:val="99"/>
    <w:semiHidden/>
    <w:rsid w:val="00742410"/>
    <w:rPr>
      <w:rFonts w:cs="Times New Roman"/>
      <w:vertAlign w:val="superscript"/>
    </w:rPr>
  </w:style>
  <w:style w:type="paragraph" w:styleId="Odstavecseseznamem">
    <w:name w:val="List Paragraph"/>
    <w:basedOn w:val="Normln"/>
    <w:uiPriority w:val="99"/>
    <w:qFormat/>
    <w:rsid w:val="00742410"/>
    <w:pPr>
      <w:ind w:left="708"/>
    </w:pPr>
    <w:rPr>
      <w:rFonts w:eastAsia="Times New Roman"/>
    </w:rPr>
  </w:style>
  <w:style w:type="paragraph" w:styleId="Textkomente">
    <w:name w:val="annotation text"/>
    <w:basedOn w:val="Normln"/>
    <w:link w:val="TextkomenteChar"/>
    <w:uiPriority w:val="99"/>
    <w:rsid w:val="00742410"/>
    <w:pPr>
      <w:spacing w:after="0" w:line="240" w:lineRule="auto"/>
    </w:pPr>
    <w:rPr>
      <w:rFonts w:ascii="Verdana" w:eastAsia="Times New Roman" w:hAnsi="Verdana"/>
      <w:sz w:val="20"/>
      <w:szCs w:val="20"/>
      <w:lang w:eastAsia="cs-CZ"/>
    </w:rPr>
  </w:style>
  <w:style w:type="character" w:customStyle="1" w:styleId="TextkomenteChar">
    <w:name w:val="Text komentáře Char"/>
    <w:link w:val="Textkomente"/>
    <w:uiPriority w:val="99"/>
    <w:locked/>
    <w:rsid w:val="00742410"/>
    <w:rPr>
      <w:rFonts w:ascii="Verdana" w:hAnsi="Verdana" w:cs="Times New Roman"/>
      <w:sz w:val="20"/>
      <w:szCs w:val="20"/>
      <w:lang w:eastAsia="cs-CZ"/>
    </w:rPr>
  </w:style>
  <w:style w:type="character" w:customStyle="1" w:styleId="CommentSubjectChar">
    <w:name w:val="Comment Subject Char"/>
    <w:uiPriority w:val="99"/>
    <w:semiHidden/>
    <w:locked/>
    <w:rsid w:val="00742410"/>
    <w:rPr>
      <w:rFonts w:ascii="Verdana" w:hAnsi="Verdana"/>
      <w:b/>
      <w:sz w:val="20"/>
      <w:lang w:eastAsia="cs-CZ"/>
    </w:rPr>
  </w:style>
  <w:style w:type="paragraph" w:styleId="Pedmtkomente">
    <w:name w:val="annotation subject"/>
    <w:basedOn w:val="Textkomente"/>
    <w:next w:val="Textkomente"/>
    <w:link w:val="PedmtkomenteChar"/>
    <w:uiPriority w:val="99"/>
    <w:semiHidden/>
    <w:rsid w:val="00742410"/>
    <w:rPr>
      <w:rFonts w:eastAsia="Calibri"/>
      <w:b/>
      <w:bCs/>
    </w:rPr>
  </w:style>
  <w:style w:type="character" w:customStyle="1" w:styleId="PedmtkomenteChar">
    <w:name w:val="Předmět komentáře Char"/>
    <w:link w:val="Pedmtkomente"/>
    <w:uiPriority w:val="99"/>
    <w:semiHidden/>
    <w:locked/>
    <w:rsid w:val="00AC6E0A"/>
    <w:rPr>
      <w:rFonts w:ascii="Verdana" w:hAnsi="Verdana" w:cs="Times New Roman"/>
      <w:b/>
      <w:bCs/>
      <w:sz w:val="20"/>
      <w:szCs w:val="20"/>
      <w:lang w:eastAsia="en-US"/>
    </w:rPr>
  </w:style>
  <w:style w:type="character" w:styleId="Zvraznn">
    <w:name w:val="Emphasis"/>
    <w:uiPriority w:val="99"/>
    <w:qFormat/>
    <w:rsid w:val="00742410"/>
    <w:rPr>
      <w:rFonts w:cs="Times New Roman"/>
      <w:i/>
    </w:rPr>
  </w:style>
  <w:style w:type="character" w:styleId="Siln">
    <w:name w:val="Strong"/>
    <w:uiPriority w:val="99"/>
    <w:qFormat/>
    <w:rsid w:val="00742410"/>
    <w:rPr>
      <w:rFonts w:cs="Times New Roman"/>
      <w:b/>
    </w:rPr>
  </w:style>
  <w:style w:type="paragraph" w:styleId="Nadpisobsahu">
    <w:name w:val="TOC Heading"/>
    <w:basedOn w:val="Nadpis1"/>
    <w:next w:val="Normln"/>
    <w:uiPriority w:val="99"/>
    <w:qFormat/>
    <w:rsid w:val="00742410"/>
    <w:pPr>
      <w:keepLines/>
      <w:spacing w:before="480" w:after="0" w:line="276" w:lineRule="auto"/>
      <w:outlineLvl w:val="9"/>
    </w:pPr>
    <w:rPr>
      <w:rFonts w:ascii="Cambria" w:hAnsi="Cambria" w:cs="Times New Roman"/>
      <w:color w:val="365F91"/>
      <w:kern w:val="0"/>
      <w:sz w:val="28"/>
      <w:szCs w:val="28"/>
      <w:lang w:eastAsia="en-US"/>
    </w:rPr>
  </w:style>
  <w:style w:type="paragraph" w:styleId="Obsah1">
    <w:name w:val="toc 1"/>
    <w:basedOn w:val="Normln"/>
    <w:next w:val="Normln"/>
    <w:autoRedefine/>
    <w:uiPriority w:val="99"/>
    <w:rsid w:val="00742410"/>
    <w:pPr>
      <w:tabs>
        <w:tab w:val="left" w:pos="440"/>
        <w:tab w:val="right" w:leader="dot" w:pos="9062"/>
      </w:tabs>
      <w:spacing w:after="0" w:line="240" w:lineRule="auto"/>
    </w:pPr>
    <w:rPr>
      <w:rFonts w:ascii="Times New Roman" w:eastAsia="Times New Roman" w:hAnsi="Times New Roman"/>
      <w:b/>
      <w:sz w:val="24"/>
      <w:szCs w:val="24"/>
      <w:lang w:eastAsia="cs-CZ"/>
    </w:rPr>
  </w:style>
  <w:style w:type="paragraph" w:styleId="Obsah2">
    <w:name w:val="toc 2"/>
    <w:basedOn w:val="Normln"/>
    <w:next w:val="Normln"/>
    <w:autoRedefine/>
    <w:uiPriority w:val="99"/>
    <w:rsid w:val="00742410"/>
    <w:pPr>
      <w:spacing w:after="0" w:line="240" w:lineRule="auto"/>
      <w:ind w:left="200"/>
    </w:pPr>
    <w:rPr>
      <w:rFonts w:ascii="Verdana" w:eastAsia="Times New Roman" w:hAnsi="Verdana"/>
      <w:sz w:val="20"/>
      <w:szCs w:val="20"/>
      <w:lang w:eastAsia="cs-CZ"/>
    </w:rPr>
  </w:style>
  <w:style w:type="character" w:styleId="Hypertextovodkaz">
    <w:name w:val="Hyperlink"/>
    <w:uiPriority w:val="99"/>
    <w:rsid w:val="00742410"/>
    <w:rPr>
      <w:rFonts w:cs="Times New Roman"/>
      <w:color w:val="0000FF"/>
      <w:u w:val="single"/>
    </w:rPr>
  </w:style>
  <w:style w:type="character" w:styleId="slostrnky">
    <w:name w:val="page number"/>
    <w:uiPriority w:val="99"/>
    <w:rsid w:val="00742410"/>
    <w:rPr>
      <w:rFonts w:cs="Times New Roman"/>
    </w:rPr>
  </w:style>
  <w:style w:type="character" w:customStyle="1" w:styleId="ds261">
    <w:name w:val="ds261"/>
    <w:uiPriority w:val="99"/>
    <w:rsid w:val="00742410"/>
    <w:rPr>
      <w:color w:val="000000"/>
      <w:spacing w:val="0"/>
      <w:sz w:val="24"/>
      <w:u w:val="none"/>
      <w:effect w:val="none"/>
      <w:vertAlign w:val="baseline"/>
    </w:rPr>
  </w:style>
  <w:style w:type="character" w:customStyle="1" w:styleId="googqs-tidbit">
    <w:name w:val="goog_qs-tidbit"/>
    <w:uiPriority w:val="99"/>
    <w:rsid w:val="00742410"/>
    <w:rPr>
      <w:rFonts w:cs="Times New Roman"/>
    </w:rPr>
  </w:style>
  <w:style w:type="paragraph" w:styleId="FormtovanvHTML">
    <w:name w:val="HTML Preformatted"/>
    <w:basedOn w:val="Normln"/>
    <w:link w:val="FormtovanvHTMLChar"/>
    <w:uiPriority w:val="99"/>
    <w:rsid w:val="0074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cs-CZ"/>
    </w:rPr>
  </w:style>
  <w:style w:type="character" w:customStyle="1" w:styleId="FormtovanvHTMLChar">
    <w:name w:val="Formátovaný v HTML Char"/>
    <w:link w:val="FormtovanvHTML"/>
    <w:uiPriority w:val="99"/>
    <w:locked/>
    <w:rsid w:val="00742410"/>
    <w:rPr>
      <w:rFonts w:ascii="Courier New" w:hAnsi="Courier New" w:cs="Times New Roman"/>
      <w:sz w:val="20"/>
      <w:szCs w:val="20"/>
      <w:lang w:eastAsia="cs-CZ"/>
    </w:rPr>
  </w:style>
  <w:style w:type="paragraph" w:styleId="Zkladntext2">
    <w:name w:val="Body Text 2"/>
    <w:basedOn w:val="Normln"/>
    <w:link w:val="Zkladntext2Char"/>
    <w:uiPriority w:val="99"/>
    <w:rsid w:val="00742410"/>
    <w:pPr>
      <w:widowControl w:val="0"/>
      <w:autoSpaceDE w:val="0"/>
      <w:autoSpaceDN w:val="0"/>
      <w:spacing w:before="120" w:after="0" w:line="240" w:lineRule="auto"/>
      <w:jc w:val="both"/>
    </w:pPr>
    <w:rPr>
      <w:rFonts w:ascii="Times" w:eastAsia="Times New Roman" w:hAnsi="Times" w:cs="Times"/>
      <w:sz w:val="24"/>
      <w:szCs w:val="24"/>
      <w:lang w:eastAsia="cs-CZ"/>
    </w:rPr>
  </w:style>
  <w:style w:type="character" w:customStyle="1" w:styleId="Zkladntext2Char">
    <w:name w:val="Základní text 2 Char"/>
    <w:link w:val="Zkladntext2"/>
    <w:uiPriority w:val="99"/>
    <w:locked/>
    <w:rsid w:val="00742410"/>
    <w:rPr>
      <w:rFonts w:ascii="Times" w:hAnsi="Times" w:cs="Times"/>
      <w:sz w:val="24"/>
      <w:szCs w:val="24"/>
      <w:lang w:eastAsia="cs-CZ"/>
    </w:rPr>
  </w:style>
  <w:style w:type="character" w:customStyle="1" w:styleId="st">
    <w:name w:val="st"/>
    <w:uiPriority w:val="99"/>
    <w:rsid w:val="00742410"/>
    <w:rPr>
      <w:rFonts w:cs="Times New Roman"/>
    </w:rPr>
  </w:style>
  <w:style w:type="table" w:styleId="Mkatabulky">
    <w:name w:val="Table Grid"/>
    <w:basedOn w:val="Normlntabulka"/>
    <w:uiPriority w:val="99"/>
    <w:rsid w:val="0074241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99"/>
    <w:qFormat/>
    <w:rsid w:val="00687A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83225">
      <w:marLeft w:val="0"/>
      <w:marRight w:val="0"/>
      <w:marTop w:val="0"/>
      <w:marBottom w:val="0"/>
      <w:divBdr>
        <w:top w:val="none" w:sz="0" w:space="0" w:color="auto"/>
        <w:left w:val="none" w:sz="0" w:space="0" w:color="auto"/>
        <w:bottom w:val="none" w:sz="0" w:space="0" w:color="auto"/>
        <w:right w:val="none" w:sz="0" w:space="0" w:color="auto"/>
      </w:divBdr>
    </w:div>
    <w:div w:id="390883226">
      <w:marLeft w:val="0"/>
      <w:marRight w:val="0"/>
      <w:marTop w:val="0"/>
      <w:marBottom w:val="0"/>
      <w:divBdr>
        <w:top w:val="none" w:sz="0" w:space="0" w:color="auto"/>
        <w:left w:val="none" w:sz="0" w:space="0" w:color="auto"/>
        <w:bottom w:val="none" w:sz="0" w:space="0" w:color="auto"/>
        <w:right w:val="none" w:sz="0" w:space="0" w:color="auto"/>
      </w:divBdr>
    </w:div>
    <w:div w:id="390883230">
      <w:marLeft w:val="0"/>
      <w:marRight w:val="0"/>
      <w:marTop w:val="0"/>
      <w:marBottom w:val="0"/>
      <w:divBdr>
        <w:top w:val="none" w:sz="0" w:space="0" w:color="auto"/>
        <w:left w:val="none" w:sz="0" w:space="0" w:color="auto"/>
        <w:bottom w:val="none" w:sz="0" w:space="0" w:color="auto"/>
        <w:right w:val="none" w:sz="0" w:space="0" w:color="auto"/>
      </w:divBdr>
      <w:divsChild>
        <w:div w:id="390883227">
          <w:marLeft w:val="0"/>
          <w:marRight w:val="0"/>
          <w:marTop w:val="0"/>
          <w:marBottom w:val="0"/>
          <w:divBdr>
            <w:top w:val="none" w:sz="0" w:space="0" w:color="auto"/>
            <w:left w:val="none" w:sz="0" w:space="0" w:color="auto"/>
            <w:bottom w:val="none" w:sz="0" w:space="0" w:color="auto"/>
            <w:right w:val="none" w:sz="0" w:space="0" w:color="auto"/>
          </w:divBdr>
        </w:div>
        <w:div w:id="390883228">
          <w:marLeft w:val="0"/>
          <w:marRight w:val="0"/>
          <w:marTop w:val="0"/>
          <w:marBottom w:val="0"/>
          <w:divBdr>
            <w:top w:val="none" w:sz="0" w:space="0" w:color="auto"/>
            <w:left w:val="none" w:sz="0" w:space="0" w:color="auto"/>
            <w:bottom w:val="none" w:sz="0" w:space="0" w:color="auto"/>
            <w:right w:val="none" w:sz="0" w:space="0" w:color="auto"/>
          </w:divBdr>
        </w:div>
        <w:div w:id="39088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cas.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view.soc.cas.cz/upl/archiv/files/514_2008-2Mateju.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Graf%20v%20aplikaci%20Microsoft%20Office%20Word"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roundedCorners val="1"/>
  <c:style val="2"/>
  <c:chart>
    <c:title>
      <c:tx>
        <c:rich>
          <a:bodyPr/>
          <a:lstStyle/>
          <a:p>
            <a:pPr>
              <a:defRPr sz="1000" b="1" i="0" u="none" strike="noStrike" baseline="0">
                <a:solidFill>
                  <a:srgbClr val="000000"/>
                </a:solidFill>
                <a:latin typeface="Tahoma"/>
                <a:ea typeface="Tahoma"/>
                <a:cs typeface="Tahoma"/>
              </a:defRPr>
            </a:pPr>
            <a:r>
              <a:rPr lang="cs-CZ" b="0"/>
              <a:t>Graf č.</a:t>
            </a:r>
            <a:r>
              <a:rPr lang="cs-CZ" b="0" baseline="0"/>
              <a:t> 1: </a:t>
            </a:r>
            <a:r>
              <a:rPr lang="cs-CZ" b="0"/>
              <a:t>Podíl žáků-chlapců a žákyň-dívek </a:t>
            </a:r>
            <a:r>
              <a:rPr lang="cs-CZ" b="0" baseline="0"/>
              <a:t>v jednotlivých druzích škol, 2012/2013</a:t>
            </a:r>
            <a:endParaRPr lang="cs-CZ" b="0"/>
          </a:p>
        </c:rich>
      </c:tx>
      <c:layout>
        <c:manualLayout>
          <c:xMode val="edge"/>
          <c:yMode val="edge"/>
          <c:x val="0.1135460258702725"/>
          <c:y val="3.4482758620689696E-2"/>
        </c:manualLayout>
      </c:layout>
      <c:overlay val="1"/>
      <c:spPr>
        <a:noFill/>
        <a:ln w="25400">
          <a:noFill/>
        </a:ln>
      </c:spPr>
    </c:title>
    <c:autoTitleDeleted val="0"/>
    <c:plotArea>
      <c:layout>
        <c:manualLayout>
          <c:layoutTarget val="inner"/>
          <c:xMode val="edge"/>
          <c:yMode val="edge"/>
          <c:x val="6.3745081923363311E-2"/>
          <c:y val="0.1912228632305287"/>
          <c:w val="0.89641521454729445"/>
          <c:h val="0.6645778197520017"/>
        </c:manualLayout>
      </c:layout>
      <c:barChart>
        <c:barDir val="col"/>
        <c:grouping val="clustered"/>
        <c:varyColors val="1"/>
        <c:ser>
          <c:idx val="0"/>
          <c:order val="0"/>
          <c:tx>
            <c:strRef>
              <c:f>'[Graf v aplikaci Microsoft Office Word]List1'!$A$2</c:f>
              <c:strCache>
                <c:ptCount val="1"/>
                <c:pt idx="0">
                  <c:v>dívky</c:v>
                </c:pt>
              </c:strCache>
            </c:strRef>
          </c:tx>
          <c:spPr>
            <a:solidFill>
              <a:srgbClr val="C0C0C0"/>
            </a:solidFill>
            <a:ln w="12700">
              <a:solidFill>
                <a:srgbClr val="000000"/>
              </a:solidFill>
              <a:prstDash val="solid"/>
            </a:ln>
          </c:spPr>
          <c:invertIfNegative val="1"/>
          <c:dLbls>
            <c:dLbl>
              <c:idx val="0"/>
              <c:layout>
                <c:manualLayout>
                  <c:x val="1.1273449273805702E-2"/>
                  <c:y val="-2.7852047874819413E-2"/>
                </c:manualLayout>
              </c:layout>
              <c:showLegendKey val="1"/>
              <c:showVal val="1"/>
              <c:showCatName val="1"/>
              <c:showSerName val="1"/>
              <c:showPercent val="1"/>
              <c:showBubbleSize val="1"/>
            </c:dLbl>
            <c:dLbl>
              <c:idx val="1"/>
              <c:layout>
                <c:manualLayout>
                  <c:x val="2.2546676629318606E-2"/>
                  <c:y val="-3.2494055853955851E-2"/>
                </c:manualLayout>
              </c:layout>
              <c:tx>
                <c:rich>
                  <a:bodyPr/>
                  <a:lstStyle/>
                  <a:p>
                    <a:r>
                      <a:rPr lang="en-US"/>
                      <a:t>dívky; ZŠ; </a:t>
                    </a:r>
                    <a:r>
                      <a:rPr lang="cs-CZ"/>
                      <a:t/>
                    </a:r>
                    <a:br>
                      <a:rPr lang="cs-CZ"/>
                    </a:br>
                    <a:r>
                      <a:rPr lang="en-US"/>
                      <a:t>48,40%</a:t>
                    </a:r>
                  </a:p>
                </c:rich>
              </c:tx>
              <c:showLegendKey val="1"/>
              <c:showVal val="1"/>
              <c:showCatName val="1"/>
              <c:showSerName val="1"/>
              <c:showPercent val="1"/>
              <c:showBubbleSize val="1"/>
            </c:dLbl>
            <c:dLbl>
              <c:idx val="2"/>
              <c:layout>
                <c:manualLayout>
                  <c:x val="1.9728536229159911E-2"/>
                  <c:y val="-1.856803191654622E-2"/>
                </c:manualLayout>
              </c:layout>
              <c:showLegendKey val="1"/>
              <c:showVal val="1"/>
              <c:showCatName val="1"/>
              <c:showSerName val="1"/>
              <c:showPercent val="1"/>
              <c:showBubbleSize val="1"/>
            </c:dLbl>
            <c:dLbl>
              <c:idx val="3"/>
              <c:layout>
                <c:manualLayout>
                  <c:x val="1.6910173910708551E-2"/>
                  <c:y val="2.3210039895682755E-2"/>
                </c:manualLayout>
              </c:layout>
              <c:showLegendKey val="1"/>
              <c:showVal val="1"/>
              <c:showCatName val="1"/>
              <c:showSerName val="1"/>
              <c:showPercent val="1"/>
              <c:showBubbleSize val="1"/>
            </c:dLbl>
            <c:dLbl>
              <c:idx val="4"/>
              <c:layout>
                <c:manualLayout>
                  <c:x val="1.9728536229159963E-2"/>
                  <c:y val="9.2840159582731046E-3"/>
                </c:manualLayout>
              </c:layout>
              <c:showLegendKey val="1"/>
              <c:showVal val="1"/>
              <c:showCatName val="1"/>
              <c:showSerName val="1"/>
              <c:showPercent val="1"/>
              <c:showBubbleSize val="1"/>
            </c:dLbl>
            <c:dLbl>
              <c:idx val="5"/>
              <c:layout>
                <c:manualLayout>
                  <c:x val="2.8183623184514325E-2"/>
                  <c:y val="0"/>
                </c:manualLayout>
              </c:layout>
              <c:showLegendKey val="1"/>
              <c:showVal val="1"/>
              <c:showCatName val="1"/>
              <c:showSerName val="1"/>
              <c:showPercent val="1"/>
              <c:showBubbleSize val="1"/>
            </c:dLbl>
            <c:showLegendKey val="1"/>
            <c:showVal val="1"/>
            <c:showCatName val="1"/>
            <c:showSerName val="1"/>
            <c:showPercent val="1"/>
            <c:showBubbleSize val="1"/>
            <c:showLeaderLines val="0"/>
          </c:dLbls>
          <c:cat>
            <c:strRef>
              <c:f>'[Graf v aplikaci Microsoft Office Word]List1'!$B$1:$G$1</c:f>
              <c:strCache>
                <c:ptCount val="6"/>
                <c:pt idx="0">
                  <c:v>MŠ</c:v>
                </c:pt>
                <c:pt idx="1">
                  <c:v>ZŠ</c:v>
                </c:pt>
                <c:pt idx="2">
                  <c:v>SŠ</c:v>
                </c:pt>
                <c:pt idx="3">
                  <c:v>Konzervatoř</c:v>
                </c:pt>
                <c:pt idx="4">
                  <c:v>VOŠ</c:v>
                </c:pt>
                <c:pt idx="5">
                  <c:v>VŠ</c:v>
                </c:pt>
              </c:strCache>
            </c:strRef>
          </c:cat>
          <c:val>
            <c:numRef>
              <c:f>'[Graf v aplikaci Microsoft Office Word]List1'!$B$2:$G$2</c:f>
              <c:numCache>
                <c:formatCode>0.00%</c:formatCode>
                <c:ptCount val="6"/>
                <c:pt idx="0">
                  <c:v>0.48200000000000032</c:v>
                </c:pt>
                <c:pt idx="1">
                  <c:v>0.48400000000000032</c:v>
                </c:pt>
                <c:pt idx="2">
                  <c:v>0.49300000000000038</c:v>
                </c:pt>
                <c:pt idx="3">
                  <c:v>0.61600000000000188</c:v>
                </c:pt>
                <c:pt idx="4">
                  <c:v>0.71300000000000063</c:v>
                </c:pt>
                <c:pt idx="5">
                  <c:v>0.56599999999999995</c:v>
                </c:pt>
              </c:numCache>
            </c:numRef>
          </c:val>
          <c:extLst>
            <c:ext xmlns:c14="http://schemas.microsoft.com/office/drawing/2007/8/2/chart" uri="{6F2FDCE9-48DA-4B69-8628-5D25D57E5C99}">
              <c14:invertSolidFillFmt>
                <c14:spPr xmlns:c14="http://schemas.microsoft.com/office/drawing/2007/8/2/chart">
                  <a:solidFill>
                    <a:srgbClr val="FFFFFF"/>
                  </a:solidFill>
                  <a:ln w="12700">
                    <a:solidFill>
                      <a:srgbClr val="000000"/>
                    </a:solidFill>
                    <a:prstDash val="solid"/>
                  </a:ln>
                </c14:spPr>
              </c14:invertSolidFillFmt>
            </c:ext>
          </c:extLst>
        </c:ser>
        <c:ser>
          <c:idx val="1"/>
          <c:order val="1"/>
          <c:tx>
            <c:strRef>
              <c:f>'[Graf v aplikaci Microsoft Office Word]List1'!$A$3</c:f>
              <c:strCache>
                <c:ptCount val="1"/>
                <c:pt idx="0">
                  <c:v>chlapci</c:v>
                </c:pt>
              </c:strCache>
            </c:strRef>
          </c:tx>
          <c:spPr>
            <a:solidFill>
              <a:srgbClr val="000000"/>
            </a:solidFill>
            <a:ln w="12700">
              <a:solidFill>
                <a:srgbClr val="000000"/>
              </a:solidFill>
              <a:prstDash val="solid"/>
            </a:ln>
          </c:spPr>
          <c:invertIfNegative val="1"/>
          <c:dLbls>
            <c:dLbl>
              <c:idx val="0"/>
              <c:layout>
                <c:manualLayout>
                  <c:x val="-2.2541572508584434E-2"/>
                  <c:y val="-0.13466903762402294"/>
                </c:manualLayout>
              </c:layout>
              <c:showLegendKey val="1"/>
              <c:showVal val="1"/>
              <c:showCatName val="1"/>
              <c:showSerName val="1"/>
              <c:showPercent val="1"/>
              <c:showBubbleSize val="1"/>
            </c:dLbl>
            <c:dLbl>
              <c:idx val="1"/>
              <c:layout>
                <c:manualLayout>
                  <c:x val="-1.127344927380567E-2"/>
                  <c:y val="-0.12997622341582341"/>
                </c:manualLayout>
              </c:layout>
              <c:showLegendKey val="1"/>
              <c:showVal val="1"/>
              <c:showCatName val="1"/>
              <c:showSerName val="1"/>
              <c:showPercent val="1"/>
              <c:showBubbleSize val="1"/>
            </c:dLbl>
            <c:dLbl>
              <c:idx val="2"/>
              <c:layout>
                <c:manualLayout>
                  <c:x val="-1.1273449273805745E-2"/>
                  <c:y val="-0.12997622341582341"/>
                </c:manualLayout>
              </c:layout>
              <c:showLegendKey val="1"/>
              <c:showVal val="1"/>
              <c:showCatName val="1"/>
              <c:showSerName val="1"/>
              <c:showPercent val="1"/>
              <c:showBubbleSize val="1"/>
            </c:dLbl>
            <c:dLbl>
              <c:idx val="3"/>
              <c:layout>
                <c:manualLayout>
                  <c:x val="-2.8183623184514218E-2"/>
                  <c:y val="-0.27387847076905758"/>
                </c:manualLayout>
              </c:layout>
              <c:showLegendKey val="1"/>
              <c:showVal val="1"/>
              <c:showCatName val="1"/>
              <c:showSerName val="1"/>
              <c:showPercent val="1"/>
              <c:showBubbleSize val="1"/>
            </c:dLbl>
            <c:dLbl>
              <c:idx val="4"/>
              <c:layout>
                <c:manualLayout>
                  <c:x val="-1.6910173910708551E-2"/>
                  <c:y val="-0.37136063833092475"/>
                </c:manualLayout>
              </c:layout>
              <c:showLegendKey val="1"/>
              <c:showVal val="1"/>
              <c:showCatName val="1"/>
              <c:showSerName val="1"/>
              <c:showPercent val="1"/>
              <c:showBubbleSize val="1"/>
            </c:dLbl>
            <c:dLbl>
              <c:idx val="5"/>
              <c:layout>
                <c:manualLayout>
                  <c:x val="-8.4550869553541887E-3"/>
                  <c:y val="-0.19960634310287206"/>
                </c:manualLayout>
              </c:layout>
              <c:showLegendKey val="1"/>
              <c:showVal val="1"/>
              <c:showCatName val="1"/>
              <c:showSerName val="1"/>
              <c:showPercent val="1"/>
              <c:showBubbleSize val="1"/>
            </c:dLbl>
            <c:showLegendKey val="1"/>
            <c:showVal val="1"/>
            <c:showCatName val="1"/>
            <c:showSerName val="1"/>
            <c:showPercent val="1"/>
            <c:showBubbleSize val="1"/>
            <c:showLeaderLines val="0"/>
          </c:dLbls>
          <c:cat>
            <c:strRef>
              <c:f>'[Graf v aplikaci Microsoft Office Word]List1'!$B$1:$G$1</c:f>
              <c:strCache>
                <c:ptCount val="6"/>
                <c:pt idx="0">
                  <c:v>MŠ</c:v>
                </c:pt>
                <c:pt idx="1">
                  <c:v>ZŠ</c:v>
                </c:pt>
                <c:pt idx="2">
                  <c:v>SŠ</c:v>
                </c:pt>
                <c:pt idx="3">
                  <c:v>Konzervatoř</c:v>
                </c:pt>
                <c:pt idx="4">
                  <c:v>VOŠ</c:v>
                </c:pt>
                <c:pt idx="5">
                  <c:v>VŠ</c:v>
                </c:pt>
              </c:strCache>
            </c:strRef>
          </c:cat>
          <c:val>
            <c:numRef>
              <c:f>'[Graf v aplikaci Microsoft Office Word]List1'!$B$3:$G$3</c:f>
              <c:numCache>
                <c:formatCode>0.00%</c:formatCode>
                <c:ptCount val="6"/>
                <c:pt idx="0">
                  <c:v>0.51900000000000002</c:v>
                </c:pt>
                <c:pt idx="1">
                  <c:v>0.51600000000000001</c:v>
                </c:pt>
                <c:pt idx="2">
                  <c:v>0.50700000000000001</c:v>
                </c:pt>
                <c:pt idx="3">
                  <c:v>0.38400000000000106</c:v>
                </c:pt>
                <c:pt idx="4">
                  <c:v>0.28700000000000031</c:v>
                </c:pt>
                <c:pt idx="5">
                  <c:v>0.43400000000000094</c:v>
                </c:pt>
              </c:numCache>
            </c:numRef>
          </c:val>
          <c:extLst>
            <c:ext xmlns:c14="http://schemas.microsoft.com/office/drawing/2007/8/2/chart" uri="{6F2FDCE9-48DA-4B69-8628-5D25D57E5C99}">
              <c14:invertSolidFillFmt>
                <c14:spPr xmlns:c14="http://schemas.microsoft.com/office/drawing/2007/8/2/chart">
                  <a:solidFill>
                    <a:srgbClr val="FFFFFF"/>
                  </a:solidFill>
                  <a:ln w="12700">
                    <a:solidFill>
                      <a:srgbClr val="000000"/>
                    </a:solidFill>
                    <a:prstDash val="solid"/>
                  </a:ln>
                </c14:spPr>
              </c14:invertSolidFillFmt>
            </c:ext>
          </c:extLst>
        </c:ser>
        <c:dLbls>
          <c:showLegendKey val="0"/>
          <c:showVal val="0"/>
          <c:showCatName val="0"/>
          <c:showSerName val="0"/>
          <c:showPercent val="0"/>
          <c:showBubbleSize val="0"/>
        </c:dLbls>
        <c:gapWidth val="150"/>
        <c:axId val="155083776"/>
        <c:axId val="267332992"/>
      </c:barChart>
      <c:catAx>
        <c:axId val="155083776"/>
        <c:scaling>
          <c:orientation val="minMax"/>
        </c:scaling>
        <c:delete val="1"/>
        <c:axPos val="b"/>
        <c:numFmt formatCode="General" sourceLinked="1"/>
        <c:majorTickMark val="cross"/>
        <c:minorTickMark val="cross"/>
        <c:tickLblPos val="none"/>
        <c:crossAx val="267332992"/>
        <c:crosses val="autoZero"/>
        <c:auto val="1"/>
        <c:lblAlgn val="ctr"/>
        <c:lblOffset val="100"/>
        <c:tickLblSkip val="1"/>
        <c:tickMarkSkip val="1"/>
        <c:noMultiLvlLbl val="1"/>
      </c:catAx>
      <c:valAx>
        <c:axId val="267332992"/>
        <c:scaling>
          <c:orientation val="minMax"/>
          <c:max val="1"/>
        </c:scaling>
        <c:delete val="1"/>
        <c:axPos val="l"/>
        <c:majorGridlines>
          <c:spPr>
            <a:ln w="3175">
              <a:solidFill>
                <a:srgbClr val="000000"/>
              </a:solidFill>
              <a:prstDash val="solid"/>
            </a:ln>
          </c:spPr>
        </c:majorGridlines>
        <c:numFmt formatCode="0%" sourceLinked="0"/>
        <c:majorTickMark val="cross"/>
        <c:minorTickMark val="cross"/>
        <c:tickLblPos val="none"/>
        <c:crossAx val="155083776"/>
        <c:crosses val="autoZero"/>
        <c:crossBetween val="between"/>
        <c:majorUnit val="0.1"/>
      </c:valAx>
      <c:spPr>
        <a:solidFill>
          <a:srgbClr val="FFFFFF"/>
        </a:solidFill>
        <a:ln w="12700">
          <a:solidFill>
            <a:srgbClr val="808080"/>
          </a:solidFill>
          <a:prstDash val="solid"/>
        </a:ln>
      </c:spPr>
    </c:plotArea>
    <c:legend>
      <c:legendPos val="r"/>
      <c:layout>
        <c:manualLayout>
          <c:xMode val="edge"/>
          <c:yMode val="edge"/>
          <c:x val="0.86778396609266018"/>
          <c:y val="3.6550354568428638E-2"/>
          <c:w val="0.10159362549800818"/>
          <c:h val="0.15047054854820271"/>
        </c:manualLayout>
      </c:layout>
      <c:overlay val="1"/>
      <c:spPr>
        <a:solidFill>
          <a:srgbClr val="FFFFFF"/>
        </a:solidFill>
        <a:ln w="3175">
          <a:solidFill>
            <a:srgbClr val="000000"/>
          </a:solidFill>
          <a:prstDash val="solid"/>
        </a:ln>
      </c:spPr>
      <c:txPr>
        <a:bodyPr/>
        <a:lstStyle/>
        <a:p>
          <a:pPr>
            <a:defRPr sz="735" b="0" i="0" u="none" strike="noStrike" baseline="0">
              <a:solidFill>
                <a:srgbClr val="000000"/>
              </a:solidFill>
              <a:latin typeface="Arial Narrow"/>
              <a:ea typeface="Arial Narrow"/>
              <a:cs typeface="Arial Narrow"/>
            </a:defRPr>
          </a:pPr>
          <a:endParaRPr lang="cs-CZ"/>
        </a:p>
      </c:txPr>
    </c:legend>
    <c:plotVisOnly val="1"/>
    <c:dispBlanksAs val="gap"/>
    <c:showDLblsOverMax val="1"/>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cs-CZ"/>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986" b="0" i="0" u="none" strike="noStrike" baseline="0">
                <a:solidFill>
                  <a:srgbClr val="000000"/>
                </a:solidFill>
                <a:latin typeface="Tahoma"/>
                <a:ea typeface="Tahoma"/>
                <a:cs typeface="Tahoma"/>
              </a:defRPr>
            </a:pPr>
            <a:r>
              <a:rPr lang="cs-CZ" sz="986" b="0"/>
              <a:t>Graf č. 2: Průměrné známky žáků a žákyní  9. ročníků ZŠ</a:t>
            </a:r>
          </a:p>
        </c:rich>
      </c:tx>
      <c:layout>
        <c:manualLayout>
          <c:xMode val="edge"/>
          <c:yMode val="edge"/>
          <c:x val="0.12218648426522442"/>
          <c:y val="1.8867850820972958E-2"/>
        </c:manualLayout>
      </c:layout>
      <c:overlay val="0"/>
      <c:spPr>
        <a:noFill/>
        <a:ln w="25118">
          <a:noFill/>
        </a:ln>
      </c:spPr>
    </c:title>
    <c:autoTitleDeleted val="0"/>
    <c:plotArea>
      <c:layout>
        <c:manualLayout>
          <c:layoutTarget val="inner"/>
          <c:xMode val="edge"/>
          <c:yMode val="edge"/>
          <c:x val="6.7524115755627029E-2"/>
          <c:y val="0.13191099923371039"/>
          <c:w val="0.8906752411575567"/>
          <c:h val="0.73601372571596146"/>
        </c:manualLayout>
      </c:layout>
      <c:barChart>
        <c:barDir val="col"/>
        <c:grouping val="clustered"/>
        <c:varyColors val="0"/>
        <c:ser>
          <c:idx val="0"/>
          <c:order val="0"/>
          <c:tx>
            <c:strRef>
              <c:f>List1!$A$2</c:f>
              <c:strCache>
                <c:ptCount val="1"/>
                <c:pt idx="0">
                  <c:v>dívky</c:v>
                </c:pt>
              </c:strCache>
            </c:strRef>
          </c:tx>
          <c:spPr>
            <a:solidFill>
              <a:srgbClr val="C0C0C0"/>
            </a:solidFill>
            <a:ln w="12518">
              <a:solidFill>
                <a:srgbClr val="000000"/>
              </a:solidFill>
              <a:prstDash val="solid"/>
            </a:ln>
          </c:spPr>
          <c:invertIfNegative val="0"/>
          <c:cat>
            <c:strRef>
              <c:f>List1!$B$1:$J$1</c:f>
              <c:strCache>
                <c:ptCount val="9"/>
                <c:pt idx="0">
                  <c:v>ČJ</c:v>
                </c:pt>
                <c:pt idx="1">
                  <c:v>M</c:v>
                </c:pt>
                <c:pt idx="2">
                  <c:v>CJ</c:v>
                </c:pt>
                <c:pt idx="3">
                  <c:v>OV/ON</c:v>
                </c:pt>
                <c:pt idx="4">
                  <c:v>D</c:v>
                </c:pt>
                <c:pt idx="5">
                  <c:v>Z</c:v>
                </c:pt>
                <c:pt idx="6">
                  <c:v>CH</c:v>
                </c:pt>
                <c:pt idx="7">
                  <c:v>F</c:v>
                </c:pt>
                <c:pt idx="8">
                  <c:v>B</c:v>
                </c:pt>
              </c:strCache>
            </c:strRef>
          </c:cat>
          <c:val>
            <c:numRef>
              <c:f>List1!$B$2:$J$2</c:f>
              <c:numCache>
                <c:formatCode>General</c:formatCode>
                <c:ptCount val="9"/>
                <c:pt idx="0">
                  <c:v>2.16</c:v>
                </c:pt>
                <c:pt idx="1">
                  <c:v>2.39</c:v>
                </c:pt>
                <c:pt idx="2">
                  <c:v>1.94</c:v>
                </c:pt>
                <c:pt idx="3">
                  <c:v>1.32</c:v>
                </c:pt>
                <c:pt idx="4">
                  <c:v>1.97</c:v>
                </c:pt>
                <c:pt idx="5">
                  <c:v>1.84</c:v>
                </c:pt>
                <c:pt idx="6">
                  <c:v>2.04</c:v>
                </c:pt>
                <c:pt idx="7">
                  <c:v>2.1</c:v>
                </c:pt>
                <c:pt idx="8">
                  <c:v>1.83</c:v>
                </c:pt>
              </c:numCache>
            </c:numRef>
          </c:val>
        </c:ser>
        <c:ser>
          <c:idx val="1"/>
          <c:order val="1"/>
          <c:tx>
            <c:strRef>
              <c:f>List1!$A$3</c:f>
              <c:strCache>
                <c:ptCount val="1"/>
                <c:pt idx="0">
                  <c:v>chlapci</c:v>
                </c:pt>
              </c:strCache>
            </c:strRef>
          </c:tx>
          <c:spPr>
            <a:solidFill>
              <a:srgbClr val="000000"/>
            </a:solidFill>
            <a:ln w="12518">
              <a:solidFill>
                <a:srgbClr val="000000"/>
              </a:solidFill>
              <a:prstDash val="solid"/>
            </a:ln>
          </c:spPr>
          <c:invertIfNegative val="0"/>
          <c:cat>
            <c:strRef>
              <c:f>List1!$B$1:$J$1</c:f>
              <c:strCache>
                <c:ptCount val="9"/>
                <c:pt idx="0">
                  <c:v>ČJ</c:v>
                </c:pt>
                <c:pt idx="1">
                  <c:v>M</c:v>
                </c:pt>
                <c:pt idx="2">
                  <c:v>CJ</c:v>
                </c:pt>
                <c:pt idx="3">
                  <c:v>OV/ON</c:v>
                </c:pt>
                <c:pt idx="4">
                  <c:v>D</c:v>
                </c:pt>
                <c:pt idx="5">
                  <c:v>Z</c:v>
                </c:pt>
                <c:pt idx="6">
                  <c:v>CH</c:v>
                </c:pt>
                <c:pt idx="7">
                  <c:v>F</c:v>
                </c:pt>
                <c:pt idx="8">
                  <c:v>B</c:v>
                </c:pt>
              </c:strCache>
            </c:strRef>
          </c:cat>
          <c:val>
            <c:numRef>
              <c:f>List1!$B$3:$J$3</c:f>
              <c:numCache>
                <c:formatCode>General</c:formatCode>
                <c:ptCount val="9"/>
                <c:pt idx="0">
                  <c:v>2.78</c:v>
                </c:pt>
                <c:pt idx="1">
                  <c:v>2.64</c:v>
                </c:pt>
                <c:pt idx="2">
                  <c:v>2.4500000000000002</c:v>
                </c:pt>
                <c:pt idx="3">
                  <c:v>1.58</c:v>
                </c:pt>
                <c:pt idx="4">
                  <c:v>2.17</c:v>
                </c:pt>
                <c:pt idx="5">
                  <c:v>2.04</c:v>
                </c:pt>
                <c:pt idx="6">
                  <c:v>2.4</c:v>
                </c:pt>
                <c:pt idx="7">
                  <c:v>2.2799999999999998</c:v>
                </c:pt>
                <c:pt idx="8">
                  <c:v>2.1</c:v>
                </c:pt>
              </c:numCache>
            </c:numRef>
          </c:val>
        </c:ser>
        <c:dLbls>
          <c:showLegendKey val="0"/>
          <c:showVal val="0"/>
          <c:showCatName val="0"/>
          <c:showSerName val="0"/>
          <c:showPercent val="0"/>
          <c:showBubbleSize val="0"/>
        </c:dLbls>
        <c:gapWidth val="150"/>
        <c:axId val="250347008"/>
        <c:axId val="267335872"/>
      </c:barChart>
      <c:catAx>
        <c:axId val="250347008"/>
        <c:scaling>
          <c:orientation val="minMax"/>
        </c:scaling>
        <c:delete val="0"/>
        <c:axPos val="b"/>
        <c:numFmt formatCode="General" sourceLinked="1"/>
        <c:majorTickMark val="out"/>
        <c:minorTickMark val="none"/>
        <c:tickLblPos val="nextTo"/>
        <c:spPr>
          <a:ln w="3130">
            <a:solidFill>
              <a:srgbClr val="000000"/>
            </a:solidFill>
            <a:prstDash val="solid"/>
          </a:ln>
        </c:spPr>
        <c:txPr>
          <a:bodyPr rot="0" vert="horz"/>
          <a:lstStyle/>
          <a:p>
            <a:pPr>
              <a:defRPr sz="788" b="0" i="0" u="none" strike="noStrike" baseline="0">
                <a:solidFill>
                  <a:srgbClr val="000000"/>
                </a:solidFill>
                <a:latin typeface="Tahoma" pitchFamily="34" charset="0"/>
                <a:ea typeface="Arial Narrow"/>
                <a:cs typeface="Tahoma" pitchFamily="34" charset="0"/>
              </a:defRPr>
            </a:pPr>
            <a:endParaRPr lang="cs-CZ"/>
          </a:p>
        </c:txPr>
        <c:crossAx val="267335872"/>
        <c:crosses val="autoZero"/>
        <c:auto val="1"/>
        <c:lblAlgn val="ctr"/>
        <c:lblOffset val="100"/>
        <c:tickLblSkip val="1"/>
        <c:tickMarkSkip val="1"/>
        <c:noMultiLvlLbl val="0"/>
      </c:catAx>
      <c:valAx>
        <c:axId val="267335872"/>
        <c:scaling>
          <c:orientation val="minMax"/>
          <c:max val="5"/>
        </c:scaling>
        <c:delete val="0"/>
        <c:axPos val="l"/>
        <c:majorGridlines>
          <c:spPr>
            <a:ln w="3130">
              <a:solidFill>
                <a:srgbClr val="000000"/>
              </a:solidFill>
              <a:prstDash val="solid"/>
            </a:ln>
          </c:spPr>
        </c:majorGridlines>
        <c:numFmt formatCode="General" sourceLinked="1"/>
        <c:majorTickMark val="out"/>
        <c:minorTickMark val="none"/>
        <c:tickLblPos val="nextTo"/>
        <c:spPr>
          <a:ln w="3130">
            <a:solidFill>
              <a:srgbClr val="000000"/>
            </a:solidFill>
            <a:prstDash val="solid"/>
          </a:ln>
        </c:spPr>
        <c:txPr>
          <a:bodyPr rot="0" vert="horz"/>
          <a:lstStyle/>
          <a:p>
            <a:pPr>
              <a:defRPr sz="788" b="0" i="0" u="none" strike="noStrike" baseline="0">
                <a:solidFill>
                  <a:srgbClr val="000000"/>
                </a:solidFill>
                <a:latin typeface="Tahoma" pitchFamily="34" charset="0"/>
                <a:ea typeface="Arial"/>
                <a:cs typeface="Tahoma" pitchFamily="34" charset="0"/>
              </a:defRPr>
            </a:pPr>
            <a:endParaRPr lang="cs-CZ"/>
          </a:p>
        </c:txPr>
        <c:crossAx val="250347008"/>
        <c:crosses val="autoZero"/>
        <c:crossBetween val="between"/>
        <c:majorUnit val="1"/>
      </c:valAx>
      <c:spPr>
        <a:solidFill>
          <a:srgbClr val="FFFFFF"/>
        </a:solidFill>
        <a:ln w="12518">
          <a:solidFill>
            <a:srgbClr val="808080"/>
          </a:solidFill>
          <a:prstDash val="solid"/>
        </a:ln>
      </c:spPr>
    </c:plotArea>
    <c:legend>
      <c:legendPos val="r"/>
      <c:layout>
        <c:manualLayout>
          <c:xMode val="edge"/>
          <c:yMode val="edge"/>
          <c:x val="0.79180550915983994"/>
          <c:y val="0.1349594091436245"/>
          <c:w val="8.5413717224740893E-2"/>
          <c:h val="0.16859769273026917"/>
        </c:manualLayout>
      </c:layout>
      <c:overlay val="0"/>
      <c:spPr>
        <a:solidFill>
          <a:srgbClr val="FFFFFF"/>
        </a:solidFill>
        <a:ln w="3130">
          <a:solidFill>
            <a:srgbClr val="000000"/>
          </a:solidFill>
          <a:prstDash val="solid"/>
        </a:ln>
      </c:spPr>
      <c:txPr>
        <a:bodyPr/>
        <a:lstStyle/>
        <a:p>
          <a:pPr>
            <a:defRPr sz="725" b="0" i="0" u="none" strike="noStrike" baseline="0">
              <a:solidFill>
                <a:srgbClr val="000000"/>
              </a:solidFill>
              <a:latin typeface="Arial Narrow"/>
              <a:ea typeface="Arial Narrow"/>
              <a:cs typeface="Arial Narrow"/>
            </a:defRPr>
          </a:pPr>
          <a:endParaRPr lang="cs-CZ"/>
        </a:p>
      </c:txPr>
    </c:legend>
    <c:plotVisOnly val="1"/>
    <c:dispBlanksAs val="gap"/>
    <c:showDLblsOverMax val="0"/>
  </c:chart>
  <c:spPr>
    <a:solidFill>
      <a:srgbClr val="FFFFFF"/>
    </a:solidFill>
    <a:ln w="3130" cap="sq">
      <a:solidFill>
        <a:srgbClr val="000000"/>
      </a:solidFill>
      <a:prstDash val="solid"/>
    </a:ln>
  </c:spPr>
  <c:txPr>
    <a:bodyPr/>
    <a:lstStyle/>
    <a:p>
      <a:pPr>
        <a:defRPr sz="494" b="0" i="0" u="none" strike="noStrike" baseline="0">
          <a:solidFill>
            <a:srgbClr val="000000"/>
          </a:solidFill>
          <a:latin typeface="Arial"/>
          <a:ea typeface="Arial"/>
          <a:cs typeface="Arial"/>
        </a:defRPr>
      </a:pPr>
      <a:endParaRPr lang="cs-CZ"/>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07C94-B97F-4BE1-B659-C748F305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15647</Words>
  <Characters>92320</Characters>
  <Application>Microsoft Office Word</Application>
  <DocSecurity>0</DocSecurity>
  <Lines>769</Lines>
  <Paragraphs>215</Paragraphs>
  <ScaleCrop>false</ScaleCrop>
  <HeadingPairs>
    <vt:vector size="2" baseType="variant">
      <vt:variant>
        <vt:lpstr>Název</vt:lpstr>
      </vt:variant>
      <vt:variant>
        <vt:i4>1</vt:i4>
      </vt:variant>
    </vt:vector>
  </HeadingPairs>
  <TitlesOfParts>
    <vt:vector size="1" baseType="lpstr">
      <vt:lpstr>III</vt:lpstr>
    </vt:vector>
  </TitlesOfParts>
  <Company>MŠMT</Company>
  <LinksUpToDate>false</LinksUpToDate>
  <CharactersWithSpaces>107752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Frýdová Hana</dc:creator>
  <cp:lastModifiedBy>Frýdová Hana</cp:lastModifiedBy>
  <cp:revision>2</cp:revision>
  <cp:lastPrinted>2013-08-28T11:39:00Z</cp:lastPrinted>
  <dcterms:created xsi:type="dcterms:W3CDTF">2013-09-24T08:56:00Z</dcterms:created>
  <dcterms:modified xsi:type="dcterms:W3CDTF">2013-09-24T08:56:00Z</dcterms:modified>
</cp:coreProperties>
</file>