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80" w:rsidRDefault="00262080" w:rsidP="00262080">
      <w:pPr>
        <w:pStyle w:val="Zkladntextodsazen"/>
        <w:ind w:left="142" w:firstLine="1"/>
        <w:rPr>
          <w:i w:val="0"/>
        </w:rPr>
      </w:pPr>
      <w:bookmarkStart w:id="0" w:name="_GoBack"/>
      <w:bookmarkEnd w:id="0"/>
      <w:r w:rsidRPr="00FB0568">
        <w:rPr>
          <w:i w:val="0"/>
        </w:rPr>
        <w:t>Priority a postupy MŠMT při prosazování rovných příležitostí pro ženy a muže na rok 201</w:t>
      </w:r>
      <w:r>
        <w:rPr>
          <w:i w:val="0"/>
        </w:rPr>
        <w:t>3</w:t>
      </w:r>
    </w:p>
    <w:tbl>
      <w:tblPr>
        <w:tblpPr w:leftFromText="141" w:rightFromText="141" w:vertAnchor="page" w:horzAnchor="margin" w:tblpY="2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4961"/>
        <w:gridCol w:w="1559"/>
        <w:gridCol w:w="1420"/>
      </w:tblGrid>
      <w:tr w:rsidR="00262080" w:rsidRPr="00945902" w:rsidTr="00E839D4">
        <w:tc>
          <w:tcPr>
            <w:tcW w:w="3936" w:type="dxa"/>
            <w:shd w:val="clear" w:color="auto" w:fill="auto"/>
          </w:tcPr>
          <w:p w:rsidR="00262080" w:rsidRPr="006036BA" w:rsidRDefault="00262080" w:rsidP="006036BA">
            <w:pPr>
              <w:spacing w:before="120" w:after="120"/>
              <w:rPr>
                <w:b/>
                <w:bCs/>
              </w:rPr>
            </w:pPr>
            <w:r w:rsidRPr="006036BA">
              <w:rPr>
                <w:b/>
                <w:bCs/>
              </w:rPr>
              <w:t>Úkol stanovený usnesením vlády č. 348/ 2012:</w:t>
            </w:r>
          </w:p>
        </w:tc>
        <w:tc>
          <w:tcPr>
            <w:tcW w:w="2268" w:type="dxa"/>
            <w:shd w:val="clear" w:color="auto" w:fill="auto"/>
          </w:tcPr>
          <w:p w:rsidR="00262080" w:rsidRPr="006036BA" w:rsidRDefault="00262080" w:rsidP="006036BA">
            <w:pPr>
              <w:spacing w:before="120" w:after="120"/>
              <w:rPr>
                <w:b/>
                <w:bCs/>
              </w:rPr>
            </w:pPr>
            <w:r w:rsidRPr="006036BA">
              <w:rPr>
                <w:b/>
                <w:bCs/>
              </w:rPr>
              <w:t>Ukazatele plnění vlády:</w:t>
            </w:r>
          </w:p>
        </w:tc>
        <w:tc>
          <w:tcPr>
            <w:tcW w:w="4961" w:type="dxa"/>
            <w:shd w:val="clear" w:color="auto" w:fill="F5FEC6"/>
          </w:tcPr>
          <w:p w:rsidR="00262080" w:rsidRPr="00262080" w:rsidRDefault="00262080" w:rsidP="00262080">
            <w:pPr>
              <w:pStyle w:val="Nadpis4"/>
              <w:spacing w:before="120" w:beforeAutospacing="0" w:after="120" w:afterAutospacing="0"/>
              <w:jc w:val="center"/>
              <w:rPr>
                <w:rFonts w:ascii="Times New Roman" w:hAnsi="Times New Roman" w:cs="Times New Roman"/>
                <w:bCs w:val="0"/>
                <w:color w:val="0D0D0D"/>
                <w:sz w:val="22"/>
                <w:szCs w:val="22"/>
              </w:rPr>
            </w:pPr>
            <w:r w:rsidRPr="00262080">
              <w:rPr>
                <w:rFonts w:ascii="Times New Roman" w:hAnsi="Times New Roman" w:cs="Times New Roman"/>
                <w:bCs w:val="0"/>
                <w:color w:val="0D0D0D"/>
                <w:sz w:val="22"/>
                <w:szCs w:val="22"/>
              </w:rPr>
              <w:t>Návrh plnění na MŠMT:</w:t>
            </w:r>
          </w:p>
        </w:tc>
        <w:tc>
          <w:tcPr>
            <w:tcW w:w="1559" w:type="dxa"/>
            <w:shd w:val="clear" w:color="auto" w:fill="F5FEC6"/>
          </w:tcPr>
          <w:p w:rsidR="00262080" w:rsidRPr="00262080" w:rsidRDefault="00262080" w:rsidP="00BB7753">
            <w:pPr>
              <w:pStyle w:val="Nadpis4"/>
              <w:spacing w:before="120" w:beforeAutospacing="0" w:after="120" w:afterAutospacing="0"/>
              <w:jc w:val="both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262080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Odpovědnost:</w:t>
            </w:r>
          </w:p>
        </w:tc>
        <w:tc>
          <w:tcPr>
            <w:tcW w:w="1420" w:type="dxa"/>
            <w:shd w:val="clear" w:color="auto" w:fill="F5FEC6"/>
          </w:tcPr>
          <w:p w:rsidR="00262080" w:rsidRPr="00262080" w:rsidRDefault="00262080" w:rsidP="00BB7753">
            <w:pPr>
              <w:pStyle w:val="Nadpis4"/>
              <w:spacing w:before="120" w:beforeAutospacing="0" w:after="120" w:afterAutospacing="0"/>
              <w:jc w:val="both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262080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 xml:space="preserve">Termín plnění do: </w:t>
            </w:r>
          </w:p>
        </w:tc>
      </w:tr>
      <w:tr w:rsidR="00262080" w:rsidRPr="006036BA" w:rsidTr="00E839D4">
        <w:tc>
          <w:tcPr>
            <w:tcW w:w="3936" w:type="dxa"/>
            <w:shd w:val="clear" w:color="auto" w:fill="auto"/>
          </w:tcPr>
          <w:p w:rsidR="00262080" w:rsidRPr="006036BA" w:rsidRDefault="00262080" w:rsidP="00262080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 xml:space="preserve">1/1 Každoročně vyhodnotit plnění opatření Priorit a postupů vlády při prosazování rovných příležitostí pro ženy a muže za daný rok a do 31. ledna následujícího roku je předložit předsedovi Rady vlády pro rovné příležitosti žen </w:t>
            </w:r>
            <w:r w:rsidR="000E71C9" w:rsidRPr="006036BA">
              <w:rPr>
                <w:bCs/>
              </w:rPr>
              <w:br/>
            </w:r>
            <w:r w:rsidRPr="006036BA">
              <w:rPr>
                <w:bCs/>
              </w:rPr>
              <w:t xml:space="preserve">a mužů jako národnímu koordinátorovi agendy rovných příležitostí pro ženy </w:t>
            </w:r>
            <w:r w:rsidR="000E71C9" w:rsidRPr="006036BA">
              <w:rPr>
                <w:bCs/>
              </w:rPr>
              <w:br/>
            </w:r>
            <w:r w:rsidRPr="006036BA">
              <w:rPr>
                <w:bCs/>
              </w:rPr>
              <w:t>a muže.</w:t>
            </w:r>
          </w:p>
        </w:tc>
        <w:tc>
          <w:tcPr>
            <w:tcW w:w="2268" w:type="dxa"/>
            <w:shd w:val="clear" w:color="auto" w:fill="auto"/>
          </w:tcPr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  <w:r w:rsidRPr="006036BA">
              <w:rPr>
                <w:bCs/>
              </w:rPr>
              <w:t>Předložení vyhodnocení úkolů na daný rok.</w:t>
            </w:r>
          </w:p>
        </w:tc>
        <w:tc>
          <w:tcPr>
            <w:tcW w:w="4961" w:type="dxa"/>
            <w:shd w:val="clear" w:color="auto" w:fill="F5FEC6"/>
          </w:tcPr>
          <w:p w:rsidR="00262080" w:rsidRPr="006036BA" w:rsidRDefault="00262080" w:rsidP="00262080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 xml:space="preserve">Vyhodnotit a předložit národnímu koordinátorovi rovných příležitostí pro ženy a muže (MPSV) splnění úkolů za rok 2013. </w:t>
            </w:r>
          </w:p>
        </w:tc>
        <w:tc>
          <w:tcPr>
            <w:tcW w:w="1559" w:type="dxa"/>
            <w:shd w:val="clear" w:color="auto" w:fill="F5FEC6"/>
          </w:tcPr>
          <w:p w:rsidR="00262080" w:rsidRPr="006036BA" w:rsidRDefault="00262080" w:rsidP="006036BA">
            <w:pPr>
              <w:spacing w:before="120" w:after="120"/>
              <w:rPr>
                <w:bCs/>
              </w:rPr>
            </w:pPr>
            <w:r w:rsidRPr="006036BA">
              <w:rPr>
                <w:bCs/>
              </w:rPr>
              <w:t>O 20,  pracovní skupina MŠMT pro rovnost příležitostí žen a mužů (dále jen PS RP), odborné útvary MŠMT</w:t>
            </w:r>
          </w:p>
        </w:tc>
        <w:tc>
          <w:tcPr>
            <w:tcW w:w="1420" w:type="dxa"/>
            <w:shd w:val="clear" w:color="auto" w:fill="F5FEC6"/>
          </w:tcPr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31. 1. 2014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</w:tr>
      <w:tr w:rsidR="00262080" w:rsidRPr="006036BA" w:rsidTr="00E839D4">
        <w:tc>
          <w:tcPr>
            <w:tcW w:w="3936" w:type="dxa"/>
            <w:shd w:val="clear" w:color="auto" w:fill="auto"/>
          </w:tcPr>
          <w:p w:rsidR="00262080" w:rsidRPr="006036BA" w:rsidRDefault="00262080" w:rsidP="00262080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 xml:space="preserve">1/2 Na základě analýzy </w:t>
            </w:r>
            <w:r w:rsidRPr="006036BA">
              <w:rPr>
                <w:bCs/>
              </w:rPr>
              <w:br/>
              <w:t xml:space="preserve">a vyhodnocení plnění resortních priorit za uplynulý rok zpracovat resortní priority na rok následující a do 31. ledna daného roku je předložit předsedovi Rady vlády pro rovné příležitosti žen a mužů jako národnímu koordinátorovi agendy rovných příležitostí pro ženy a muže. </w:t>
            </w:r>
          </w:p>
        </w:tc>
        <w:tc>
          <w:tcPr>
            <w:tcW w:w="2268" w:type="dxa"/>
            <w:shd w:val="clear" w:color="auto" w:fill="auto"/>
          </w:tcPr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  <w:r w:rsidRPr="006036BA">
              <w:rPr>
                <w:bCs/>
              </w:rPr>
              <w:t xml:space="preserve">Předložení resortních Priorit a postupů na daný rok. </w:t>
            </w: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</w:tc>
        <w:tc>
          <w:tcPr>
            <w:tcW w:w="4961" w:type="dxa"/>
            <w:shd w:val="clear" w:color="auto" w:fill="F5FEC6"/>
          </w:tcPr>
          <w:p w:rsidR="00262080" w:rsidRPr="006036BA" w:rsidRDefault="00262080" w:rsidP="00262080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 xml:space="preserve">Předložit resortní Priority a postupy v oblasti rovnosti žen a mužů na rok 2014 národnímu koordinátorovi rovných příležitostí žen a mužů. </w:t>
            </w:r>
          </w:p>
        </w:tc>
        <w:tc>
          <w:tcPr>
            <w:tcW w:w="1559" w:type="dxa"/>
            <w:shd w:val="clear" w:color="auto" w:fill="F5FEC6"/>
          </w:tcPr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O 20 a PS RP</w:t>
            </w:r>
          </w:p>
        </w:tc>
        <w:tc>
          <w:tcPr>
            <w:tcW w:w="1420" w:type="dxa"/>
            <w:shd w:val="clear" w:color="auto" w:fill="F5FEC6"/>
          </w:tcPr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31. 1. 2014</w:t>
            </w:r>
          </w:p>
        </w:tc>
      </w:tr>
      <w:tr w:rsidR="00262080" w:rsidRPr="006036BA" w:rsidTr="00E839D4">
        <w:tc>
          <w:tcPr>
            <w:tcW w:w="3936" w:type="dxa"/>
            <w:shd w:val="clear" w:color="auto" w:fill="auto"/>
          </w:tcPr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2. S ohledem na průřezový charakter politiky rovných příležitostí žen a mužů: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 xml:space="preserve">2/1 V relevantní koncepční, rozhodovací a vyhodnocovací činnosti dovnitř i vně rezortu zahrnovat genderové hledisko, pokračovat v činnosti pracovních skupin k rovným příležitostem žen a mužů </w:t>
            </w:r>
            <w:r w:rsidR="000E71C9" w:rsidRPr="006036BA">
              <w:rPr>
                <w:bCs/>
              </w:rPr>
              <w:br/>
            </w:r>
            <w:r w:rsidRPr="006036BA">
              <w:rPr>
                <w:bCs/>
              </w:rPr>
              <w:t xml:space="preserve">a prostřednictvím mediální politiky informovat o této problematice </w:t>
            </w:r>
            <w:r w:rsidR="000E71C9" w:rsidRPr="006036BA">
              <w:rPr>
                <w:bCs/>
              </w:rPr>
              <w:br/>
            </w:r>
            <w:r w:rsidRPr="006036BA">
              <w:rPr>
                <w:bCs/>
              </w:rPr>
              <w:t xml:space="preserve">a opatřeních přispívajících k jejímu </w:t>
            </w:r>
            <w:r w:rsidRPr="006036BA">
              <w:rPr>
                <w:bCs/>
              </w:rPr>
              <w:lastRenderedPageBreak/>
              <w:t>zabezpečování.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Počet a výčet koncep</w:t>
            </w:r>
            <w:r w:rsidR="006036BA">
              <w:rPr>
                <w:bCs/>
              </w:rPr>
              <w:t xml:space="preserve">čních materiálů s rozpracováním </w:t>
            </w:r>
            <w:r w:rsidRPr="006036BA">
              <w:rPr>
                <w:bCs/>
              </w:rPr>
              <w:t xml:space="preserve">hlediska rovných příležitostí žen </w:t>
            </w:r>
            <w:r w:rsidR="006036BA">
              <w:rPr>
                <w:bCs/>
              </w:rPr>
              <w:br/>
            </w:r>
            <w:r w:rsidRPr="006036BA">
              <w:rPr>
                <w:bCs/>
              </w:rPr>
              <w:t xml:space="preserve">a mužů, počet jednání pracovní skupiny </w:t>
            </w:r>
            <w:r w:rsidR="006036BA">
              <w:rPr>
                <w:bCs/>
              </w:rPr>
              <w:br/>
            </w:r>
            <w:r w:rsidRPr="006036BA">
              <w:rPr>
                <w:bCs/>
              </w:rPr>
              <w:t xml:space="preserve">a roční zpráva </w:t>
            </w:r>
            <w:r w:rsidR="006036BA">
              <w:rPr>
                <w:bCs/>
              </w:rPr>
              <w:br/>
            </w:r>
            <w:r w:rsidRPr="006036BA">
              <w:rPr>
                <w:bCs/>
              </w:rPr>
              <w:lastRenderedPageBreak/>
              <w:t>o konkrétních krocích v oblasti mediální politiky.</w:t>
            </w: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  <w:p w:rsidR="00262080" w:rsidRPr="006036BA" w:rsidRDefault="00262080" w:rsidP="00C05C20">
            <w:pPr>
              <w:spacing w:before="120" w:after="120"/>
              <w:rPr>
                <w:bCs/>
              </w:rPr>
            </w:pPr>
          </w:p>
        </w:tc>
        <w:tc>
          <w:tcPr>
            <w:tcW w:w="4961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B3069A" w:rsidP="006036BA">
            <w:pPr>
              <w:numPr>
                <w:ilvl w:val="0"/>
                <w:numId w:val="2"/>
              </w:num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Aktualizovat </w:t>
            </w:r>
            <w:r w:rsidR="00262080" w:rsidRPr="000F3E29">
              <w:rPr>
                <w:bCs/>
              </w:rPr>
              <w:t>analytický materiál o stavu genderové rovnosti v resortu MŠMT</w:t>
            </w:r>
            <w:r w:rsidRPr="000F3E29">
              <w:rPr>
                <w:bCs/>
              </w:rPr>
              <w:t xml:space="preserve"> (včetně přílohy zahraničních zkušeností) a připravit koncepční výhled genderové politiky resortu s identifikací </w:t>
            </w:r>
            <w:r w:rsidR="00262080" w:rsidRPr="000F3E29">
              <w:rPr>
                <w:bCs/>
              </w:rPr>
              <w:t>oblasti k případnému zlepšení situace a předložit jej do GP NM sk. 2</w:t>
            </w:r>
            <w:r w:rsidR="005F45FB" w:rsidRPr="000F3E29">
              <w:rPr>
                <w:bCs/>
              </w:rPr>
              <w:t>.</w:t>
            </w:r>
          </w:p>
          <w:p w:rsidR="00262080" w:rsidRPr="000F3E29" w:rsidRDefault="00262080" w:rsidP="006036BA">
            <w:pPr>
              <w:numPr>
                <w:ilvl w:val="0"/>
                <w:numId w:val="2"/>
              </w:num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Uspořádat na MŠMT </w:t>
            </w:r>
            <w:r w:rsidR="00CA36C9" w:rsidRPr="000F3E29">
              <w:rPr>
                <w:bCs/>
              </w:rPr>
              <w:t xml:space="preserve">seminář </w:t>
            </w:r>
            <w:r w:rsidRPr="000F3E29">
              <w:rPr>
                <w:bCs/>
              </w:rPr>
              <w:t xml:space="preserve">pro </w:t>
            </w:r>
            <w:r w:rsidRPr="000F3E29">
              <w:rPr>
                <w:bCs/>
              </w:rPr>
              <w:lastRenderedPageBreak/>
              <w:t>pedagogické p</w:t>
            </w:r>
            <w:r w:rsidR="006036BA" w:rsidRPr="000F3E29">
              <w:rPr>
                <w:bCs/>
              </w:rPr>
              <w:t xml:space="preserve">racovníky s diskuzí o genderové </w:t>
            </w:r>
            <w:r w:rsidRPr="000F3E29">
              <w:rPr>
                <w:bCs/>
              </w:rPr>
              <w:t>problematice</w:t>
            </w:r>
            <w:r w:rsidR="00B3069A" w:rsidRPr="000F3E29">
              <w:rPr>
                <w:bCs/>
              </w:rPr>
              <w:t xml:space="preserve"> </w:t>
            </w:r>
            <w:r w:rsidRPr="000F3E29">
              <w:rPr>
                <w:bCs/>
              </w:rPr>
              <w:t xml:space="preserve">ve výchovně vzdělávacím procesu. </w:t>
            </w:r>
          </w:p>
          <w:p w:rsidR="000762F3" w:rsidRPr="000F3E29" w:rsidRDefault="000762F3" w:rsidP="000762F3">
            <w:pPr>
              <w:pStyle w:val="Prosttext"/>
              <w:numPr>
                <w:ilvl w:val="0"/>
                <w:numId w:val="2"/>
              </w:num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F3E29">
              <w:rPr>
                <w:rFonts w:ascii="Times New Roman" w:eastAsiaTheme="minorHAnsi" w:hAnsi="Times New Roman"/>
                <w:sz w:val="22"/>
                <w:szCs w:val="22"/>
              </w:rPr>
              <w:t xml:space="preserve">Podporovat genderově vyvážené kariérové poradenství pro volbu vzdělávací a profesní dráhy vypracováním metodického materiálu pro oblast kariérového poradenství </w:t>
            </w:r>
            <w:r w:rsidRPr="000F3E29">
              <w:rPr>
                <w:rFonts w:ascii="Times New Roman" w:eastAsiaTheme="minorHAnsi" w:hAnsi="Times New Roman"/>
                <w:sz w:val="22"/>
                <w:szCs w:val="22"/>
              </w:rPr>
              <w:br/>
              <w:t>se zaměřením na genderově vyvážený přístup</w:t>
            </w:r>
            <w:r w:rsidR="006A2845" w:rsidRPr="000F3E29"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  <w:p w:rsidR="00262080" w:rsidRPr="000F3E29" w:rsidRDefault="00262080" w:rsidP="000762F3">
            <w:pPr>
              <w:numPr>
                <w:ilvl w:val="0"/>
                <w:numId w:val="2"/>
              </w:num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Uplatňo</w:t>
            </w:r>
            <w:r w:rsidR="005F45FB" w:rsidRPr="000F3E29">
              <w:rPr>
                <w:bCs/>
              </w:rPr>
              <w:t xml:space="preserve">vat genderově vyvážený přístup </w:t>
            </w:r>
            <w:r w:rsidRPr="000F3E29">
              <w:rPr>
                <w:bCs/>
              </w:rPr>
              <w:t>v procesu přípravy</w:t>
            </w:r>
            <w:r w:rsidR="00B3069A" w:rsidRPr="000F3E29">
              <w:rPr>
                <w:bCs/>
              </w:rPr>
              <w:t xml:space="preserve"> </w:t>
            </w:r>
            <w:r w:rsidRPr="000F3E29">
              <w:rPr>
                <w:bCs/>
              </w:rPr>
              <w:t>učebnic</w:t>
            </w:r>
            <w:r w:rsidR="00B3069A" w:rsidRPr="000F3E29">
              <w:rPr>
                <w:bCs/>
              </w:rPr>
              <w:t xml:space="preserve"> a p</w:t>
            </w:r>
            <w:r w:rsidRPr="000F3E29">
              <w:rPr>
                <w:bCs/>
              </w:rPr>
              <w:t>ři udělování schvalovacích doložek</w:t>
            </w:r>
            <w:r w:rsidR="00B3069A" w:rsidRPr="000F3E29">
              <w:rPr>
                <w:bCs/>
              </w:rPr>
              <w:t xml:space="preserve"> učebnicím aplikací návodu pro správné genderové posuzování obsahu učebnic</w:t>
            </w:r>
            <w:r w:rsidR="005F45FB" w:rsidRPr="000F3E29">
              <w:rPr>
                <w:bCs/>
              </w:rPr>
              <w:t>.</w:t>
            </w:r>
          </w:p>
          <w:p w:rsidR="00262080" w:rsidRPr="000F3E29" w:rsidRDefault="00262080" w:rsidP="000762F3">
            <w:pPr>
              <w:numPr>
                <w:ilvl w:val="0"/>
                <w:numId w:val="2"/>
              </w:num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Uspořádat jednání P</w:t>
            </w:r>
            <w:r w:rsidR="00112C85">
              <w:rPr>
                <w:bCs/>
              </w:rPr>
              <w:t>racovní skupiny pro rovné příležitosti žen a mužů</w:t>
            </w:r>
            <w:r w:rsidRPr="000F3E29">
              <w:rPr>
                <w:bCs/>
              </w:rPr>
              <w:t xml:space="preserve"> alespoň dvakrát ročně</w:t>
            </w:r>
            <w:r w:rsidR="005F45FB" w:rsidRPr="000F3E29">
              <w:rPr>
                <w:bCs/>
              </w:rPr>
              <w:t>.</w:t>
            </w:r>
            <w:r w:rsidRPr="000F3E29">
              <w:rPr>
                <w:bCs/>
              </w:rPr>
              <w:t xml:space="preserve"> </w:t>
            </w:r>
          </w:p>
          <w:p w:rsidR="00262080" w:rsidRPr="000F3E29" w:rsidRDefault="00262080" w:rsidP="00B3069A">
            <w:pPr>
              <w:numPr>
                <w:ilvl w:val="0"/>
                <w:numId w:val="2"/>
              </w:num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Zveřejňovat</w:t>
            </w:r>
            <w:r w:rsidR="00B3069A" w:rsidRPr="000F3E29">
              <w:rPr>
                <w:bCs/>
              </w:rPr>
              <w:t xml:space="preserve"> přehlednějším způsobem</w:t>
            </w:r>
            <w:r w:rsidRPr="000F3E29">
              <w:rPr>
                <w:bCs/>
              </w:rPr>
              <w:t xml:space="preserve"> informace o rovných příležitostech žen a mužů ve školství </w:t>
            </w:r>
            <w:r w:rsidR="00B3069A" w:rsidRPr="000F3E29">
              <w:rPr>
                <w:bCs/>
              </w:rPr>
              <w:t>(</w:t>
            </w:r>
            <w:r w:rsidRPr="000F3E29">
              <w:rPr>
                <w:bCs/>
              </w:rPr>
              <w:t>např. články, rozhovo</w:t>
            </w:r>
            <w:r w:rsidR="005F45FB" w:rsidRPr="000F3E29">
              <w:rPr>
                <w:bCs/>
              </w:rPr>
              <w:t>ry, tiskové zprávy</w:t>
            </w:r>
            <w:r w:rsidR="00B3069A" w:rsidRPr="000F3E29">
              <w:rPr>
                <w:bCs/>
              </w:rPr>
              <w:t>)</w:t>
            </w:r>
            <w:r w:rsidR="005F45FB" w:rsidRPr="000F3E29">
              <w:rPr>
                <w:bCs/>
              </w:rPr>
              <w:t xml:space="preserve"> prostřednictvím</w:t>
            </w:r>
            <w:r w:rsidRPr="000F3E29">
              <w:rPr>
                <w:bCs/>
              </w:rPr>
              <w:t xml:space="preserve"> webu</w:t>
            </w:r>
            <w:r w:rsidR="005F45FB" w:rsidRPr="000F3E29">
              <w:rPr>
                <w:bCs/>
              </w:rPr>
              <w:t>.</w:t>
            </w:r>
            <w:r w:rsidRPr="000F3E29">
              <w:rPr>
                <w:bCs/>
              </w:rPr>
              <w:t xml:space="preserve"> </w:t>
            </w:r>
          </w:p>
          <w:p w:rsidR="00E65148" w:rsidRPr="000F3E29" w:rsidRDefault="00B12A78" w:rsidP="0065741B">
            <w:pPr>
              <w:numPr>
                <w:ilvl w:val="0"/>
                <w:numId w:val="2"/>
              </w:numPr>
              <w:spacing w:before="120" w:after="120"/>
              <w:jc w:val="both"/>
              <w:rPr>
                <w:bCs/>
              </w:rPr>
            </w:pPr>
            <w:r>
              <w:t>Udělovat Cenu</w:t>
            </w:r>
            <w:r w:rsidR="00E65148" w:rsidRPr="000F3E29">
              <w:t xml:space="preserve"> Milady Paulové</w:t>
            </w:r>
            <w:r w:rsidR="008823E5">
              <w:t xml:space="preserve"> (viz:</w:t>
            </w:r>
            <w:r w:rsidR="008823E5" w:rsidRPr="00FF58C2">
              <w:t>www.zenyaveda.cz/cena-m-paulové</w:t>
            </w:r>
            <w:r w:rsidR="0065741B">
              <w:t>)</w:t>
            </w:r>
            <w:r w:rsidR="008823E5">
              <w:t>,</w:t>
            </w:r>
            <w:r w:rsidR="008823E5" w:rsidRPr="00FF58C2">
              <w:t xml:space="preserve">  </w:t>
            </w:r>
            <w:r w:rsidR="0065741B">
              <w:t xml:space="preserve">cena </w:t>
            </w:r>
            <w:r w:rsidR="008823E5" w:rsidRPr="00FF58C2">
              <w:t>je udělována ve spolupráci s Národním kontak</w:t>
            </w:r>
            <w:r w:rsidR="008823E5">
              <w:t>tním centrem - ženy a věda Socio</w:t>
            </w:r>
            <w:r w:rsidR="008823E5" w:rsidRPr="00FF58C2">
              <w:t>logického ústavu Akademie věd ČR.</w:t>
            </w:r>
          </w:p>
        </w:tc>
        <w:tc>
          <w:tcPr>
            <w:tcW w:w="1559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O 20 a PS RP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B3069A" w:rsidRPr="000F3E29" w:rsidRDefault="00B3069A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O 20 a PS RP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rPr>
                <w:bCs/>
              </w:rPr>
            </w:pPr>
            <w:r w:rsidRPr="000F3E29">
              <w:rPr>
                <w:bCs/>
              </w:rPr>
              <w:t>NÚV  ve spolupráci</w:t>
            </w:r>
            <w:r w:rsidRPr="000F3E29">
              <w:rPr>
                <w:bCs/>
              </w:rPr>
              <w:br/>
              <w:t xml:space="preserve"> </w:t>
            </w:r>
            <w:r w:rsidR="005F45FB" w:rsidRPr="000F3E29">
              <w:rPr>
                <w:bCs/>
              </w:rPr>
              <w:t>O 21,</w:t>
            </w:r>
            <w:r w:rsidRPr="000F3E29">
              <w:rPr>
                <w:bCs/>
              </w:rPr>
              <w:t xml:space="preserve"> 20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B3069A" w:rsidRPr="000F3E29" w:rsidRDefault="00B3069A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O20, </w:t>
            </w:r>
            <w:r w:rsidR="005F45FB" w:rsidRPr="000F3E29">
              <w:rPr>
                <w:bCs/>
              </w:rPr>
              <w:t>2</w:t>
            </w:r>
            <w:r w:rsidRPr="000F3E29">
              <w:rPr>
                <w:bCs/>
              </w:rPr>
              <w:t>1,</w:t>
            </w:r>
            <w:r w:rsidR="005F45FB" w:rsidRPr="000F3E29">
              <w:rPr>
                <w:bCs/>
              </w:rPr>
              <w:t xml:space="preserve"> </w:t>
            </w:r>
            <w:r w:rsidRPr="000F3E29">
              <w:rPr>
                <w:bCs/>
              </w:rPr>
              <w:t>22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B3069A" w:rsidRPr="000F3E29" w:rsidRDefault="00B3069A" w:rsidP="006036BA">
            <w:pPr>
              <w:spacing w:before="120" w:after="120"/>
              <w:jc w:val="both"/>
              <w:rPr>
                <w:bCs/>
              </w:rPr>
            </w:pPr>
          </w:p>
          <w:p w:rsidR="00B3069A" w:rsidRPr="000F3E29" w:rsidRDefault="00B3069A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O 20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8823E5" w:rsidP="006036BA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 xml:space="preserve">K </w:t>
            </w:r>
            <w:r w:rsidR="00262080" w:rsidRPr="000F3E29">
              <w:rPr>
                <w:bCs/>
              </w:rPr>
              <w:t>2</w:t>
            </w:r>
          </w:p>
          <w:p w:rsidR="00E65148" w:rsidRPr="000F3E29" w:rsidRDefault="00E65148" w:rsidP="00E65148">
            <w:pPr>
              <w:spacing w:before="120"/>
              <w:jc w:val="both"/>
              <w:rPr>
                <w:bCs/>
              </w:rPr>
            </w:pPr>
          </w:p>
          <w:p w:rsidR="00E65148" w:rsidRPr="000F3E29" w:rsidRDefault="00E65148" w:rsidP="00E65148">
            <w:pPr>
              <w:jc w:val="both"/>
              <w:rPr>
                <w:bCs/>
              </w:rPr>
            </w:pPr>
          </w:p>
          <w:p w:rsidR="00E65148" w:rsidRPr="000F3E29" w:rsidRDefault="00E65148" w:rsidP="00E65148">
            <w:pPr>
              <w:jc w:val="both"/>
              <w:rPr>
                <w:bCs/>
              </w:rPr>
            </w:pPr>
            <w:r w:rsidRPr="000F3E29">
              <w:rPr>
                <w:bCs/>
              </w:rPr>
              <w:t>O 31</w:t>
            </w:r>
            <w:r w:rsidR="00666044">
              <w:rPr>
                <w:bCs/>
              </w:rPr>
              <w:t>0</w:t>
            </w:r>
          </w:p>
          <w:p w:rsidR="00E65148" w:rsidRPr="000F3E29" w:rsidRDefault="00E65148" w:rsidP="00E65148">
            <w:pPr>
              <w:spacing w:before="120"/>
              <w:jc w:val="both"/>
              <w:rPr>
                <w:bCs/>
              </w:rPr>
            </w:pPr>
          </w:p>
          <w:p w:rsidR="00E65148" w:rsidRPr="000F3E29" w:rsidRDefault="00E65148" w:rsidP="00E65148">
            <w:pPr>
              <w:jc w:val="both"/>
              <w:rPr>
                <w:bCs/>
              </w:rPr>
            </w:pPr>
          </w:p>
        </w:tc>
        <w:tc>
          <w:tcPr>
            <w:tcW w:w="1420" w:type="dxa"/>
            <w:shd w:val="clear" w:color="auto" w:fill="F5FEC6"/>
          </w:tcPr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3</w:t>
            </w:r>
            <w:r w:rsidR="00B3069A">
              <w:rPr>
                <w:bCs/>
              </w:rPr>
              <w:t>0</w:t>
            </w:r>
            <w:r w:rsidRPr="006036BA">
              <w:rPr>
                <w:bCs/>
              </w:rPr>
              <w:t>. 6. 2013</w:t>
            </w:r>
          </w:p>
          <w:p w:rsidR="00262080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B3069A" w:rsidRPr="006036BA" w:rsidRDefault="00B3069A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30. 9. 2013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 xml:space="preserve">průběžně 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E65148" w:rsidRDefault="00E65148" w:rsidP="00E65148">
            <w:pPr>
              <w:spacing w:before="120"/>
              <w:jc w:val="both"/>
              <w:rPr>
                <w:bCs/>
              </w:rPr>
            </w:pPr>
          </w:p>
          <w:p w:rsidR="00E65148" w:rsidRDefault="00E65148" w:rsidP="00E65148">
            <w:pPr>
              <w:jc w:val="both"/>
              <w:rPr>
                <w:bCs/>
              </w:rPr>
            </w:pPr>
          </w:p>
          <w:p w:rsidR="00262080" w:rsidRDefault="00262080" w:rsidP="00E65148">
            <w:pPr>
              <w:jc w:val="both"/>
              <w:rPr>
                <w:bCs/>
              </w:rPr>
            </w:pPr>
            <w:r w:rsidRPr="006036BA">
              <w:rPr>
                <w:bCs/>
              </w:rPr>
              <w:t>průběžně</w:t>
            </w:r>
          </w:p>
          <w:p w:rsidR="00E65148" w:rsidRPr="006036BA" w:rsidRDefault="00E65148" w:rsidP="00E65148">
            <w:pPr>
              <w:spacing w:before="120"/>
              <w:jc w:val="both"/>
              <w:rPr>
                <w:bCs/>
              </w:rPr>
            </w:pPr>
          </w:p>
          <w:p w:rsidR="00262080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B3069A" w:rsidRDefault="00B3069A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30.</w:t>
            </w:r>
            <w:r w:rsidR="005F45FB" w:rsidRPr="006036BA">
              <w:rPr>
                <w:bCs/>
              </w:rPr>
              <w:t xml:space="preserve"> </w:t>
            </w:r>
            <w:r w:rsidRPr="006036BA">
              <w:rPr>
                <w:bCs/>
              </w:rPr>
              <w:t xml:space="preserve">6. a </w:t>
            </w:r>
            <w:r w:rsidR="005F45FB" w:rsidRPr="006036BA">
              <w:rPr>
                <w:bCs/>
              </w:rPr>
              <w:br/>
            </w:r>
            <w:r w:rsidRPr="006036BA">
              <w:rPr>
                <w:bCs/>
              </w:rPr>
              <w:t>20.</w:t>
            </w:r>
            <w:r w:rsidR="005F45FB" w:rsidRPr="006036BA">
              <w:rPr>
                <w:bCs/>
              </w:rPr>
              <w:t xml:space="preserve"> </w:t>
            </w:r>
            <w:r w:rsidRPr="006036BA">
              <w:rPr>
                <w:bCs/>
              </w:rPr>
              <w:t>12.</w:t>
            </w:r>
            <w:r w:rsidR="005F45FB" w:rsidRPr="006036BA">
              <w:rPr>
                <w:bCs/>
              </w:rPr>
              <w:t xml:space="preserve"> </w:t>
            </w:r>
            <w:r w:rsidRPr="006036BA">
              <w:rPr>
                <w:bCs/>
              </w:rPr>
              <w:t>2013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průběžně</w:t>
            </w:r>
          </w:p>
          <w:p w:rsidR="00262080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E65148" w:rsidRDefault="00E65148" w:rsidP="00E65148">
            <w:pPr>
              <w:jc w:val="both"/>
              <w:rPr>
                <w:bCs/>
              </w:rPr>
            </w:pPr>
          </w:p>
          <w:p w:rsidR="00E65148" w:rsidRDefault="00E65148" w:rsidP="00E65148">
            <w:pPr>
              <w:jc w:val="both"/>
              <w:rPr>
                <w:bCs/>
              </w:rPr>
            </w:pPr>
            <w:r>
              <w:rPr>
                <w:bCs/>
              </w:rPr>
              <w:t>31.</w:t>
            </w:r>
            <w:r w:rsidR="00B12A78">
              <w:rPr>
                <w:bCs/>
              </w:rPr>
              <w:t xml:space="preserve"> </w:t>
            </w:r>
            <w:r>
              <w:rPr>
                <w:bCs/>
              </w:rPr>
              <w:t>12.</w:t>
            </w:r>
            <w:r w:rsidR="00B12A78">
              <w:rPr>
                <w:bCs/>
              </w:rPr>
              <w:t xml:space="preserve"> </w:t>
            </w:r>
            <w:r>
              <w:rPr>
                <w:bCs/>
              </w:rPr>
              <w:t>2013</w:t>
            </w:r>
          </w:p>
          <w:p w:rsidR="00E65148" w:rsidRPr="006036BA" w:rsidRDefault="00E65148" w:rsidP="00E65148">
            <w:pPr>
              <w:spacing w:before="120"/>
              <w:jc w:val="both"/>
              <w:rPr>
                <w:bCs/>
              </w:rPr>
            </w:pPr>
          </w:p>
        </w:tc>
      </w:tr>
      <w:tr w:rsidR="00262080" w:rsidRPr="006036BA" w:rsidTr="00E839D4">
        <w:tc>
          <w:tcPr>
            <w:tcW w:w="3936" w:type="dxa"/>
            <w:shd w:val="clear" w:color="auto" w:fill="auto"/>
          </w:tcPr>
          <w:p w:rsidR="00262080" w:rsidRPr="006036BA" w:rsidRDefault="00262080" w:rsidP="00BB7753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lastRenderedPageBreak/>
              <w:t>2/2 Aktivně podporovat konkrétními opatřeními umožněnými §16 odst. 3 zákoníku práce vyrovnané zastoupení žen a mužů ve vládních orgánech a na vedoucích pozicích v</w:t>
            </w:r>
            <w:r w:rsidR="005F45FB" w:rsidRPr="006036BA">
              <w:rPr>
                <w:bCs/>
              </w:rPr>
              <w:t> </w:t>
            </w:r>
            <w:r w:rsidRPr="006036BA">
              <w:rPr>
                <w:bCs/>
              </w:rPr>
              <w:t xml:space="preserve">rezortu.   </w:t>
            </w:r>
          </w:p>
          <w:p w:rsidR="00262080" w:rsidRPr="006036BA" w:rsidRDefault="00262080" w:rsidP="00BB7753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262080" w:rsidRPr="006036BA" w:rsidRDefault="00262080" w:rsidP="00C05C20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 xml:space="preserve">Vyhodnocení vývoje struktury zaměstnanců </w:t>
            </w:r>
            <w:r w:rsidR="000E71C9" w:rsidRPr="006036BA">
              <w:rPr>
                <w:bCs/>
              </w:rPr>
              <w:br/>
            </w:r>
            <w:r w:rsidRPr="006036BA">
              <w:rPr>
                <w:bCs/>
              </w:rPr>
              <w:t>a zaměstnankyň dle funkce, pracovního zařazení a pohlaví, popis a vyhodnocení účinnosti přijat</w:t>
            </w:r>
            <w:r w:rsidR="006036BA">
              <w:rPr>
                <w:bCs/>
              </w:rPr>
              <w:t xml:space="preserve">ých opatření, návrh </w:t>
            </w:r>
            <w:r w:rsidR="006036BA">
              <w:rPr>
                <w:bCs/>
              </w:rPr>
              <w:lastRenderedPageBreak/>
              <w:t>metodického</w:t>
            </w:r>
            <w:r w:rsidR="00C05C20">
              <w:rPr>
                <w:bCs/>
              </w:rPr>
              <w:t xml:space="preserve"> </w:t>
            </w:r>
            <w:r w:rsidRPr="006036BA">
              <w:rPr>
                <w:bCs/>
              </w:rPr>
              <w:t xml:space="preserve">zabezpečení tohoto opatření. </w:t>
            </w:r>
          </w:p>
        </w:tc>
        <w:tc>
          <w:tcPr>
            <w:tcW w:w="4961" w:type="dxa"/>
            <w:shd w:val="clear" w:color="auto" w:fill="F5FEC6"/>
          </w:tcPr>
          <w:p w:rsidR="00262080" w:rsidRPr="006036BA" w:rsidRDefault="00262080" w:rsidP="00BB7753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lastRenderedPageBreak/>
              <w:t>Podporovat vyrovnané zastoupení žen a mužů působících na MŠMT bez ohledu na zastávanou pozici a vyhodnocení vývoje struktury a opatření.</w:t>
            </w:r>
          </w:p>
        </w:tc>
        <w:tc>
          <w:tcPr>
            <w:tcW w:w="1559" w:type="dxa"/>
            <w:shd w:val="clear" w:color="auto" w:fill="F5FEC6"/>
          </w:tcPr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O 60</w:t>
            </w:r>
          </w:p>
        </w:tc>
        <w:tc>
          <w:tcPr>
            <w:tcW w:w="1420" w:type="dxa"/>
            <w:shd w:val="clear" w:color="auto" w:fill="F5FEC6"/>
          </w:tcPr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6036BA">
              <w:rPr>
                <w:bCs/>
              </w:rPr>
              <w:t>31. 12. 2013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</w:tr>
      <w:tr w:rsidR="00262080" w:rsidRPr="000F3E29" w:rsidTr="00E839D4">
        <w:tc>
          <w:tcPr>
            <w:tcW w:w="3936" w:type="dxa"/>
            <w:shd w:val="clear" w:color="auto" w:fill="auto"/>
          </w:tcPr>
          <w:p w:rsidR="00262080" w:rsidRPr="000F3E29" w:rsidRDefault="00262080" w:rsidP="00BB7753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lastRenderedPageBreak/>
              <w:t>2/3 Zohledňovat v</w:t>
            </w:r>
            <w:r w:rsidR="005F45FB" w:rsidRPr="000F3E29">
              <w:rPr>
                <w:bCs/>
              </w:rPr>
              <w:t> </w:t>
            </w:r>
            <w:r w:rsidRPr="000F3E29">
              <w:rPr>
                <w:bCs/>
              </w:rPr>
              <w:t xml:space="preserve">rámci relevantních dotačních programů téma rovných příležitostí pro ženy a muže. 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262080" w:rsidRPr="000F3E29" w:rsidRDefault="00262080" w:rsidP="00C05C20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Stručný popis </w:t>
            </w:r>
            <w:r w:rsidR="000E71C9" w:rsidRPr="000F3E29">
              <w:rPr>
                <w:bCs/>
              </w:rPr>
              <w:br/>
            </w:r>
            <w:r w:rsidRPr="000F3E29">
              <w:rPr>
                <w:bCs/>
              </w:rPr>
              <w:t xml:space="preserve">a vyhodnocení projektů, prosazujících rovné příležitosti žen </w:t>
            </w:r>
            <w:r w:rsidR="00C05C20" w:rsidRPr="000F3E29">
              <w:rPr>
                <w:bCs/>
              </w:rPr>
              <w:br/>
            </w:r>
            <w:r w:rsidRPr="000F3E29">
              <w:rPr>
                <w:bCs/>
              </w:rPr>
              <w:t xml:space="preserve">a mužů, forma </w:t>
            </w:r>
            <w:r w:rsidR="00C05C20" w:rsidRPr="000F3E29">
              <w:rPr>
                <w:bCs/>
              </w:rPr>
              <w:br/>
            </w:r>
            <w:r w:rsidRPr="000F3E29">
              <w:rPr>
                <w:bCs/>
              </w:rPr>
              <w:t>a hodnocení výzev</w:t>
            </w:r>
            <w:r w:rsidR="000E71C9" w:rsidRPr="000F3E29">
              <w:rPr>
                <w:bCs/>
              </w:rPr>
              <w:t>.</w:t>
            </w:r>
          </w:p>
          <w:p w:rsidR="00262080" w:rsidRPr="000F3E29" w:rsidRDefault="00262080" w:rsidP="00C05C20">
            <w:pPr>
              <w:spacing w:before="120" w:after="120"/>
              <w:rPr>
                <w:bCs/>
              </w:rPr>
            </w:pPr>
          </w:p>
        </w:tc>
        <w:tc>
          <w:tcPr>
            <w:tcW w:w="4961" w:type="dxa"/>
            <w:shd w:val="clear" w:color="auto" w:fill="F5FEC6"/>
          </w:tcPr>
          <w:p w:rsidR="00262080" w:rsidRPr="000F3E29" w:rsidRDefault="00E65148" w:rsidP="00BB7753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a) </w:t>
            </w:r>
            <w:r w:rsidR="00262080" w:rsidRPr="000F3E29">
              <w:rPr>
                <w:bCs/>
              </w:rPr>
              <w:t xml:space="preserve">Uplatňovat kritéria rovnosti příležitostí pro ženy </w:t>
            </w:r>
            <w:r w:rsidR="000E71C9" w:rsidRPr="000F3E29">
              <w:rPr>
                <w:bCs/>
              </w:rPr>
              <w:br/>
            </w:r>
            <w:r w:rsidR="00262080" w:rsidRPr="000F3E29">
              <w:rPr>
                <w:bCs/>
              </w:rPr>
              <w:t>a muže v</w:t>
            </w:r>
            <w:r w:rsidR="005F45FB" w:rsidRPr="000F3E29">
              <w:rPr>
                <w:bCs/>
              </w:rPr>
              <w:t> </w:t>
            </w:r>
            <w:r w:rsidR="00262080" w:rsidRPr="000F3E29">
              <w:rPr>
                <w:bCs/>
              </w:rPr>
              <w:t>dotačních programech, např. Integrace cizinců, Podpora sociálně znevýhodněných žáků SŠ, Integrace romské komunity apod. a uplatňovat kritéria genderové rovnosti v</w:t>
            </w:r>
            <w:r w:rsidR="005F45FB" w:rsidRPr="000F3E29">
              <w:rPr>
                <w:bCs/>
              </w:rPr>
              <w:t> </w:t>
            </w:r>
            <w:r w:rsidR="00262080" w:rsidRPr="000F3E29">
              <w:rPr>
                <w:bCs/>
              </w:rPr>
              <w:t>jednotlivých grantových výzvách projektů ESF.</w:t>
            </w:r>
          </w:p>
          <w:p w:rsidR="00E65148" w:rsidRPr="000F3E29" w:rsidRDefault="00E65148" w:rsidP="00E65148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b) </w:t>
            </w:r>
            <w:r w:rsidRPr="000F3E29">
              <w:t>Zajistit genderově vyrovnaného zastoupení osob při hodnocení projektů. MŠMT se zasadí o dosažení rovného zastoupení žen a mužů v databázi, kterou některé resorty využívají k výběru hodnotitelů projektů v rámci jednotlivých programů.</w:t>
            </w:r>
          </w:p>
        </w:tc>
        <w:tc>
          <w:tcPr>
            <w:tcW w:w="1559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O 20, O 21, </w:t>
            </w:r>
            <w:r w:rsidRPr="000F3E29">
              <w:rPr>
                <w:bCs/>
              </w:rPr>
              <w:br/>
              <w:t>O 22, O 31, skup. 4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E65148" w:rsidRPr="000F3E29" w:rsidRDefault="00E65148" w:rsidP="006036BA">
            <w:pPr>
              <w:spacing w:before="120" w:after="120"/>
              <w:jc w:val="both"/>
              <w:rPr>
                <w:bCs/>
              </w:rPr>
            </w:pPr>
          </w:p>
          <w:p w:rsidR="00E65148" w:rsidRPr="000F3E29" w:rsidRDefault="00E65148" w:rsidP="00E65148">
            <w:pPr>
              <w:jc w:val="both"/>
              <w:rPr>
                <w:bCs/>
              </w:rPr>
            </w:pPr>
            <w:r w:rsidRPr="000F3E29">
              <w:rPr>
                <w:bCs/>
              </w:rPr>
              <w:t>skup.</w:t>
            </w:r>
            <w:r w:rsidR="000F623B" w:rsidRPr="000F3E29">
              <w:rPr>
                <w:bCs/>
              </w:rPr>
              <w:t xml:space="preserve"> </w:t>
            </w:r>
            <w:r w:rsidRPr="000F3E29">
              <w:rPr>
                <w:bCs/>
              </w:rPr>
              <w:t>II, III, IV</w:t>
            </w:r>
          </w:p>
          <w:p w:rsidR="00E65148" w:rsidRPr="000F3E29" w:rsidRDefault="00E65148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420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Průběžně při vyhlašování dotačních programů</w:t>
            </w:r>
          </w:p>
          <w:p w:rsidR="00E65148" w:rsidRPr="000F3E29" w:rsidRDefault="00E65148" w:rsidP="00E65148">
            <w:pPr>
              <w:jc w:val="both"/>
              <w:rPr>
                <w:bCs/>
              </w:rPr>
            </w:pPr>
          </w:p>
          <w:p w:rsidR="00E65148" w:rsidRPr="000F3E29" w:rsidRDefault="00E65148" w:rsidP="00E65148">
            <w:pPr>
              <w:jc w:val="both"/>
              <w:rPr>
                <w:bCs/>
              </w:rPr>
            </w:pPr>
          </w:p>
          <w:p w:rsidR="00E65148" w:rsidRPr="000F3E29" w:rsidRDefault="00E65148" w:rsidP="00E65148">
            <w:pPr>
              <w:jc w:val="both"/>
              <w:rPr>
                <w:bCs/>
              </w:rPr>
            </w:pPr>
            <w:r w:rsidRPr="000F3E29">
              <w:rPr>
                <w:bCs/>
              </w:rPr>
              <w:t>Průběžně při hodnocení programů</w:t>
            </w:r>
          </w:p>
          <w:p w:rsidR="00E65148" w:rsidRPr="000F3E29" w:rsidRDefault="00E65148" w:rsidP="00E65148">
            <w:pPr>
              <w:jc w:val="both"/>
              <w:rPr>
                <w:bCs/>
              </w:rPr>
            </w:pPr>
          </w:p>
        </w:tc>
      </w:tr>
      <w:tr w:rsidR="00262080" w:rsidRPr="000F3E29" w:rsidTr="00E839D4">
        <w:tc>
          <w:tcPr>
            <w:tcW w:w="3936" w:type="dxa"/>
            <w:shd w:val="clear" w:color="auto" w:fill="auto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2/4 Zjišťovat, monitorovat a řešit případy sexuálního obtěžování na pracovišti. </w:t>
            </w:r>
          </w:p>
        </w:tc>
        <w:tc>
          <w:tcPr>
            <w:tcW w:w="2268" w:type="dxa"/>
            <w:shd w:val="clear" w:color="auto" w:fill="auto"/>
          </w:tcPr>
          <w:p w:rsidR="00262080" w:rsidRPr="000F3E29" w:rsidRDefault="00262080" w:rsidP="00C05C20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Popis a způsob zavádění konkrétních opatření ke zjišťování, vyhledávání a monitorování případů sexuálního obtěžování na pracovišti, počet a výsledky jejich šetření</w:t>
            </w:r>
            <w:r w:rsidR="005F45FB" w:rsidRPr="000F3E29">
              <w:rPr>
                <w:bCs/>
              </w:rPr>
              <w:t>.</w:t>
            </w:r>
          </w:p>
        </w:tc>
        <w:tc>
          <w:tcPr>
            <w:tcW w:w="4961" w:type="dxa"/>
            <w:shd w:val="clear" w:color="auto" w:fill="F5FEC6"/>
          </w:tcPr>
          <w:p w:rsidR="00262080" w:rsidRPr="000F3E29" w:rsidRDefault="00262080" w:rsidP="000F623B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Zdůrazňovat nepřijatelnost sexuálního obtěžování </w:t>
            </w:r>
            <w:r w:rsidR="000E71C9" w:rsidRPr="000F3E29">
              <w:rPr>
                <w:bCs/>
              </w:rPr>
              <w:br/>
            </w:r>
            <w:r w:rsidRPr="000F3E29">
              <w:rPr>
                <w:bCs/>
              </w:rPr>
              <w:t>na pracovišt</w:t>
            </w:r>
            <w:r w:rsidR="000F623B" w:rsidRPr="000F3E29">
              <w:rPr>
                <w:bCs/>
              </w:rPr>
              <w:t>ích resortu (včetně škol</w:t>
            </w:r>
            <w:r w:rsidR="00367C90">
              <w:rPr>
                <w:bCs/>
              </w:rPr>
              <w:t xml:space="preserve"> a dalších školských institucí</w:t>
            </w:r>
            <w:r w:rsidR="000F623B" w:rsidRPr="000F3E29">
              <w:rPr>
                <w:bCs/>
              </w:rPr>
              <w:t>)</w:t>
            </w:r>
            <w:r w:rsidRPr="000F3E29">
              <w:rPr>
                <w:bCs/>
              </w:rPr>
              <w:t>, v případě výskytu předložit počet zjištěných případů a jejich řešení národnímu koordinátorovi rovných příležitostí žen a mužů.</w:t>
            </w:r>
          </w:p>
        </w:tc>
        <w:tc>
          <w:tcPr>
            <w:tcW w:w="1559" w:type="dxa"/>
            <w:shd w:val="clear" w:color="auto" w:fill="F5FEC6"/>
          </w:tcPr>
          <w:p w:rsidR="00262080" w:rsidRPr="000F3E29" w:rsidRDefault="00262080" w:rsidP="00666044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O 62, O 60</w:t>
            </w:r>
            <w:r w:rsidR="000F623B" w:rsidRPr="000F3E29">
              <w:rPr>
                <w:bCs/>
              </w:rPr>
              <w:t>, skup. II, skup. III (O</w:t>
            </w:r>
            <w:r w:rsidR="00367C90">
              <w:rPr>
                <w:bCs/>
              </w:rPr>
              <w:t xml:space="preserve"> </w:t>
            </w:r>
            <w:r w:rsidR="00666044">
              <w:rPr>
                <w:bCs/>
              </w:rPr>
              <w:t xml:space="preserve">30; </w:t>
            </w:r>
            <w:r w:rsidR="000F623B" w:rsidRPr="000F3E29">
              <w:rPr>
                <w:bCs/>
              </w:rPr>
              <w:t>3</w:t>
            </w:r>
            <w:r w:rsidR="00666044">
              <w:rPr>
                <w:bCs/>
              </w:rPr>
              <w:t>10</w:t>
            </w:r>
            <w:r w:rsidR="000F623B" w:rsidRPr="000F3E29">
              <w:rPr>
                <w:bCs/>
              </w:rPr>
              <w:t>)</w:t>
            </w:r>
          </w:p>
        </w:tc>
        <w:tc>
          <w:tcPr>
            <w:tcW w:w="1420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31. 12. 2013</w:t>
            </w:r>
          </w:p>
        </w:tc>
      </w:tr>
      <w:tr w:rsidR="00262080" w:rsidRPr="000F3E29" w:rsidTr="000F3E29">
        <w:tc>
          <w:tcPr>
            <w:tcW w:w="3936" w:type="dxa"/>
            <w:shd w:val="clear" w:color="auto" w:fill="auto"/>
          </w:tcPr>
          <w:p w:rsidR="00262080" w:rsidRPr="000F3E29" w:rsidRDefault="00262080" w:rsidP="00BB7753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4. Z důvodu vyrovnanějšího postavení žen a mužů na trhu práce a slaďování pracovního, soukromého a rodinného života:</w:t>
            </w:r>
          </w:p>
          <w:p w:rsidR="00262080" w:rsidRPr="000F3E29" w:rsidRDefault="00262080" w:rsidP="00BB7753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4/1 Zavádět, rozvíjet, aktivně podporovat a informovat zaměstnance </w:t>
            </w:r>
            <w:r w:rsidR="000E71C9" w:rsidRPr="000F3E29">
              <w:rPr>
                <w:bCs/>
              </w:rPr>
              <w:br/>
            </w:r>
            <w:r w:rsidRPr="000F3E29">
              <w:rPr>
                <w:bCs/>
              </w:rPr>
              <w:t xml:space="preserve">a zaměstnankyně a uchazeče a uchazečky o práci o možnostech využívání flexibilních pracovních úvazků, sledovat </w:t>
            </w:r>
            <w:r w:rsidRPr="000F3E29">
              <w:rPr>
                <w:bCs/>
              </w:rPr>
              <w:lastRenderedPageBreak/>
              <w:t>a vést anonymizované statistiky výše platů zaměstnanců a zaměstnankyň v jednotlivých platových třídách dle pohlaví a zajišťovat platovou transparentnost.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262080" w:rsidRPr="000F3E29" w:rsidRDefault="00262080" w:rsidP="00C05C20">
            <w:pPr>
              <w:spacing w:before="120" w:after="120"/>
              <w:rPr>
                <w:bCs/>
              </w:rPr>
            </w:pPr>
          </w:p>
          <w:p w:rsidR="00262080" w:rsidRPr="000F3E29" w:rsidRDefault="00262080" w:rsidP="00C05C20">
            <w:pPr>
              <w:spacing w:before="120" w:after="120"/>
              <w:rPr>
                <w:bCs/>
              </w:rPr>
            </w:pPr>
          </w:p>
          <w:p w:rsidR="00262080" w:rsidRPr="000F3E29" w:rsidRDefault="00262080" w:rsidP="00C05C20">
            <w:pPr>
              <w:spacing w:before="120" w:after="120"/>
              <w:rPr>
                <w:bCs/>
              </w:rPr>
            </w:pPr>
          </w:p>
          <w:p w:rsidR="00262080" w:rsidRPr="000F3E29" w:rsidRDefault="00262080" w:rsidP="00B435B5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Počet a účinnost konkrétních opatření, druhy a formy nabízených flexibilních pracovních </w:t>
            </w:r>
            <w:r w:rsidRPr="000F3E29">
              <w:rPr>
                <w:bCs/>
              </w:rPr>
              <w:lastRenderedPageBreak/>
              <w:t>úvazků, tabulka podílu osob pracujících na flexibilní pracovní úvazek, vyhodnocení statistických údajů anonymizovaných statistik, zejména s ohledem na rozdíl v odměňování žen a mužů.</w:t>
            </w:r>
          </w:p>
        </w:tc>
        <w:tc>
          <w:tcPr>
            <w:tcW w:w="4961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Umožnit využívání flexibilních pracovních úvazků v práci MŠMT</w:t>
            </w:r>
            <w:r w:rsidR="000F623B" w:rsidRPr="000F3E29">
              <w:rPr>
                <w:bCs/>
              </w:rPr>
              <w:t>,</w:t>
            </w:r>
            <w:r w:rsidRPr="000F3E29">
              <w:rPr>
                <w:bCs/>
              </w:rPr>
              <w:t xml:space="preserve"> </w:t>
            </w:r>
            <w:r w:rsidR="000F623B" w:rsidRPr="000F3E29">
              <w:rPr>
                <w:bCs/>
              </w:rPr>
              <w:t xml:space="preserve">škol, školských zařízení a dalších školských institucí </w:t>
            </w:r>
            <w:r w:rsidRPr="000F3E29">
              <w:rPr>
                <w:bCs/>
              </w:rPr>
              <w:t>a vyhodnotit opatření pro slaďování pracovního, soukromého a rodinného života na MŠMT</w:t>
            </w:r>
            <w:r w:rsidR="000F623B" w:rsidRPr="000F3E29">
              <w:rPr>
                <w:bCs/>
              </w:rPr>
              <w:t xml:space="preserve"> a rámci resortu</w:t>
            </w:r>
            <w:r w:rsidRPr="000F3E29">
              <w:rPr>
                <w:bCs/>
              </w:rPr>
              <w:t xml:space="preserve">, zjistit počet a </w:t>
            </w:r>
            <w:r w:rsidRPr="000F3E29">
              <w:rPr>
                <w:bCs/>
              </w:rPr>
              <w:lastRenderedPageBreak/>
              <w:t>účinnost konkrétních opatření, druhů a forem nabízených flexibilních pracovních úvazků, vyhodnotit statistické údaje.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559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O 60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31. 12. 2013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</w:tr>
      <w:tr w:rsidR="00262080" w:rsidRPr="006036BA" w:rsidTr="000F3E29">
        <w:tc>
          <w:tcPr>
            <w:tcW w:w="3936" w:type="dxa"/>
            <w:shd w:val="clear" w:color="auto" w:fill="auto"/>
          </w:tcPr>
          <w:p w:rsidR="00262080" w:rsidRPr="000F3E29" w:rsidRDefault="00262080" w:rsidP="005F45FB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lastRenderedPageBreak/>
              <w:t xml:space="preserve">4/2 V návaznosti na programové prohlášení vlády samostatně nebo ve spolupráci více rezortů usilovat </w:t>
            </w:r>
            <w:r w:rsidR="000E71C9" w:rsidRPr="000F3E29">
              <w:rPr>
                <w:bCs/>
              </w:rPr>
              <w:br/>
            </w:r>
            <w:r w:rsidRPr="000F3E29">
              <w:rPr>
                <w:bCs/>
              </w:rPr>
              <w:t xml:space="preserve">o rozšíření možností péče o děti předškolního věku pro své zaměstnance </w:t>
            </w:r>
            <w:r w:rsidR="000E71C9" w:rsidRPr="000F3E29">
              <w:rPr>
                <w:bCs/>
              </w:rPr>
              <w:br/>
            </w:r>
            <w:r w:rsidRPr="000F3E29">
              <w:rPr>
                <w:bCs/>
              </w:rPr>
              <w:t>a zaměstnankyně</w:t>
            </w:r>
            <w:r w:rsidR="005F45FB" w:rsidRPr="000F3E29">
              <w:rPr>
                <w:bCs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62080" w:rsidRPr="000F3E29" w:rsidRDefault="00262080" w:rsidP="00BB7753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Popis kroků učiněných při přípravě zařízení péče o děti předškolního věku, počet a věkové rozvrstvení dětí, které toto zařízení navštěvují. 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4961" w:type="dxa"/>
            <w:shd w:val="clear" w:color="auto" w:fill="F5FEC6"/>
          </w:tcPr>
          <w:p w:rsidR="00262080" w:rsidRPr="000F3E29" w:rsidRDefault="00262080" w:rsidP="005F45FB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Zvážit možnost zřízení firemního předškolního zařízení pro děti zaměstnankyň </w:t>
            </w:r>
            <w:r w:rsidR="000E71C9" w:rsidRPr="000F3E29">
              <w:rPr>
                <w:bCs/>
              </w:rPr>
              <w:t xml:space="preserve">a zaměstnanců </w:t>
            </w:r>
            <w:r w:rsidRPr="000F3E29">
              <w:rPr>
                <w:bCs/>
              </w:rPr>
              <w:t>MŠMT a zhodnotit kroky učiněné při přípravě zařízení péče o děti předškolního věku na MŠMT.</w:t>
            </w:r>
          </w:p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  <w:tc>
          <w:tcPr>
            <w:tcW w:w="1559" w:type="dxa"/>
            <w:shd w:val="clear" w:color="auto" w:fill="F5FEC6"/>
          </w:tcPr>
          <w:p w:rsidR="00262080" w:rsidRPr="000F3E29" w:rsidRDefault="00262080" w:rsidP="006036BA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 xml:space="preserve">Sekce I/1, </w:t>
            </w:r>
            <w:r w:rsidRPr="000F3E29">
              <w:rPr>
                <w:bCs/>
              </w:rPr>
              <w:br/>
              <w:t>O 60, O 210,</w:t>
            </w:r>
            <w:r w:rsidRPr="000F3E29">
              <w:rPr>
                <w:bCs/>
              </w:rPr>
              <w:br/>
              <w:t>O 200</w:t>
            </w:r>
          </w:p>
        </w:tc>
        <w:tc>
          <w:tcPr>
            <w:tcW w:w="1420" w:type="dxa"/>
            <w:shd w:val="clear" w:color="auto" w:fill="F1FABE"/>
          </w:tcPr>
          <w:p w:rsidR="00262080" w:rsidRPr="006036BA" w:rsidRDefault="00262080" w:rsidP="00BB7753">
            <w:pPr>
              <w:spacing w:before="120" w:after="120"/>
              <w:jc w:val="both"/>
              <w:rPr>
                <w:bCs/>
              </w:rPr>
            </w:pPr>
            <w:r w:rsidRPr="000F3E29">
              <w:rPr>
                <w:bCs/>
              </w:rPr>
              <w:t>31. 12. 2013</w:t>
            </w:r>
          </w:p>
          <w:p w:rsidR="00262080" w:rsidRPr="006036BA" w:rsidRDefault="00262080" w:rsidP="006036BA">
            <w:pPr>
              <w:spacing w:before="120" w:after="120"/>
              <w:jc w:val="both"/>
              <w:rPr>
                <w:bCs/>
              </w:rPr>
            </w:pPr>
          </w:p>
        </w:tc>
      </w:tr>
    </w:tbl>
    <w:p w:rsidR="00262080" w:rsidRPr="006036BA" w:rsidRDefault="00262080" w:rsidP="006036BA">
      <w:pPr>
        <w:spacing w:before="120" w:after="120"/>
        <w:jc w:val="both"/>
        <w:rPr>
          <w:bCs/>
        </w:rPr>
      </w:pPr>
    </w:p>
    <w:p w:rsidR="005354A6" w:rsidRPr="006036BA" w:rsidRDefault="005354A6" w:rsidP="006036BA">
      <w:pPr>
        <w:spacing w:before="120" w:after="120"/>
        <w:jc w:val="both"/>
        <w:rPr>
          <w:bCs/>
        </w:rPr>
      </w:pPr>
    </w:p>
    <w:sectPr w:rsidR="005354A6" w:rsidRPr="006036BA" w:rsidSect="00BB775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95" w:rsidRDefault="00454195" w:rsidP="00262080">
      <w:r>
        <w:separator/>
      </w:r>
    </w:p>
  </w:endnote>
  <w:endnote w:type="continuationSeparator" w:id="0">
    <w:p w:rsidR="00454195" w:rsidRDefault="00454195" w:rsidP="0026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080" w:rsidRDefault="00FF12C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8A7">
      <w:rPr>
        <w:noProof/>
      </w:rPr>
      <w:t>1</w:t>
    </w:r>
    <w:r>
      <w:rPr>
        <w:noProof/>
      </w:rPr>
      <w:fldChar w:fldCharType="end"/>
    </w:r>
  </w:p>
  <w:p w:rsidR="00BB7753" w:rsidRDefault="00BB77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95" w:rsidRDefault="00454195" w:rsidP="00262080">
      <w:r>
        <w:separator/>
      </w:r>
    </w:p>
  </w:footnote>
  <w:footnote w:type="continuationSeparator" w:id="0">
    <w:p w:rsidR="00454195" w:rsidRDefault="00454195" w:rsidP="0026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6DCB"/>
    <w:multiLevelType w:val="hybridMultilevel"/>
    <w:tmpl w:val="DCE60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7FEC"/>
    <w:multiLevelType w:val="hybridMultilevel"/>
    <w:tmpl w:val="30A21D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8677C"/>
    <w:multiLevelType w:val="hybridMultilevel"/>
    <w:tmpl w:val="30A21D94"/>
    <w:lvl w:ilvl="0" w:tplc="04050017">
      <w:start w:val="1"/>
      <w:numFmt w:val="lowerLetter"/>
      <w:lvlText w:val="%1)"/>
      <w:lvlJc w:val="left"/>
      <w:pPr>
        <w:ind w:left="6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80"/>
    <w:rsid w:val="000762F3"/>
    <w:rsid w:val="00080BDA"/>
    <w:rsid w:val="000E71C9"/>
    <w:rsid w:val="000F3E29"/>
    <w:rsid w:val="000F623B"/>
    <w:rsid w:val="000F6CCF"/>
    <w:rsid w:val="00112C85"/>
    <w:rsid w:val="00173D41"/>
    <w:rsid w:val="001B1DB0"/>
    <w:rsid w:val="002357B8"/>
    <w:rsid w:val="00255DBC"/>
    <w:rsid w:val="00262080"/>
    <w:rsid w:val="00265B11"/>
    <w:rsid w:val="00275843"/>
    <w:rsid w:val="003025B0"/>
    <w:rsid w:val="00367C90"/>
    <w:rsid w:val="00390266"/>
    <w:rsid w:val="00414A29"/>
    <w:rsid w:val="00423C3E"/>
    <w:rsid w:val="00434B39"/>
    <w:rsid w:val="00454195"/>
    <w:rsid w:val="00485307"/>
    <w:rsid w:val="004D5B8C"/>
    <w:rsid w:val="005354A6"/>
    <w:rsid w:val="005D78A7"/>
    <w:rsid w:val="005F45FB"/>
    <w:rsid w:val="006036BA"/>
    <w:rsid w:val="0065741B"/>
    <w:rsid w:val="00666044"/>
    <w:rsid w:val="006A2845"/>
    <w:rsid w:val="006E6590"/>
    <w:rsid w:val="008823E5"/>
    <w:rsid w:val="00903654"/>
    <w:rsid w:val="00977884"/>
    <w:rsid w:val="00A111FC"/>
    <w:rsid w:val="00A72B17"/>
    <w:rsid w:val="00B12A78"/>
    <w:rsid w:val="00B3069A"/>
    <w:rsid w:val="00B37C59"/>
    <w:rsid w:val="00B435B5"/>
    <w:rsid w:val="00B83529"/>
    <w:rsid w:val="00BB147B"/>
    <w:rsid w:val="00BB7753"/>
    <w:rsid w:val="00C05C20"/>
    <w:rsid w:val="00C65494"/>
    <w:rsid w:val="00C654FB"/>
    <w:rsid w:val="00CA36C9"/>
    <w:rsid w:val="00D24893"/>
    <w:rsid w:val="00D848AC"/>
    <w:rsid w:val="00E376BB"/>
    <w:rsid w:val="00E60377"/>
    <w:rsid w:val="00E65148"/>
    <w:rsid w:val="00E839D4"/>
    <w:rsid w:val="00EE1A61"/>
    <w:rsid w:val="00F33FA4"/>
    <w:rsid w:val="00F402C7"/>
    <w:rsid w:val="00FA2107"/>
    <w:rsid w:val="00FD3807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080"/>
    <w:rPr>
      <w:rFonts w:ascii="Times New Roman" w:hAnsi="Times New Roman"/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262080"/>
    <w:pPr>
      <w:spacing w:before="100" w:beforeAutospacing="1" w:after="100" w:afterAutospacing="1"/>
      <w:outlineLvl w:val="3"/>
    </w:pPr>
    <w:rPr>
      <w:rFonts w:ascii="Verdana" w:eastAsia="Arial Unicode MS" w:hAnsi="Verdana" w:cs="Arial Unicode MS"/>
      <w:b/>
      <w:bCs/>
      <w:color w:val="00000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62080"/>
    <w:rPr>
      <w:rFonts w:ascii="Verdana" w:eastAsia="Arial Unicode MS" w:hAnsi="Verdana" w:cs="Arial Unicode MS"/>
      <w:b/>
      <w:bCs/>
      <w:color w:val="000000"/>
      <w:sz w:val="27"/>
      <w:szCs w:val="27"/>
      <w:lang w:eastAsia="cs-CZ"/>
    </w:rPr>
  </w:style>
  <w:style w:type="paragraph" w:styleId="Zkladntextodsazen">
    <w:name w:val="Body Text Indent"/>
    <w:basedOn w:val="Normln"/>
    <w:link w:val="ZkladntextodsazenChar"/>
    <w:rsid w:val="00262080"/>
    <w:pPr>
      <w:tabs>
        <w:tab w:val="right" w:pos="9072"/>
      </w:tabs>
      <w:ind w:left="851" w:hanging="851"/>
      <w:jc w:val="center"/>
    </w:pPr>
    <w:rPr>
      <w:rFonts w:eastAsia="Times New Roman"/>
      <w:b/>
      <w:bCs/>
      <w:i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2080"/>
    <w:rPr>
      <w:rFonts w:ascii="Times New Roman" w:eastAsia="Times New Roman" w:hAnsi="Times New Roman" w:cs="Times New Roman"/>
      <w:b/>
      <w:bCs/>
      <w:i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080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26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080"/>
    <w:rPr>
      <w:rFonts w:ascii="Times New Roman" w:eastAsia="Calibri" w:hAnsi="Times New Roman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762F3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62F3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080"/>
    <w:rPr>
      <w:rFonts w:ascii="Times New Roman" w:hAnsi="Times New Roman"/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262080"/>
    <w:pPr>
      <w:spacing w:before="100" w:beforeAutospacing="1" w:after="100" w:afterAutospacing="1"/>
      <w:outlineLvl w:val="3"/>
    </w:pPr>
    <w:rPr>
      <w:rFonts w:ascii="Verdana" w:eastAsia="Arial Unicode MS" w:hAnsi="Verdana" w:cs="Arial Unicode MS"/>
      <w:b/>
      <w:bCs/>
      <w:color w:val="00000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62080"/>
    <w:rPr>
      <w:rFonts w:ascii="Verdana" w:eastAsia="Arial Unicode MS" w:hAnsi="Verdana" w:cs="Arial Unicode MS"/>
      <w:b/>
      <w:bCs/>
      <w:color w:val="000000"/>
      <w:sz w:val="27"/>
      <w:szCs w:val="27"/>
      <w:lang w:eastAsia="cs-CZ"/>
    </w:rPr>
  </w:style>
  <w:style w:type="paragraph" w:styleId="Zkladntextodsazen">
    <w:name w:val="Body Text Indent"/>
    <w:basedOn w:val="Normln"/>
    <w:link w:val="ZkladntextodsazenChar"/>
    <w:rsid w:val="00262080"/>
    <w:pPr>
      <w:tabs>
        <w:tab w:val="right" w:pos="9072"/>
      </w:tabs>
      <w:ind w:left="851" w:hanging="851"/>
      <w:jc w:val="center"/>
    </w:pPr>
    <w:rPr>
      <w:rFonts w:eastAsia="Times New Roman"/>
      <w:b/>
      <w:bCs/>
      <w:i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2080"/>
    <w:rPr>
      <w:rFonts w:ascii="Times New Roman" w:eastAsia="Times New Roman" w:hAnsi="Times New Roman" w:cs="Times New Roman"/>
      <w:b/>
      <w:bCs/>
      <w:i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2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080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26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080"/>
    <w:rPr>
      <w:rFonts w:ascii="Times New Roman" w:eastAsia="Calibri" w:hAnsi="Times New Roman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762F3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762F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frydova</dc:creator>
  <cp:lastModifiedBy>Frýdová Hana</cp:lastModifiedBy>
  <cp:revision>2</cp:revision>
  <cp:lastPrinted>2013-01-29T17:13:00Z</cp:lastPrinted>
  <dcterms:created xsi:type="dcterms:W3CDTF">2013-09-24T08:58:00Z</dcterms:created>
  <dcterms:modified xsi:type="dcterms:W3CDTF">2013-09-24T08:58:00Z</dcterms:modified>
</cp:coreProperties>
</file>