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E9F" w:rsidRDefault="006C1E9F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6C3F77" w:rsidRPr="008174A0" w:rsidRDefault="006C3F77" w:rsidP="006C3F77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50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63"/>
        <w:gridCol w:w="6045"/>
      </w:tblGrid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</w:tcPr>
          <w:p w:rsidR="006C1E9F" w:rsidRPr="00A57506" w:rsidRDefault="00D1595E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1595E">
              <w:rPr>
                <w:rFonts w:ascii="Arial Narrow" w:hAnsi="Arial Narrow"/>
                <w:sz w:val="22"/>
                <w:szCs w:val="22"/>
              </w:rPr>
              <w:t>C131182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</w:tcPr>
          <w:p w:rsidR="006C1E9F" w:rsidRPr="00A57506" w:rsidRDefault="006C1E9F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 w:rsidRPr="00A57506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EB2130" w:rsidP="00EB21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číslo</w:t>
            </w:r>
            <w:r w:rsidR="00056BC6" w:rsidRPr="00835909">
              <w:rPr>
                <w:rFonts w:ascii="Arial Narrow" w:hAnsi="Arial Narrow"/>
                <w:b/>
                <w:sz w:val="22"/>
                <w:szCs w:val="22"/>
              </w:rPr>
              <w:t xml:space="preserve"> projekt</w:t>
            </w:r>
            <w:r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6045" w:type="dxa"/>
            <w:vAlign w:val="center"/>
          </w:tcPr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IGA 56/2013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CZ.1.07/2.4.00/31.0157 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CZ.1.07/2.4.00/31.0214 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Inovace předmětů Vinohradnictví, Zahradnictví, Pěstování ovoce a zeleniny, Zelinářství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414/2108</w:t>
            </w:r>
          </w:p>
          <w:p w:rsidR="00540832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CZ.1.07/2.3.00/20.0269 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DF13P01OVV005 NAKI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CZ.1.07/2.2.00/28.0302 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540832">
              <w:rPr>
                <w:bCs/>
                <w:sz w:val="22"/>
                <w:szCs w:val="22"/>
                <w:lang w:eastAsia="cs-CZ"/>
              </w:rPr>
              <w:t xml:space="preserve">CZ 1.07/2.2.00/0018 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FR1130081</w:t>
            </w:r>
          </w:p>
          <w:p w:rsidR="00345E17" w:rsidRPr="00540832" w:rsidRDefault="00345E17" w:rsidP="00345E17">
            <w:pPr>
              <w:pStyle w:val="Odstavecseseznamem"/>
              <w:numPr>
                <w:ilvl w:val="0"/>
                <w:numId w:val="5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Provozní prostředky jednotlivých ústavů a vlastní prostředky zadavatele</w:t>
            </w:r>
          </w:p>
          <w:p w:rsidR="00D16BD8" w:rsidRPr="007A0609" w:rsidRDefault="00D16BD8" w:rsidP="00345E17">
            <w:pPr>
              <w:suppressAutoHyphens w:val="0"/>
              <w:ind w:left="360"/>
              <w:rPr>
                <w:sz w:val="22"/>
                <w:szCs w:val="22"/>
              </w:rPr>
            </w:pPr>
          </w:p>
          <w:p w:rsidR="004E450D" w:rsidRPr="00756608" w:rsidRDefault="004E450D" w:rsidP="0009108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056BC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vAlign w:val="center"/>
          </w:tcPr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IGA 56/2013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Partnerství subjektů meziuniverzitní studentské sítě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Platforma pro studium a inventarizaci lesních ekosystémů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Inovace předmětů Vinohradnictví, Zahradnictví, Pěstování ovoce a zeleniny, Zelinářství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414/2108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Vytvoření mezinárodního vědecko-výzkumného týmu pro vývoj nových materiálů na bázi dřeva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NAKI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</w:pPr>
            <w:r w:rsidRPr="00540832">
              <w:t>Inovace studijních programů AF a ZF MENDELU směřující k vytvoření mezioborové integrace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540832">
              <w:rPr>
                <w:bCs/>
                <w:lang w:eastAsia="cs-CZ"/>
              </w:rPr>
              <w:t>Inovace biologických a lesnických disciplín pro vyšší konkurenceschopnost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contextualSpacing/>
            </w:pPr>
            <w:r w:rsidRPr="00540832">
              <w:t>FR1130081</w:t>
            </w:r>
          </w:p>
          <w:p w:rsidR="00FF61BD" w:rsidRPr="00540832" w:rsidRDefault="00FF61BD" w:rsidP="00FF61BD">
            <w:pPr>
              <w:pStyle w:val="Odstavecseseznamem"/>
              <w:numPr>
                <w:ilvl w:val="0"/>
                <w:numId w:val="10"/>
              </w:numPr>
              <w:suppressAutoHyphens w:val="0"/>
              <w:contextualSpacing/>
            </w:pPr>
            <w:r w:rsidRPr="00540832">
              <w:t>Provozní prostředky jednotlivých ústavů a vlastní prostředky zadavatele</w:t>
            </w:r>
          </w:p>
          <w:p w:rsidR="00D16BD8" w:rsidRPr="00243280" w:rsidRDefault="00D16BD8" w:rsidP="00D16BD8">
            <w:pPr>
              <w:suppressAutoHyphens w:val="0"/>
              <w:ind w:left="720"/>
              <w:jc w:val="both"/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</w:tcPr>
          <w:p w:rsidR="006C1E9F" w:rsidRPr="00A57506" w:rsidRDefault="00243280" w:rsidP="00FB7493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Dodávka audio-vizuálního vybavení</w:t>
            </w:r>
            <w:r w:rsidR="001B028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– rozděleno na části 1-2</w:t>
            </w:r>
            <w:r w:rsidR="00FB749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Předmět zakázky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Pr="00A57506" w:rsidRDefault="00156744" w:rsidP="00774FCD">
            <w:pPr>
              <w:snapToGrid w:val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lastRenderedPageBreak/>
              <w:t>dodávka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Datum vyhlášení zakázky:</w:t>
            </w:r>
          </w:p>
        </w:tc>
        <w:tc>
          <w:tcPr>
            <w:tcW w:w="6045" w:type="dxa"/>
          </w:tcPr>
          <w:p w:rsidR="006C1E9F" w:rsidRPr="00A57506" w:rsidRDefault="008008C1" w:rsidP="008008C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121B9A">
              <w:rPr>
                <w:rFonts w:ascii="Arial Narrow" w:hAnsi="Arial Narrow"/>
                <w:sz w:val="22"/>
                <w:szCs w:val="22"/>
              </w:rPr>
              <w:t>.</w:t>
            </w:r>
            <w:r w:rsidR="0024328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121B9A">
              <w:rPr>
                <w:rFonts w:ascii="Arial Narrow" w:hAnsi="Arial Narrow"/>
                <w:sz w:val="22"/>
                <w:szCs w:val="22"/>
              </w:rPr>
              <w:t xml:space="preserve">. 2013 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Mendelova univerzita v Brně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Zemědělská 1665/1,  613 00 Brno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Prof. Ing. Jaroslav Hlušek, CSc. - Rektor</w:t>
            </w:r>
          </w:p>
          <w:p w:rsidR="00243280" w:rsidRPr="00B9080D" w:rsidRDefault="00243280" w:rsidP="00B246D0">
            <w:pPr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Tel.: +420 545 135 004</w:t>
            </w:r>
          </w:p>
          <w:p w:rsidR="00243280" w:rsidRPr="00B9080D" w:rsidRDefault="00243280" w:rsidP="00B246D0">
            <w:pPr>
              <w:tabs>
                <w:tab w:val="center" w:pos="6120"/>
              </w:tabs>
              <w:jc w:val="both"/>
              <w:rPr>
                <w:color w:val="000000"/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E-mail: rektor@mendelu.cz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</w:tcPr>
          <w:p w:rsidR="00243280" w:rsidRPr="00B9080D" w:rsidRDefault="00243280" w:rsidP="00633ECA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621564</w:t>
            </w:r>
            <w:r w:rsidR="00633EC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</w:tcPr>
          <w:p w:rsidR="00243280" w:rsidRPr="00B9080D" w:rsidRDefault="00243280" w:rsidP="00633ECA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CZ621564</w:t>
            </w:r>
            <w:r w:rsidR="00633EC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Ing. Miroslav Haman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Mendelova univerzita v Brně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veřejných zakázek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Zemědělská 1, 613 00 Brno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 xml:space="preserve">tel.: +420545135195, 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email: Miroslav.haman@mendelu.cz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</w:tcPr>
          <w:p w:rsidR="00243280" w:rsidRPr="00540832" w:rsidRDefault="00243280" w:rsidP="00243280">
            <w:pPr>
              <w:rPr>
                <w:sz w:val="22"/>
                <w:szCs w:val="22"/>
                <w:u w:val="single"/>
              </w:rPr>
            </w:pPr>
            <w:r w:rsidRPr="00540832">
              <w:rPr>
                <w:sz w:val="22"/>
                <w:szCs w:val="22"/>
                <w:u w:val="single"/>
              </w:rPr>
              <w:t xml:space="preserve">Zahájení příjmu: </w:t>
            </w:r>
            <w:r w:rsidR="003C3E13">
              <w:rPr>
                <w:sz w:val="22"/>
                <w:szCs w:val="22"/>
                <w:u w:val="single"/>
              </w:rPr>
              <w:t>2</w:t>
            </w:r>
            <w:r w:rsidRPr="00540832">
              <w:rPr>
                <w:sz w:val="22"/>
                <w:szCs w:val="22"/>
                <w:u w:val="single"/>
              </w:rPr>
              <w:t>.</w:t>
            </w:r>
            <w:r w:rsidR="00540832" w:rsidRPr="00540832">
              <w:rPr>
                <w:sz w:val="22"/>
                <w:szCs w:val="22"/>
                <w:u w:val="single"/>
              </w:rPr>
              <w:t>10</w:t>
            </w:r>
            <w:r w:rsidRPr="00540832">
              <w:rPr>
                <w:sz w:val="22"/>
                <w:szCs w:val="22"/>
                <w:u w:val="single"/>
              </w:rPr>
              <w:t>.2013 od 7:00</w:t>
            </w:r>
          </w:p>
          <w:p w:rsidR="00243280" w:rsidRPr="00540832" w:rsidRDefault="00243280" w:rsidP="00243280">
            <w:pPr>
              <w:snapToGrid w:val="0"/>
              <w:rPr>
                <w:sz w:val="22"/>
                <w:szCs w:val="22"/>
                <w:u w:val="single"/>
              </w:rPr>
            </w:pPr>
            <w:r w:rsidRPr="00540832">
              <w:rPr>
                <w:sz w:val="22"/>
                <w:szCs w:val="22"/>
                <w:u w:val="single"/>
              </w:rPr>
              <w:t xml:space="preserve">Ukončení příjmu: </w:t>
            </w:r>
            <w:r w:rsidR="00540832" w:rsidRPr="00540832">
              <w:rPr>
                <w:sz w:val="22"/>
                <w:szCs w:val="22"/>
                <w:u w:val="single"/>
              </w:rPr>
              <w:t>1</w:t>
            </w:r>
            <w:r w:rsidR="003C3E13">
              <w:rPr>
                <w:sz w:val="22"/>
                <w:szCs w:val="22"/>
                <w:u w:val="single"/>
              </w:rPr>
              <w:t>7</w:t>
            </w:r>
            <w:r w:rsidRPr="00540832">
              <w:rPr>
                <w:sz w:val="22"/>
                <w:szCs w:val="22"/>
                <w:u w:val="single"/>
              </w:rPr>
              <w:t>.</w:t>
            </w:r>
            <w:r w:rsidR="00540832" w:rsidRPr="00540832">
              <w:rPr>
                <w:sz w:val="22"/>
                <w:szCs w:val="22"/>
                <w:u w:val="single"/>
              </w:rPr>
              <w:t>10</w:t>
            </w:r>
            <w:r w:rsidRPr="00540832">
              <w:rPr>
                <w:sz w:val="22"/>
                <w:szCs w:val="22"/>
                <w:u w:val="single"/>
              </w:rPr>
              <w:t>.2013 v 10:00</w:t>
            </w:r>
          </w:p>
          <w:p w:rsidR="00243280" w:rsidRPr="00540832" w:rsidRDefault="00243280" w:rsidP="00243280">
            <w:pPr>
              <w:snapToGrid w:val="0"/>
              <w:rPr>
                <w:sz w:val="22"/>
                <w:szCs w:val="22"/>
              </w:rPr>
            </w:pPr>
          </w:p>
          <w:p w:rsidR="006C1E9F" w:rsidRPr="00540832" w:rsidRDefault="006C1E9F" w:rsidP="00EC6F1C">
            <w:pPr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Nabídky doručené po </w:t>
            </w:r>
            <w:r w:rsidR="00EC6F1C" w:rsidRPr="00540832">
              <w:rPr>
                <w:sz w:val="22"/>
                <w:szCs w:val="22"/>
              </w:rPr>
              <w:t>lhůtě pro podání nabídek</w:t>
            </w:r>
            <w:r w:rsidRPr="00540832">
              <w:rPr>
                <w:sz w:val="22"/>
                <w:szCs w:val="22"/>
              </w:rPr>
              <w:t xml:space="preserve"> budou z řízení vyřazeny.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</w:tcPr>
          <w:p w:rsidR="00E56680" w:rsidRPr="00540832" w:rsidRDefault="006C1E9F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  <w:r w:rsidRPr="00540832">
              <w:rPr>
                <w:rFonts w:ascii="Times New Roman" w:hAnsi="Times New Roman" w:cs="Times New Roman"/>
                <w:lang w:val="cs-CZ"/>
              </w:rPr>
              <w:t xml:space="preserve">Předmětem této veřejné zakázky je 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>dodávka</w:t>
            </w:r>
            <w:r w:rsidR="00B938DE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různých audio-vizuálních zařízení pro plnění potřeb jednotlivých projektů a běžné činnosti zadavatele.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P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>řesn</w:t>
            </w:r>
            <w:r w:rsidR="00FB7493">
              <w:rPr>
                <w:rFonts w:ascii="Times New Roman" w:hAnsi="Times New Roman" w:cs="Times New Roman"/>
                <w:lang w:val="cs-CZ"/>
              </w:rPr>
              <w:t>é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E879DD" w:rsidRPr="00540832">
              <w:rPr>
                <w:rFonts w:ascii="Times New Roman" w:hAnsi="Times New Roman" w:cs="Times New Roman"/>
                <w:lang w:val="cs-CZ"/>
              </w:rPr>
              <w:t>technické podmínky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FB7493">
              <w:rPr>
                <w:rFonts w:ascii="Times New Roman" w:hAnsi="Times New Roman" w:cs="Times New Roman"/>
                <w:lang w:val="cs-CZ"/>
              </w:rPr>
              <w:t>jsou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uveden</w:t>
            </w:r>
            <w:r w:rsidR="00FB7493">
              <w:rPr>
                <w:rFonts w:ascii="Times New Roman" w:hAnsi="Times New Roman" w:cs="Times New Roman"/>
                <w:lang w:val="cs-CZ"/>
              </w:rPr>
              <w:t>y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v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 xml:space="preserve"> jednotlivých přílohách, 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>kter</w:t>
            </w:r>
            <w:r w:rsidR="006E3AA2" w:rsidRPr="00540832">
              <w:rPr>
                <w:rFonts w:ascii="Times New Roman" w:hAnsi="Times New Roman" w:cs="Times New Roman"/>
                <w:lang w:val="cs-CZ"/>
              </w:rPr>
              <w:t>á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tvoří příloh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y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č.1 – č.2</w:t>
            </w:r>
            <w:r w:rsidR="00FB7493">
              <w:rPr>
                <w:rFonts w:ascii="Times New Roman" w:hAnsi="Times New Roman" w:cs="Times New Roman"/>
                <w:lang w:val="cs-CZ"/>
              </w:rPr>
              <w:t>5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této zadávací dokumentace.</w:t>
            </w:r>
          </w:p>
          <w:p w:rsidR="00243280" w:rsidRPr="00540832" w:rsidRDefault="00243280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</w:p>
          <w:p w:rsidR="00243280" w:rsidRPr="00540832" w:rsidRDefault="00243280" w:rsidP="002432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>Dodávka je rozdělena do 2</w:t>
            </w:r>
            <w:r w:rsidR="0093299F">
              <w:rPr>
                <w:sz w:val="22"/>
                <w:szCs w:val="22"/>
              </w:rPr>
              <w:t>5</w:t>
            </w:r>
            <w:r w:rsidRPr="00540832">
              <w:rPr>
                <w:sz w:val="22"/>
                <w:szCs w:val="22"/>
              </w:rPr>
              <w:t xml:space="preserve"> částí podle požadavků jednotlivých projektů.</w:t>
            </w:r>
          </w:p>
          <w:p w:rsidR="00243280" w:rsidRPr="00540832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p w:rsidR="00243280" w:rsidRPr="00540832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540832">
              <w:rPr>
                <w:rFonts w:ascii="Times New Roman" w:hAnsi="Times New Roman" w:cs="Times New Roman"/>
                <w:color w:val="000000"/>
                <w:lang w:val="cs-CZ"/>
              </w:rPr>
              <w:t>Jednotlivé části jsou vymezeny technickými pož</w:t>
            </w:r>
            <w:r w:rsidR="00757EEF">
              <w:rPr>
                <w:rFonts w:ascii="Times New Roman" w:hAnsi="Times New Roman" w:cs="Times New Roman"/>
                <w:color w:val="000000"/>
                <w:lang w:val="cs-CZ"/>
              </w:rPr>
              <w:t>adavky u</w:t>
            </w:r>
            <w:r w:rsidR="00540832">
              <w:rPr>
                <w:rFonts w:ascii="Times New Roman" w:hAnsi="Times New Roman" w:cs="Times New Roman"/>
                <w:color w:val="000000"/>
                <w:lang w:val="cs-CZ"/>
              </w:rPr>
              <w:t>vedenými v přílohách 1</w:t>
            </w:r>
            <w:r w:rsidRPr="00540832">
              <w:rPr>
                <w:rFonts w:ascii="Times New Roman" w:hAnsi="Times New Roman" w:cs="Times New Roman"/>
                <w:color w:val="000000"/>
                <w:lang w:val="cs-CZ"/>
              </w:rPr>
              <w:t>-2</w:t>
            </w:r>
            <w:r w:rsidR="0093299F">
              <w:rPr>
                <w:rFonts w:ascii="Times New Roman" w:hAnsi="Times New Roman" w:cs="Times New Roman"/>
                <w:color w:val="000000"/>
                <w:lang w:val="cs-CZ"/>
              </w:rPr>
              <w:t>5</w:t>
            </w:r>
            <w:r w:rsidRPr="00540832">
              <w:rPr>
                <w:rFonts w:ascii="Times New Roman" w:hAnsi="Times New Roman" w:cs="Times New Roman"/>
                <w:color w:val="000000"/>
                <w:lang w:val="cs-CZ"/>
              </w:rPr>
              <w:t>.</w:t>
            </w:r>
          </w:p>
          <w:p w:rsidR="00243280" w:rsidRPr="00540832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p w:rsidR="00243280" w:rsidRPr="00540832" w:rsidRDefault="00243280" w:rsidP="002432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40832">
              <w:rPr>
                <w:rFonts w:eastAsia="Calibri"/>
                <w:b/>
                <w:sz w:val="22"/>
                <w:szCs w:val="22"/>
              </w:rPr>
              <w:t>Uchazeč může podat nabídku na jednu každou samostatnou část, na více částí nebo na všechny části veřejné zakázky, podle schopnosti splnění požadavků zadavatele uvedených v zadávací dokumentaci. Každá část veřejné zakázky může mít tedy vybraného jiného dodavatele.</w:t>
            </w:r>
          </w:p>
          <w:p w:rsidR="00243280" w:rsidRPr="00540832" w:rsidRDefault="00243280" w:rsidP="002432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243280" w:rsidRPr="00540832" w:rsidRDefault="00243280" w:rsidP="00243280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  <w:r w:rsidRPr="00540832">
              <w:rPr>
                <w:rFonts w:ascii="Times New Roman" w:eastAsia="Calibri" w:hAnsi="Times New Roman" w:cs="Times New Roman"/>
              </w:rPr>
              <w:t>Bez ohledu na to, zda se uchazeč účastní jedné z  částí, více částí,  nebo celé veřejné zakázky, podává vždy jednu nabídku (tj. buď na jednu část, na více částí nebo na celou zakázku).</w:t>
            </w:r>
          </w:p>
          <w:p w:rsidR="006C1E9F" w:rsidRPr="00540832" w:rsidRDefault="006C1E9F" w:rsidP="00504F17">
            <w:pPr>
              <w:tabs>
                <w:tab w:val="left" w:pos="5580"/>
              </w:tabs>
              <w:jc w:val="both"/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Pr="00D84AF1" w:rsidRDefault="00BF178D" w:rsidP="00243280">
            <w:pPr>
              <w:tabs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695 691,63</w:t>
            </w:r>
            <w:r w:rsidR="00243280" w:rsidRPr="00D84AF1">
              <w:rPr>
                <w:sz w:val="22"/>
                <w:szCs w:val="22"/>
              </w:rPr>
              <w:t>,--Kč bez DPH</w:t>
            </w:r>
          </w:p>
          <w:p w:rsidR="00484830" w:rsidRPr="00D84AF1" w:rsidRDefault="00484830" w:rsidP="00243280">
            <w:pPr>
              <w:tabs>
                <w:tab w:val="left" w:pos="5580"/>
              </w:tabs>
              <w:rPr>
                <w:sz w:val="22"/>
                <w:szCs w:val="22"/>
              </w:rPr>
            </w:pP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1: 27 650,-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2: 16 000,-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3: 5 600,-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4: 12 396,69,-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lastRenderedPageBreak/>
              <w:t>Část 5: 23 813,-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6: 28 098,-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7: 22 200,-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8: 18 181,82,-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9: 26 446,-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10: 9 421,50,-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11: 15 000,-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12: 12 000,-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13: 7 266,-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14: 55 371,-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15: 644,70,-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16: 16 528,93,-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17: 29 752,07,-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18: 4 500,-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19: 2 300,-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20: 9 900,-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21: 208 000,-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22: 35 000,-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23: 64 167,37,-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24: 28 925,62,- Kč</w:t>
            </w:r>
          </w:p>
          <w:p w:rsidR="0066544B" w:rsidRPr="0066544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66544B">
              <w:rPr>
                <w:sz w:val="22"/>
                <w:szCs w:val="22"/>
              </w:rPr>
              <w:t>Část 25: 16 528,93,- Kč</w:t>
            </w:r>
          </w:p>
          <w:p w:rsidR="00FB739D" w:rsidRPr="00FB739D" w:rsidRDefault="00FB739D" w:rsidP="00FB739D">
            <w:pPr>
              <w:tabs>
                <w:tab w:val="left" w:pos="5580"/>
              </w:tabs>
              <w:rPr>
                <w:sz w:val="22"/>
                <w:szCs w:val="22"/>
              </w:rPr>
            </w:pPr>
          </w:p>
          <w:p w:rsidR="00FB739D" w:rsidRPr="00D84AF1" w:rsidRDefault="00FB739D" w:rsidP="00272EFF">
            <w:pPr>
              <w:tabs>
                <w:tab w:val="left" w:pos="5580"/>
              </w:tabs>
              <w:rPr>
                <w:sz w:val="22"/>
                <w:szCs w:val="22"/>
              </w:rPr>
            </w:pPr>
          </w:p>
          <w:p w:rsidR="00484830" w:rsidRPr="00A57506" w:rsidRDefault="00484830" w:rsidP="00272EFF">
            <w:pPr>
              <w:tabs>
                <w:tab w:val="left" w:pos="558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</w:tcPr>
          <w:p w:rsidR="006C1E9F" w:rsidRPr="00272EFF" w:rsidRDefault="006C1E9F">
            <w:pPr>
              <w:snapToGrid w:val="0"/>
              <w:jc w:val="both"/>
              <w:rPr>
                <w:sz w:val="22"/>
                <w:szCs w:val="22"/>
              </w:rPr>
            </w:pPr>
            <w:r w:rsidRPr="00272EFF">
              <w:rPr>
                <w:sz w:val="22"/>
                <w:szCs w:val="22"/>
              </w:rPr>
              <w:t>veřejná zakázka malého rozsahu</w:t>
            </w:r>
          </w:p>
          <w:p w:rsidR="00C129EC" w:rsidRPr="00272EFF" w:rsidRDefault="00C129EC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129EC" w:rsidRPr="00272EFF" w:rsidRDefault="00C129EC" w:rsidP="00C129EC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272EFF">
              <w:rPr>
                <w:sz w:val="22"/>
                <w:szCs w:val="22"/>
              </w:rPr>
              <w:t>Jedná se o veřejnou zakázku malého rozsahu dle § 12 odst. 3 zákona č. 137/2006 Sb., o veřejných zakázkách, ve znění pozdějších předpisů (dále jen ZVZ).</w:t>
            </w:r>
          </w:p>
          <w:p w:rsidR="00C129EC" w:rsidRPr="00A57506" w:rsidRDefault="00C129EC" w:rsidP="00C129EC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EFF">
              <w:rPr>
                <w:sz w:val="22"/>
                <w:szCs w:val="22"/>
              </w:rPr>
              <w:t xml:space="preserve">Zadavatel nepostupuje dle ZVZ, nicméně je povinen dodržet zásady dle § 6 ZVZ a pravidla OP VK upravená v příslušných Příručkách pro příjemce finanční podpory z Operačního programu Vzdělávání pro konkurenceschopnost - části </w:t>
            </w:r>
            <w:r w:rsidRPr="00272EFF">
              <w:rPr>
                <w:i/>
                <w:sz w:val="22"/>
                <w:szCs w:val="22"/>
              </w:rPr>
              <w:t>„Postupy pro zadávání zakázek při pořizování zboží, služeb či stavebních prací z prostředků finanční podpory OP VK“</w:t>
            </w:r>
          </w:p>
        </w:tc>
      </w:tr>
      <w:tr w:rsidR="00484830" w:rsidRPr="00835909" w:rsidTr="00484830">
        <w:trPr>
          <w:trHeight w:val="1133"/>
        </w:trPr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</w:tcPr>
          <w:p w:rsidR="00484830" w:rsidRPr="008C7581" w:rsidRDefault="00484830" w:rsidP="005344D2">
            <w:pPr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Zadavatel pro plnění veřejné zakázky stanovil následující termíny:</w:t>
            </w:r>
          </w:p>
          <w:p w:rsidR="00484830" w:rsidRPr="008C7581" w:rsidRDefault="00484830" w:rsidP="005344D2">
            <w:pPr>
              <w:jc w:val="both"/>
              <w:rPr>
                <w:sz w:val="22"/>
                <w:szCs w:val="22"/>
              </w:rPr>
            </w:pPr>
          </w:p>
          <w:p w:rsidR="00484830" w:rsidRPr="008C7581" w:rsidRDefault="00484830" w:rsidP="00C82B5D">
            <w:pPr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Předpokládané zahájení plnění zakázky je ihned po podpisu smlouvy, přepokládané ukončení plnění veřejné zakázky je nejpozději do 30 dnů po podpisu smlouvy.</w:t>
            </w:r>
          </w:p>
          <w:p w:rsidR="00484830" w:rsidRPr="008C7581" w:rsidRDefault="00484830" w:rsidP="00C82B5D">
            <w:pPr>
              <w:jc w:val="both"/>
              <w:rPr>
                <w:sz w:val="22"/>
                <w:szCs w:val="22"/>
              </w:rPr>
            </w:pPr>
          </w:p>
          <w:p w:rsidR="00484830" w:rsidRPr="008C7581" w:rsidRDefault="00484830" w:rsidP="00C82B5D">
            <w:pPr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  <w:p w:rsidR="00484830" w:rsidRPr="00A57506" w:rsidRDefault="00484830" w:rsidP="00C82B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835909" w:rsidTr="00484830">
        <w:trPr>
          <w:trHeight w:val="468"/>
        </w:trPr>
        <w:tc>
          <w:tcPr>
            <w:tcW w:w="3463" w:type="dxa"/>
            <w:shd w:val="clear" w:color="auto" w:fill="FABF8F"/>
          </w:tcPr>
          <w:p w:rsidR="00484830" w:rsidRPr="00835909" w:rsidRDefault="00484830" w:rsidP="00B246D0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</w:tc>
        <w:tc>
          <w:tcPr>
            <w:tcW w:w="6045" w:type="dxa"/>
          </w:tcPr>
          <w:p w:rsidR="00484830" w:rsidRPr="008C7581" w:rsidRDefault="00484830" w:rsidP="00B246D0">
            <w:pPr>
              <w:snapToGrid w:val="0"/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90 dnů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Uchazeči předkládají písemnou nabídku v českém jazyce </w:t>
            </w:r>
            <w:r w:rsidRPr="00DB5D1C">
              <w:rPr>
                <w:sz w:val="22"/>
                <w:szCs w:val="22"/>
              </w:rPr>
              <w:lastRenderedPageBreak/>
              <w:t>v jednom originále v řádně uzavřené obálce, zabezpečené na přelepu proti otevření, a to buď doporučenou zásilkou</w:t>
            </w:r>
            <w:r>
              <w:rPr>
                <w:sz w:val="22"/>
                <w:szCs w:val="22"/>
              </w:rPr>
              <w:t xml:space="preserve"> prostřednictvím držitele poštovní licence</w:t>
            </w:r>
            <w:r w:rsidRPr="00DB5D1C">
              <w:rPr>
                <w:sz w:val="22"/>
                <w:szCs w:val="22"/>
              </w:rPr>
              <w:t>, nebo kurýrní službou nebo osobně na adresu: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Mendelova univerzita v Brně, Rektorát - podatelna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Zemědělská 1665/1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613 00 Brno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k rukám  Ing. Miroslava Hamana.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Úřední hodiny  podatelny: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pracovní dny 7:00 – 8:30 hodin a 12:30 – 14:00</w:t>
            </w:r>
            <w:r>
              <w:rPr>
                <w:sz w:val="22"/>
                <w:szCs w:val="22"/>
              </w:rPr>
              <w:t xml:space="preserve"> hodin.</w:t>
            </w:r>
            <w:r w:rsidRPr="00DB5D1C">
              <w:rPr>
                <w:sz w:val="22"/>
                <w:szCs w:val="22"/>
              </w:rPr>
              <w:t xml:space="preserve"> 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Nabídku doručí uchazeč v písemné podobě v zalepené obálce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B5D1C">
              <w:rPr>
                <w:color w:val="000000"/>
                <w:sz w:val="22"/>
                <w:szCs w:val="22"/>
              </w:rPr>
              <w:t>označené nápisem: „</w:t>
            </w:r>
            <w:r>
              <w:rPr>
                <w:b/>
                <w:sz w:val="22"/>
                <w:szCs w:val="22"/>
              </w:rPr>
              <w:t>Dodávka AV techniky</w:t>
            </w:r>
            <w:r w:rsidRPr="00DB5D1C">
              <w:rPr>
                <w:b/>
                <w:sz w:val="22"/>
                <w:szCs w:val="22"/>
              </w:rPr>
              <w:t xml:space="preserve"> </w:t>
            </w:r>
            <w:r w:rsidRPr="00DB5D1C">
              <w:rPr>
                <w:b/>
                <w:color w:val="000000"/>
                <w:sz w:val="22"/>
                <w:szCs w:val="22"/>
              </w:rPr>
              <w:t>- NEOTVÍRAT“.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vyznačí</w:t>
            </w:r>
            <w:r w:rsidR="00EF097F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 xml:space="preserve"> jakých částí se hodlá účastnit.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DB5D1C">
              <w:rPr>
                <w:color w:val="000000"/>
                <w:sz w:val="22"/>
                <w:szCs w:val="22"/>
              </w:rPr>
              <w:t xml:space="preserve">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Při doručení poštou nebo kurýrní službou rozhoduje datum a čas doručení nabídky.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 obálce bude dále uvedena adresa včetně e-mailové adresy, na kterou je možno poslat oznámení pro potřeby vyrozumění uchazeče. V adrese zadavatele musí být na prvním místě uvedeno jméno kontaktní osoby.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Každý uchazeč může podat pouze jednu nabídku.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Nabídky podané po uplynutí uvedené lhůty nebudou otevřeny a nevyhodnocují se. Využívá-li dodavatel k doručení nabídky třetího subjektu, nese plné riziko včasného a řádného doručení nabídky, a to včetně neporušenosti obálky. Posouzení a následné hodnocení nabídek provede </w:t>
            </w:r>
            <w:r>
              <w:rPr>
                <w:sz w:val="22"/>
                <w:szCs w:val="22"/>
              </w:rPr>
              <w:t>tří</w:t>
            </w:r>
            <w:r w:rsidRPr="00DB5D1C">
              <w:rPr>
                <w:sz w:val="22"/>
                <w:szCs w:val="22"/>
              </w:rPr>
              <w:t>členná hodnotící komise.</w:t>
            </w:r>
          </w:p>
          <w:p w:rsidR="00484830" w:rsidRPr="00A57506" w:rsidRDefault="00484830" w:rsidP="004803C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Otevírání obálek proběhne dne </w:t>
            </w:r>
            <w:r w:rsidR="006A1E2E">
              <w:rPr>
                <w:b/>
                <w:sz w:val="22"/>
                <w:szCs w:val="22"/>
              </w:rPr>
              <w:t>1</w:t>
            </w:r>
            <w:r w:rsidR="004803C4">
              <w:rPr>
                <w:b/>
                <w:sz w:val="22"/>
                <w:szCs w:val="22"/>
              </w:rPr>
              <w:t>7</w:t>
            </w:r>
            <w:r w:rsidRPr="00DB5D1C">
              <w:rPr>
                <w:b/>
                <w:sz w:val="22"/>
                <w:szCs w:val="22"/>
              </w:rPr>
              <w:t xml:space="preserve">. </w:t>
            </w:r>
            <w:r w:rsidR="002E411E">
              <w:rPr>
                <w:b/>
                <w:sz w:val="22"/>
                <w:szCs w:val="22"/>
              </w:rPr>
              <w:t>října</w:t>
            </w:r>
            <w:r>
              <w:rPr>
                <w:b/>
                <w:sz w:val="22"/>
                <w:szCs w:val="22"/>
              </w:rPr>
              <w:t xml:space="preserve"> 2013</w:t>
            </w:r>
            <w:r w:rsidRPr="00DB5D1C">
              <w:rPr>
                <w:b/>
                <w:sz w:val="22"/>
                <w:szCs w:val="22"/>
              </w:rPr>
              <w:t xml:space="preserve"> v 10:</w:t>
            </w:r>
            <w:r w:rsidR="006A1E2E">
              <w:rPr>
                <w:b/>
                <w:sz w:val="22"/>
                <w:szCs w:val="22"/>
              </w:rPr>
              <w:t>00</w:t>
            </w:r>
            <w:r w:rsidRPr="00DB5D1C">
              <w:rPr>
                <w:b/>
                <w:sz w:val="22"/>
                <w:szCs w:val="22"/>
              </w:rPr>
              <w:t xml:space="preserve"> hod. </w:t>
            </w:r>
            <w:r w:rsidRPr="00DB5D1C">
              <w:rPr>
                <w:sz w:val="22"/>
                <w:szCs w:val="22"/>
              </w:rPr>
              <w:t>(Odbor vědy a výzkumu Mendelu, 1.NP budovy E č.d. 2020)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EF097F" w:rsidRDefault="00484830" w:rsidP="00243280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EF097F">
              <w:rPr>
                <w:b/>
                <w:sz w:val="22"/>
                <w:szCs w:val="22"/>
              </w:rPr>
              <w:t>Nejnižší nabídková cena včetně DPH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6A1E2E" w:rsidRDefault="00484830">
            <w:pPr>
              <w:snapToGrid w:val="0"/>
              <w:rPr>
                <w:color w:val="000000"/>
                <w:sz w:val="22"/>
                <w:szCs w:val="22"/>
              </w:rPr>
            </w:pPr>
            <w:r w:rsidRPr="006A1E2E">
              <w:rPr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484830" w:rsidRPr="006A1E2E" w:rsidRDefault="00484830">
            <w:pPr>
              <w:tabs>
                <w:tab w:val="left" w:pos="558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484830" w:rsidRPr="006A1E2E" w:rsidRDefault="00484830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 w:rsidRPr="006A1E2E">
              <w:rPr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6A1E2E">
              <w:rPr>
                <w:sz w:val="22"/>
                <w:szCs w:val="22"/>
              </w:rPr>
              <w:t xml:space="preserve">a) až k) </w:t>
            </w:r>
            <w:r w:rsidRPr="006A1E2E">
              <w:rPr>
                <w:color w:val="000000"/>
                <w:sz w:val="22"/>
                <w:szCs w:val="22"/>
              </w:rPr>
              <w:t>zákona,</w:t>
            </w:r>
          </w:p>
          <w:p w:rsidR="00484830" w:rsidRPr="006A1E2E" w:rsidRDefault="00484830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 w:rsidRPr="006A1E2E">
              <w:rPr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484830" w:rsidRPr="00A57506" w:rsidRDefault="00484830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6A1E2E" w:rsidRDefault="00484830" w:rsidP="00116004">
            <w:pPr>
              <w:snapToGrid w:val="0"/>
              <w:jc w:val="both"/>
              <w:rPr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</w:p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lastRenderedPageBreak/>
              <w:t>Nabídka musí obsahovat tyto dokumenty:</w:t>
            </w:r>
          </w:p>
          <w:p w:rsidR="00484830" w:rsidRPr="006A1E2E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0" w:firstLine="0"/>
              <w:rPr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 xml:space="preserve">Krycí list nabídky </w:t>
            </w:r>
          </w:p>
          <w:p w:rsidR="00041C8D" w:rsidRPr="00B072C5" w:rsidRDefault="00484830" w:rsidP="00B072C5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sz w:val="22"/>
                <w:szCs w:val="22"/>
              </w:rPr>
            </w:pPr>
            <w:r w:rsidRPr="006A1E2E">
              <w:rPr>
                <w:b/>
                <w:bCs/>
                <w:sz w:val="22"/>
                <w:szCs w:val="22"/>
              </w:rPr>
              <w:t>Čestné prohlášení o splnění kvalifikačních předpokladů</w:t>
            </w:r>
            <w:r w:rsidR="006A1E2E">
              <w:rPr>
                <w:b/>
                <w:bCs/>
                <w:sz w:val="22"/>
                <w:szCs w:val="22"/>
              </w:rPr>
              <w:t>,</w:t>
            </w:r>
            <w:r w:rsidR="00041C8D">
              <w:rPr>
                <w:b/>
                <w:bCs/>
                <w:sz w:val="22"/>
                <w:szCs w:val="22"/>
              </w:rPr>
              <w:t xml:space="preserve"> čestné prohlášení o ekonomické a finanční schopnosti plnit veřejnou zakázku</w:t>
            </w:r>
          </w:p>
          <w:p w:rsidR="00484830" w:rsidRPr="006A1E2E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>Rozsah a kalkulace předmětu plnění veřejné zakázky v požadované struktuře dle Zadávací dokumentace;</w:t>
            </w:r>
          </w:p>
          <w:p w:rsidR="00484830" w:rsidRPr="006A1E2E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>Návrh smlouvy podepsaný oprávněnou osobou uchazeče;</w:t>
            </w:r>
          </w:p>
          <w:p w:rsidR="00484830" w:rsidRPr="006A1E2E" w:rsidRDefault="00484830" w:rsidP="00243280">
            <w:pPr>
              <w:pStyle w:val="Normlnweb"/>
              <w:suppressAutoHyphens w:val="0"/>
              <w:spacing w:before="0" w:after="0"/>
              <w:ind w:left="709"/>
              <w:rPr>
                <w:b/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>PRO KAŽNOU ČÁST JE PODEPSÁNA SAMOSTATNÁ SMLOUVA (uchazeč předloží tolik podepsaných smluv, kolika částí se účastní)</w:t>
            </w:r>
          </w:p>
          <w:p w:rsidR="00484830" w:rsidRPr="006A1E2E" w:rsidRDefault="00484830" w:rsidP="00243280">
            <w:pPr>
              <w:pStyle w:val="Normlnweb"/>
              <w:spacing w:before="0" w:after="0"/>
              <w:ind w:left="709"/>
              <w:rPr>
                <w:b/>
                <w:sz w:val="22"/>
                <w:szCs w:val="22"/>
              </w:rPr>
            </w:pPr>
          </w:p>
          <w:p w:rsidR="00484830" w:rsidRPr="006A1E2E" w:rsidRDefault="00484830" w:rsidP="00243280">
            <w:pPr>
              <w:pStyle w:val="Normlnweb"/>
              <w:spacing w:before="0" w:after="0"/>
              <w:rPr>
                <w:b/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 xml:space="preserve">Uchazeč uvede jednotkovou cenu v Kč bez DPH a jednotkovou cenu v Kč s DPH. Takto stanovená celková cena nesmí překročit nejvýše přípustnou cenu veřejné zakázky, jež je UVEDENA V JEDNOTLIVÝCH PŘÍLOHÁCH; součástí nabídkové ceny je i položkový ceník </w:t>
            </w:r>
            <w:r w:rsidRPr="006A1E2E">
              <w:rPr>
                <w:b/>
                <w:sz w:val="22"/>
                <w:szCs w:val="22"/>
              </w:rPr>
              <w:t>veškerých</w:t>
            </w:r>
            <w:r w:rsidRPr="006A1E2E">
              <w:rPr>
                <w:sz w:val="22"/>
                <w:szCs w:val="22"/>
              </w:rPr>
              <w:t xml:space="preserve"> konkrétních nabízených dodávek v ceně „s“ a „bez“ DPH daného uchazeče za každé nabízené dílčí plnění tak, jak je naznačeno v přílohách č. 1- č.2</w:t>
            </w:r>
            <w:r w:rsidR="00D3312F">
              <w:rPr>
                <w:sz w:val="22"/>
                <w:szCs w:val="22"/>
              </w:rPr>
              <w:t>5</w:t>
            </w:r>
            <w:r w:rsidRPr="006A1E2E">
              <w:rPr>
                <w:sz w:val="22"/>
                <w:szCs w:val="22"/>
              </w:rPr>
              <w:t xml:space="preserve">  zadávací dokumentace;</w:t>
            </w:r>
          </w:p>
          <w:p w:rsidR="00484830" w:rsidRPr="006A1E2E" w:rsidRDefault="00484830" w:rsidP="00243280">
            <w:pPr>
              <w:jc w:val="both"/>
              <w:rPr>
                <w:bCs/>
                <w:sz w:val="22"/>
                <w:szCs w:val="22"/>
              </w:rPr>
            </w:pPr>
            <w:r w:rsidRPr="006A1E2E">
              <w:rPr>
                <w:bCs/>
                <w:sz w:val="22"/>
                <w:szCs w:val="22"/>
              </w:rPr>
              <w:t>V případě, že je v nabídce uchazeče shledána nejasnost, může být zadavatelem uchazeč vyzván k doplnění nabídky ve stanovené lhůtě.</w:t>
            </w:r>
          </w:p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  <w:r w:rsidRPr="006A1E2E">
              <w:rPr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6A1E2E">
              <w:rPr>
                <w:sz w:val="22"/>
                <w:szCs w:val="22"/>
              </w:rPr>
              <w:t>Výše uvedená struktura nabídky má doporučující charakter.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6045" w:type="dxa"/>
          </w:tcPr>
          <w:p w:rsidR="00484830" w:rsidRPr="00A57506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DB5D1C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Smluvní vztah bude upraven </w:t>
            </w:r>
            <w:r w:rsidR="00F219D2">
              <w:rPr>
                <w:snapToGrid w:val="0"/>
                <w:color w:val="000000"/>
                <w:sz w:val="22"/>
                <w:szCs w:val="22"/>
              </w:rPr>
              <w:t>kupní smlouvou</w:t>
            </w: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. 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lastRenderedPageBreak/>
              <w:t>Pokud nabídka nevyhoví všem uvedeným požadavkům zadavatele, bude komisí ze zadávacího řízení vyřazena, o čemž bude uchazeč zadavatelem bezodkladně vyrozuměn.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Jestliže jsou v zadávací dokumentaci uvedena přesná obchodní označení, jedná se pouze o příklady a lze nabídnout i jiné dodávky či služby splňující rovnocenným způsobem požadavky vymezené takovými technickými podmínkami.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84830" w:rsidRDefault="00484830" w:rsidP="00243280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</w:p>
          <w:p w:rsidR="00484830" w:rsidRPr="00DB5D1C" w:rsidRDefault="00484830" w:rsidP="00243280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  <w:r w:rsidRPr="00DB5D1C">
              <w:rPr>
                <w:rFonts w:ascii="Times New Roman" w:hAnsi="Times New Roman" w:cs="Times New Roman"/>
                <w:b/>
                <w:i/>
              </w:rPr>
              <w:t>Zpracování nabídkové ceny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Uchazeč uvede nabídkovou cenu pro jednotlivé části v členění: cena bez DPH, samostatně DPH, cena včetně DPH. </w:t>
            </w:r>
          </w:p>
          <w:p w:rsidR="00484830" w:rsidRPr="00DB5D1C" w:rsidRDefault="00484830" w:rsidP="00243280">
            <w:pPr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zrušit zadávací řízení (celé nebo jednotlivé části) do doby uzavření smlouvy v souladu se zákonem,</w:t>
            </w:r>
          </w:p>
          <w:p w:rsidR="00484830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upřesnit návrh smlouvy o dílo uvedený v nabídce (vypracovaný zejména v souladu s touto zadávací dokumentací)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zveřejnit dodatečné informace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oznámit rozhodnutí o vyloučení uchazeče uveřejněním na profilu zadavatele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oznámit rozhodnutí o výběru nejvhodnější nabídky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požadovat od uchazečů doplňující informace a ověřit si skutečnosti uvedené v nabídkách</w:t>
            </w:r>
          </w:p>
          <w:p w:rsidR="00484830" w:rsidRPr="00DB5D1C" w:rsidRDefault="00484830" w:rsidP="00243280">
            <w:pPr>
              <w:spacing w:before="40"/>
              <w:ind w:left="714"/>
              <w:rPr>
                <w:snapToGrid w:val="0"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je vázán celým obsahem své nabídky, a to po celou dobu trvání výběrového řízení, což dokládá </w:t>
            </w:r>
            <w:r w:rsidR="00D55825">
              <w:rPr>
                <w:sz w:val="22"/>
                <w:szCs w:val="22"/>
              </w:rPr>
              <w:t>svým písemným prohlášením</w:t>
            </w:r>
            <w:r w:rsidRPr="00DB5D1C">
              <w:rPr>
                <w:sz w:val="22"/>
                <w:szCs w:val="22"/>
              </w:rPr>
              <w:t xml:space="preserve">. 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1C0D7D" w:rsidP="00243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Zadavatel doporučuje, aby</w:t>
            </w:r>
            <w:r w:rsidR="00AB5098">
              <w:rPr>
                <w:sz w:val="22"/>
                <w:szCs w:val="22"/>
              </w:rPr>
              <w:t xml:space="preserve"> nabídka</w:t>
            </w:r>
            <w:r w:rsidR="006D3D52">
              <w:rPr>
                <w:sz w:val="22"/>
                <w:szCs w:val="22"/>
              </w:rPr>
              <w:t xml:space="preserve"> byla</w:t>
            </w:r>
            <w:r w:rsidR="00484830" w:rsidRPr="00DB5D1C">
              <w:rPr>
                <w:sz w:val="22"/>
                <w:szCs w:val="22"/>
              </w:rPr>
              <w:t xml:space="preserve"> opatřena bezpečnostními prvky, které ji zajistí proti případnému poškození a proti manipulaci s jednotlivými listy tak, aby byla vyloučena možnost jejich neoprávněného nahrazení. Všechny listy výtisku nabídky budou očíslovány.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484830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této veřejné zakázky.</w:t>
            </w:r>
          </w:p>
          <w:p w:rsidR="00484830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84830" w:rsidRPr="00243280" w:rsidRDefault="00484830" w:rsidP="00673AA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43280">
              <w:rPr>
                <w:rFonts w:ascii="Arial Narrow" w:hAnsi="Arial Narrow" w:cs="Arial"/>
                <w:b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24328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84830" w:rsidRPr="00A57506" w:rsidRDefault="0048483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774FC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045" w:type="dxa"/>
          </w:tcPr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Zadávací dokumentace je zpracována jako samostatný dokument. Přílohy A, B. C a přílohy č. 1-2</w:t>
            </w:r>
            <w:r w:rsidR="00BB63D9">
              <w:rPr>
                <w:snapToGrid w:val="0"/>
                <w:color w:val="000000"/>
                <w:sz w:val="22"/>
                <w:szCs w:val="22"/>
              </w:rPr>
              <w:t>5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tvoří její nedílnou součást.</w:t>
            </w: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Zájemce získá tuto výzvu, včetně všech příloh stažením z profilu zadavatele:</w:t>
            </w: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4C59C8" w:rsidRDefault="001438B5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hyperlink r:id="rId8" w:history="1">
              <w:r w:rsidR="004C59C8" w:rsidRPr="002D6FD4">
                <w:rPr>
                  <w:rStyle w:val="Hypertextovodkaz"/>
                  <w:snapToGrid w:val="0"/>
                  <w:sz w:val="22"/>
                  <w:szCs w:val="22"/>
                </w:rPr>
                <w:t>https://zakazky.mendelu.cz</w:t>
              </w:r>
            </w:hyperlink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4C59C8" w:rsidRPr="00DB5D1C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nebo</w:t>
            </w: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stažením z profilu MŠMT: </w:t>
            </w:r>
            <w:hyperlink r:id="rId9" w:history="1">
              <w:r w:rsidRPr="00DB5D1C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</w:p>
          <w:p w:rsidR="00484830" w:rsidRPr="00A57506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774FCD" w:rsidTr="00484830">
        <w:tc>
          <w:tcPr>
            <w:tcW w:w="9508" w:type="dxa"/>
            <w:gridSpan w:val="2"/>
            <w:shd w:val="clear" w:color="auto" w:fill="FABF8F"/>
          </w:tcPr>
          <w:p w:rsidR="00484830" w:rsidRPr="00A57506" w:rsidRDefault="00484830" w:rsidP="00774FC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7506">
              <w:rPr>
                <w:rFonts w:ascii="Arial Narrow" w:hAnsi="Arial Narrow"/>
                <w:b/>
                <w:sz w:val="22"/>
                <w:szCs w:val="22"/>
              </w:rPr>
              <w:t xml:space="preserve">Zadavatel si vyhrazuje právo výběrové řízení před jeho ukončením zrušit. </w:t>
            </w:r>
          </w:p>
        </w:tc>
      </w:tr>
    </w:tbl>
    <w:p w:rsidR="006C1E9F" w:rsidRPr="00774FCD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Příloha_3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„3“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Příloha_4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„4“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Příloha_5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„5“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Příloha_6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„6“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Příloha_7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„7“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Příloha_8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„8“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Příloha_9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„9“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Příloha_10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„10“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Příloha_11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Příloha_12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Příloha_13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„13“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Příloha_14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„14“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Příloha_15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„15“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Příloha_16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„16“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Příloha_17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„17“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Příloha_18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„18“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Příloha_19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„19“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Příloha_20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„20“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Příloha_21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Příloha_22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„22“ </w:t>
      </w:r>
    </w:p>
    <w:p w:rsidR="003737AE" w:rsidRDefault="003737AE" w:rsidP="003737AE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Příloha_23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podmínky„23“ </w:t>
      </w:r>
    </w:p>
    <w:p w:rsidR="00BB63D9" w:rsidRDefault="00BB63D9" w:rsidP="00BB63D9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Příloha_24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podmínky„24“ </w:t>
      </w:r>
    </w:p>
    <w:p w:rsidR="00BB63D9" w:rsidRDefault="00BB63D9" w:rsidP="00BB63D9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Příloha_25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podmínky„25“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Obchodní podmínky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Čestné prohlášení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Krycí list nabídky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D356C7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3737AE">
        <w:rPr>
          <w:sz w:val="22"/>
          <w:szCs w:val="22"/>
        </w:rPr>
        <w:t>18</w:t>
      </w:r>
      <w:r w:rsidRPr="00D356C7">
        <w:rPr>
          <w:sz w:val="22"/>
          <w:szCs w:val="22"/>
        </w:rPr>
        <w:t xml:space="preserve">. </w:t>
      </w:r>
      <w:r w:rsidR="003737AE">
        <w:rPr>
          <w:sz w:val="22"/>
          <w:szCs w:val="22"/>
        </w:rPr>
        <w:t>září</w:t>
      </w:r>
      <w:r w:rsidRPr="00D356C7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</w:p>
    <w:p w:rsidR="00243280" w:rsidRPr="00D356C7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lastRenderedPageBreak/>
        <w:t xml:space="preserve">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D356C7">
        <w:rPr>
          <w:sz w:val="22"/>
          <w:szCs w:val="22"/>
        </w:rPr>
        <w:t xml:space="preserve">     </w:t>
      </w: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Pr="00D356C7" w:rsidRDefault="00243280" w:rsidP="00243280">
      <w:pPr>
        <w:tabs>
          <w:tab w:val="left" w:pos="4820"/>
        </w:tabs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D356C7">
        <w:rPr>
          <w:sz w:val="22"/>
          <w:szCs w:val="22"/>
        </w:rPr>
        <w:t xml:space="preserve"> .</w:t>
      </w:r>
      <w:r w:rsidRPr="00D356C7">
        <w:rPr>
          <w:snapToGrid w:val="0"/>
          <w:color w:val="000000"/>
          <w:sz w:val="22"/>
          <w:szCs w:val="22"/>
        </w:rPr>
        <w:t>……………………………………..</w:t>
      </w:r>
    </w:p>
    <w:p w:rsidR="00243280" w:rsidRPr="00982802" w:rsidRDefault="00243280" w:rsidP="00243280">
      <w:pPr>
        <w:tabs>
          <w:tab w:val="left" w:pos="4962"/>
        </w:tabs>
      </w:pPr>
      <w:r>
        <w:rPr>
          <w:sz w:val="22"/>
          <w:szCs w:val="22"/>
        </w:rPr>
        <w:tab/>
      </w:r>
      <w:r w:rsidRPr="00982802">
        <w:t>P</w:t>
      </w:r>
      <w:r>
        <w:t>rof. Ing. Jaroslav Hlušek, CSc.</w:t>
      </w:r>
    </w:p>
    <w:p w:rsidR="00243280" w:rsidRPr="00982802" w:rsidRDefault="00243280" w:rsidP="00243280">
      <w:pPr>
        <w:tabs>
          <w:tab w:val="left" w:pos="6096"/>
        </w:tabs>
      </w:pPr>
      <w:r>
        <w:tab/>
        <w:t>rektor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pro potřeby vyvěšení elektronicky podepisuje</w:t>
      </w:r>
    </w:p>
    <w:p w:rsidR="00243280" w:rsidRDefault="002D7F1C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Marek Lollok</w:t>
      </w:r>
      <w:r w:rsidR="00243280">
        <w:rPr>
          <w:sz w:val="22"/>
          <w:szCs w:val="22"/>
        </w:rPr>
        <w:t xml:space="preserve"> – referent veřejných zakázek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Pr="00D356C7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Haman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miroslav.haman@mendelu.cz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45 135 195</w:t>
            </w:r>
          </w:p>
        </w:tc>
      </w:tr>
    </w:tbl>
    <w:p w:rsidR="00243280" w:rsidRPr="00D356C7" w:rsidRDefault="00243280" w:rsidP="00243280">
      <w:pPr>
        <w:rPr>
          <w:sz w:val="22"/>
          <w:szCs w:val="22"/>
        </w:rPr>
      </w:pPr>
    </w:p>
    <w:p w:rsidR="006C1E9F" w:rsidRDefault="006C1E9F" w:rsidP="00243280">
      <w:pPr>
        <w:tabs>
          <w:tab w:val="left" w:pos="6480"/>
        </w:tabs>
        <w:jc w:val="both"/>
      </w:pPr>
    </w:p>
    <w:sectPr w:rsidR="006C1E9F" w:rsidSect="00072B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DF" w:rsidRDefault="004505DF">
      <w:r>
        <w:separator/>
      </w:r>
    </w:p>
  </w:endnote>
  <w:endnote w:type="continuationSeparator" w:id="0">
    <w:p w:rsidR="004505DF" w:rsidRDefault="0045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</w:pPr>
  </w:p>
  <w:p w:rsidR="006C1E9F" w:rsidRDefault="006C1E9F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1438B5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1438B5">
      <w:rPr>
        <w:b/>
        <w:sz w:val="20"/>
        <w:szCs w:val="20"/>
      </w:rPr>
      <w:fldChar w:fldCharType="separate"/>
    </w:r>
    <w:r w:rsidR="00D1595E">
      <w:rPr>
        <w:b/>
        <w:noProof/>
        <w:sz w:val="20"/>
        <w:szCs w:val="20"/>
      </w:rPr>
      <w:t>1</w:t>
    </w:r>
    <w:r w:rsidR="001438B5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1438B5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1438B5">
      <w:rPr>
        <w:b/>
        <w:sz w:val="20"/>
        <w:szCs w:val="20"/>
      </w:rPr>
      <w:fldChar w:fldCharType="separate"/>
    </w:r>
    <w:r w:rsidR="00D1595E">
      <w:rPr>
        <w:b/>
        <w:noProof/>
        <w:sz w:val="20"/>
        <w:szCs w:val="20"/>
      </w:rPr>
      <w:t>8</w:t>
    </w:r>
    <w:r w:rsidR="001438B5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DF" w:rsidRDefault="004505DF">
      <w:r>
        <w:separator/>
      </w:r>
    </w:p>
  </w:footnote>
  <w:footnote w:type="continuationSeparator" w:id="0">
    <w:p w:rsidR="004505DF" w:rsidRDefault="004505DF">
      <w:r>
        <w:continuationSeparator/>
      </w:r>
    </w:p>
  </w:footnote>
  <w:footnote w:id="1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484830" w:rsidRDefault="00484830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4B4303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-115570</wp:posOffset>
          </wp:positionH>
          <wp:positionV relativeFrom="paragraph">
            <wp:posOffset>-441325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83631BF"/>
    <w:multiLevelType w:val="hybridMultilevel"/>
    <w:tmpl w:val="C5D87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5E6F"/>
    <w:multiLevelType w:val="hybridMultilevel"/>
    <w:tmpl w:val="6F84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872D4"/>
    <w:multiLevelType w:val="hybridMultilevel"/>
    <w:tmpl w:val="93E8C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7D54"/>
    <w:multiLevelType w:val="multilevel"/>
    <w:tmpl w:val="0242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7D8E004E"/>
    <w:multiLevelType w:val="hybridMultilevel"/>
    <w:tmpl w:val="5176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4C1"/>
    <w:rsid w:val="00011584"/>
    <w:rsid w:val="000154BC"/>
    <w:rsid w:val="00016D90"/>
    <w:rsid w:val="00017CE7"/>
    <w:rsid w:val="00023B50"/>
    <w:rsid w:val="000252B5"/>
    <w:rsid w:val="00041C8D"/>
    <w:rsid w:val="00056BC6"/>
    <w:rsid w:val="00072BB4"/>
    <w:rsid w:val="0009108B"/>
    <w:rsid w:val="000960D4"/>
    <w:rsid w:val="000B791A"/>
    <w:rsid w:val="000C47EE"/>
    <w:rsid w:val="000C7EB5"/>
    <w:rsid w:val="000E6447"/>
    <w:rsid w:val="000E6F41"/>
    <w:rsid w:val="000F45EC"/>
    <w:rsid w:val="00103E55"/>
    <w:rsid w:val="00106280"/>
    <w:rsid w:val="00116004"/>
    <w:rsid w:val="0012052D"/>
    <w:rsid w:val="00121B9A"/>
    <w:rsid w:val="00126F1D"/>
    <w:rsid w:val="001438B5"/>
    <w:rsid w:val="00154A2D"/>
    <w:rsid w:val="00156744"/>
    <w:rsid w:val="0016500F"/>
    <w:rsid w:val="00183FD0"/>
    <w:rsid w:val="001B028F"/>
    <w:rsid w:val="001B169D"/>
    <w:rsid w:val="001C0D7D"/>
    <w:rsid w:val="001D0463"/>
    <w:rsid w:val="001D23F3"/>
    <w:rsid w:val="00214780"/>
    <w:rsid w:val="00220B94"/>
    <w:rsid w:val="00222B12"/>
    <w:rsid w:val="00243280"/>
    <w:rsid w:val="00272EFF"/>
    <w:rsid w:val="002A29E6"/>
    <w:rsid w:val="002B04AE"/>
    <w:rsid w:val="002B752A"/>
    <w:rsid w:val="002C35F9"/>
    <w:rsid w:val="002C3771"/>
    <w:rsid w:val="002D7F1C"/>
    <w:rsid w:val="002E3042"/>
    <w:rsid w:val="002E411E"/>
    <w:rsid w:val="002F12C8"/>
    <w:rsid w:val="00345E17"/>
    <w:rsid w:val="003737AE"/>
    <w:rsid w:val="003926D7"/>
    <w:rsid w:val="003C3E13"/>
    <w:rsid w:val="003C66D3"/>
    <w:rsid w:val="003D2AC5"/>
    <w:rsid w:val="003E27FE"/>
    <w:rsid w:val="003F67D7"/>
    <w:rsid w:val="004251B2"/>
    <w:rsid w:val="00426862"/>
    <w:rsid w:val="00434C7B"/>
    <w:rsid w:val="004505DF"/>
    <w:rsid w:val="00454280"/>
    <w:rsid w:val="00473A8E"/>
    <w:rsid w:val="004803C4"/>
    <w:rsid w:val="00484830"/>
    <w:rsid w:val="004917D4"/>
    <w:rsid w:val="004962BD"/>
    <w:rsid w:val="004B4303"/>
    <w:rsid w:val="004B51D6"/>
    <w:rsid w:val="004B637E"/>
    <w:rsid w:val="004C59C8"/>
    <w:rsid w:val="004E450D"/>
    <w:rsid w:val="004F2089"/>
    <w:rsid w:val="004F777D"/>
    <w:rsid w:val="005038FD"/>
    <w:rsid w:val="00504F17"/>
    <w:rsid w:val="00512C76"/>
    <w:rsid w:val="00516295"/>
    <w:rsid w:val="00527707"/>
    <w:rsid w:val="005344D2"/>
    <w:rsid w:val="00540832"/>
    <w:rsid w:val="00541539"/>
    <w:rsid w:val="005A40C4"/>
    <w:rsid w:val="005A752B"/>
    <w:rsid w:val="005B4AFB"/>
    <w:rsid w:val="005C79F4"/>
    <w:rsid w:val="005D527C"/>
    <w:rsid w:val="005D663D"/>
    <w:rsid w:val="005E5B90"/>
    <w:rsid w:val="00606646"/>
    <w:rsid w:val="00613C56"/>
    <w:rsid w:val="00626528"/>
    <w:rsid w:val="00627B12"/>
    <w:rsid w:val="0063057E"/>
    <w:rsid w:val="00633ECA"/>
    <w:rsid w:val="00657E8A"/>
    <w:rsid w:val="0066544B"/>
    <w:rsid w:val="00673AA2"/>
    <w:rsid w:val="006A1E2E"/>
    <w:rsid w:val="006A5A9A"/>
    <w:rsid w:val="006A7278"/>
    <w:rsid w:val="006C0329"/>
    <w:rsid w:val="006C1E9F"/>
    <w:rsid w:val="006C304D"/>
    <w:rsid w:val="006C3F77"/>
    <w:rsid w:val="006C3FDA"/>
    <w:rsid w:val="006C4EED"/>
    <w:rsid w:val="006D3D52"/>
    <w:rsid w:val="006E3AA2"/>
    <w:rsid w:val="006F08BD"/>
    <w:rsid w:val="00734CAA"/>
    <w:rsid w:val="00752770"/>
    <w:rsid w:val="00752A23"/>
    <w:rsid w:val="00756608"/>
    <w:rsid w:val="00757EEF"/>
    <w:rsid w:val="00771A78"/>
    <w:rsid w:val="007746AD"/>
    <w:rsid w:val="00774FCD"/>
    <w:rsid w:val="007C045E"/>
    <w:rsid w:val="007D60A6"/>
    <w:rsid w:val="007E14C1"/>
    <w:rsid w:val="007E32B3"/>
    <w:rsid w:val="007F3168"/>
    <w:rsid w:val="008008C1"/>
    <w:rsid w:val="00810C93"/>
    <w:rsid w:val="008327B3"/>
    <w:rsid w:val="00832DF6"/>
    <w:rsid w:val="00835909"/>
    <w:rsid w:val="0083600B"/>
    <w:rsid w:val="008574A5"/>
    <w:rsid w:val="00861D4D"/>
    <w:rsid w:val="00863EE9"/>
    <w:rsid w:val="00882962"/>
    <w:rsid w:val="00886EF8"/>
    <w:rsid w:val="00893484"/>
    <w:rsid w:val="008B5BE1"/>
    <w:rsid w:val="008C7581"/>
    <w:rsid w:val="008D3D9D"/>
    <w:rsid w:val="0091261C"/>
    <w:rsid w:val="0092005C"/>
    <w:rsid w:val="0093299F"/>
    <w:rsid w:val="00941117"/>
    <w:rsid w:val="00943328"/>
    <w:rsid w:val="00950A9A"/>
    <w:rsid w:val="009946AF"/>
    <w:rsid w:val="00996BCC"/>
    <w:rsid w:val="009C691D"/>
    <w:rsid w:val="009D1B7D"/>
    <w:rsid w:val="009E33CA"/>
    <w:rsid w:val="009F5F84"/>
    <w:rsid w:val="00A11850"/>
    <w:rsid w:val="00A12917"/>
    <w:rsid w:val="00A20E10"/>
    <w:rsid w:val="00A57506"/>
    <w:rsid w:val="00A8234E"/>
    <w:rsid w:val="00A87245"/>
    <w:rsid w:val="00AA06E2"/>
    <w:rsid w:val="00AA07EF"/>
    <w:rsid w:val="00AA75B2"/>
    <w:rsid w:val="00AB5098"/>
    <w:rsid w:val="00AB5DA3"/>
    <w:rsid w:val="00AB5DF1"/>
    <w:rsid w:val="00AC2EBB"/>
    <w:rsid w:val="00AE75DE"/>
    <w:rsid w:val="00B072C5"/>
    <w:rsid w:val="00B25D9B"/>
    <w:rsid w:val="00B308E0"/>
    <w:rsid w:val="00B61CFB"/>
    <w:rsid w:val="00B639E7"/>
    <w:rsid w:val="00B865F2"/>
    <w:rsid w:val="00B938DE"/>
    <w:rsid w:val="00BA4B60"/>
    <w:rsid w:val="00BB28FC"/>
    <w:rsid w:val="00BB5074"/>
    <w:rsid w:val="00BB63D9"/>
    <w:rsid w:val="00BC18B2"/>
    <w:rsid w:val="00BD296B"/>
    <w:rsid w:val="00BE1089"/>
    <w:rsid w:val="00BE2C8B"/>
    <w:rsid w:val="00BE75CD"/>
    <w:rsid w:val="00BF178D"/>
    <w:rsid w:val="00BF4DF9"/>
    <w:rsid w:val="00C05D41"/>
    <w:rsid w:val="00C07597"/>
    <w:rsid w:val="00C129EC"/>
    <w:rsid w:val="00C17AEC"/>
    <w:rsid w:val="00C17C8E"/>
    <w:rsid w:val="00C21291"/>
    <w:rsid w:val="00C30B72"/>
    <w:rsid w:val="00C32B38"/>
    <w:rsid w:val="00C60EA6"/>
    <w:rsid w:val="00C82B5D"/>
    <w:rsid w:val="00C830BE"/>
    <w:rsid w:val="00CA39F3"/>
    <w:rsid w:val="00CA70FD"/>
    <w:rsid w:val="00CF02BD"/>
    <w:rsid w:val="00D014D4"/>
    <w:rsid w:val="00D12E2E"/>
    <w:rsid w:val="00D1595E"/>
    <w:rsid w:val="00D16BD8"/>
    <w:rsid w:val="00D25A33"/>
    <w:rsid w:val="00D3312F"/>
    <w:rsid w:val="00D35041"/>
    <w:rsid w:val="00D35DBE"/>
    <w:rsid w:val="00D37633"/>
    <w:rsid w:val="00D55825"/>
    <w:rsid w:val="00D84AF1"/>
    <w:rsid w:val="00D853CD"/>
    <w:rsid w:val="00D90935"/>
    <w:rsid w:val="00D92665"/>
    <w:rsid w:val="00D9571C"/>
    <w:rsid w:val="00D95A53"/>
    <w:rsid w:val="00DD18F9"/>
    <w:rsid w:val="00DE0214"/>
    <w:rsid w:val="00DF0C26"/>
    <w:rsid w:val="00E04EFE"/>
    <w:rsid w:val="00E15023"/>
    <w:rsid w:val="00E1519C"/>
    <w:rsid w:val="00E219D1"/>
    <w:rsid w:val="00E32B1C"/>
    <w:rsid w:val="00E3415B"/>
    <w:rsid w:val="00E35844"/>
    <w:rsid w:val="00E444B1"/>
    <w:rsid w:val="00E56680"/>
    <w:rsid w:val="00E879DD"/>
    <w:rsid w:val="00EB18F9"/>
    <w:rsid w:val="00EB2130"/>
    <w:rsid w:val="00EB30BF"/>
    <w:rsid w:val="00EB7A8D"/>
    <w:rsid w:val="00EC0B23"/>
    <w:rsid w:val="00EC5228"/>
    <w:rsid w:val="00EC6F1C"/>
    <w:rsid w:val="00EC7ADA"/>
    <w:rsid w:val="00EE1525"/>
    <w:rsid w:val="00EF001D"/>
    <w:rsid w:val="00EF097F"/>
    <w:rsid w:val="00EF3FEB"/>
    <w:rsid w:val="00EF73AB"/>
    <w:rsid w:val="00F16EC8"/>
    <w:rsid w:val="00F219D2"/>
    <w:rsid w:val="00F30528"/>
    <w:rsid w:val="00F36FDE"/>
    <w:rsid w:val="00F63CAC"/>
    <w:rsid w:val="00F9333A"/>
    <w:rsid w:val="00F96366"/>
    <w:rsid w:val="00F97D8D"/>
    <w:rsid w:val="00FB739D"/>
    <w:rsid w:val="00FB7493"/>
    <w:rsid w:val="00FC763F"/>
    <w:rsid w:val="00FF0E54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endel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strukturalni-fondy/nove-vyhlasene-zakazky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2001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FSpS MU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Roman Drga</dc:creator>
  <cp:lastModifiedBy>Plazer</cp:lastModifiedBy>
  <cp:revision>80</cp:revision>
  <cp:lastPrinted>2013-09-30T08:41:00Z</cp:lastPrinted>
  <dcterms:created xsi:type="dcterms:W3CDTF">2013-07-03T05:58:00Z</dcterms:created>
  <dcterms:modified xsi:type="dcterms:W3CDTF">2013-10-01T12:21:00Z</dcterms:modified>
</cp:coreProperties>
</file>