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381" w:rsidRDefault="00BB072A" w:rsidP="00BB072A">
      <w:pPr>
        <w:spacing w:after="0" w:line="240"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840202">
        <w:rPr>
          <w:b/>
          <w:sz w:val="24"/>
          <w:szCs w:val="24"/>
        </w:rPr>
        <w:tab/>
      </w:r>
      <w:bookmarkStart w:id="0" w:name="_GoBack"/>
      <w:bookmarkEnd w:id="0"/>
    </w:p>
    <w:p w:rsidR="00BB072A" w:rsidRPr="00422240" w:rsidRDefault="00BB072A" w:rsidP="00BB072A">
      <w:pPr>
        <w:spacing w:after="0" w:line="240" w:lineRule="auto"/>
        <w:rPr>
          <w:b/>
          <w:i/>
          <w:sz w:val="24"/>
          <w:szCs w:val="24"/>
        </w:rPr>
      </w:pPr>
    </w:p>
    <w:p w:rsidR="00411381" w:rsidRPr="00422240" w:rsidRDefault="00411381" w:rsidP="001E0D27">
      <w:pPr>
        <w:spacing w:after="0" w:line="240" w:lineRule="auto"/>
        <w:jc w:val="center"/>
        <w:rPr>
          <w:b/>
          <w:i/>
          <w:sz w:val="24"/>
          <w:szCs w:val="24"/>
        </w:rPr>
      </w:pPr>
    </w:p>
    <w:p w:rsidR="00411381" w:rsidRPr="00422240" w:rsidRDefault="00920A35" w:rsidP="001E0D27">
      <w:pPr>
        <w:spacing w:after="0" w:line="240" w:lineRule="auto"/>
        <w:jc w:val="center"/>
        <w:rPr>
          <w:b/>
          <w:i/>
          <w:sz w:val="24"/>
          <w:szCs w:val="24"/>
        </w:rPr>
      </w:pPr>
      <w:r>
        <w:rPr>
          <w:noProof/>
          <w:sz w:val="24"/>
          <w:szCs w:val="24"/>
          <w:lang w:eastAsia="cs-CZ"/>
        </w:rPr>
        <w:drawing>
          <wp:inline distT="0" distB="0" distL="0" distR="0">
            <wp:extent cx="2809875" cy="1304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9875" cy="1304925"/>
                    </a:xfrm>
                    <a:prstGeom prst="rect">
                      <a:avLst/>
                    </a:prstGeom>
                    <a:noFill/>
                    <a:ln>
                      <a:noFill/>
                    </a:ln>
                  </pic:spPr>
                </pic:pic>
              </a:graphicData>
            </a:graphic>
          </wp:inline>
        </w:drawing>
      </w:r>
    </w:p>
    <w:p w:rsidR="00411381" w:rsidRPr="00422240" w:rsidRDefault="00411381" w:rsidP="001E0D27">
      <w:pPr>
        <w:spacing w:after="0" w:line="240" w:lineRule="auto"/>
        <w:jc w:val="center"/>
        <w:rPr>
          <w:b/>
          <w:i/>
          <w:sz w:val="24"/>
          <w:szCs w:val="24"/>
        </w:rPr>
      </w:pPr>
    </w:p>
    <w:p w:rsidR="008538B2" w:rsidRPr="00422240" w:rsidRDefault="008538B2" w:rsidP="001E0D27">
      <w:pPr>
        <w:spacing w:after="0" w:line="240" w:lineRule="auto"/>
        <w:jc w:val="center"/>
        <w:rPr>
          <w:b/>
          <w:sz w:val="24"/>
          <w:szCs w:val="24"/>
        </w:rPr>
      </w:pPr>
    </w:p>
    <w:p w:rsidR="008538B2" w:rsidRDefault="008538B2" w:rsidP="001E0D27">
      <w:pPr>
        <w:spacing w:after="0" w:line="240" w:lineRule="auto"/>
        <w:jc w:val="center"/>
        <w:rPr>
          <w:b/>
          <w:sz w:val="24"/>
          <w:szCs w:val="24"/>
        </w:rPr>
      </w:pPr>
    </w:p>
    <w:p w:rsidR="00A12248" w:rsidRDefault="00A12248" w:rsidP="001E0D27">
      <w:pPr>
        <w:spacing w:after="0" w:line="240" w:lineRule="auto"/>
        <w:jc w:val="center"/>
        <w:rPr>
          <w:b/>
          <w:sz w:val="24"/>
          <w:szCs w:val="24"/>
        </w:rPr>
      </w:pPr>
    </w:p>
    <w:p w:rsidR="00A12248" w:rsidRPr="00422240" w:rsidRDefault="00A12248" w:rsidP="001E0D27">
      <w:pPr>
        <w:spacing w:after="0" w:line="240" w:lineRule="auto"/>
        <w:jc w:val="center"/>
        <w:rPr>
          <w:b/>
          <w:sz w:val="24"/>
          <w:szCs w:val="24"/>
        </w:rPr>
      </w:pPr>
    </w:p>
    <w:p w:rsidR="008538B2" w:rsidRPr="00422240" w:rsidRDefault="008538B2" w:rsidP="001E0D27">
      <w:pPr>
        <w:spacing w:after="0" w:line="240" w:lineRule="auto"/>
        <w:jc w:val="center"/>
        <w:rPr>
          <w:b/>
          <w:sz w:val="24"/>
          <w:szCs w:val="24"/>
        </w:rPr>
      </w:pPr>
    </w:p>
    <w:p w:rsidR="00411381" w:rsidRDefault="002D3E3B" w:rsidP="001E0D27">
      <w:pPr>
        <w:pBdr>
          <w:top w:val="single" w:sz="4" w:space="1" w:color="auto"/>
          <w:left w:val="single" w:sz="4" w:space="4" w:color="auto"/>
          <w:bottom w:val="single" w:sz="4" w:space="1" w:color="auto"/>
          <w:right w:val="single" w:sz="4" w:space="4" w:color="auto"/>
        </w:pBdr>
        <w:shd w:val="clear" w:color="auto" w:fill="C6D9F1"/>
        <w:spacing w:after="0" w:line="240" w:lineRule="auto"/>
        <w:jc w:val="center"/>
        <w:rPr>
          <w:b/>
          <w:sz w:val="44"/>
          <w:szCs w:val="44"/>
        </w:rPr>
      </w:pPr>
      <w:r w:rsidRPr="00422240">
        <w:rPr>
          <w:b/>
          <w:sz w:val="44"/>
          <w:szCs w:val="44"/>
        </w:rPr>
        <w:t>Vyhodnocení</w:t>
      </w:r>
      <w:r w:rsidR="002E2D60" w:rsidRPr="00422240">
        <w:rPr>
          <w:b/>
          <w:sz w:val="44"/>
          <w:szCs w:val="44"/>
        </w:rPr>
        <w:t xml:space="preserve"> </w:t>
      </w:r>
      <w:r w:rsidR="006F4FDD">
        <w:rPr>
          <w:b/>
          <w:sz w:val="44"/>
          <w:szCs w:val="44"/>
        </w:rPr>
        <w:t xml:space="preserve">a implementace výsledků </w:t>
      </w:r>
      <w:r w:rsidR="00920A35">
        <w:rPr>
          <w:b/>
          <w:sz w:val="44"/>
          <w:szCs w:val="44"/>
        </w:rPr>
        <w:t>litevského předsednictví</w:t>
      </w:r>
      <w:r w:rsidR="008538B2" w:rsidRPr="00422240">
        <w:rPr>
          <w:b/>
          <w:sz w:val="44"/>
          <w:szCs w:val="44"/>
        </w:rPr>
        <w:t xml:space="preserve"> v Radě EU</w:t>
      </w:r>
      <w:r w:rsidR="00AF4446">
        <w:rPr>
          <w:b/>
          <w:sz w:val="44"/>
          <w:szCs w:val="44"/>
        </w:rPr>
        <w:t> v</w:t>
      </w:r>
      <w:r w:rsidR="00920A35">
        <w:rPr>
          <w:b/>
          <w:sz w:val="44"/>
          <w:szCs w:val="44"/>
        </w:rPr>
        <w:t xml:space="preserve"> 2</w:t>
      </w:r>
      <w:r w:rsidR="0094689E">
        <w:rPr>
          <w:b/>
          <w:sz w:val="44"/>
          <w:szCs w:val="44"/>
        </w:rPr>
        <w:t>. pololetí roku 2013</w:t>
      </w:r>
    </w:p>
    <w:p w:rsidR="00920A35" w:rsidRPr="00920A35" w:rsidRDefault="00920A35" w:rsidP="001E0D27">
      <w:pPr>
        <w:pBdr>
          <w:top w:val="single" w:sz="4" w:space="1" w:color="auto"/>
          <w:left w:val="single" w:sz="4" w:space="4" w:color="auto"/>
          <w:bottom w:val="single" w:sz="4" w:space="1" w:color="auto"/>
          <w:right w:val="single" w:sz="4" w:space="4" w:color="auto"/>
        </w:pBdr>
        <w:shd w:val="clear" w:color="auto" w:fill="C6D9F1"/>
        <w:spacing w:after="0" w:line="240" w:lineRule="auto"/>
        <w:jc w:val="center"/>
        <w:rPr>
          <w:sz w:val="44"/>
          <w:szCs w:val="44"/>
        </w:rPr>
      </w:pPr>
      <w:r w:rsidRPr="00920A35">
        <w:rPr>
          <w:sz w:val="44"/>
          <w:szCs w:val="44"/>
        </w:rPr>
        <w:t>v oblastech vzdělávání a odborné přípravy</w:t>
      </w:r>
      <w:r w:rsidR="007D4923">
        <w:rPr>
          <w:sz w:val="44"/>
          <w:szCs w:val="44"/>
        </w:rPr>
        <w:t>,</w:t>
      </w:r>
      <w:r w:rsidRPr="00920A35">
        <w:rPr>
          <w:sz w:val="44"/>
          <w:szCs w:val="44"/>
        </w:rPr>
        <w:t xml:space="preserve"> mládeže</w:t>
      </w:r>
      <w:r w:rsidR="006C7700">
        <w:rPr>
          <w:sz w:val="44"/>
          <w:szCs w:val="44"/>
        </w:rPr>
        <w:t>, sportu, výzkumu, vývoje a inovací</w:t>
      </w:r>
    </w:p>
    <w:p w:rsidR="00411381" w:rsidRPr="00422240" w:rsidRDefault="00411381" w:rsidP="001E0D27">
      <w:pPr>
        <w:spacing w:after="0" w:line="240" w:lineRule="auto"/>
        <w:jc w:val="center"/>
        <w:rPr>
          <w:b/>
          <w:i/>
          <w:sz w:val="24"/>
          <w:szCs w:val="24"/>
        </w:rPr>
      </w:pPr>
    </w:p>
    <w:p w:rsidR="00411381" w:rsidRPr="00422240" w:rsidRDefault="00411381" w:rsidP="001E0D27">
      <w:pPr>
        <w:spacing w:after="0" w:line="240" w:lineRule="auto"/>
        <w:jc w:val="center"/>
        <w:rPr>
          <w:b/>
          <w:i/>
          <w:sz w:val="24"/>
          <w:szCs w:val="24"/>
        </w:rPr>
      </w:pPr>
    </w:p>
    <w:p w:rsidR="00411381" w:rsidRPr="00422240" w:rsidRDefault="00411381" w:rsidP="001E0D27">
      <w:pPr>
        <w:spacing w:after="0" w:line="240" w:lineRule="auto"/>
        <w:jc w:val="center"/>
        <w:rPr>
          <w:b/>
          <w:i/>
          <w:sz w:val="24"/>
          <w:szCs w:val="24"/>
        </w:rPr>
      </w:pPr>
    </w:p>
    <w:p w:rsidR="00411381" w:rsidRPr="00422240" w:rsidRDefault="00411381" w:rsidP="001E0D27">
      <w:pPr>
        <w:spacing w:after="0" w:line="240" w:lineRule="auto"/>
        <w:jc w:val="center"/>
        <w:rPr>
          <w:b/>
          <w:i/>
          <w:sz w:val="24"/>
          <w:szCs w:val="24"/>
        </w:rPr>
      </w:pPr>
    </w:p>
    <w:p w:rsidR="00411381" w:rsidRPr="00422240" w:rsidRDefault="00411381" w:rsidP="001E0D27">
      <w:pPr>
        <w:spacing w:after="0" w:line="240" w:lineRule="auto"/>
        <w:jc w:val="center"/>
        <w:rPr>
          <w:b/>
          <w:i/>
          <w:sz w:val="24"/>
          <w:szCs w:val="24"/>
        </w:rPr>
      </w:pPr>
    </w:p>
    <w:p w:rsidR="00411381" w:rsidRPr="00422240" w:rsidRDefault="00411381" w:rsidP="001E0D27">
      <w:pPr>
        <w:spacing w:after="0" w:line="240" w:lineRule="auto"/>
        <w:jc w:val="center"/>
        <w:rPr>
          <w:b/>
          <w:i/>
          <w:sz w:val="24"/>
          <w:szCs w:val="24"/>
        </w:rPr>
      </w:pPr>
    </w:p>
    <w:p w:rsidR="00411381" w:rsidRPr="00422240" w:rsidRDefault="00411381" w:rsidP="001E0D27">
      <w:pPr>
        <w:spacing w:after="0" w:line="240" w:lineRule="auto"/>
        <w:jc w:val="center"/>
        <w:rPr>
          <w:b/>
          <w:i/>
          <w:sz w:val="24"/>
          <w:szCs w:val="24"/>
        </w:rPr>
      </w:pPr>
    </w:p>
    <w:p w:rsidR="00411381" w:rsidRPr="00422240" w:rsidRDefault="00411381" w:rsidP="001E0D27">
      <w:pPr>
        <w:spacing w:after="0" w:line="240" w:lineRule="auto"/>
        <w:jc w:val="center"/>
        <w:rPr>
          <w:b/>
          <w:i/>
          <w:sz w:val="24"/>
          <w:szCs w:val="24"/>
        </w:rPr>
      </w:pPr>
    </w:p>
    <w:p w:rsidR="00411381" w:rsidRPr="00422240" w:rsidRDefault="00411381" w:rsidP="001E0D27">
      <w:pPr>
        <w:spacing w:after="0" w:line="240" w:lineRule="auto"/>
        <w:jc w:val="center"/>
        <w:rPr>
          <w:b/>
          <w:i/>
          <w:sz w:val="24"/>
          <w:szCs w:val="24"/>
        </w:rPr>
      </w:pPr>
    </w:p>
    <w:p w:rsidR="00411381" w:rsidRDefault="00411381" w:rsidP="001E0D27">
      <w:pPr>
        <w:spacing w:after="0" w:line="240" w:lineRule="auto"/>
        <w:jc w:val="center"/>
        <w:rPr>
          <w:b/>
          <w:i/>
          <w:sz w:val="24"/>
          <w:szCs w:val="24"/>
        </w:rPr>
      </w:pPr>
    </w:p>
    <w:p w:rsidR="008E0AA5" w:rsidRDefault="008E0AA5" w:rsidP="001E0D27">
      <w:pPr>
        <w:spacing w:after="0" w:line="240" w:lineRule="auto"/>
        <w:jc w:val="center"/>
        <w:rPr>
          <w:b/>
          <w:i/>
          <w:sz w:val="24"/>
          <w:szCs w:val="24"/>
        </w:rPr>
      </w:pPr>
    </w:p>
    <w:p w:rsidR="008E0AA5" w:rsidRPr="00422240" w:rsidRDefault="008E0AA5" w:rsidP="001E0D27">
      <w:pPr>
        <w:spacing w:after="0" w:line="240" w:lineRule="auto"/>
        <w:jc w:val="center"/>
        <w:rPr>
          <w:b/>
          <w:i/>
          <w:sz w:val="24"/>
          <w:szCs w:val="24"/>
        </w:rPr>
      </w:pPr>
    </w:p>
    <w:p w:rsidR="006C6D42" w:rsidRPr="00422240" w:rsidRDefault="006C6D42" w:rsidP="001E0D27">
      <w:pPr>
        <w:spacing w:after="0" w:line="240" w:lineRule="auto"/>
        <w:jc w:val="center"/>
        <w:rPr>
          <w:b/>
          <w:sz w:val="24"/>
          <w:szCs w:val="24"/>
        </w:rPr>
      </w:pPr>
    </w:p>
    <w:p w:rsidR="006C6D42" w:rsidRPr="00422240" w:rsidRDefault="006C6D42" w:rsidP="001E0D27">
      <w:pPr>
        <w:spacing w:after="0" w:line="240" w:lineRule="auto"/>
        <w:jc w:val="center"/>
        <w:rPr>
          <w:b/>
          <w:sz w:val="24"/>
          <w:szCs w:val="24"/>
        </w:rPr>
      </w:pPr>
    </w:p>
    <w:p w:rsidR="006C6D42" w:rsidRPr="00422240" w:rsidRDefault="006C6D42" w:rsidP="001E0D27">
      <w:pPr>
        <w:spacing w:after="0" w:line="240" w:lineRule="auto"/>
        <w:jc w:val="center"/>
        <w:rPr>
          <w:b/>
          <w:sz w:val="24"/>
          <w:szCs w:val="24"/>
        </w:rPr>
      </w:pPr>
    </w:p>
    <w:p w:rsidR="006C6D42" w:rsidRPr="00422240" w:rsidRDefault="006C6D42" w:rsidP="001E0D27">
      <w:pPr>
        <w:spacing w:after="0" w:line="240" w:lineRule="auto"/>
        <w:jc w:val="center"/>
        <w:rPr>
          <w:b/>
          <w:sz w:val="24"/>
          <w:szCs w:val="24"/>
        </w:rPr>
      </w:pPr>
    </w:p>
    <w:p w:rsidR="006C6D42" w:rsidRPr="00422240" w:rsidRDefault="006C6D42" w:rsidP="001E0D27">
      <w:pPr>
        <w:spacing w:after="0" w:line="240" w:lineRule="auto"/>
        <w:jc w:val="center"/>
        <w:rPr>
          <w:b/>
          <w:sz w:val="24"/>
          <w:szCs w:val="24"/>
        </w:rPr>
      </w:pPr>
    </w:p>
    <w:p w:rsidR="00411381" w:rsidRPr="00422240" w:rsidRDefault="00811ADD" w:rsidP="001E0D27">
      <w:pPr>
        <w:spacing w:after="0" w:line="240" w:lineRule="auto"/>
        <w:jc w:val="center"/>
        <w:rPr>
          <w:b/>
          <w:sz w:val="28"/>
          <w:szCs w:val="28"/>
        </w:rPr>
      </w:pPr>
      <w:r>
        <w:rPr>
          <w:b/>
          <w:sz w:val="28"/>
          <w:szCs w:val="28"/>
        </w:rPr>
        <w:t>Únor</w:t>
      </w:r>
      <w:r w:rsidR="00920A35">
        <w:rPr>
          <w:b/>
          <w:sz w:val="28"/>
          <w:szCs w:val="28"/>
        </w:rPr>
        <w:t xml:space="preserve"> </w:t>
      </w:r>
      <w:r w:rsidR="00204460">
        <w:rPr>
          <w:b/>
          <w:sz w:val="28"/>
          <w:szCs w:val="28"/>
        </w:rPr>
        <w:t>2014</w:t>
      </w:r>
    </w:p>
    <w:p w:rsidR="00FE2E7E" w:rsidRPr="00422240" w:rsidRDefault="00FE2E7E" w:rsidP="00FB1F40">
      <w:pPr>
        <w:pStyle w:val="Nadpis1"/>
        <w:sectPr w:rsidR="00FE2E7E" w:rsidRPr="00422240" w:rsidSect="00664CA3">
          <w:headerReference w:type="default" r:id="rId9"/>
          <w:footerReference w:type="default" r:id="rId10"/>
          <w:footerReference w:type="first" r:id="rId11"/>
          <w:pgSz w:w="11906" w:h="16838"/>
          <w:pgMar w:top="1417" w:right="1274" w:bottom="1417" w:left="1417" w:header="708" w:footer="708" w:gutter="0"/>
          <w:cols w:space="708"/>
          <w:titlePg/>
          <w:docGrid w:linePitch="360"/>
        </w:sectPr>
      </w:pPr>
      <w:bookmarkStart w:id="1" w:name="_Toc315270265"/>
    </w:p>
    <w:bookmarkEnd w:id="1"/>
    <w:p w:rsidR="00204460" w:rsidRDefault="00204460" w:rsidP="00204460">
      <w:pPr>
        <w:tabs>
          <w:tab w:val="left" w:pos="0"/>
        </w:tabs>
        <w:spacing w:after="0" w:line="240" w:lineRule="auto"/>
        <w:jc w:val="both"/>
      </w:pPr>
    </w:p>
    <w:p w:rsidR="00204460" w:rsidRPr="00FB1F40" w:rsidRDefault="00204460" w:rsidP="00FB1F40">
      <w:pPr>
        <w:pStyle w:val="Nadpis1"/>
      </w:pPr>
      <w:r w:rsidRPr="00FB1F40">
        <w:t>Politický kontext</w:t>
      </w:r>
    </w:p>
    <w:p w:rsidR="00036931" w:rsidRPr="00D70C13" w:rsidRDefault="00036931" w:rsidP="001E0D27">
      <w:pPr>
        <w:spacing w:after="0" w:line="240" w:lineRule="auto"/>
        <w:jc w:val="both"/>
        <w:rPr>
          <w:sz w:val="24"/>
          <w:szCs w:val="24"/>
        </w:rPr>
      </w:pPr>
    </w:p>
    <w:p w:rsidR="00204460" w:rsidRPr="00D70C13" w:rsidRDefault="00CA7924" w:rsidP="00D70C13">
      <w:pPr>
        <w:spacing w:after="0" w:line="240" w:lineRule="auto"/>
        <w:jc w:val="both"/>
        <w:rPr>
          <w:sz w:val="24"/>
          <w:szCs w:val="24"/>
        </w:rPr>
      </w:pPr>
      <w:r w:rsidRPr="00D70C13">
        <w:rPr>
          <w:sz w:val="24"/>
          <w:szCs w:val="24"/>
        </w:rPr>
        <w:t xml:space="preserve">Za svůj slogan si litevské předsednictví v radě EU zvolilo </w:t>
      </w:r>
      <w:r w:rsidRPr="00D70C13">
        <w:rPr>
          <w:b/>
          <w:bCs/>
          <w:sz w:val="24"/>
          <w:szCs w:val="24"/>
        </w:rPr>
        <w:t>„Důvěryhodná, otevřená a rostoucí Evropa“</w:t>
      </w:r>
      <w:r w:rsidRPr="00D70C13">
        <w:rPr>
          <w:sz w:val="24"/>
          <w:szCs w:val="24"/>
        </w:rPr>
        <w:t>, přičemž „</w:t>
      </w:r>
      <w:r w:rsidRPr="00D70C13">
        <w:rPr>
          <w:b/>
          <w:bCs/>
          <w:sz w:val="24"/>
          <w:szCs w:val="24"/>
        </w:rPr>
        <w:t>důvěryhodná“</w:t>
      </w:r>
      <w:r w:rsidRPr="00D70C13">
        <w:rPr>
          <w:sz w:val="24"/>
          <w:szCs w:val="24"/>
        </w:rPr>
        <w:t> se vztahuje k finančním otázkám, „</w:t>
      </w:r>
      <w:r w:rsidRPr="00D70C13">
        <w:rPr>
          <w:b/>
          <w:bCs/>
          <w:sz w:val="24"/>
          <w:szCs w:val="24"/>
        </w:rPr>
        <w:t>otevřená“</w:t>
      </w:r>
      <w:r w:rsidRPr="00D70C13">
        <w:rPr>
          <w:sz w:val="24"/>
          <w:szCs w:val="24"/>
        </w:rPr>
        <w:t> odkazuje na politiku sousedství, a heslo „</w:t>
      </w:r>
      <w:r w:rsidRPr="00D70C13">
        <w:rPr>
          <w:b/>
          <w:bCs/>
          <w:sz w:val="24"/>
          <w:szCs w:val="24"/>
        </w:rPr>
        <w:t>rostoucí“</w:t>
      </w:r>
      <w:r w:rsidRPr="00D70C13">
        <w:rPr>
          <w:sz w:val="24"/>
          <w:szCs w:val="24"/>
        </w:rPr>
        <w:t> je spojeno s podporou podnikání. Tři adjektiva zároveň symbolizovala tři klíčové priority předsednického programu. Jak v jejich prosazení Litva (jako vůbec první z pobaltských republik v čele EU) uspěla?</w:t>
      </w:r>
    </w:p>
    <w:p w:rsidR="00D70C13" w:rsidRPr="00D70C13" w:rsidRDefault="00D70C13" w:rsidP="00D70C13">
      <w:pPr>
        <w:pStyle w:val="intro"/>
        <w:shd w:val="clear" w:color="auto" w:fill="FFFFFF"/>
        <w:spacing w:before="240" w:beforeAutospacing="0" w:after="240" w:afterAutospacing="0"/>
        <w:jc w:val="both"/>
        <w:rPr>
          <w:rFonts w:ascii="Calibri" w:eastAsia="Calibri" w:hAnsi="Calibri"/>
          <w:lang w:eastAsia="en-US"/>
        </w:rPr>
      </w:pPr>
      <w:r w:rsidRPr="00D70C13">
        <w:rPr>
          <w:rFonts w:ascii="Calibri" w:eastAsia="Calibri" w:hAnsi="Calibri"/>
          <w:lang w:eastAsia="en-US"/>
        </w:rPr>
        <w:t xml:space="preserve">K hlavním úspěchům litevského předsednictví patří </w:t>
      </w:r>
      <w:r w:rsidRPr="00D70C13">
        <w:rPr>
          <w:rFonts w:ascii="Calibri" w:eastAsia="Calibri" w:hAnsi="Calibri"/>
          <w:b/>
          <w:lang w:eastAsia="en-US"/>
        </w:rPr>
        <w:t>schválení víceletého finančního rámce</w:t>
      </w:r>
      <w:r w:rsidRPr="00D70C13">
        <w:rPr>
          <w:rFonts w:ascii="Calibri" w:eastAsia="Calibri" w:hAnsi="Calibri"/>
          <w:lang w:eastAsia="en-US"/>
        </w:rPr>
        <w:t xml:space="preserve">, </w:t>
      </w:r>
      <w:r w:rsidRPr="00D70C13">
        <w:rPr>
          <w:rFonts w:ascii="Calibri" w:eastAsia="Calibri" w:hAnsi="Calibri"/>
          <w:b/>
          <w:lang w:eastAsia="en-US"/>
        </w:rPr>
        <w:t>rozpočtu EU na rok 2014</w:t>
      </w:r>
      <w:r w:rsidRPr="00D70C13">
        <w:rPr>
          <w:rFonts w:ascii="Calibri" w:eastAsia="Calibri" w:hAnsi="Calibri"/>
          <w:lang w:eastAsia="en-US"/>
        </w:rPr>
        <w:t xml:space="preserve"> a posílení </w:t>
      </w:r>
      <w:r w:rsidRPr="00D70C13">
        <w:rPr>
          <w:rFonts w:ascii="Calibri" w:eastAsia="Calibri" w:hAnsi="Calibri"/>
          <w:b/>
          <w:lang w:eastAsia="en-US"/>
        </w:rPr>
        <w:t>Východního partnerství</w:t>
      </w:r>
      <w:r w:rsidRPr="00D70C13">
        <w:rPr>
          <w:rFonts w:ascii="Calibri" w:eastAsia="Calibri" w:hAnsi="Calibri"/>
          <w:lang w:eastAsia="en-US"/>
        </w:rPr>
        <w:t xml:space="preserve">. Litva své úsilí také zaměřila na posílení schopnosti EU </w:t>
      </w:r>
      <w:r w:rsidRPr="00D70C13">
        <w:rPr>
          <w:rFonts w:ascii="Calibri" w:eastAsia="Calibri" w:hAnsi="Calibri"/>
          <w:b/>
          <w:bCs/>
          <w:lang w:eastAsia="en-US"/>
        </w:rPr>
        <w:t>náležitým způsobem reagovat na výzvy v hospodářské, finanční a sociální oblasti.</w:t>
      </w:r>
    </w:p>
    <w:p w:rsidR="00D70C13" w:rsidRPr="00D70C13" w:rsidRDefault="00D70C13" w:rsidP="00D70C13">
      <w:pPr>
        <w:pStyle w:val="Nadpis2"/>
        <w:shd w:val="clear" w:color="auto" w:fill="FFFFFF"/>
        <w:spacing w:before="288" w:after="144" w:line="240" w:lineRule="auto"/>
        <w:jc w:val="both"/>
        <w:rPr>
          <w:rFonts w:eastAsia="Calibri"/>
          <w:bCs w:val="0"/>
          <w:iCs w:val="0"/>
          <w:sz w:val="24"/>
          <w:szCs w:val="24"/>
        </w:rPr>
      </w:pPr>
      <w:r w:rsidRPr="00D70C13">
        <w:rPr>
          <w:rFonts w:eastAsia="Calibri"/>
          <w:bCs w:val="0"/>
          <w:iCs w:val="0"/>
          <w:sz w:val="24"/>
          <w:szCs w:val="24"/>
        </w:rPr>
        <w:t>Důvěryhodná Evropa</w:t>
      </w:r>
    </w:p>
    <w:p w:rsidR="00D70C13" w:rsidRPr="00D70C13" w:rsidRDefault="00D70C13" w:rsidP="00D70C13">
      <w:pPr>
        <w:pStyle w:val="Normlnweb"/>
        <w:shd w:val="clear" w:color="auto" w:fill="FFFFFF"/>
        <w:spacing w:before="0" w:beforeAutospacing="0" w:after="0" w:afterAutospacing="0"/>
        <w:jc w:val="both"/>
        <w:rPr>
          <w:rFonts w:ascii="Calibri" w:eastAsia="Calibri" w:hAnsi="Calibri"/>
          <w:lang w:eastAsia="en-US"/>
        </w:rPr>
      </w:pPr>
      <w:r w:rsidRPr="00D70C13">
        <w:rPr>
          <w:rFonts w:ascii="Calibri" w:eastAsia="Calibri" w:hAnsi="Calibri"/>
          <w:lang w:eastAsia="en-US"/>
        </w:rPr>
        <w:t>Litevské předsednictví pokročilo na cestě k vytvoření </w:t>
      </w:r>
      <w:r w:rsidRPr="00D70C13">
        <w:rPr>
          <w:rFonts w:ascii="Calibri" w:eastAsia="Calibri" w:hAnsi="Calibri"/>
          <w:bCs/>
          <w:lang w:eastAsia="en-US"/>
        </w:rPr>
        <w:t>bankovní unie</w:t>
      </w:r>
      <w:r w:rsidRPr="00D70C13">
        <w:rPr>
          <w:rFonts w:ascii="Calibri" w:eastAsia="Calibri" w:hAnsi="Calibri"/>
          <w:lang w:eastAsia="en-US"/>
        </w:rPr>
        <w:t> – byla završena práce na jejím prvním pilíři, tj. </w:t>
      </w:r>
      <w:r w:rsidRPr="00D70C13">
        <w:rPr>
          <w:rFonts w:ascii="Calibri" w:eastAsia="Calibri" w:hAnsi="Calibri"/>
          <w:bCs/>
          <w:lang w:eastAsia="en-US"/>
        </w:rPr>
        <w:t>jednotném mechanismu dohledu</w:t>
      </w:r>
      <w:r w:rsidRPr="00D70C13">
        <w:rPr>
          <w:rFonts w:ascii="Calibri" w:eastAsia="Calibri" w:hAnsi="Calibri"/>
          <w:lang w:eastAsia="en-US"/>
        </w:rPr>
        <w:t>, jeho</w:t>
      </w:r>
      <w:r w:rsidR="00BB072A">
        <w:rPr>
          <w:rFonts w:ascii="Calibri" w:eastAsia="Calibri" w:hAnsi="Calibri"/>
          <w:lang w:eastAsia="en-US"/>
        </w:rPr>
        <w:t>ž cílem je zabránit finančním a </w:t>
      </w:r>
      <w:r w:rsidRPr="00D70C13">
        <w:rPr>
          <w:rFonts w:ascii="Calibri" w:eastAsia="Calibri" w:hAnsi="Calibri"/>
          <w:lang w:eastAsia="en-US"/>
        </w:rPr>
        <w:t>dluhovým krizím.</w:t>
      </w:r>
      <w:r>
        <w:rPr>
          <w:rFonts w:ascii="Calibri" w:eastAsia="Calibri" w:hAnsi="Calibri"/>
          <w:lang w:eastAsia="en-US"/>
        </w:rPr>
        <w:t xml:space="preserve"> </w:t>
      </w:r>
      <w:r w:rsidRPr="00D70C13">
        <w:rPr>
          <w:rFonts w:ascii="Calibri" w:eastAsia="Calibri" w:hAnsi="Calibri"/>
          <w:lang w:eastAsia="en-US"/>
        </w:rPr>
        <w:t>Předsednictví rovněž dosáhlo dohody s Evropským parlamentem ohledně </w:t>
      </w:r>
      <w:r w:rsidRPr="00D70C13">
        <w:rPr>
          <w:rFonts w:ascii="Calibri" w:eastAsia="Calibri" w:hAnsi="Calibri"/>
          <w:bCs/>
          <w:lang w:eastAsia="en-US"/>
        </w:rPr>
        <w:t>směrnice o ozdravných postupech a řešení problémů bank a směrnice o systémech pojištění vkladů</w:t>
      </w:r>
      <w:r w:rsidRPr="00D70C13">
        <w:rPr>
          <w:rFonts w:ascii="Calibri" w:eastAsia="Calibri" w:hAnsi="Calibri"/>
          <w:lang w:eastAsia="en-US"/>
        </w:rPr>
        <w:t>, které vytvoří pevný základ pro větší finanční stabilitu v EU.</w:t>
      </w:r>
      <w:r>
        <w:rPr>
          <w:rFonts w:ascii="Calibri" w:eastAsia="Calibri" w:hAnsi="Calibri"/>
          <w:lang w:eastAsia="en-US"/>
        </w:rPr>
        <w:t xml:space="preserve"> </w:t>
      </w:r>
      <w:r w:rsidRPr="00D70C13">
        <w:rPr>
          <w:rFonts w:ascii="Calibri" w:eastAsia="Calibri" w:hAnsi="Calibri"/>
          <w:lang w:eastAsia="en-US"/>
        </w:rPr>
        <w:t>Během posledních dnů litevského předsednictví se Rada rovněž dohodla na svém postoji k </w:t>
      </w:r>
      <w:r w:rsidRPr="00D70C13">
        <w:rPr>
          <w:rFonts w:ascii="Calibri" w:eastAsia="Calibri" w:hAnsi="Calibri"/>
          <w:bCs/>
          <w:lang w:eastAsia="en-US"/>
        </w:rPr>
        <w:t>jednotnému mechanismu pro řešení problémů bank</w:t>
      </w:r>
      <w:r w:rsidRPr="00D70C13">
        <w:rPr>
          <w:rFonts w:ascii="Calibri" w:eastAsia="Calibri" w:hAnsi="Calibri"/>
          <w:lang w:eastAsia="en-US"/>
        </w:rPr>
        <w:t>, který je dalším důležitým prvkem bankovní unie.</w:t>
      </w:r>
    </w:p>
    <w:p w:rsidR="00D70C13" w:rsidRPr="00D70C13" w:rsidRDefault="00D70C13" w:rsidP="00D70C13">
      <w:pPr>
        <w:pStyle w:val="Nadpis2"/>
        <w:shd w:val="clear" w:color="auto" w:fill="FFFFFF"/>
        <w:spacing w:before="288" w:after="144" w:line="240" w:lineRule="auto"/>
        <w:jc w:val="both"/>
        <w:rPr>
          <w:rFonts w:eastAsia="Calibri"/>
          <w:b w:val="0"/>
          <w:bCs w:val="0"/>
          <w:iCs w:val="0"/>
          <w:sz w:val="24"/>
          <w:szCs w:val="24"/>
        </w:rPr>
      </w:pPr>
      <w:r w:rsidRPr="00D70C13">
        <w:rPr>
          <w:rFonts w:eastAsia="Calibri"/>
          <w:bCs w:val="0"/>
          <w:iCs w:val="0"/>
          <w:sz w:val="24"/>
          <w:szCs w:val="24"/>
        </w:rPr>
        <w:t>Rostoucí Evropa</w:t>
      </w:r>
    </w:p>
    <w:p w:rsidR="00D70C13" w:rsidRPr="00D70C13" w:rsidRDefault="00D70C13" w:rsidP="00D70C13">
      <w:pPr>
        <w:pStyle w:val="Normlnweb"/>
        <w:shd w:val="clear" w:color="auto" w:fill="FFFFFF"/>
        <w:spacing w:before="0" w:beforeAutospacing="0" w:after="0" w:afterAutospacing="0"/>
        <w:jc w:val="both"/>
        <w:rPr>
          <w:rFonts w:ascii="Calibri" w:eastAsia="Calibri" w:hAnsi="Calibri"/>
          <w:lang w:eastAsia="en-US"/>
        </w:rPr>
      </w:pPr>
      <w:r w:rsidRPr="00D70C13">
        <w:rPr>
          <w:rFonts w:ascii="Calibri" w:eastAsia="Calibri" w:hAnsi="Calibri"/>
          <w:lang w:eastAsia="en-US"/>
        </w:rPr>
        <w:t>Mezi nejdůležitější cíle, které byly v této oblasti stanoveny, patřil tzv. </w:t>
      </w:r>
      <w:r w:rsidRPr="00D70C13">
        <w:rPr>
          <w:rFonts w:ascii="Calibri" w:eastAsia="Calibri" w:hAnsi="Calibri"/>
          <w:bCs/>
          <w:lang w:eastAsia="en-US"/>
        </w:rPr>
        <w:t>rozpočtový balíček</w:t>
      </w:r>
      <w:r w:rsidR="00BB072A">
        <w:rPr>
          <w:rFonts w:ascii="Calibri" w:eastAsia="Calibri" w:hAnsi="Calibri"/>
          <w:lang w:eastAsia="en-US"/>
        </w:rPr>
        <w:t>, a to </w:t>
      </w:r>
      <w:r w:rsidRPr="00D70C13">
        <w:rPr>
          <w:rFonts w:ascii="Calibri" w:eastAsia="Calibri" w:hAnsi="Calibri"/>
          <w:lang w:eastAsia="en-US"/>
        </w:rPr>
        <w:t>konkrétně hlasování o víceletém finančním rámci a dohoda o právních aktech s tímto rámcem souvisejících, o rozpočtu na rok 2014 a dalších prostředcích na výdaje v roce 2013.</w:t>
      </w:r>
      <w:r>
        <w:rPr>
          <w:rFonts w:ascii="Calibri" w:eastAsia="Calibri" w:hAnsi="Calibri"/>
          <w:lang w:eastAsia="en-US"/>
        </w:rPr>
        <w:t xml:space="preserve"> D</w:t>
      </w:r>
      <w:r w:rsidRPr="00D70C13">
        <w:rPr>
          <w:rFonts w:ascii="Calibri" w:eastAsia="Calibri" w:hAnsi="Calibri"/>
          <w:lang w:eastAsia="en-US"/>
        </w:rPr>
        <w:t>íky</w:t>
      </w:r>
      <w:r>
        <w:rPr>
          <w:rFonts w:ascii="Calibri" w:eastAsia="Calibri" w:hAnsi="Calibri"/>
          <w:lang w:eastAsia="en-US"/>
        </w:rPr>
        <w:t xml:space="preserve"> tomuto</w:t>
      </w:r>
      <w:r w:rsidRPr="00D70C13">
        <w:rPr>
          <w:rFonts w:ascii="Calibri" w:eastAsia="Calibri" w:hAnsi="Calibri"/>
          <w:lang w:eastAsia="en-US"/>
        </w:rPr>
        <w:t xml:space="preserve"> balíčku mohou </w:t>
      </w:r>
      <w:r>
        <w:rPr>
          <w:rFonts w:ascii="Calibri" w:eastAsia="Calibri" w:hAnsi="Calibri"/>
          <w:lang w:eastAsia="en-US"/>
        </w:rPr>
        <w:t>občasné EU</w:t>
      </w:r>
      <w:r w:rsidRPr="00D70C13">
        <w:rPr>
          <w:rFonts w:ascii="Calibri" w:eastAsia="Calibri" w:hAnsi="Calibri"/>
          <w:lang w:eastAsia="en-US"/>
        </w:rPr>
        <w:t xml:space="preserve"> využívat jednotlivých programů </w:t>
      </w:r>
      <w:r>
        <w:rPr>
          <w:rFonts w:ascii="Calibri" w:eastAsia="Calibri" w:hAnsi="Calibri"/>
          <w:lang w:eastAsia="en-US"/>
        </w:rPr>
        <w:t xml:space="preserve">EU </w:t>
      </w:r>
      <w:r w:rsidR="00BB072A">
        <w:rPr>
          <w:rFonts w:ascii="Calibri" w:eastAsia="Calibri" w:hAnsi="Calibri"/>
          <w:lang w:eastAsia="en-US"/>
        </w:rPr>
        <w:t>již od 1. ledna </w:t>
      </w:r>
      <w:r w:rsidRPr="00D70C13">
        <w:rPr>
          <w:rFonts w:ascii="Calibri" w:eastAsia="Calibri" w:hAnsi="Calibri"/>
          <w:lang w:eastAsia="en-US"/>
        </w:rPr>
        <w:t>2014. Programy zaměřené na </w:t>
      </w:r>
      <w:r w:rsidRPr="00D70C13">
        <w:rPr>
          <w:rFonts w:ascii="Calibri" w:eastAsia="Calibri" w:hAnsi="Calibri"/>
          <w:bCs/>
          <w:lang w:eastAsia="en-US"/>
        </w:rPr>
        <w:t xml:space="preserve">zaměstnanost mladých lidí, </w:t>
      </w:r>
      <w:r>
        <w:rPr>
          <w:rFonts w:ascii="Calibri" w:eastAsia="Calibri" w:hAnsi="Calibri"/>
          <w:bCs/>
          <w:lang w:eastAsia="en-US"/>
        </w:rPr>
        <w:t xml:space="preserve">vzdělávání, </w:t>
      </w:r>
      <w:r w:rsidR="00BB072A">
        <w:rPr>
          <w:rFonts w:ascii="Calibri" w:eastAsia="Calibri" w:hAnsi="Calibri"/>
          <w:bCs/>
          <w:lang w:eastAsia="en-US"/>
        </w:rPr>
        <w:t>vědu, výzkum a </w:t>
      </w:r>
      <w:r w:rsidRPr="00D70C13">
        <w:rPr>
          <w:rFonts w:ascii="Calibri" w:eastAsia="Calibri" w:hAnsi="Calibri"/>
          <w:bCs/>
          <w:lang w:eastAsia="en-US"/>
        </w:rPr>
        <w:t>inovace</w:t>
      </w:r>
      <w:r w:rsidRPr="00D70C13">
        <w:rPr>
          <w:rFonts w:ascii="Calibri" w:eastAsia="Calibri" w:hAnsi="Calibri"/>
          <w:lang w:eastAsia="en-US"/>
        </w:rPr>
        <w:t> </w:t>
      </w:r>
      <w:r>
        <w:rPr>
          <w:rFonts w:ascii="Calibri" w:eastAsia="Calibri" w:hAnsi="Calibri"/>
          <w:lang w:eastAsia="en-US"/>
        </w:rPr>
        <w:t>mají především napomoci</w:t>
      </w:r>
      <w:r w:rsidRPr="00D70C13">
        <w:rPr>
          <w:rFonts w:ascii="Calibri" w:eastAsia="Calibri" w:hAnsi="Calibri"/>
          <w:lang w:eastAsia="en-US"/>
        </w:rPr>
        <w:t xml:space="preserve"> tomu, aby se Evropa stala na globálním trhu</w:t>
      </w:r>
      <w:r w:rsidRPr="00D70C13">
        <w:rPr>
          <w:rFonts w:ascii="Calibri" w:eastAsia="Calibri" w:hAnsi="Calibri"/>
          <w:bCs/>
          <w:lang w:eastAsia="en-US"/>
        </w:rPr>
        <w:t> </w:t>
      </w:r>
      <w:r>
        <w:rPr>
          <w:rFonts w:ascii="Calibri" w:eastAsia="Calibri" w:hAnsi="Calibri"/>
          <w:lang w:eastAsia="en-US"/>
        </w:rPr>
        <w:t>konkurenceschopnější.</w:t>
      </w:r>
    </w:p>
    <w:p w:rsidR="00D70C13" w:rsidRPr="00D70C13" w:rsidRDefault="00D70C13" w:rsidP="00D70C13">
      <w:pPr>
        <w:pStyle w:val="Nadpis2"/>
        <w:shd w:val="clear" w:color="auto" w:fill="FFFFFF"/>
        <w:spacing w:before="288" w:after="144" w:line="240" w:lineRule="auto"/>
        <w:jc w:val="both"/>
        <w:rPr>
          <w:rFonts w:eastAsia="Calibri"/>
          <w:bCs w:val="0"/>
          <w:iCs w:val="0"/>
          <w:sz w:val="24"/>
          <w:szCs w:val="24"/>
        </w:rPr>
      </w:pPr>
      <w:r w:rsidRPr="00D70C13">
        <w:rPr>
          <w:rFonts w:eastAsia="Calibri"/>
          <w:bCs w:val="0"/>
          <w:iCs w:val="0"/>
          <w:sz w:val="24"/>
          <w:szCs w:val="24"/>
        </w:rPr>
        <w:t>Otevřená Evropa</w:t>
      </w:r>
    </w:p>
    <w:p w:rsidR="00D70C13" w:rsidRPr="00D70C13" w:rsidRDefault="00D70C13" w:rsidP="00D70C13">
      <w:pPr>
        <w:pStyle w:val="Normlnweb"/>
        <w:shd w:val="clear" w:color="auto" w:fill="FFFFFF"/>
        <w:spacing w:before="0" w:beforeAutospacing="0" w:after="0" w:afterAutospacing="0"/>
        <w:jc w:val="both"/>
        <w:rPr>
          <w:rFonts w:ascii="Calibri" w:eastAsia="Calibri" w:hAnsi="Calibri"/>
          <w:lang w:eastAsia="en-US"/>
        </w:rPr>
      </w:pPr>
      <w:r w:rsidRPr="00D70C13">
        <w:rPr>
          <w:rFonts w:ascii="Calibri" w:eastAsia="Calibri" w:hAnsi="Calibri"/>
          <w:lang w:eastAsia="en-US"/>
        </w:rPr>
        <w:t>Pokud jde o program EU v oblasti obchodu, litevské předsednictví dokončilo první tři kola jednání o</w:t>
      </w:r>
      <w:r w:rsidR="00101801">
        <w:rPr>
          <w:rFonts w:ascii="Calibri" w:eastAsia="Calibri" w:hAnsi="Calibri"/>
          <w:lang w:eastAsia="en-US"/>
        </w:rPr>
        <w:t xml:space="preserve"> </w:t>
      </w:r>
      <w:r w:rsidRPr="00D70C13">
        <w:rPr>
          <w:rFonts w:ascii="Calibri" w:eastAsia="Calibri" w:hAnsi="Calibri"/>
          <w:bCs/>
          <w:lang w:eastAsia="en-US"/>
        </w:rPr>
        <w:t>transatlantickém partnerství v oblasti obchodu a investic</w:t>
      </w:r>
      <w:r w:rsidRPr="00D70C13">
        <w:rPr>
          <w:rFonts w:ascii="Calibri" w:eastAsia="Calibri" w:hAnsi="Calibri"/>
          <w:lang w:eastAsia="en-US"/>
        </w:rPr>
        <w:t> a </w:t>
      </w:r>
      <w:r w:rsidRPr="00D70C13">
        <w:rPr>
          <w:rFonts w:ascii="Calibri" w:eastAsia="Calibri" w:hAnsi="Calibri"/>
          <w:bCs/>
          <w:lang w:eastAsia="en-US"/>
        </w:rPr>
        <w:t>jednání o volném obchodu s Kanadou.</w:t>
      </w:r>
      <w:r w:rsidR="00101801">
        <w:rPr>
          <w:rFonts w:ascii="Calibri" w:eastAsia="Calibri" w:hAnsi="Calibri"/>
          <w:lang w:eastAsia="en-US"/>
        </w:rPr>
        <w:t xml:space="preserve"> Jednou z nejvýznamnějších</w:t>
      </w:r>
      <w:r w:rsidRPr="00D70C13">
        <w:rPr>
          <w:rFonts w:ascii="Calibri" w:eastAsia="Calibri" w:hAnsi="Calibri"/>
          <w:lang w:eastAsia="en-US"/>
        </w:rPr>
        <w:t xml:space="preserve"> událostí litevského předsednictví byl listopadový </w:t>
      </w:r>
      <w:r w:rsidR="00101801">
        <w:rPr>
          <w:rFonts w:ascii="Calibri" w:eastAsia="Calibri" w:hAnsi="Calibri"/>
          <w:bCs/>
          <w:lang w:eastAsia="en-US"/>
        </w:rPr>
        <w:t>summit Východního partnerství</w:t>
      </w:r>
      <w:r w:rsidRPr="00D70C13">
        <w:rPr>
          <w:rFonts w:ascii="Calibri" w:eastAsia="Calibri" w:hAnsi="Calibri"/>
          <w:lang w:eastAsia="en-US"/>
        </w:rPr>
        <w:t> </w:t>
      </w:r>
      <w:r w:rsidRPr="00D70C13">
        <w:rPr>
          <w:rFonts w:ascii="Calibri" w:eastAsia="Calibri" w:hAnsi="Calibri"/>
          <w:bCs/>
          <w:lang w:eastAsia="en-US"/>
        </w:rPr>
        <w:t>ve Vilniusu</w:t>
      </w:r>
      <w:r w:rsidR="00101801">
        <w:rPr>
          <w:rFonts w:ascii="Calibri" w:eastAsia="Calibri" w:hAnsi="Calibri"/>
          <w:lang w:eastAsia="en-US"/>
        </w:rPr>
        <w:t>, které litevské předsednictví – d</w:t>
      </w:r>
      <w:r w:rsidRPr="00D70C13">
        <w:rPr>
          <w:rFonts w:ascii="Calibri" w:eastAsia="Calibri" w:hAnsi="Calibri"/>
          <w:lang w:eastAsia="en-US"/>
        </w:rPr>
        <w:t>íky výraznému zastoupení členských států, vyjádřené s</w:t>
      </w:r>
      <w:r w:rsidR="00BB072A">
        <w:rPr>
          <w:rFonts w:ascii="Calibri" w:eastAsia="Calibri" w:hAnsi="Calibri"/>
          <w:lang w:eastAsia="en-US"/>
        </w:rPr>
        <w:t>olidaritě a upřímným diskusím o </w:t>
      </w:r>
      <w:r w:rsidRPr="00D70C13">
        <w:rPr>
          <w:rFonts w:ascii="Calibri" w:eastAsia="Calibri" w:hAnsi="Calibri"/>
          <w:lang w:eastAsia="en-US"/>
        </w:rPr>
        <w:t>budoucnosti</w:t>
      </w:r>
      <w:r w:rsidR="00101801">
        <w:rPr>
          <w:rFonts w:ascii="Calibri" w:eastAsia="Calibri" w:hAnsi="Calibri"/>
          <w:lang w:eastAsia="en-US"/>
        </w:rPr>
        <w:t xml:space="preserve"> – hodnotí jako významný příspěvek k posílení konceptu </w:t>
      </w:r>
      <w:r w:rsidRPr="00D70C13">
        <w:rPr>
          <w:rFonts w:ascii="Calibri" w:eastAsia="Calibri" w:hAnsi="Calibri"/>
          <w:lang w:eastAsia="en-US"/>
        </w:rPr>
        <w:t>Východní</w:t>
      </w:r>
      <w:r w:rsidR="00101801">
        <w:rPr>
          <w:rFonts w:ascii="Calibri" w:eastAsia="Calibri" w:hAnsi="Calibri"/>
          <w:lang w:eastAsia="en-US"/>
        </w:rPr>
        <w:t>ho partnerství.</w:t>
      </w:r>
    </w:p>
    <w:p w:rsidR="00D70C13" w:rsidRPr="00D70C13" w:rsidRDefault="00D70C13" w:rsidP="00BB072A">
      <w:pPr>
        <w:pStyle w:val="Normlnweb"/>
        <w:shd w:val="clear" w:color="auto" w:fill="FFFFFF"/>
        <w:spacing w:before="240" w:beforeAutospacing="0" w:after="120" w:afterAutospacing="0"/>
        <w:jc w:val="both"/>
        <w:rPr>
          <w:rFonts w:ascii="Calibri" w:eastAsia="Calibri" w:hAnsi="Calibri"/>
          <w:lang w:eastAsia="en-US"/>
        </w:rPr>
      </w:pPr>
      <w:r w:rsidRPr="00D70C13">
        <w:rPr>
          <w:rFonts w:ascii="Calibri" w:eastAsia="Calibri" w:hAnsi="Calibri"/>
          <w:lang w:eastAsia="en-US"/>
        </w:rPr>
        <w:t xml:space="preserve">Mezi další úspěchy </w:t>
      </w:r>
      <w:r w:rsidR="00101801">
        <w:rPr>
          <w:rFonts w:ascii="Calibri" w:eastAsia="Calibri" w:hAnsi="Calibri"/>
          <w:lang w:eastAsia="en-US"/>
        </w:rPr>
        <w:t xml:space="preserve">litevského předsednictví </w:t>
      </w:r>
      <w:r w:rsidRPr="00D70C13">
        <w:rPr>
          <w:rFonts w:ascii="Calibri" w:eastAsia="Calibri" w:hAnsi="Calibri"/>
          <w:lang w:eastAsia="en-US"/>
        </w:rPr>
        <w:t>rovněž patří:</w:t>
      </w:r>
    </w:p>
    <w:p w:rsidR="00101801" w:rsidRPr="00101801" w:rsidRDefault="00D70C13" w:rsidP="00EA3710">
      <w:pPr>
        <w:pStyle w:val="Normlnweb"/>
        <w:numPr>
          <w:ilvl w:val="0"/>
          <w:numId w:val="18"/>
        </w:numPr>
        <w:shd w:val="clear" w:color="auto" w:fill="FFFFFF"/>
        <w:spacing w:before="0" w:beforeAutospacing="0" w:after="0" w:afterAutospacing="0"/>
        <w:jc w:val="both"/>
        <w:rPr>
          <w:rFonts w:ascii="Calibri" w:eastAsia="Calibri" w:hAnsi="Calibri"/>
          <w:lang w:eastAsia="en-US"/>
        </w:rPr>
      </w:pPr>
      <w:r w:rsidRPr="00D70C13">
        <w:rPr>
          <w:rFonts w:ascii="Calibri" w:eastAsia="Calibri" w:hAnsi="Calibri"/>
          <w:lang w:eastAsia="en-US"/>
        </w:rPr>
        <w:t>pokrok v </w:t>
      </w:r>
      <w:r w:rsidRPr="00D70C13">
        <w:rPr>
          <w:rFonts w:ascii="Calibri" w:eastAsia="Calibri" w:hAnsi="Calibri"/>
          <w:b/>
          <w:bCs/>
          <w:lang w:eastAsia="en-US"/>
        </w:rPr>
        <w:t>agendě rozšíření</w:t>
      </w:r>
      <w:r w:rsidRPr="00D70C13">
        <w:rPr>
          <w:rFonts w:ascii="Calibri" w:eastAsia="Calibri" w:hAnsi="Calibri"/>
          <w:lang w:eastAsia="en-US"/>
        </w:rPr>
        <w:t>, zejména pokud jde o </w:t>
      </w:r>
      <w:r w:rsidR="00101801">
        <w:rPr>
          <w:rFonts w:ascii="Calibri" w:eastAsia="Calibri" w:hAnsi="Calibri"/>
          <w:b/>
          <w:bCs/>
          <w:lang w:eastAsia="en-US"/>
        </w:rPr>
        <w:t>Turecko, Srbsko a Černou Horou</w:t>
      </w:r>
    </w:p>
    <w:p w:rsidR="00101801" w:rsidRPr="00101801" w:rsidRDefault="00D70C13" w:rsidP="00EA3710">
      <w:pPr>
        <w:pStyle w:val="Normlnweb"/>
        <w:numPr>
          <w:ilvl w:val="0"/>
          <w:numId w:val="18"/>
        </w:numPr>
        <w:shd w:val="clear" w:color="auto" w:fill="FFFFFF"/>
        <w:spacing w:before="0" w:beforeAutospacing="0" w:after="0" w:afterAutospacing="0"/>
        <w:jc w:val="both"/>
        <w:rPr>
          <w:rFonts w:ascii="Calibri" w:eastAsia="Calibri" w:hAnsi="Calibri"/>
          <w:lang w:eastAsia="en-US"/>
        </w:rPr>
      </w:pPr>
      <w:r w:rsidRPr="00101801">
        <w:rPr>
          <w:rFonts w:ascii="Calibri" w:hAnsi="Calibri"/>
        </w:rPr>
        <w:t>parafování</w:t>
      </w:r>
      <w:r w:rsidRPr="00101801">
        <w:rPr>
          <w:rFonts w:ascii="Calibri" w:eastAsia="Calibri" w:hAnsi="Calibri"/>
        </w:rPr>
        <w:t> </w:t>
      </w:r>
      <w:r w:rsidRPr="00101801">
        <w:rPr>
          <w:rFonts w:ascii="Calibri" w:hAnsi="Calibri"/>
          <w:b/>
          <w:bCs/>
        </w:rPr>
        <w:t>dohody s</w:t>
      </w:r>
      <w:r w:rsidRPr="00101801">
        <w:rPr>
          <w:rFonts w:ascii="Calibri" w:eastAsia="Calibri" w:hAnsi="Calibri"/>
        </w:rPr>
        <w:t> </w:t>
      </w:r>
      <w:r w:rsidRPr="00101801">
        <w:rPr>
          <w:rFonts w:ascii="Calibri" w:hAnsi="Calibri"/>
          <w:b/>
          <w:bCs/>
        </w:rPr>
        <w:t>Moldavskem</w:t>
      </w:r>
      <w:r w:rsidRPr="00101801">
        <w:rPr>
          <w:rFonts w:ascii="Calibri" w:eastAsia="Calibri" w:hAnsi="Calibri"/>
        </w:rPr>
        <w:t> </w:t>
      </w:r>
      <w:r w:rsidRPr="00101801">
        <w:rPr>
          <w:rFonts w:ascii="Calibri" w:hAnsi="Calibri"/>
        </w:rPr>
        <w:t>a</w:t>
      </w:r>
      <w:r w:rsidRPr="00101801">
        <w:rPr>
          <w:rFonts w:ascii="Calibri" w:eastAsia="Calibri" w:hAnsi="Calibri"/>
        </w:rPr>
        <w:t> </w:t>
      </w:r>
      <w:r w:rsidRPr="00101801">
        <w:rPr>
          <w:rFonts w:ascii="Calibri" w:hAnsi="Calibri"/>
          <w:b/>
          <w:bCs/>
        </w:rPr>
        <w:t>Gruzií o politickém přidružení a hospodářské integraci</w:t>
      </w:r>
    </w:p>
    <w:p w:rsidR="00D70C13" w:rsidRPr="00101801" w:rsidRDefault="00D70C13" w:rsidP="00EA3710">
      <w:pPr>
        <w:pStyle w:val="Normlnweb"/>
        <w:numPr>
          <w:ilvl w:val="0"/>
          <w:numId w:val="18"/>
        </w:numPr>
        <w:shd w:val="clear" w:color="auto" w:fill="FFFFFF"/>
        <w:spacing w:before="0" w:beforeAutospacing="0" w:after="0" w:afterAutospacing="0"/>
        <w:jc w:val="both"/>
        <w:rPr>
          <w:rFonts w:ascii="Calibri" w:eastAsia="Calibri" w:hAnsi="Calibri"/>
          <w:lang w:eastAsia="en-US"/>
        </w:rPr>
      </w:pPr>
      <w:r w:rsidRPr="00101801">
        <w:rPr>
          <w:rFonts w:ascii="Calibri" w:hAnsi="Calibri"/>
        </w:rPr>
        <w:t>podpis</w:t>
      </w:r>
      <w:r w:rsidRPr="00101801">
        <w:rPr>
          <w:rFonts w:ascii="Calibri" w:eastAsia="Calibri" w:hAnsi="Calibri"/>
        </w:rPr>
        <w:t> </w:t>
      </w:r>
      <w:r w:rsidRPr="00101801">
        <w:rPr>
          <w:rFonts w:ascii="Calibri" w:hAnsi="Calibri"/>
          <w:b/>
          <w:bCs/>
        </w:rPr>
        <w:t>dohody o zjednodušení vízového režimu</w:t>
      </w:r>
      <w:r w:rsidRPr="00101801">
        <w:rPr>
          <w:rFonts w:ascii="Calibri" w:eastAsia="Calibri" w:hAnsi="Calibri"/>
        </w:rPr>
        <w:t> </w:t>
      </w:r>
      <w:r w:rsidRPr="00101801">
        <w:rPr>
          <w:rFonts w:ascii="Calibri" w:hAnsi="Calibri"/>
        </w:rPr>
        <w:t>s</w:t>
      </w:r>
      <w:r w:rsidRPr="00101801">
        <w:rPr>
          <w:rFonts w:ascii="Calibri" w:eastAsia="Calibri" w:hAnsi="Calibri"/>
        </w:rPr>
        <w:t> </w:t>
      </w:r>
      <w:r w:rsidRPr="00101801">
        <w:rPr>
          <w:rFonts w:ascii="Calibri" w:hAnsi="Calibri"/>
          <w:b/>
          <w:bCs/>
        </w:rPr>
        <w:t>Ázerbájdžánem</w:t>
      </w:r>
    </w:p>
    <w:p w:rsidR="00204460" w:rsidRPr="00422240" w:rsidRDefault="00204460" w:rsidP="00FB1F40">
      <w:pPr>
        <w:pStyle w:val="Nadpis1"/>
      </w:pPr>
      <w:r>
        <w:t xml:space="preserve">Nový program </w:t>
      </w:r>
      <w:r w:rsidR="005E44F5">
        <w:t xml:space="preserve">pro vzdělávání, odbornou přípravu, mládež a sport </w:t>
      </w:r>
      <w:r>
        <w:t>Erasmus+</w:t>
      </w:r>
    </w:p>
    <w:p w:rsidR="00204460" w:rsidRDefault="00204460" w:rsidP="001E0D27">
      <w:pPr>
        <w:spacing w:after="0" w:line="240" w:lineRule="auto"/>
        <w:jc w:val="both"/>
        <w:rPr>
          <w:sz w:val="24"/>
          <w:szCs w:val="24"/>
        </w:rPr>
      </w:pPr>
    </w:p>
    <w:p w:rsidR="00204460" w:rsidRDefault="00204460" w:rsidP="001E0D27">
      <w:pPr>
        <w:spacing w:after="0" w:line="240" w:lineRule="auto"/>
        <w:jc w:val="both"/>
        <w:rPr>
          <w:sz w:val="24"/>
          <w:szCs w:val="24"/>
        </w:rPr>
      </w:pPr>
    </w:p>
    <w:p w:rsidR="009C5225" w:rsidRDefault="00204460" w:rsidP="00204460">
      <w:pPr>
        <w:spacing w:line="240" w:lineRule="auto"/>
        <w:jc w:val="both"/>
        <w:rPr>
          <w:rFonts w:cs="Calibri"/>
          <w:sz w:val="24"/>
          <w:szCs w:val="24"/>
        </w:rPr>
      </w:pPr>
      <w:r w:rsidRPr="00204460">
        <w:rPr>
          <w:rFonts w:cs="Calibri"/>
          <w:sz w:val="24"/>
          <w:szCs w:val="24"/>
        </w:rPr>
        <w:t>Vzhledem k ukončení implementačního období dobíhajících programů</w:t>
      </w:r>
      <w:r w:rsidR="009C5225">
        <w:rPr>
          <w:rFonts w:cs="Calibri"/>
          <w:sz w:val="24"/>
          <w:szCs w:val="24"/>
        </w:rPr>
        <w:t xml:space="preserve"> </w:t>
      </w:r>
      <w:r w:rsidR="00D56102">
        <w:rPr>
          <w:rFonts w:cs="Calibri"/>
          <w:sz w:val="24"/>
          <w:szCs w:val="24"/>
        </w:rPr>
        <w:t xml:space="preserve">(Program celoživotního učení a program Mládež v akci) </w:t>
      </w:r>
      <w:r w:rsidR="009C5225">
        <w:rPr>
          <w:rFonts w:cs="Calibri"/>
          <w:sz w:val="24"/>
          <w:szCs w:val="24"/>
        </w:rPr>
        <w:t>navrhla</w:t>
      </w:r>
      <w:r w:rsidRPr="00204460">
        <w:rPr>
          <w:rFonts w:cs="Calibri"/>
          <w:sz w:val="24"/>
          <w:szCs w:val="24"/>
        </w:rPr>
        <w:t xml:space="preserve"> </w:t>
      </w:r>
      <w:r w:rsidR="009C5225">
        <w:rPr>
          <w:rFonts w:cs="Calibri"/>
          <w:sz w:val="24"/>
          <w:szCs w:val="24"/>
        </w:rPr>
        <w:t>Komise</w:t>
      </w:r>
      <w:r w:rsidRPr="00204460">
        <w:rPr>
          <w:rFonts w:cs="Calibri"/>
          <w:sz w:val="24"/>
          <w:szCs w:val="24"/>
        </w:rPr>
        <w:t xml:space="preserve"> pro nadcházející programové období let 2014–2020 nový program, který pod názvem </w:t>
      </w:r>
      <w:r w:rsidRPr="00BB072A">
        <w:rPr>
          <w:rFonts w:cs="Calibri"/>
          <w:sz w:val="24"/>
          <w:szCs w:val="24"/>
        </w:rPr>
        <w:t>Erasmus+</w:t>
      </w:r>
      <w:r w:rsidRPr="00204460">
        <w:rPr>
          <w:rFonts w:cs="Calibri"/>
          <w:sz w:val="24"/>
          <w:szCs w:val="24"/>
        </w:rPr>
        <w:t> </w:t>
      </w:r>
      <w:r w:rsidR="009C5225">
        <w:rPr>
          <w:rFonts w:cs="Calibri"/>
          <w:sz w:val="24"/>
          <w:szCs w:val="24"/>
        </w:rPr>
        <w:t>nově soustředil</w:t>
      </w:r>
      <w:r w:rsidRPr="00204460">
        <w:rPr>
          <w:rFonts w:cs="Calibri"/>
          <w:sz w:val="24"/>
          <w:szCs w:val="24"/>
        </w:rPr>
        <w:t> všechny dosavadní mezinárodní aktivity EU v oblasti vzdělávání, mládeže a sportu do jednoho rámce a obohatit je o nové prvky</w:t>
      </w:r>
      <w:r w:rsidR="009C5225">
        <w:rPr>
          <w:rFonts w:cs="Calibri"/>
          <w:sz w:val="24"/>
          <w:szCs w:val="24"/>
        </w:rPr>
        <w:t>. Příslušné nařízení Rady EU a E</w:t>
      </w:r>
      <w:r w:rsidR="00BB072A">
        <w:rPr>
          <w:rFonts w:cs="Calibri"/>
          <w:sz w:val="24"/>
          <w:szCs w:val="24"/>
        </w:rPr>
        <w:t>vropského parlamentu, kterým se </w:t>
      </w:r>
      <w:r w:rsidR="009C5225">
        <w:rPr>
          <w:rFonts w:cs="Calibri"/>
          <w:sz w:val="24"/>
          <w:szCs w:val="24"/>
        </w:rPr>
        <w:t xml:space="preserve">zřizuje nový program, bylo přijato v listopadu 2013 a </w:t>
      </w:r>
      <w:r w:rsidR="00BB072A">
        <w:rPr>
          <w:rFonts w:cs="Calibri"/>
          <w:sz w:val="24"/>
          <w:szCs w:val="24"/>
        </w:rPr>
        <w:t>z hlediska politik vzdělávání a </w:t>
      </w:r>
      <w:r w:rsidR="009C5225">
        <w:rPr>
          <w:rFonts w:cs="Calibri"/>
          <w:sz w:val="24"/>
          <w:szCs w:val="24"/>
        </w:rPr>
        <w:t>mládeže jde o nejvýznamnější výsledek litevského předsednictví, které díky několika kompromisním návrhům dokázalo text nařízení prosadit.</w:t>
      </w:r>
    </w:p>
    <w:p w:rsidR="00204460" w:rsidRPr="009C5225" w:rsidRDefault="009C5225" w:rsidP="009C5225">
      <w:pPr>
        <w:spacing w:line="240" w:lineRule="auto"/>
        <w:jc w:val="both"/>
        <w:rPr>
          <w:rFonts w:cs="Calibri"/>
          <w:sz w:val="24"/>
          <w:szCs w:val="24"/>
        </w:rPr>
      </w:pPr>
      <w:r>
        <w:rPr>
          <w:rFonts w:cs="Calibri"/>
          <w:sz w:val="24"/>
          <w:szCs w:val="24"/>
        </w:rPr>
        <w:t>V</w:t>
      </w:r>
      <w:r w:rsidR="00204460" w:rsidRPr="00204460">
        <w:rPr>
          <w:rFonts w:cs="Calibri"/>
          <w:sz w:val="24"/>
          <w:szCs w:val="24"/>
        </w:rPr>
        <w:t xml:space="preserve"> oblasti vysokoškolského vzdělávání </w:t>
      </w:r>
      <w:r>
        <w:rPr>
          <w:rFonts w:cs="Calibri"/>
          <w:sz w:val="24"/>
          <w:szCs w:val="24"/>
        </w:rPr>
        <w:t>mezi novinky patří</w:t>
      </w:r>
      <w:r w:rsidR="00204460" w:rsidRPr="00204460">
        <w:rPr>
          <w:rFonts w:cs="Calibri"/>
          <w:sz w:val="24"/>
          <w:szCs w:val="24"/>
        </w:rPr>
        <w:t xml:space="preserve"> například finanční podpora studentů magisterských programů v zahraničí (záruka za půjčky pro studenty) nebo větší podpora spolupráce vysokých škol s podniky a se zeměmi mimo EU a EHP. Součástí programu je také podpora sportovních aktivit, kde Evropská komise plánuje uplatnit nové kompetence EU v této oblasti; jde o podporu činností zaměřených na získávání, výměnu a šíření zkušeností, především v základní úrovni (tzv. </w:t>
      </w:r>
      <w:r w:rsidR="00204460" w:rsidRPr="009C5225">
        <w:rPr>
          <w:rFonts w:cs="Calibri"/>
          <w:i/>
          <w:sz w:val="24"/>
          <w:szCs w:val="24"/>
        </w:rPr>
        <w:t>grassroot organizations</w:t>
      </w:r>
      <w:r w:rsidR="00204460" w:rsidRPr="00204460">
        <w:rPr>
          <w:rFonts w:cs="Calibri"/>
          <w:sz w:val="24"/>
          <w:szCs w:val="24"/>
        </w:rPr>
        <w:t xml:space="preserve">). Řízení a implementace části programu zaměřené na sport bude nicméně ponecháno na centrální úrovni (výkonná </w:t>
      </w:r>
      <w:r w:rsidR="00204460" w:rsidRPr="009C5225">
        <w:rPr>
          <w:rFonts w:cs="Calibri"/>
          <w:sz w:val="24"/>
          <w:szCs w:val="24"/>
        </w:rPr>
        <w:t xml:space="preserve">agentura EK), nikoli přeneseno na národní autority a agentury. </w:t>
      </w:r>
    </w:p>
    <w:p w:rsidR="009C5225" w:rsidRPr="00BB072A" w:rsidRDefault="009C5225" w:rsidP="009C5225">
      <w:pPr>
        <w:autoSpaceDE w:val="0"/>
        <w:autoSpaceDN w:val="0"/>
        <w:adjustRightInd w:val="0"/>
        <w:spacing w:line="240" w:lineRule="auto"/>
        <w:jc w:val="both"/>
        <w:rPr>
          <w:rFonts w:cs="Calibri"/>
          <w:sz w:val="24"/>
          <w:szCs w:val="24"/>
        </w:rPr>
      </w:pPr>
      <w:r w:rsidRPr="00BB072A">
        <w:rPr>
          <w:rFonts w:cs="Calibri"/>
          <w:sz w:val="24"/>
          <w:szCs w:val="24"/>
        </w:rPr>
        <w:t>Tři pilíře (klíčové aktivity) programu jsou následující:</w:t>
      </w:r>
    </w:p>
    <w:p w:rsidR="009C5225" w:rsidRPr="009C5225" w:rsidRDefault="009C5225" w:rsidP="00EA3710">
      <w:pPr>
        <w:numPr>
          <w:ilvl w:val="0"/>
          <w:numId w:val="10"/>
        </w:numPr>
        <w:autoSpaceDE w:val="0"/>
        <w:autoSpaceDN w:val="0"/>
        <w:adjustRightInd w:val="0"/>
        <w:spacing w:after="120" w:line="240" w:lineRule="auto"/>
        <w:jc w:val="both"/>
        <w:rPr>
          <w:rFonts w:cs="Calibri"/>
          <w:sz w:val="24"/>
          <w:szCs w:val="24"/>
        </w:rPr>
      </w:pPr>
      <w:r w:rsidRPr="009C5225">
        <w:rPr>
          <w:rFonts w:cs="Calibri"/>
          <w:sz w:val="24"/>
          <w:szCs w:val="24"/>
        </w:rPr>
        <w:t>mobilita ve (formálním i neformálním) vzdělávání pro jednotlivce</w:t>
      </w:r>
      <w:r>
        <w:rPr>
          <w:rFonts w:cs="Calibri"/>
          <w:sz w:val="24"/>
          <w:szCs w:val="24"/>
        </w:rPr>
        <w:t xml:space="preserve"> </w:t>
      </w:r>
      <w:r w:rsidRPr="009C5225">
        <w:rPr>
          <w:rFonts w:cs="Calibri"/>
          <w:sz w:val="24"/>
          <w:szCs w:val="24"/>
        </w:rPr>
        <w:t>– např. podpora studijních pobytů studentů vysokých i středních škol, praktické stáže v podnicích, výukové pobyty učitelů v zahraničí, výměny mládeže, dobrovolnická služba</w:t>
      </w:r>
    </w:p>
    <w:p w:rsidR="009C5225" w:rsidRPr="009C5225" w:rsidRDefault="009C5225" w:rsidP="00EA3710">
      <w:pPr>
        <w:numPr>
          <w:ilvl w:val="0"/>
          <w:numId w:val="10"/>
        </w:numPr>
        <w:autoSpaceDE w:val="0"/>
        <w:autoSpaceDN w:val="0"/>
        <w:adjustRightInd w:val="0"/>
        <w:spacing w:after="120" w:line="240" w:lineRule="auto"/>
        <w:jc w:val="both"/>
        <w:rPr>
          <w:rFonts w:cs="Calibri"/>
          <w:sz w:val="24"/>
          <w:szCs w:val="24"/>
        </w:rPr>
      </w:pPr>
      <w:r w:rsidRPr="009C5225">
        <w:rPr>
          <w:rFonts w:cs="Calibri"/>
          <w:sz w:val="24"/>
          <w:szCs w:val="24"/>
        </w:rPr>
        <w:t xml:space="preserve">spolupráce institucí s cílem </w:t>
      </w:r>
      <w:r>
        <w:rPr>
          <w:rFonts w:cs="Calibri"/>
          <w:sz w:val="24"/>
          <w:szCs w:val="24"/>
        </w:rPr>
        <w:t>přenášet inovace a dobrou praxi</w:t>
      </w:r>
      <w:r w:rsidRPr="009C5225">
        <w:rPr>
          <w:rFonts w:cs="Calibri"/>
          <w:sz w:val="24"/>
          <w:szCs w:val="24"/>
        </w:rPr>
        <w:t xml:space="preserve"> – např. spolupráce škol na projektech s výukovým zaměřením, společné výukové programy univerzit s cílem zlepšit konkrétní vzdělávací oblast</w:t>
      </w:r>
    </w:p>
    <w:p w:rsidR="009C5225" w:rsidRDefault="009C5225" w:rsidP="00EA3710">
      <w:pPr>
        <w:numPr>
          <w:ilvl w:val="0"/>
          <w:numId w:val="10"/>
        </w:numPr>
        <w:autoSpaceDE w:val="0"/>
        <w:autoSpaceDN w:val="0"/>
        <w:adjustRightInd w:val="0"/>
        <w:spacing w:after="120" w:line="240" w:lineRule="auto"/>
        <w:jc w:val="both"/>
        <w:rPr>
          <w:rFonts w:cs="Calibri"/>
          <w:sz w:val="24"/>
          <w:szCs w:val="24"/>
        </w:rPr>
      </w:pPr>
      <w:r w:rsidRPr="009C5225">
        <w:rPr>
          <w:rFonts w:cs="Calibri"/>
          <w:sz w:val="24"/>
          <w:szCs w:val="24"/>
        </w:rPr>
        <w:t>podpora reforem v oblasti vzdělávacích politik (týkající se vzdělávání, odborného vzdělávání i mládeže, vč</w:t>
      </w:r>
      <w:r>
        <w:rPr>
          <w:rFonts w:cs="Calibri"/>
          <w:sz w:val="24"/>
          <w:szCs w:val="24"/>
        </w:rPr>
        <w:t>. spolupráce se třetími zeměmi</w:t>
      </w:r>
      <w:r w:rsidRPr="009C5225">
        <w:rPr>
          <w:rFonts w:cs="Calibri"/>
          <w:sz w:val="24"/>
          <w:szCs w:val="24"/>
        </w:rPr>
        <w:t>) – např. zlepšení výukových metod v mezinárodní spolupráce mezi univerzitami či odbornými školami, sledování vývoje vzdělávacích systémů v EU a příprava strategických reformních opatření</w:t>
      </w:r>
    </w:p>
    <w:p w:rsidR="00101801" w:rsidRPr="009C5225" w:rsidRDefault="00101801" w:rsidP="00101801">
      <w:pPr>
        <w:autoSpaceDE w:val="0"/>
        <w:autoSpaceDN w:val="0"/>
        <w:adjustRightInd w:val="0"/>
        <w:spacing w:after="120" w:line="240" w:lineRule="auto"/>
        <w:jc w:val="both"/>
        <w:rPr>
          <w:rFonts w:cs="Calibri"/>
          <w:sz w:val="24"/>
          <w:szCs w:val="24"/>
        </w:rPr>
      </w:pPr>
    </w:p>
    <w:p w:rsidR="00101801" w:rsidRPr="00101801" w:rsidRDefault="00101801" w:rsidP="00101801">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Pr>
          <w:rFonts w:cs="Calibri"/>
          <w:sz w:val="24"/>
          <w:szCs w:val="24"/>
        </w:rPr>
        <w:t>Nový program EU pro vzdělávání, odbornou přípravu, mládež a sp</w:t>
      </w:r>
      <w:r w:rsidR="00D56102">
        <w:rPr>
          <w:rFonts w:cs="Calibri"/>
          <w:sz w:val="24"/>
          <w:szCs w:val="24"/>
        </w:rPr>
        <w:t>ort je zřizován evropským nařízením a jeho ustanovení jsou proto přímo přejímána právním řádem ČR bez nutnosti úpravy stávající legislativy. ČR hodnotí integraci všech tří oblastí do jednoho programu jako úspěch, který může významně přispět k zefektivnění čerpání prostředků z programu i k lepší přehlednosti pro koncového uživatele. ČR během celého vyjednávání nového programu nicméně prosazovala udržení samostatných poltických linií programu pro oblasti vzdělávání a mládeže (kdy podpora sportu je řízena centrálně) a kladně hodnotí, že pro cílové skupiny programu budou zachovány fungující značky dosavadních programů/podprogramů. ČR také jako úspěch Rady a Komise samozřejmě hodnotí fakt, že rozpočet programu byl oproti končícím programům navýšen a že členské státy jsou si vědomy důležitosti, který program Erasmus+ má pro zvyšování dovedností, znalostí a způsobilostí mladých lidí po celé Evropě, pro zvýšení možnosti jejich uplatnění na pracovním trhu a pro posilování jejich zodpovědnosti za společnou Evropu. ČR v současné době pracuje na nastavení systému řízení programu na národní úrovni, kdy zodpovědným vnitrostátním orgánem (národní autoritou) pro správu programu je MŠMT a národní agenturou pro implementaci program</w:t>
      </w:r>
      <w:r w:rsidR="00D72E0E">
        <w:rPr>
          <w:rFonts w:cs="Calibri"/>
          <w:sz w:val="24"/>
          <w:szCs w:val="24"/>
        </w:rPr>
        <w:t xml:space="preserve">u je Dům zahraniční spolupráce. </w:t>
      </w:r>
    </w:p>
    <w:p w:rsidR="009C5225" w:rsidRDefault="009C5225" w:rsidP="00204460">
      <w:pPr>
        <w:spacing w:line="240" w:lineRule="auto"/>
        <w:jc w:val="both"/>
        <w:rPr>
          <w:rFonts w:cs="Calibri"/>
          <w:sz w:val="24"/>
          <w:szCs w:val="24"/>
        </w:rPr>
      </w:pPr>
    </w:p>
    <w:p w:rsidR="00101801" w:rsidRDefault="00101801" w:rsidP="001E0D27">
      <w:pPr>
        <w:spacing w:after="0" w:line="240" w:lineRule="auto"/>
        <w:jc w:val="both"/>
        <w:rPr>
          <w:sz w:val="24"/>
          <w:szCs w:val="24"/>
        </w:rPr>
      </w:pPr>
    </w:p>
    <w:p w:rsidR="00101801" w:rsidRDefault="00101801" w:rsidP="001E0D27">
      <w:pPr>
        <w:spacing w:after="0" w:line="240" w:lineRule="auto"/>
        <w:jc w:val="both"/>
        <w:rPr>
          <w:sz w:val="24"/>
          <w:szCs w:val="24"/>
        </w:rPr>
      </w:pPr>
    </w:p>
    <w:p w:rsidR="00444AF8" w:rsidRDefault="00444AF8" w:rsidP="001E0D27">
      <w:pPr>
        <w:tabs>
          <w:tab w:val="left" w:pos="0"/>
        </w:tabs>
        <w:spacing w:after="0" w:line="240" w:lineRule="auto"/>
        <w:jc w:val="both"/>
      </w:pPr>
    </w:p>
    <w:p w:rsidR="00F73AAF" w:rsidRPr="00422240" w:rsidRDefault="00C8553D" w:rsidP="00FB1F40">
      <w:pPr>
        <w:pStyle w:val="Nadpis1"/>
      </w:pPr>
      <w:bookmarkStart w:id="2" w:name="_Toc315270270"/>
      <w:bookmarkStart w:id="3" w:name="_Toc330379559"/>
      <w:r w:rsidRPr="00422240">
        <w:t>Vzdělávání a odborná příprava</w:t>
      </w:r>
      <w:bookmarkEnd w:id="2"/>
      <w:bookmarkEnd w:id="3"/>
    </w:p>
    <w:p w:rsidR="005D4343" w:rsidRPr="00DB23AF" w:rsidRDefault="005D4343" w:rsidP="001E0D27">
      <w:pPr>
        <w:pStyle w:val="Odstavecseseznamem"/>
        <w:tabs>
          <w:tab w:val="left" w:pos="0"/>
        </w:tabs>
        <w:spacing w:after="0" w:line="240" w:lineRule="auto"/>
        <w:ind w:left="720"/>
        <w:jc w:val="both"/>
        <w:rPr>
          <w:sz w:val="24"/>
          <w:szCs w:val="24"/>
        </w:rPr>
      </w:pPr>
      <w:bookmarkStart w:id="4" w:name="_Toc315270271"/>
      <w:bookmarkStart w:id="5" w:name="_Toc315270276"/>
      <w:bookmarkStart w:id="6" w:name="_Toc330379566"/>
    </w:p>
    <w:bookmarkEnd w:id="4"/>
    <w:p w:rsidR="005D4343" w:rsidRDefault="005D4343" w:rsidP="001E0D27">
      <w:pPr>
        <w:tabs>
          <w:tab w:val="left" w:pos="0"/>
        </w:tabs>
        <w:spacing w:after="0" w:line="240" w:lineRule="auto"/>
        <w:jc w:val="both"/>
        <w:rPr>
          <w:b/>
          <w:i/>
          <w:sz w:val="24"/>
          <w:szCs w:val="24"/>
        </w:rPr>
      </w:pPr>
    </w:p>
    <w:p w:rsidR="005D4343" w:rsidRPr="00036931" w:rsidRDefault="008C6A53" w:rsidP="001E0D27">
      <w:pPr>
        <w:pStyle w:val="Nadpis2"/>
        <w:spacing w:before="0" w:after="0" w:line="240" w:lineRule="auto"/>
        <w:jc w:val="both"/>
        <w:rPr>
          <w:sz w:val="32"/>
          <w:szCs w:val="32"/>
          <w:u w:val="single"/>
        </w:rPr>
      </w:pPr>
      <w:r w:rsidRPr="00036931">
        <w:rPr>
          <w:sz w:val="32"/>
          <w:szCs w:val="32"/>
        </w:rPr>
        <w:t xml:space="preserve">1. </w:t>
      </w:r>
      <w:r w:rsidR="00036931">
        <w:rPr>
          <w:sz w:val="32"/>
          <w:szCs w:val="32"/>
        </w:rPr>
        <w:t>Podpora ú</w:t>
      </w:r>
      <w:r w:rsidRPr="00036931">
        <w:rPr>
          <w:sz w:val="32"/>
          <w:szCs w:val="32"/>
        </w:rPr>
        <w:t>činné</w:t>
      </w:r>
      <w:r w:rsidR="00036931">
        <w:rPr>
          <w:sz w:val="32"/>
          <w:szCs w:val="32"/>
        </w:rPr>
        <w:t>ho</w:t>
      </w:r>
      <w:r w:rsidRPr="00036931">
        <w:rPr>
          <w:sz w:val="32"/>
          <w:szCs w:val="32"/>
        </w:rPr>
        <w:t xml:space="preserve"> vedení</w:t>
      </w:r>
      <w:r w:rsidR="00647CFE" w:rsidRPr="00036931">
        <w:rPr>
          <w:rStyle w:val="Znakapoznpodarou"/>
          <w:sz w:val="32"/>
          <w:szCs w:val="32"/>
        </w:rPr>
        <w:footnoteReference w:id="1"/>
      </w:r>
      <w:r w:rsidRPr="00036931">
        <w:rPr>
          <w:sz w:val="32"/>
          <w:szCs w:val="32"/>
        </w:rPr>
        <w:t xml:space="preserve"> škol</w:t>
      </w:r>
    </w:p>
    <w:p w:rsidR="005D4343" w:rsidRPr="00DB23AF" w:rsidRDefault="005D4343" w:rsidP="001E0D27">
      <w:pPr>
        <w:spacing w:after="0" w:line="240" w:lineRule="auto"/>
        <w:jc w:val="both"/>
        <w:rPr>
          <w:b/>
          <w:i/>
          <w:sz w:val="24"/>
          <w:szCs w:val="24"/>
        </w:rPr>
      </w:pPr>
    </w:p>
    <w:p w:rsidR="00FB50A6" w:rsidRDefault="008C6A53" w:rsidP="001E0D27">
      <w:pPr>
        <w:spacing w:after="0" w:line="240" w:lineRule="auto"/>
        <w:jc w:val="both"/>
        <w:rPr>
          <w:rFonts w:cs="Calibri"/>
          <w:sz w:val="24"/>
          <w:szCs w:val="24"/>
        </w:rPr>
      </w:pPr>
      <w:r>
        <w:rPr>
          <w:rFonts w:cs="Calibri"/>
          <w:sz w:val="24"/>
          <w:szCs w:val="24"/>
        </w:rPr>
        <w:t xml:space="preserve">Podpora práce ředitelů škol, jejich zástupců a dalších vedoucích pracovníků škol jednou z prioritních oblastí strategického rámce evropské spolupráce ve vzdělávání a odborné přípravě (ET 2020). I proto je mu v této agendě evropské spolupráce věnována odpovídající pozornost, naposledy zejména během švédského předsednictví v závěrech Rady </w:t>
      </w:r>
      <w:r w:rsidR="00BB072A">
        <w:rPr>
          <w:rFonts w:cs="Calibri"/>
          <w:sz w:val="24"/>
          <w:szCs w:val="24"/>
        </w:rPr>
        <w:t>z 26. 11. </w:t>
      </w:r>
      <w:r w:rsidRPr="008C6A53">
        <w:rPr>
          <w:rFonts w:cs="Calibri"/>
          <w:sz w:val="24"/>
          <w:szCs w:val="24"/>
        </w:rPr>
        <w:t>2009 k profesnímu rozvoji učitelů a ředitelů škol</w:t>
      </w:r>
      <w:r>
        <w:rPr>
          <w:rFonts w:cs="Calibri"/>
          <w:sz w:val="24"/>
          <w:szCs w:val="24"/>
        </w:rPr>
        <w:t xml:space="preserve"> nebo v závěrech</w:t>
      </w:r>
      <w:r w:rsidRPr="008C6A53">
        <w:rPr>
          <w:rFonts w:cs="Calibri"/>
          <w:sz w:val="24"/>
          <w:szCs w:val="24"/>
        </w:rPr>
        <w:t xml:space="preserve"> Evropské rady z 13. 12. 2012 k</w:t>
      </w:r>
      <w:r w:rsidR="00FB50A6">
        <w:rPr>
          <w:rFonts w:cs="Calibri"/>
          <w:sz w:val="24"/>
          <w:szCs w:val="24"/>
        </w:rPr>
        <w:t> </w:t>
      </w:r>
      <w:r w:rsidRPr="008C6A53">
        <w:rPr>
          <w:rFonts w:cs="Calibri"/>
          <w:sz w:val="24"/>
          <w:szCs w:val="24"/>
        </w:rPr>
        <w:t>iniciativě</w:t>
      </w:r>
      <w:r w:rsidR="00FB50A6">
        <w:rPr>
          <w:rFonts w:cs="Calibri"/>
          <w:sz w:val="24"/>
          <w:szCs w:val="24"/>
        </w:rPr>
        <w:t xml:space="preserve"> Evropské komise</w:t>
      </w:r>
      <w:r w:rsidRPr="008C6A53">
        <w:rPr>
          <w:rFonts w:cs="Calibri"/>
          <w:sz w:val="24"/>
          <w:szCs w:val="24"/>
        </w:rPr>
        <w:t xml:space="preserve"> Přehodnocení vzdělávání</w:t>
      </w:r>
      <w:r w:rsidR="00FB50A6">
        <w:rPr>
          <w:rFonts w:cs="Calibri"/>
          <w:sz w:val="24"/>
          <w:szCs w:val="24"/>
        </w:rPr>
        <w:t xml:space="preserve"> – své stejnojmenné sdělení Evropská komise považuje za přelomovou iniciativu, která nastartovala novou linii jejích politických dokumentů směřujících k formulaci nové agendy evropské spolupráce ve vzdělávání a odborné přípravě a která významným způsobem ovlivnila priority litevského předsednictví v této oblasti.</w:t>
      </w:r>
    </w:p>
    <w:p w:rsidR="00FB50A6" w:rsidRPr="00FB50A6" w:rsidRDefault="00FB50A6" w:rsidP="001E0D27">
      <w:pPr>
        <w:spacing w:before="240" w:line="240" w:lineRule="auto"/>
        <w:jc w:val="both"/>
        <w:rPr>
          <w:rFonts w:cs="Calibri"/>
          <w:sz w:val="24"/>
          <w:szCs w:val="24"/>
        </w:rPr>
      </w:pPr>
      <w:r>
        <w:rPr>
          <w:rFonts w:cs="Calibri"/>
          <w:sz w:val="24"/>
          <w:szCs w:val="24"/>
        </w:rPr>
        <w:t xml:space="preserve">Závěry Rady k účinnému vedení škol, které předsednictví navrhlo a prosadilo na jednání Rady ministrů zodpovědných za vzdělávání, mládež a sport a které navazují především na výše zmíněné dokumenty, </w:t>
      </w:r>
      <w:r w:rsidRPr="00FB50A6">
        <w:rPr>
          <w:rFonts w:cs="Calibri"/>
          <w:sz w:val="24"/>
          <w:szCs w:val="24"/>
        </w:rPr>
        <w:t>zdůrazňují, že význam silného a efektivního vedení vzdělávacích institucí</w:t>
      </w:r>
      <w:r>
        <w:rPr>
          <w:rFonts w:cs="Calibri"/>
          <w:sz w:val="24"/>
          <w:szCs w:val="24"/>
        </w:rPr>
        <w:t xml:space="preserve"> při zlepšování výsledků škol a zvyšování dovedností mladých lidí</w:t>
      </w:r>
      <w:r w:rsidRPr="00FB50A6">
        <w:rPr>
          <w:rFonts w:cs="Calibri"/>
          <w:sz w:val="24"/>
          <w:szCs w:val="24"/>
        </w:rPr>
        <w:t xml:space="preserve"> se </w:t>
      </w:r>
      <w:r>
        <w:rPr>
          <w:rFonts w:cs="Calibri"/>
          <w:sz w:val="24"/>
          <w:szCs w:val="24"/>
        </w:rPr>
        <w:t xml:space="preserve">v Evropě </w:t>
      </w:r>
      <w:r w:rsidRPr="00FB50A6">
        <w:rPr>
          <w:rFonts w:cs="Calibri"/>
          <w:sz w:val="24"/>
          <w:szCs w:val="24"/>
        </w:rPr>
        <w:t xml:space="preserve">stává aktuálnější než kdy dříve, přičemž vedoucí pracovníci škol </w:t>
      </w:r>
      <w:r>
        <w:rPr>
          <w:rFonts w:cs="Calibri"/>
          <w:sz w:val="24"/>
          <w:szCs w:val="24"/>
        </w:rPr>
        <w:t xml:space="preserve">nesou odpovědnost </w:t>
      </w:r>
      <w:r w:rsidRPr="00FB50A6">
        <w:rPr>
          <w:rFonts w:cs="Calibri"/>
          <w:sz w:val="24"/>
          <w:szCs w:val="24"/>
        </w:rPr>
        <w:t>nejen za zvyšování kvality, ale i za práci s lidskými a finančními zdroji</w:t>
      </w:r>
      <w:r>
        <w:rPr>
          <w:rFonts w:cs="Calibri"/>
          <w:sz w:val="24"/>
          <w:szCs w:val="24"/>
        </w:rPr>
        <w:t xml:space="preserve"> a výkon související administrativy</w:t>
      </w:r>
      <w:r w:rsidRPr="00FB50A6">
        <w:rPr>
          <w:rFonts w:cs="Calibri"/>
          <w:sz w:val="24"/>
          <w:szCs w:val="24"/>
        </w:rPr>
        <w:t xml:space="preserve">. Podle </w:t>
      </w:r>
      <w:r>
        <w:rPr>
          <w:rFonts w:cs="Calibri"/>
          <w:sz w:val="24"/>
          <w:szCs w:val="24"/>
        </w:rPr>
        <w:t>předsednictví</w:t>
      </w:r>
      <w:r w:rsidRPr="00FB50A6">
        <w:rPr>
          <w:rFonts w:cs="Calibri"/>
          <w:sz w:val="24"/>
          <w:szCs w:val="24"/>
        </w:rPr>
        <w:t xml:space="preserve"> je třeba, aby ve vedení škol byly uplatňovány jasně rozdělené role a kompetence, aby byly k podpoře vedení škol využívány inovativní přístupy, aby toto povolání neztrácelo na atraktivitě a mělo jasnou kariérní perspektivu, aby měli vedoucí pracovníci škol dostatek prostoru pro svoji práci díky poskytnutí dostatečné flexibility a autonomie, aby byli vybaveni (a vybavován</w:t>
      </w:r>
      <w:r w:rsidR="00BB072A">
        <w:rPr>
          <w:rFonts w:cs="Calibri"/>
          <w:sz w:val="24"/>
          <w:szCs w:val="24"/>
        </w:rPr>
        <w:t>i) odpovídajícími dovednostmi a </w:t>
      </w:r>
      <w:r w:rsidRPr="00FB50A6">
        <w:rPr>
          <w:rFonts w:cs="Calibri"/>
          <w:sz w:val="24"/>
          <w:szCs w:val="24"/>
        </w:rPr>
        <w:t>kompetencemi a aby se učitelé nezdráhali přijímat odp</w:t>
      </w:r>
      <w:r w:rsidR="00BB072A">
        <w:rPr>
          <w:rFonts w:cs="Calibri"/>
          <w:sz w:val="24"/>
          <w:szCs w:val="24"/>
        </w:rPr>
        <w:t>ovědnost za vedení svých škol a </w:t>
      </w:r>
      <w:r w:rsidRPr="00FB50A6">
        <w:rPr>
          <w:rFonts w:cs="Calibri"/>
          <w:sz w:val="24"/>
          <w:szCs w:val="24"/>
        </w:rPr>
        <w:t>stávali se vzdělávacími lídry.</w:t>
      </w:r>
    </w:p>
    <w:p w:rsidR="00FB50A6" w:rsidRPr="00FB50A6" w:rsidRDefault="00FB50A6" w:rsidP="00BB072A">
      <w:pPr>
        <w:spacing w:before="240" w:after="120" w:line="240" w:lineRule="auto"/>
        <w:jc w:val="both"/>
        <w:rPr>
          <w:rFonts w:cs="Calibri"/>
          <w:sz w:val="24"/>
          <w:szCs w:val="24"/>
        </w:rPr>
      </w:pPr>
      <w:r w:rsidRPr="00FB50A6">
        <w:rPr>
          <w:rFonts w:cs="Calibri"/>
          <w:sz w:val="24"/>
          <w:szCs w:val="24"/>
        </w:rPr>
        <w:t xml:space="preserve">S přihlédnutím k tomu – a s vědomím autonomie a pravomocí členských států, ale s přihlédnutím k prokazatelným výsledkům evropské spolupráce v této oblasti – </w:t>
      </w:r>
      <w:r w:rsidR="00647CFE">
        <w:rPr>
          <w:rFonts w:cs="Calibri"/>
          <w:sz w:val="24"/>
          <w:szCs w:val="24"/>
        </w:rPr>
        <w:t>se</w:t>
      </w:r>
      <w:r w:rsidRPr="00FB50A6">
        <w:rPr>
          <w:rFonts w:cs="Calibri"/>
          <w:sz w:val="24"/>
          <w:szCs w:val="24"/>
        </w:rPr>
        <w:t xml:space="preserve"> členské státy </w:t>
      </w:r>
      <w:r w:rsidR="00647CFE">
        <w:rPr>
          <w:rFonts w:cs="Calibri"/>
          <w:sz w:val="24"/>
          <w:szCs w:val="24"/>
        </w:rPr>
        <w:t>přijetím závěrů přihlásily</w:t>
      </w:r>
      <w:r w:rsidRPr="00FB50A6">
        <w:rPr>
          <w:rFonts w:cs="Calibri"/>
          <w:sz w:val="24"/>
          <w:szCs w:val="24"/>
        </w:rPr>
        <w:t xml:space="preserve"> k podniknutí potřebných kroků zejména ve třech klíčových oblastech:</w:t>
      </w:r>
    </w:p>
    <w:p w:rsidR="00FB50A6" w:rsidRPr="00FB50A6" w:rsidRDefault="00FB50A6" w:rsidP="00BB072A">
      <w:pPr>
        <w:numPr>
          <w:ilvl w:val="0"/>
          <w:numId w:val="2"/>
        </w:numPr>
        <w:spacing w:after="0" w:line="240" w:lineRule="auto"/>
        <w:ind w:left="1015" w:hanging="357"/>
        <w:jc w:val="both"/>
        <w:rPr>
          <w:rFonts w:cs="Calibri"/>
          <w:sz w:val="24"/>
          <w:szCs w:val="24"/>
        </w:rPr>
      </w:pPr>
      <w:r w:rsidRPr="00FB50A6">
        <w:rPr>
          <w:rFonts w:cs="Calibri"/>
          <w:sz w:val="24"/>
          <w:szCs w:val="24"/>
        </w:rPr>
        <w:t xml:space="preserve">podpora nových způsobů k zajištění efektivní a zodpovědné autonomie vzdělávacích institucí a jejích vedení </w:t>
      </w:r>
    </w:p>
    <w:p w:rsidR="00FB50A6" w:rsidRPr="00FB50A6" w:rsidRDefault="00FB50A6" w:rsidP="00EA3710">
      <w:pPr>
        <w:numPr>
          <w:ilvl w:val="0"/>
          <w:numId w:val="2"/>
        </w:numPr>
        <w:spacing w:after="0" w:line="240" w:lineRule="auto"/>
        <w:jc w:val="both"/>
        <w:rPr>
          <w:rFonts w:cs="Calibri"/>
          <w:sz w:val="24"/>
          <w:szCs w:val="24"/>
        </w:rPr>
      </w:pPr>
      <w:r w:rsidRPr="00FB50A6">
        <w:rPr>
          <w:rFonts w:cs="Calibri"/>
          <w:sz w:val="24"/>
          <w:szCs w:val="24"/>
        </w:rPr>
        <w:t>posílení atraktivity role vedení školy jako kariérní dráhy</w:t>
      </w:r>
    </w:p>
    <w:p w:rsidR="00FB50A6" w:rsidRPr="00FB50A6" w:rsidRDefault="00FB50A6" w:rsidP="00EA3710">
      <w:pPr>
        <w:numPr>
          <w:ilvl w:val="0"/>
          <w:numId w:val="2"/>
        </w:numPr>
        <w:spacing w:after="0" w:line="240" w:lineRule="auto"/>
        <w:jc w:val="both"/>
        <w:rPr>
          <w:rFonts w:cs="Calibri"/>
          <w:sz w:val="24"/>
          <w:szCs w:val="24"/>
        </w:rPr>
      </w:pPr>
      <w:r w:rsidRPr="00FB50A6">
        <w:rPr>
          <w:rFonts w:cs="Calibri"/>
          <w:sz w:val="24"/>
          <w:szCs w:val="24"/>
        </w:rPr>
        <w:t>prosazování inovativních přístupů při vedení vzdělávacích institucí</w:t>
      </w:r>
    </w:p>
    <w:p w:rsidR="00647CFE" w:rsidRDefault="00FB50A6" w:rsidP="001E0D27">
      <w:pPr>
        <w:spacing w:before="240" w:line="240" w:lineRule="auto"/>
        <w:jc w:val="both"/>
        <w:rPr>
          <w:rFonts w:cs="Calibri"/>
          <w:sz w:val="24"/>
          <w:szCs w:val="24"/>
        </w:rPr>
      </w:pPr>
      <w:r w:rsidRPr="00FB50A6">
        <w:rPr>
          <w:rFonts w:cs="Calibri"/>
          <w:sz w:val="24"/>
          <w:szCs w:val="24"/>
        </w:rPr>
        <w:t xml:space="preserve">Evropská komise </w:t>
      </w:r>
      <w:r w:rsidR="00647CFE">
        <w:rPr>
          <w:rFonts w:cs="Calibri"/>
          <w:sz w:val="24"/>
          <w:szCs w:val="24"/>
        </w:rPr>
        <w:t>bude v souladu</w:t>
      </w:r>
      <w:r w:rsidRPr="00FB50A6">
        <w:rPr>
          <w:rFonts w:cs="Calibri"/>
          <w:sz w:val="24"/>
          <w:szCs w:val="24"/>
        </w:rPr>
        <w:t xml:space="preserve"> </w:t>
      </w:r>
      <w:r w:rsidR="00647CFE">
        <w:rPr>
          <w:rFonts w:cs="Calibri"/>
          <w:sz w:val="24"/>
          <w:szCs w:val="24"/>
        </w:rPr>
        <w:t>přijatých</w:t>
      </w:r>
      <w:r w:rsidRPr="00FB50A6">
        <w:rPr>
          <w:rFonts w:cs="Calibri"/>
          <w:sz w:val="24"/>
          <w:szCs w:val="24"/>
        </w:rPr>
        <w:t xml:space="preserve"> závěrů </w:t>
      </w:r>
      <w:r w:rsidR="00647CFE">
        <w:rPr>
          <w:rFonts w:cs="Calibri"/>
          <w:sz w:val="24"/>
          <w:szCs w:val="24"/>
        </w:rPr>
        <w:t>podporovat</w:t>
      </w:r>
      <w:r w:rsidRPr="00FB50A6">
        <w:rPr>
          <w:rFonts w:cs="Calibri"/>
          <w:sz w:val="24"/>
          <w:szCs w:val="24"/>
        </w:rPr>
        <w:t xml:space="preserve"> členské státy </w:t>
      </w:r>
      <w:r w:rsidR="00647CFE">
        <w:rPr>
          <w:rFonts w:cs="Calibri"/>
          <w:sz w:val="24"/>
          <w:szCs w:val="24"/>
        </w:rPr>
        <w:t>v</w:t>
      </w:r>
      <w:r w:rsidRPr="00FB50A6">
        <w:rPr>
          <w:rFonts w:cs="Calibri"/>
          <w:sz w:val="24"/>
          <w:szCs w:val="24"/>
        </w:rPr>
        <w:t xml:space="preserve"> tom, aby mohly co nejlépe těžit z výstupů evr</w:t>
      </w:r>
      <w:r w:rsidR="00647CFE">
        <w:rPr>
          <w:rFonts w:cs="Calibri"/>
          <w:sz w:val="24"/>
          <w:szCs w:val="24"/>
        </w:rPr>
        <w:t>opské spolupráce ve vzdělávání (</w:t>
      </w:r>
      <w:r w:rsidRPr="00FB50A6">
        <w:rPr>
          <w:rFonts w:cs="Calibri"/>
          <w:sz w:val="24"/>
          <w:szCs w:val="24"/>
        </w:rPr>
        <w:t>zejména mechanismů otevřené koordinace</w:t>
      </w:r>
      <w:r w:rsidR="00647CFE">
        <w:rPr>
          <w:rStyle w:val="Znakapoznpodarou"/>
          <w:rFonts w:cs="Calibri"/>
          <w:sz w:val="24"/>
          <w:szCs w:val="24"/>
        </w:rPr>
        <w:footnoteReference w:id="2"/>
      </w:r>
      <w:r w:rsidR="00647CFE">
        <w:rPr>
          <w:rFonts w:cs="Calibri"/>
          <w:sz w:val="24"/>
          <w:szCs w:val="24"/>
        </w:rPr>
        <w:t>)</w:t>
      </w:r>
      <w:r w:rsidRPr="00FB50A6">
        <w:rPr>
          <w:rFonts w:cs="Calibri"/>
          <w:sz w:val="24"/>
          <w:szCs w:val="24"/>
        </w:rPr>
        <w:t xml:space="preserve"> při sdílení informací a příkladů dobré praxe, včetně dostatečného využívání možností poskytovaných novým programem EU pro vzdělávání, mládež a sport Erasmus+ a jeho prioritní oblasti pro strategickou spolupráci vzdělávacích institucí.   </w:t>
      </w:r>
    </w:p>
    <w:p w:rsidR="00FB50A6" w:rsidRPr="008F1624" w:rsidRDefault="00647CFE" w:rsidP="001E0D27">
      <w:pPr>
        <w:spacing w:before="240" w:line="240" w:lineRule="auto"/>
        <w:jc w:val="both"/>
        <w:rPr>
          <w:rStyle w:val="at1"/>
          <w:rFonts w:cs="Calibri"/>
          <w:sz w:val="24"/>
          <w:szCs w:val="24"/>
        </w:rPr>
      </w:pPr>
      <w:r>
        <w:rPr>
          <w:rFonts w:cs="Calibri"/>
          <w:sz w:val="24"/>
          <w:szCs w:val="24"/>
        </w:rPr>
        <w:t xml:space="preserve">Z diskuze při přípravě závěrů Rady jednoznačně vyplynulo, jak zásadním tématem je pro většinu členských států problém autonomie vedoucích pracovníků škol. Litevské předsednictví (za podpory řady států) považovalo autonomii za základní předpoklad toho, aby mohl ředitel svou školu rozvíjet a zlepšovat výsledky svých žáků; na druhé straně některé státy (zejména Francie) vyzdvihovaly přínosy centrálně řízeného vzdělávacího systému, který může na naplňování cílů vzdělávací politiky dohlížet. Tento problém lze </w:t>
      </w:r>
      <w:r w:rsidR="008F1624">
        <w:rPr>
          <w:rFonts w:cs="Calibri"/>
          <w:sz w:val="24"/>
          <w:szCs w:val="24"/>
        </w:rPr>
        <w:t xml:space="preserve">do budoucna </w:t>
      </w:r>
      <w:r>
        <w:rPr>
          <w:rFonts w:cs="Calibri"/>
          <w:sz w:val="24"/>
          <w:szCs w:val="24"/>
        </w:rPr>
        <w:t xml:space="preserve">považovat za základní překážku případného posilování evropské koordinace v této oblasti. </w:t>
      </w:r>
    </w:p>
    <w:p w:rsidR="005D4343" w:rsidRPr="00F26F2A" w:rsidRDefault="008F1624" w:rsidP="001E0D27">
      <w:pPr>
        <w:tabs>
          <w:tab w:val="left" w:pos="0"/>
        </w:tabs>
        <w:spacing w:after="0" w:line="240" w:lineRule="auto"/>
        <w:jc w:val="both"/>
        <w:rPr>
          <w:rFonts w:cs="Calibri"/>
          <w:b/>
          <w:i/>
          <w:sz w:val="24"/>
          <w:szCs w:val="24"/>
        </w:rPr>
      </w:pPr>
      <w:r>
        <w:rPr>
          <w:rFonts w:cs="Calibri"/>
          <w:b/>
          <w:i/>
          <w:sz w:val="24"/>
          <w:szCs w:val="24"/>
        </w:rPr>
        <w:t xml:space="preserve">Úkoly, ke kterým se </w:t>
      </w:r>
      <w:r w:rsidR="00E0719D">
        <w:rPr>
          <w:rFonts w:cs="Calibri"/>
          <w:b/>
          <w:i/>
          <w:sz w:val="24"/>
          <w:szCs w:val="24"/>
        </w:rPr>
        <w:t>členské státy podporou závěrů Rady přihlásily</w:t>
      </w:r>
      <w:r>
        <w:rPr>
          <w:rFonts w:cs="Calibri"/>
          <w:b/>
          <w:i/>
          <w:sz w:val="24"/>
          <w:szCs w:val="24"/>
        </w:rPr>
        <w:t>:</w:t>
      </w:r>
    </w:p>
    <w:p w:rsidR="005D4343" w:rsidRPr="00DB23AF" w:rsidRDefault="005D4343" w:rsidP="001E0D27">
      <w:pPr>
        <w:tabs>
          <w:tab w:val="left" w:pos="0"/>
        </w:tabs>
        <w:spacing w:after="0" w:line="240" w:lineRule="auto"/>
        <w:ind w:left="720"/>
        <w:jc w:val="both"/>
        <w:rPr>
          <w:rFonts w:cs="Calibri"/>
          <w:b/>
          <w:i/>
          <w:sz w:val="24"/>
          <w:szCs w:val="24"/>
        </w:rPr>
      </w:pPr>
    </w:p>
    <w:p w:rsidR="008F1624" w:rsidRPr="006F4FDD" w:rsidRDefault="008F1624" w:rsidP="00BB072A">
      <w:pPr>
        <w:spacing w:line="240" w:lineRule="auto"/>
        <w:ind w:left="567" w:hanging="567"/>
        <w:jc w:val="both"/>
        <w:outlineLvl w:val="0"/>
        <w:rPr>
          <w:rFonts w:cs="Calibri"/>
          <w:b/>
          <w:sz w:val="24"/>
          <w:szCs w:val="24"/>
        </w:rPr>
      </w:pPr>
      <w:r w:rsidRPr="006F4FDD">
        <w:rPr>
          <w:b/>
          <w:color w:val="000000"/>
          <w:szCs w:val="24"/>
          <w:lang w:eastAsia="cs-CZ"/>
        </w:rPr>
        <w:t>A.</w:t>
      </w:r>
      <w:r w:rsidRPr="006F4FDD">
        <w:rPr>
          <w:b/>
          <w:color w:val="000000"/>
          <w:szCs w:val="24"/>
          <w:lang w:eastAsia="cs-CZ"/>
        </w:rPr>
        <w:tab/>
      </w:r>
      <w:r w:rsidR="006F4FDD">
        <w:rPr>
          <w:rFonts w:cs="Calibri"/>
          <w:b/>
          <w:sz w:val="24"/>
          <w:szCs w:val="24"/>
        </w:rPr>
        <w:t xml:space="preserve">V </w:t>
      </w:r>
      <w:r w:rsidRPr="006F4FDD">
        <w:rPr>
          <w:rFonts w:cs="Calibri"/>
          <w:b/>
          <w:sz w:val="24"/>
          <w:szCs w:val="24"/>
        </w:rPr>
        <w:t>souladu s vnitrostátními podmínkami a s náležitým zohledn</w:t>
      </w:r>
      <w:r w:rsidR="006F4FDD" w:rsidRPr="006F4FDD">
        <w:rPr>
          <w:rFonts w:cs="Calibri"/>
          <w:b/>
          <w:sz w:val="24"/>
          <w:szCs w:val="24"/>
        </w:rPr>
        <w:t>ěním zásady rovnosti podporovat</w:t>
      </w:r>
      <w:r w:rsidRPr="006F4FDD">
        <w:rPr>
          <w:rFonts w:cs="Calibri"/>
          <w:b/>
          <w:sz w:val="24"/>
          <w:szCs w:val="24"/>
        </w:rPr>
        <w:t xml:space="preserve"> nové způsoby prosazování účinné a odpovědné autonomie vzdělávacích zařízení a jejich vedení, a to zejména tím, že:</w:t>
      </w:r>
    </w:p>
    <w:p w:rsidR="008F1624" w:rsidRPr="008F1624" w:rsidRDefault="008F1624" w:rsidP="00BB072A">
      <w:pPr>
        <w:numPr>
          <w:ilvl w:val="0"/>
          <w:numId w:val="3"/>
        </w:numPr>
        <w:spacing w:after="120" w:line="240" w:lineRule="auto"/>
        <w:ind w:left="567" w:hanging="567"/>
        <w:jc w:val="both"/>
        <w:rPr>
          <w:rFonts w:cs="Calibri"/>
          <w:sz w:val="24"/>
          <w:szCs w:val="24"/>
        </w:rPr>
      </w:pPr>
      <w:r w:rsidRPr="008F1624">
        <w:rPr>
          <w:rFonts w:cs="Calibri"/>
          <w:sz w:val="24"/>
          <w:szCs w:val="24"/>
        </w:rPr>
        <w:t>podpoří autonomii vzdělávacích institucí a vedoucích pracovníků v oblasti vzdělávání v souvislosti s pedagogickými otázkami a vnitřním rozdělováním zdrojů a zároveň zajistí, aby měli potřebné prostředky a podporu pro přizpůsobení se konkrétním, měnícím se místním podmínk</w:t>
      </w:r>
      <w:r w:rsidR="006F4FDD">
        <w:rPr>
          <w:rFonts w:cs="Calibri"/>
          <w:sz w:val="24"/>
          <w:szCs w:val="24"/>
        </w:rPr>
        <w:t>ám, a mohli tak účinně reagovat</w:t>
      </w:r>
    </w:p>
    <w:p w:rsidR="008F1624" w:rsidRPr="008F1624" w:rsidRDefault="008F1624" w:rsidP="00BB072A">
      <w:pPr>
        <w:numPr>
          <w:ilvl w:val="0"/>
          <w:numId w:val="3"/>
        </w:numPr>
        <w:spacing w:after="120" w:line="240" w:lineRule="auto"/>
        <w:ind w:left="567" w:hanging="567"/>
        <w:jc w:val="both"/>
        <w:rPr>
          <w:rFonts w:cs="Calibri"/>
          <w:sz w:val="24"/>
          <w:szCs w:val="24"/>
        </w:rPr>
      </w:pPr>
      <w:r w:rsidRPr="008F1624">
        <w:rPr>
          <w:rFonts w:cs="Calibri"/>
          <w:sz w:val="24"/>
          <w:szCs w:val="24"/>
        </w:rPr>
        <w:t>jasně vymezí úlohy a povinnosti a zajistí, aby kompetence, které jsou u vedoucích pracovníků v oblasti vzdělávání nezbytné, byly podporovány a zvyšovány prostřednictvím různých metod profesního rozvoje včetně vytváření sítí m</w:t>
      </w:r>
      <w:r w:rsidR="006F4FDD">
        <w:rPr>
          <w:rFonts w:cs="Calibri"/>
          <w:sz w:val="24"/>
          <w:szCs w:val="24"/>
        </w:rPr>
        <w:t>ezi těmito vedoucími pracovníky</w:t>
      </w:r>
    </w:p>
    <w:p w:rsidR="008F1624" w:rsidRPr="008F1624" w:rsidRDefault="008F1624" w:rsidP="00BB072A">
      <w:pPr>
        <w:numPr>
          <w:ilvl w:val="0"/>
          <w:numId w:val="3"/>
        </w:numPr>
        <w:spacing w:after="120" w:line="240" w:lineRule="auto"/>
        <w:ind w:left="567" w:hanging="567"/>
        <w:jc w:val="both"/>
        <w:rPr>
          <w:rFonts w:cs="Calibri"/>
          <w:sz w:val="24"/>
          <w:szCs w:val="24"/>
        </w:rPr>
      </w:pPr>
      <w:r w:rsidRPr="008F1624">
        <w:rPr>
          <w:rFonts w:cs="Calibri"/>
          <w:sz w:val="24"/>
          <w:szCs w:val="24"/>
        </w:rPr>
        <w:t>usnadní rozhodování podložené informacemi a větší odpovědnost, například prostřednictvím používání inteligentních údajů, stanoví mechanismy pro zajišťování kvality a vypracují konkrétní opatření pro vzdělávací instit</w:t>
      </w:r>
      <w:r w:rsidR="006F4FDD">
        <w:rPr>
          <w:rFonts w:cs="Calibri"/>
          <w:sz w:val="24"/>
          <w:szCs w:val="24"/>
        </w:rPr>
        <w:t>uce ve znevýhodněných oblastech</w:t>
      </w:r>
    </w:p>
    <w:p w:rsidR="006F4FDD" w:rsidRDefault="008F1624" w:rsidP="00EA3710">
      <w:pPr>
        <w:numPr>
          <w:ilvl w:val="0"/>
          <w:numId w:val="3"/>
        </w:numPr>
        <w:spacing w:after="240" w:line="240" w:lineRule="auto"/>
        <w:ind w:left="567" w:hanging="567"/>
        <w:jc w:val="both"/>
        <w:rPr>
          <w:rFonts w:cs="Calibri"/>
          <w:sz w:val="24"/>
          <w:szCs w:val="24"/>
        </w:rPr>
      </w:pPr>
      <w:r w:rsidRPr="008F1624">
        <w:rPr>
          <w:rFonts w:cs="Calibri"/>
          <w:sz w:val="24"/>
          <w:szCs w:val="24"/>
        </w:rPr>
        <w:t>shromáždí podklady ohledně účinných a úspěšných přístupů k vedení v oblasti vzdělávání v jednotlivých členských státech, zejména s cílem nalézt optimální vztah mezi flexibilitou, autonomií a odpovědností, jakož i posoudit vliv inovativních přístupů na</w:t>
      </w:r>
      <w:r w:rsidR="006F4FDD">
        <w:rPr>
          <w:rFonts w:cs="Calibri"/>
          <w:sz w:val="24"/>
          <w:szCs w:val="24"/>
        </w:rPr>
        <w:t xml:space="preserve"> kvalitu výuky a výsledky učení</w:t>
      </w:r>
    </w:p>
    <w:p w:rsidR="00D9079D" w:rsidRPr="00D9079D" w:rsidRDefault="006F4FDD" w:rsidP="001E0D27">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6F4FDD">
        <w:rPr>
          <w:rFonts w:cs="Calibri"/>
          <w:sz w:val="24"/>
          <w:szCs w:val="24"/>
        </w:rPr>
        <w:t xml:space="preserve">ČR se </w:t>
      </w:r>
      <w:r>
        <w:rPr>
          <w:rFonts w:cs="Calibri"/>
          <w:sz w:val="24"/>
          <w:szCs w:val="24"/>
        </w:rPr>
        <w:t xml:space="preserve">v této oblasti </w:t>
      </w:r>
      <w:r w:rsidRPr="006F4FDD">
        <w:rPr>
          <w:rFonts w:cs="Calibri"/>
          <w:sz w:val="24"/>
          <w:szCs w:val="24"/>
        </w:rPr>
        <w:t>jednoznačně identifikuje s</w:t>
      </w:r>
      <w:r>
        <w:rPr>
          <w:rFonts w:cs="Calibri"/>
          <w:sz w:val="24"/>
          <w:szCs w:val="24"/>
        </w:rPr>
        <w:t xml:space="preserve"> výzvami litevského předsednictví. </w:t>
      </w:r>
      <w:r w:rsidRPr="006F4FDD">
        <w:rPr>
          <w:rFonts w:cs="Calibri"/>
          <w:sz w:val="24"/>
          <w:szCs w:val="24"/>
        </w:rPr>
        <w:t xml:space="preserve">Míra autonomie škol (a tedy i jejich vedení, respektive jejich zřizovatelů) je v ČR vysoká, nicméně příslušné národní autority budou usilovat o hledání možností, jak vedení škol lépe zapojit do sdílení zkušeností a informací a zároveň koncept inovace efektivního vedení škol prosazovat. </w:t>
      </w:r>
      <w:r>
        <w:rPr>
          <w:rFonts w:cs="Calibri"/>
          <w:sz w:val="24"/>
          <w:szCs w:val="24"/>
        </w:rPr>
        <w:t>Tyto</w:t>
      </w:r>
      <w:r w:rsidRPr="006F4FDD">
        <w:rPr>
          <w:rFonts w:cs="Calibri"/>
          <w:sz w:val="24"/>
          <w:szCs w:val="24"/>
        </w:rPr>
        <w:t xml:space="preserve"> priority jsou také zcela v souladu s připravovanou Strategií vzdělávací politiky ČR do roku 2020, která prostřednictvím jednoduchého, ale účinného rámce pro řízení systému hodlá usilovat právě o posílení kapacit jednotlivých aktérů, vést a spravovat úrovně vzdělávacího systému a rozvíjet k tomu potřebné kompetence</w:t>
      </w:r>
      <w:r>
        <w:rPr>
          <w:rFonts w:cs="Calibri"/>
          <w:sz w:val="24"/>
          <w:szCs w:val="24"/>
        </w:rPr>
        <w:t>.</w:t>
      </w:r>
      <w:r w:rsidR="00D9079D">
        <w:rPr>
          <w:rFonts w:cs="Calibri"/>
          <w:sz w:val="24"/>
          <w:szCs w:val="24"/>
        </w:rPr>
        <w:t xml:space="preserve"> ČR se už nyní aktivně zapojuje d</w:t>
      </w:r>
      <w:r w:rsidR="00D9079D" w:rsidRPr="00D9079D">
        <w:rPr>
          <w:rFonts w:cs="Calibri"/>
          <w:sz w:val="24"/>
          <w:szCs w:val="24"/>
        </w:rPr>
        <w:t>o projektů EU v této o</w:t>
      </w:r>
      <w:r w:rsidR="00D9079D">
        <w:rPr>
          <w:rFonts w:cs="Calibri"/>
          <w:sz w:val="24"/>
          <w:szCs w:val="24"/>
        </w:rPr>
        <w:t>blasti, n</w:t>
      </w:r>
      <w:r w:rsidR="00D9079D" w:rsidRPr="00D9079D">
        <w:rPr>
          <w:rFonts w:cs="Calibri"/>
          <w:sz w:val="24"/>
          <w:szCs w:val="24"/>
        </w:rPr>
        <w:t xml:space="preserve">a expertní úrovni se </w:t>
      </w:r>
      <w:r w:rsidR="00D9079D">
        <w:rPr>
          <w:rFonts w:cs="Calibri"/>
          <w:sz w:val="24"/>
          <w:szCs w:val="24"/>
        </w:rPr>
        <w:t>například</w:t>
      </w:r>
      <w:r w:rsidR="00D9079D" w:rsidRPr="00D9079D">
        <w:rPr>
          <w:rFonts w:cs="Calibri"/>
          <w:sz w:val="24"/>
          <w:szCs w:val="24"/>
        </w:rPr>
        <w:t xml:space="preserve"> významně angažovala v projektu </w:t>
      </w:r>
      <w:r w:rsidR="00D9079D" w:rsidRPr="00D9079D">
        <w:rPr>
          <w:rFonts w:cs="Calibri"/>
          <w:i/>
          <w:sz w:val="24"/>
          <w:szCs w:val="24"/>
        </w:rPr>
        <w:t>Kvalitním vedením škol k efektivnímu učení</w:t>
      </w:r>
      <w:r w:rsidR="00D9079D" w:rsidRPr="00D9079D">
        <w:rPr>
          <w:rFonts w:cs="Calibri"/>
          <w:sz w:val="24"/>
          <w:szCs w:val="24"/>
        </w:rPr>
        <w:t>, který probíhal v letech 2008 – 2009 v rámci iniciativy Středoevropská spolupráce ve vzdělávání a odborné přípravě (CECE)</w:t>
      </w:r>
      <w:r w:rsidR="00D9079D">
        <w:rPr>
          <w:rFonts w:cs="Calibri"/>
          <w:sz w:val="24"/>
          <w:szCs w:val="24"/>
        </w:rPr>
        <w:t>.</w:t>
      </w:r>
    </w:p>
    <w:p w:rsidR="006F4FDD" w:rsidRPr="006F4FDD" w:rsidRDefault="006F4FDD" w:rsidP="001E0D27">
      <w:pPr>
        <w:spacing w:after="240" w:line="240" w:lineRule="auto"/>
        <w:jc w:val="both"/>
        <w:rPr>
          <w:rFonts w:cs="Calibri"/>
          <w:sz w:val="24"/>
          <w:szCs w:val="24"/>
        </w:rPr>
      </w:pPr>
    </w:p>
    <w:p w:rsidR="008F1624" w:rsidRPr="006F4FDD" w:rsidRDefault="00BB072A" w:rsidP="00BB072A">
      <w:pPr>
        <w:spacing w:line="240" w:lineRule="auto"/>
        <w:ind w:left="567" w:hanging="567"/>
        <w:jc w:val="both"/>
        <w:outlineLvl w:val="0"/>
        <w:rPr>
          <w:rFonts w:cs="Calibri"/>
          <w:b/>
          <w:sz w:val="24"/>
          <w:szCs w:val="24"/>
        </w:rPr>
      </w:pPr>
      <w:r>
        <w:rPr>
          <w:rFonts w:cs="Calibri"/>
          <w:b/>
          <w:sz w:val="24"/>
          <w:szCs w:val="24"/>
        </w:rPr>
        <w:t>B.</w:t>
      </w:r>
      <w:r>
        <w:rPr>
          <w:rFonts w:cs="Calibri"/>
          <w:b/>
          <w:sz w:val="24"/>
          <w:szCs w:val="24"/>
        </w:rPr>
        <w:tab/>
      </w:r>
      <w:r w:rsidR="006F4FDD" w:rsidRPr="006F4FDD">
        <w:rPr>
          <w:rFonts w:cs="Calibri"/>
          <w:b/>
          <w:sz w:val="24"/>
          <w:szCs w:val="24"/>
        </w:rPr>
        <w:t xml:space="preserve">Zatraktivnit </w:t>
      </w:r>
      <w:r w:rsidR="008F1624" w:rsidRPr="006F4FDD">
        <w:rPr>
          <w:rFonts w:cs="Calibri"/>
          <w:b/>
          <w:sz w:val="24"/>
          <w:szCs w:val="24"/>
        </w:rPr>
        <w:t>vedení v oblasti vzdělávání tím, že:</w:t>
      </w:r>
    </w:p>
    <w:p w:rsidR="008F1624" w:rsidRPr="008F1624" w:rsidRDefault="008F1624" w:rsidP="00EA3710">
      <w:pPr>
        <w:numPr>
          <w:ilvl w:val="0"/>
          <w:numId w:val="4"/>
        </w:numPr>
        <w:spacing w:after="240" w:line="240" w:lineRule="auto"/>
        <w:ind w:left="567" w:hanging="567"/>
        <w:jc w:val="both"/>
        <w:rPr>
          <w:rFonts w:cs="Calibri"/>
          <w:sz w:val="24"/>
          <w:szCs w:val="24"/>
        </w:rPr>
      </w:pPr>
      <w:r w:rsidRPr="008F1624">
        <w:rPr>
          <w:rFonts w:cs="Calibri"/>
          <w:sz w:val="24"/>
          <w:szCs w:val="24"/>
        </w:rPr>
        <w:t>zajistí větší profesionalizaci, čímž se tato místa stanou atrakti</w:t>
      </w:r>
      <w:r w:rsidR="006F4FDD">
        <w:rPr>
          <w:rFonts w:cs="Calibri"/>
          <w:sz w:val="24"/>
          <w:szCs w:val="24"/>
        </w:rPr>
        <w:t>vnějšími pro nejlepší kandidáty</w:t>
      </w:r>
    </w:p>
    <w:p w:rsidR="008F1624" w:rsidRPr="008F1624" w:rsidRDefault="008F1624" w:rsidP="00EA3710">
      <w:pPr>
        <w:numPr>
          <w:ilvl w:val="0"/>
          <w:numId w:val="4"/>
        </w:numPr>
        <w:spacing w:after="240" w:line="240" w:lineRule="auto"/>
        <w:ind w:left="567" w:hanging="567"/>
        <w:jc w:val="both"/>
        <w:rPr>
          <w:rFonts w:cs="Calibri"/>
          <w:sz w:val="24"/>
          <w:szCs w:val="24"/>
        </w:rPr>
      </w:pPr>
      <w:r w:rsidRPr="008F1624">
        <w:rPr>
          <w:rFonts w:cs="Calibri"/>
          <w:sz w:val="24"/>
          <w:szCs w:val="24"/>
        </w:rPr>
        <w:t>vedoucím pracovníkům v oblasti vzdělávání umožní, aby se v rámci svých institucí zaměřili na zkvalitňování výuky a učení, mimo jiné snahou o dosažení větší rovnováhy mezi čistě administrativními úkoly a hlavním</w:t>
      </w:r>
      <w:r w:rsidR="006F4FDD">
        <w:rPr>
          <w:rFonts w:cs="Calibri"/>
          <w:sz w:val="24"/>
          <w:szCs w:val="24"/>
        </w:rPr>
        <w:t>i úkoly v oblasti výuky a učení</w:t>
      </w:r>
    </w:p>
    <w:p w:rsidR="008F1624" w:rsidRPr="008F1624" w:rsidRDefault="008F1624" w:rsidP="00EA3710">
      <w:pPr>
        <w:numPr>
          <w:ilvl w:val="0"/>
          <w:numId w:val="4"/>
        </w:numPr>
        <w:spacing w:after="240" w:line="240" w:lineRule="auto"/>
        <w:ind w:left="567" w:hanging="567"/>
        <w:jc w:val="both"/>
        <w:rPr>
          <w:rFonts w:cs="Calibri"/>
          <w:sz w:val="24"/>
          <w:szCs w:val="24"/>
        </w:rPr>
      </w:pPr>
      <w:r w:rsidRPr="008F1624">
        <w:rPr>
          <w:sz w:val="24"/>
          <w:szCs w:val="24"/>
          <w:lang w:eastAsia="cs-CZ"/>
        </w:rPr>
        <w:t>budou hledat a rozvíjet atraktivní formy počáteč</w:t>
      </w:r>
      <w:r w:rsidR="00BB072A">
        <w:rPr>
          <w:sz w:val="24"/>
          <w:szCs w:val="24"/>
          <w:lang w:eastAsia="cs-CZ"/>
        </w:rPr>
        <w:t>ní odborné přípravy, podpory na </w:t>
      </w:r>
      <w:r w:rsidRPr="008F1624">
        <w:rPr>
          <w:sz w:val="24"/>
          <w:szCs w:val="24"/>
          <w:lang w:eastAsia="cs-CZ"/>
        </w:rPr>
        <w:t>počátku profesní dráhy a dalšího profesního rozvoje vedoucích pracovníků v oblasti vzdělávání, a to mimo jiné v rámci meziodvětvové spolupráce s dalšími zúčastněnými stranami, jako j</w:t>
      </w:r>
      <w:r w:rsidR="006F4FDD">
        <w:rPr>
          <w:sz w:val="24"/>
          <w:szCs w:val="24"/>
          <w:lang w:eastAsia="cs-CZ"/>
        </w:rPr>
        <w:t>sou podniky a sociální partneři</w:t>
      </w:r>
    </w:p>
    <w:p w:rsidR="008F1624" w:rsidRPr="008F1624" w:rsidRDefault="008F1624" w:rsidP="00EA3710">
      <w:pPr>
        <w:numPr>
          <w:ilvl w:val="0"/>
          <w:numId w:val="4"/>
        </w:numPr>
        <w:spacing w:after="240" w:line="240" w:lineRule="auto"/>
        <w:ind w:left="567" w:hanging="567"/>
        <w:jc w:val="both"/>
        <w:rPr>
          <w:b/>
          <w:bCs/>
          <w:i/>
          <w:iCs/>
          <w:color w:val="000000"/>
          <w:sz w:val="24"/>
          <w:szCs w:val="24"/>
          <w:lang w:eastAsia="cs-CZ"/>
        </w:rPr>
      </w:pPr>
      <w:r w:rsidRPr="008F1624">
        <w:rPr>
          <w:sz w:val="24"/>
          <w:szCs w:val="24"/>
          <w:lang w:eastAsia="cs-CZ"/>
        </w:rPr>
        <w:t>vytvoří prostředí pro týmovou práci a flexibil</w:t>
      </w:r>
      <w:r w:rsidR="00BB072A">
        <w:rPr>
          <w:sz w:val="24"/>
          <w:szCs w:val="24"/>
          <w:lang w:eastAsia="cs-CZ"/>
        </w:rPr>
        <w:t xml:space="preserve">ní vedení, například tím, že ve </w:t>
      </w:r>
      <w:r w:rsidRPr="008F1624">
        <w:rPr>
          <w:sz w:val="24"/>
          <w:szCs w:val="24"/>
          <w:lang w:eastAsia="cs-CZ"/>
        </w:rPr>
        <w:t xml:space="preserve">vzdělávacích institucích umožní založit ad-hoc skupiny usilující o řešení konkrétních problémů a mimo rámec škol umožní vytvořit sítě </w:t>
      </w:r>
      <w:r w:rsidR="00BB072A">
        <w:rPr>
          <w:sz w:val="24"/>
          <w:szCs w:val="24"/>
          <w:lang w:eastAsia="cs-CZ"/>
        </w:rPr>
        <w:t>zaměřené na výměnu zkušeností a </w:t>
      </w:r>
      <w:r w:rsidRPr="008F1624">
        <w:rPr>
          <w:sz w:val="24"/>
          <w:szCs w:val="24"/>
          <w:lang w:eastAsia="cs-CZ"/>
        </w:rPr>
        <w:t>spolupráci</w:t>
      </w:r>
    </w:p>
    <w:p w:rsidR="00D9079D" w:rsidRPr="00D9079D" w:rsidRDefault="008F1624" w:rsidP="00EA3710">
      <w:pPr>
        <w:pStyle w:val="Odstavecseseznamem"/>
        <w:numPr>
          <w:ilvl w:val="0"/>
          <w:numId w:val="4"/>
        </w:numPr>
        <w:tabs>
          <w:tab w:val="left" w:pos="720"/>
        </w:tabs>
        <w:spacing w:after="240" w:line="240" w:lineRule="auto"/>
        <w:jc w:val="both"/>
        <w:rPr>
          <w:rFonts w:cs="Calibri"/>
          <w:sz w:val="24"/>
          <w:szCs w:val="24"/>
        </w:rPr>
      </w:pPr>
      <w:r w:rsidRPr="00D9079D">
        <w:rPr>
          <w:sz w:val="24"/>
          <w:szCs w:val="24"/>
          <w:lang w:eastAsia="cs-CZ"/>
        </w:rPr>
        <w:t xml:space="preserve">podpoří konkrétní opatření, vzájemné učení a výměnu osvědčených postupů s cílem </w:t>
      </w:r>
      <w:r w:rsidRPr="00D9079D">
        <w:rPr>
          <w:rFonts w:cs="Calibri"/>
          <w:sz w:val="24"/>
          <w:szCs w:val="24"/>
        </w:rPr>
        <w:t>podpořit vyvážené zastoupení žen a mužů ve vedoucíc</w:t>
      </w:r>
      <w:r w:rsidR="006F4FDD" w:rsidRPr="00D9079D">
        <w:rPr>
          <w:rFonts w:cs="Calibri"/>
          <w:sz w:val="24"/>
          <w:szCs w:val="24"/>
        </w:rPr>
        <w:t>h funkcích v oblasti vzdělávání</w:t>
      </w:r>
    </w:p>
    <w:p w:rsidR="00D9079D" w:rsidRPr="00D9079D" w:rsidRDefault="00D9079D" w:rsidP="001E0D27">
      <w:pPr>
        <w:pBdr>
          <w:top w:val="single" w:sz="4" w:space="1" w:color="auto"/>
          <w:left w:val="single" w:sz="4" w:space="4" w:color="auto"/>
          <w:bottom w:val="single" w:sz="4" w:space="1" w:color="auto"/>
          <w:right w:val="single" w:sz="4" w:space="4" w:color="auto"/>
        </w:pBdr>
        <w:shd w:val="clear" w:color="auto" w:fill="C6D9F1" w:themeFill="text2" w:themeFillTint="33"/>
        <w:spacing w:before="240" w:line="240" w:lineRule="auto"/>
        <w:jc w:val="both"/>
        <w:rPr>
          <w:rFonts w:cs="Calibri"/>
          <w:sz w:val="24"/>
          <w:szCs w:val="24"/>
        </w:rPr>
      </w:pPr>
      <w:r w:rsidRPr="00D9079D">
        <w:rPr>
          <w:rFonts w:cs="Calibri"/>
          <w:sz w:val="24"/>
          <w:szCs w:val="24"/>
        </w:rPr>
        <w:t>ČR připravuje návrh kariérního systému</w:t>
      </w:r>
      <w:r>
        <w:rPr>
          <w:rFonts w:cs="Calibri"/>
          <w:sz w:val="24"/>
          <w:szCs w:val="24"/>
        </w:rPr>
        <w:t xml:space="preserve"> pro pedagogické pracovníky a ředitele škol</w:t>
      </w:r>
      <w:r w:rsidRPr="00D9079D">
        <w:rPr>
          <w:rFonts w:cs="Calibri"/>
          <w:sz w:val="24"/>
          <w:szCs w:val="24"/>
        </w:rPr>
        <w:t xml:space="preserve">, který si klade za cíl mimo jiné lépe motivovat učitele, aby si vybrali pro ně nejlépe odpovídající profesní dráhu, ať už půjde o dráhu odbornou, nebo právě dráhu vedoucího pracovníka školy – a aby pro ně tato kariérní cesta, </w:t>
      </w:r>
      <w:r>
        <w:rPr>
          <w:rFonts w:cs="Calibri"/>
          <w:sz w:val="24"/>
          <w:szCs w:val="24"/>
        </w:rPr>
        <w:t>jak vyzývají závěry Rady</w:t>
      </w:r>
      <w:r w:rsidRPr="00D9079D">
        <w:rPr>
          <w:rFonts w:cs="Calibri"/>
          <w:sz w:val="24"/>
          <w:szCs w:val="24"/>
        </w:rPr>
        <w:t>, byla atraktivní.</w:t>
      </w:r>
    </w:p>
    <w:p w:rsidR="00BB072A" w:rsidRDefault="00BB072A" w:rsidP="001E0D27">
      <w:pPr>
        <w:spacing w:line="240" w:lineRule="auto"/>
        <w:ind w:left="567" w:hanging="567"/>
        <w:jc w:val="both"/>
        <w:outlineLvl w:val="0"/>
        <w:rPr>
          <w:b/>
          <w:color w:val="000000"/>
          <w:sz w:val="24"/>
          <w:szCs w:val="24"/>
          <w:lang w:eastAsia="cs-CZ"/>
        </w:rPr>
      </w:pPr>
    </w:p>
    <w:p w:rsidR="008F1624" w:rsidRPr="00BB072A" w:rsidRDefault="006F4FDD" w:rsidP="001E0D27">
      <w:pPr>
        <w:spacing w:line="240" w:lineRule="auto"/>
        <w:ind w:left="567" w:hanging="567"/>
        <w:jc w:val="both"/>
        <w:outlineLvl w:val="0"/>
        <w:rPr>
          <w:b/>
          <w:color w:val="000000"/>
          <w:sz w:val="24"/>
          <w:szCs w:val="24"/>
          <w:lang w:eastAsia="cs-CZ"/>
        </w:rPr>
      </w:pPr>
      <w:r>
        <w:rPr>
          <w:b/>
          <w:color w:val="000000"/>
          <w:sz w:val="24"/>
          <w:szCs w:val="24"/>
          <w:lang w:eastAsia="cs-CZ"/>
        </w:rPr>
        <w:t>C.</w:t>
      </w:r>
      <w:r>
        <w:rPr>
          <w:b/>
          <w:color w:val="000000"/>
          <w:sz w:val="24"/>
          <w:szCs w:val="24"/>
          <w:lang w:eastAsia="cs-CZ"/>
        </w:rPr>
        <w:tab/>
        <w:t>V případě potřeby prosazovat</w:t>
      </w:r>
      <w:r w:rsidR="008F1624" w:rsidRPr="008F1624">
        <w:rPr>
          <w:b/>
          <w:color w:val="000000"/>
          <w:sz w:val="24"/>
          <w:szCs w:val="24"/>
          <w:lang w:eastAsia="cs-CZ"/>
        </w:rPr>
        <w:t xml:space="preserve"> inovativní přístupy k účinnému vedení v oblasti vzdělávání, zejména tím, že: </w:t>
      </w:r>
    </w:p>
    <w:p w:rsidR="008F1624" w:rsidRPr="008F1624" w:rsidRDefault="008F1624" w:rsidP="00EA3710">
      <w:pPr>
        <w:numPr>
          <w:ilvl w:val="0"/>
          <w:numId w:val="5"/>
        </w:numPr>
        <w:spacing w:after="240" w:line="240" w:lineRule="auto"/>
        <w:ind w:left="567" w:hanging="567"/>
        <w:jc w:val="both"/>
        <w:rPr>
          <w:b/>
          <w:bCs/>
          <w:color w:val="000000"/>
          <w:sz w:val="24"/>
          <w:szCs w:val="24"/>
          <w:lang w:eastAsia="cs-CZ"/>
        </w:rPr>
      </w:pPr>
      <w:r w:rsidRPr="008F1624">
        <w:rPr>
          <w:sz w:val="24"/>
          <w:szCs w:val="24"/>
          <w:lang w:eastAsia="cs-CZ"/>
        </w:rPr>
        <w:t>zohlední konkrétní potřeby vzdělávacích institucí a při výběru budoucích vedoucích pracovníků uplatní vhodná</w:t>
      </w:r>
      <w:r w:rsidR="006F4FDD">
        <w:rPr>
          <w:sz w:val="24"/>
          <w:szCs w:val="24"/>
          <w:lang w:eastAsia="cs-CZ"/>
        </w:rPr>
        <w:t xml:space="preserve"> kritéria pro zajištění kvality</w:t>
      </w:r>
    </w:p>
    <w:p w:rsidR="008F1624" w:rsidRPr="008F1624" w:rsidRDefault="008F1624" w:rsidP="00EA3710">
      <w:pPr>
        <w:numPr>
          <w:ilvl w:val="0"/>
          <w:numId w:val="5"/>
        </w:numPr>
        <w:spacing w:after="240" w:line="240" w:lineRule="auto"/>
        <w:ind w:left="567" w:hanging="567"/>
        <w:jc w:val="both"/>
        <w:rPr>
          <w:color w:val="000000"/>
          <w:sz w:val="24"/>
          <w:szCs w:val="24"/>
          <w:lang w:eastAsia="cs-CZ"/>
        </w:rPr>
      </w:pPr>
      <w:r w:rsidRPr="008F1624">
        <w:rPr>
          <w:sz w:val="24"/>
          <w:szCs w:val="24"/>
          <w:lang w:eastAsia="cs-CZ"/>
        </w:rPr>
        <w:t>uznají a podpoří vůdčí potenciál zaměstnanců jednotlivých institucí, zejména prostřednictvím rozdělení úkolů souvisejících s vedením, poskytnutím příležitostí ke spolupráci s kolegy z jiných institucí a zajištěním podpory a příležitostí k rozvoji j</w:t>
      </w:r>
      <w:r w:rsidR="006F4FDD">
        <w:rPr>
          <w:sz w:val="24"/>
          <w:szCs w:val="24"/>
          <w:lang w:eastAsia="cs-CZ"/>
        </w:rPr>
        <w:t>ejich potenciálu v této oblasti</w:t>
      </w:r>
    </w:p>
    <w:p w:rsidR="008F1624" w:rsidRPr="008F1624" w:rsidRDefault="008F1624" w:rsidP="00EA3710">
      <w:pPr>
        <w:numPr>
          <w:ilvl w:val="0"/>
          <w:numId w:val="5"/>
        </w:numPr>
        <w:spacing w:after="240" w:line="240" w:lineRule="auto"/>
        <w:ind w:left="567" w:hanging="567"/>
        <w:jc w:val="both"/>
        <w:rPr>
          <w:color w:val="000000"/>
          <w:sz w:val="24"/>
          <w:szCs w:val="24"/>
          <w:lang w:eastAsia="cs-CZ"/>
        </w:rPr>
      </w:pPr>
      <w:r w:rsidRPr="008F1624">
        <w:rPr>
          <w:sz w:val="24"/>
          <w:szCs w:val="24"/>
          <w:lang w:eastAsia="cs-CZ"/>
        </w:rPr>
        <w:t>budou povzbuzovat vytváření prostředí pro inovativní výuku a učení, např. vhodným využitím informačních a komunikačních technologií a otevřených vzdělávacích zdrojů jakožto pedagogick</w:t>
      </w:r>
      <w:r w:rsidR="006F4FDD">
        <w:rPr>
          <w:sz w:val="24"/>
          <w:szCs w:val="24"/>
          <w:lang w:eastAsia="cs-CZ"/>
        </w:rPr>
        <w:t>ých pomůcek a řídících nástrojů</w:t>
      </w:r>
    </w:p>
    <w:p w:rsidR="008F1624" w:rsidRPr="008F1624" w:rsidRDefault="008F1624" w:rsidP="00EA3710">
      <w:pPr>
        <w:numPr>
          <w:ilvl w:val="0"/>
          <w:numId w:val="5"/>
        </w:numPr>
        <w:spacing w:after="240" w:line="240" w:lineRule="auto"/>
        <w:ind w:left="567" w:hanging="567"/>
        <w:jc w:val="both"/>
        <w:rPr>
          <w:color w:val="000000"/>
          <w:sz w:val="24"/>
          <w:szCs w:val="24"/>
          <w:lang w:eastAsia="cs-CZ"/>
        </w:rPr>
      </w:pPr>
      <w:r w:rsidRPr="008F1624">
        <w:rPr>
          <w:sz w:val="24"/>
          <w:szCs w:val="24"/>
          <w:lang w:eastAsia="cs-CZ"/>
        </w:rPr>
        <w:t xml:space="preserve">vybudují a budou udržovat sítě umožňující zahájení a rozvoj účinných přístupů k vedení v oblasti vzdělávání a povzbudí a podpoří vzájemné učení vedoucích </w:t>
      </w:r>
      <w:r w:rsidR="00BB072A">
        <w:rPr>
          <w:sz w:val="24"/>
          <w:szCs w:val="24"/>
          <w:lang w:eastAsia="cs-CZ"/>
        </w:rPr>
        <w:t>pracovníků v </w:t>
      </w:r>
      <w:r w:rsidR="006F4FDD">
        <w:rPr>
          <w:sz w:val="24"/>
          <w:szCs w:val="24"/>
          <w:lang w:eastAsia="cs-CZ"/>
        </w:rPr>
        <w:t>oblasti vzdělávání</w:t>
      </w:r>
    </w:p>
    <w:p w:rsidR="008F1624" w:rsidRDefault="008F1624" w:rsidP="001E0D27">
      <w:pPr>
        <w:tabs>
          <w:tab w:val="left" w:pos="0"/>
        </w:tabs>
        <w:spacing w:after="0" w:line="240" w:lineRule="auto"/>
        <w:jc w:val="both"/>
        <w:rPr>
          <w:b/>
          <w:i/>
          <w:sz w:val="24"/>
          <w:szCs w:val="24"/>
        </w:rPr>
      </w:pPr>
    </w:p>
    <w:p w:rsidR="005D4343" w:rsidRPr="007638E1" w:rsidRDefault="00036931" w:rsidP="007638E1">
      <w:pPr>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s>
        <w:spacing w:after="0" w:line="240" w:lineRule="auto"/>
        <w:jc w:val="both"/>
        <w:rPr>
          <w:sz w:val="24"/>
          <w:szCs w:val="24"/>
        </w:rPr>
      </w:pPr>
      <w:r>
        <w:rPr>
          <w:sz w:val="24"/>
          <w:szCs w:val="24"/>
        </w:rPr>
        <w:t>Řada těchto výzev klade</w:t>
      </w:r>
      <w:r w:rsidR="00D9079D" w:rsidRPr="00036931">
        <w:rPr>
          <w:sz w:val="24"/>
          <w:szCs w:val="24"/>
        </w:rPr>
        <w:t xml:space="preserve"> nové nároky nejen na současné ředitel</w:t>
      </w:r>
      <w:r w:rsidR="00BB072A">
        <w:rPr>
          <w:sz w:val="24"/>
          <w:szCs w:val="24"/>
        </w:rPr>
        <w:t>e škol a jejich zástupce, ale i </w:t>
      </w:r>
      <w:r w:rsidR="00D9079D" w:rsidRPr="00036931">
        <w:rPr>
          <w:sz w:val="24"/>
          <w:szCs w:val="24"/>
        </w:rPr>
        <w:t>na učitele, kteří se vedoucími pracovníky škol stanou v budoucnu; proto je třeba pracovat na tom, aby si kompetence nezbytné ke strategickému vedení škol mělo možnost osvojit větší množství učitelů. K tomu je ale důležité poskytovat pedagogickým pracovníkům odpovídající podmínky tak, aby se mohli profesně rozvíjet - tento fakt je podstatný nejen proto, že se evropská i globální společnost velmi rychle mění, ale také kvůli novým nárokům, které jsou na vedoucí pracovníky škol kladeny ve všech oblastech strategického vedení.</w:t>
      </w:r>
      <w:r>
        <w:rPr>
          <w:sz w:val="24"/>
          <w:szCs w:val="24"/>
        </w:rPr>
        <w:t xml:space="preserve"> ČR proto chce, v souladu s návrhy </w:t>
      </w:r>
      <w:r>
        <w:rPr>
          <w:rFonts w:cs="Calibri"/>
          <w:sz w:val="24"/>
          <w:szCs w:val="24"/>
        </w:rPr>
        <w:t>Strategie</w:t>
      </w:r>
      <w:r w:rsidRPr="006F4FDD">
        <w:rPr>
          <w:rFonts w:cs="Calibri"/>
          <w:sz w:val="24"/>
          <w:szCs w:val="24"/>
        </w:rPr>
        <w:t xml:space="preserve"> vzdělávací politiky ČR do roku 2020</w:t>
      </w:r>
      <w:r>
        <w:rPr>
          <w:rFonts w:cs="Calibri"/>
          <w:sz w:val="24"/>
          <w:szCs w:val="24"/>
        </w:rPr>
        <w:t xml:space="preserve"> </w:t>
      </w:r>
      <w:r w:rsidR="00D9079D" w:rsidRPr="00036931">
        <w:rPr>
          <w:sz w:val="24"/>
          <w:szCs w:val="24"/>
        </w:rPr>
        <w:t xml:space="preserve">vedení škol </w:t>
      </w:r>
      <w:r>
        <w:rPr>
          <w:sz w:val="24"/>
          <w:szCs w:val="24"/>
        </w:rPr>
        <w:t>podporovat</w:t>
      </w:r>
      <w:r w:rsidR="00D9079D" w:rsidRPr="00036931">
        <w:rPr>
          <w:sz w:val="24"/>
          <w:szCs w:val="24"/>
        </w:rPr>
        <w:t xml:space="preserve"> nejen v tom, aby </w:t>
      </w:r>
      <w:r>
        <w:rPr>
          <w:sz w:val="24"/>
          <w:szCs w:val="24"/>
        </w:rPr>
        <w:t>pracovalo efektivně</w:t>
      </w:r>
      <w:r w:rsidR="00D9079D" w:rsidRPr="00036931">
        <w:rPr>
          <w:sz w:val="24"/>
          <w:szCs w:val="24"/>
        </w:rPr>
        <w:t xml:space="preserve">, ale zejména aby pracovalo strategicky – tedy </w:t>
      </w:r>
      <w:r>
        <w:rPr>
          <w:sz w:val="24"/>
          <w:szCs w:val="24"/>
        </w:rPr>
        <w:t xml:space="preserve">zajistit, aby </w:t>
      </w:r>
      <w:r w:rsidR="00D9079D" w:rsidRPr="00036931">
        <w:rPr>
          <w:sz w:val="24"/>
          <w:szCs w:val="24"/>
        </w:rPr>
        <w:t>mohlo vést školu po všech stránkách kvalitně a s dlouhodobou vizí i přes to, že musí každý den řešit celou řadu problémů, které vedení školy zahrnuje a přináší.</w:t>
      </w:r>
    </w:p>
    <w:p w:rsidR="00FB50A6" w:rsidRDefault="00FB50A6" w:rsidP="001E0D27">
      <w:pPr>
        <w:pStyle w:val="Nadpis2"/>
        <w:spacing w:before="0" w:after="0" w:line="240" w:lineRule="auto"/>
        <w:jc w:val="both"/>
      </w:pPr>
    </w:p>
    <w:p w:rsidR="007638E1" w:rsidRPr="000D3646" w:rsidRDefault="007638E1" w:rsidP="000D3646">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závěrů Rady doporučujeme zohlednit především v těchto strategických záměrech MŠMT: </w:t>
      </w:r>
    </w:p>
    <w:p w:rsidR="007638E1" w:rsidRDefault="007638E1" w:rsidP="000D3646">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7638E1" w:rsidRDefault="007638E1" w:rsidP="00EA3710">
      <w:pPr>
        <w:pStyle w:val="Nadpis2"/>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b w:val="0"/>
          <w:sz w:val="24"/>
          <w:szCs w:val="24"/>
        </w:rPr>
      </w:pPr>
      <w:r>
        <w:rPr>
          <w:b w:val="0"/>
          <w:sz w:val="24"/>
          <w:szCs w:val="24"/>
        </w:rPr>
        <w:t>Implemen</w:t>
      </w:r>
      <w:r w:rsidRPr="007638E1">
        <w:rPr>
          <w:rFonts w:eastAsia="Calibri" w:cs="Calibri"/>
          <w:b w:val="0"/>
          <w:bCs w:val="0"/>
          <w:iCs w:val="0"/>
          <w:sz w:val="24"/>
          <w:szCs w:val="24"/>
        </w:rPr>
        <w:t>tace Strategie vzdělávací politiky ČR do roku 2020, a to zejména pokud jde o</w:t>
      </w:r>
      <w:r w:rsidR="000D3646">
        <w:rPr>
          <w:rFonts w:eastAsia="Calibri" w:cs="Calibri"/>
          <w:b w:val="0"/>
          <w:bCs w:val="0"/>
          <w:iCs w:val="0"/>
          <w:sz w:val="24"/>
          <w:szCs w:val="24"/>
        </w:rPr>
        <w:t xml:space="preserve"> její část věnovanou</w:t>
      </w:r>
      <w:r w:rsidRPr="007638E1">
        <w:rPr>
          <w:rFonts w:eastAsia="Calibri" w:cs="Calibri"/>
          <w:b w:val="0"/>
          <w:bCs w:val="0"/>
          <w:iCs w:val="0"/>
          <w:sz w:val="24"/>
          <w:szCs w:val="24"/>
        </w:rPr>
        <w:t xml:space="preserve"> vytváření</w:t>
      </w:r>
      <w:r>
        <w:rPr>
          <w:rFonts w:ascii="Times New Roman" w:hAnsi="Times New Roman"/>
          <w:lang w:eastAsia="cs-CZ"/>
        </w:rPr>
        <w:t xml:space="preserve"> </w:t>
      </w:r>
      <w:r w:rsidRPr="007638E1">
        <w:rPr>
          <w:rFonts w:eastAsia="Calibri" w:cs="Calibri"/>
          <w:b w:val="0"/>
          <w:bCs w:val="0"/>
          <w:iCs w:val="0"/>
          <w:sz w:val="24"/>
          <w:szCs w:val="24"/>
        </w:rPr>
        <w:t>podmínek pro odpovědné a efektivní řízení decentralizovaného vzdělávacího systému</w:t>
      </w:r>
    </w:p>
    <w:p w:rsidR="000D3646" w:rsidRDefault="007638E1" w:rsidP="00EA3710">
      <w:pPr>
        <w:pStyle w:val="Nadpis2"/>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b w:val="0"/>
          <w:sz w:val="24"/>
          <w:szCs w:val="24"/>
        </w:rPr>
      </w:pPr>
      <w:r>
        <w:rPr>
          <w:b w:val="0"/>
          <w:sz w:val="24"/>
          <w:szCs w:val="24"/>
        </w:rPr>
        <w:t>Návrh kariérního systému pedagogických pracovníků, a to zejména v případě výkonu funkčních činností jako kariérní cesty</w:t>
      </w:r>
    </w:p>
    <w:p w:rsidR="00036931" w:rsidRDefault="000D3646" w:rsidP="00EA3710">
      <w:pPr>
        <w:pStyle w:val="Nadpis2"/>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b w:val="0"/>
          <w:sz w:val="24"/>
          <w:szCs w:val="24"/>
        </w:rPr>
      </w:pPr>
      <w:r>
        <w:rPr>
          <w:b w:val="0"/>
          <w:sz w:val="24"/>
          <w:szCs w:val="24"/>
        </w:rPr>
        <w:t xml:space="preserve">Příprava nového dlouhodobého záměru </w:t>
      </w:r>
      <w:r w:rsidR="005B3EA8">
        <w:rPr>
          <w:b w:val="0"/>
          <w:sz w:val="24"/>
          <w:szCs w:val="24"/>
        </w:rPr>
        <w:t xml:space="preserve">vzdělávání a rozvoje </w:t>
      </w:r>
      <w:r>
        <w:rPr>
          <w:b w:val="0"/>
          <w:sz w:val="24"/>
          <w:szCs w:val="24"/>
        </w:rPr>
        <w:t>vzdělávací soustavy</w:t>
      </w:r>
      <w:r w:rsidR="005B3EA8">
        <w:rPr>
          <w:b w:val="0"/>
          <w:sz w:val="24"/>
          <w:szCs w:val="24"/>
        </w:rPr>
        <w:t xml:space="preserve"> ČR</w:t>
      </w:r>
    </w:p>
    <w:p w:rsidR="000D3646" w:rsidRPr="000D3646" w:rsidRDefault="000D3646" w:rsidP="000D3646"/>
    <w:p w:rsidR="0029697F" w:rsidRDefault="0029697F" w:rsidP="001E0D27">
      <w:pPr>
        <w:spacing w:line="240" w:lineRule="auto"/>
        <w:jc w:val="both"/>
      </w:pPr>
    </w:p>
    <w:p w:rsidR="0029697F" w:rsidRPr="0029697F" w:rsidRDefault="0029697F" w:rsidP="001E0D27">
      <w:pPr>
        <w:spacing w:line="240" w:lineRule="auto"/>
        <w:jc w:val="both"/>
      </w:pPr>
    </w:p>
    <w:p w:rsidR="005D4343" w:rsidRPr="00036931" w:rsidRDefault="00036931" w:rsidP="001E0D27">
      <w:pPr>
        <w:pStyle w:val="Nadpis2"/>
        <w:spacing w:before="0" w:after="0" w:line="240" w:lineRule="auto"/>
        <w:jc w:val="both"/>
        <w:rPr>
          <w:sz w:val="32"/>
          <w:szCs w:val="32"/>
        </w:rPr>
      </w:pPr>
      <w:r w:rsidRPr="00036931">
        <w:rPr>
          <w:sz w:val="32"/>
          <w:szCs w:val="32"/>
        </w:rPr>
        <w:t>2. Globální rozměr evropského vysokoškolského vzdělávání</w:t>
      </w:r>
      <w:r>
        <w:rPr>
          <w:sz w:val="32"/>
          <w:szCs w:val="32"/>
        </w:rPr>
        <w:t>, otevřené vzdělávací zdroje a digitální učení</w:t>
      </w:r>
    </w:p>
    <w:p w:rsidR="005D4343" w:rsidRPr="00DB23AF" w:rsidRDefault="005D4343" w:rsidP="001E0D27">
      <w:pPr>
        <w:spacing w:after="0" w:line="240" w:lineRule="auto"/>
        <w:jc w:val="both"/>
        <w:rPr>
          <w:b/>
          <w:i/>
          <w:sz w:val="24"/>
          <w:szCs w:val="24"/>
        </w:rPr>
      </w:pPr>
    </w:p>
    <w:p w:rsidR="004D0F60" w:rsidRDefault="00036931" w:rsidP="001E0D27">
      <w:pPr>
        <w:spacing w:before="240" w:line="240" w:lineRule="auto"/>
        <w:jc w:val="both"/>
        <w:rPr>
          <w:rFonts w:cs="Calibri"/>
          <w:sz w:val="24"/>
          <w:szCs w:val="24"/>
        </w:rPr>
      </w:pPr>
      <w:r>
        <w:rPr>
          <w:rFonts w:cs="Calibri"/>
          <w:sz w:val="24"/>
          <w:szCs w:val="24"/>
        </w:rPr>
        <w:t>V oblasti m</w:t>
      </w:r>
      <w:r w:rsidRPr="00036931">
        <w:rPr>
          <w:rFonts w:cs="Calibri"/>
          <w:sz w:val="24"/>
          <w:szCs w:val="24"/>
        </w:rPr>
        <w:t xml:space="preserve">odernizace a internacionalizace vysokoškolského vzdělávání </w:t>
      </w:r>
      <w:r>
        <w:rPr>
          <w:rFonts w:cs="Calibri"/>
          <w:sz w:val="24"/>
          <w:szCs w:val="24"/>
        </w:rPr>
        <w:t>zvýšila Evropská komise v posledních letech svou aktivitu. Ta našla odezvu i v agendě litevského předsednictví, které se</w:t>
      </w:r>
      <w:r w:rsidRPr="00036931">
        <w:rPr>
          <w:rFonts w:cs="Calibri"/>
          <w:sz w:val="24"/>
          <w:szCs w:val="24"/>
        </w:rPr>
        <w:t xml:space="preserve"> </w:t>
      </w:r>
      <w:r w:rsidR="004D0F60">
        <w:rPr>
          <w:rFonts w:cs="Calibri"/>
          <w:sz w:val="24"/>
          <w:szCs w:val="24"/>
        </w:rPr>
        <w:t xml:space="preserve">(podobně jako v případě výše popsaných závěrů k </w:t>
      </w:r>
      <w:r w:rsidR="004D0F60" w:rsidRPr="00036931">
        <w:rPr>
          <w:rFonts w:cs="Calibri"/>
          <w:sz w:val="24"/>
          <w:szCs w:val="24"/>
        </w:rPr>
        <w:t>vedení škol</w:t>
      </w:r>
      <w:r w:rsidR="00BB072A">
        <w:rPr>
          <w:rFonts w:cs="Calibri"/>
          <w:sz w:val="24"/>
          <w:szCs w:val="24"/>
        </w:rPr>
        <w:t>) i </w:t>
      </w:r>
      <w:r w:rsidR="004D0F60">
        <w:rPr>
          <w:rFonts w:cs="Calibri"/>
          <w:sz w:val="24"/>
          <w:szCs w:val="24"/>
        </w:rPr>
        <w:t xml:space="preserve">v závěrech Rady ke globálnímu rozměru </w:t>
      </w:r>
      <w:r w:rsidRPr="00036931">
        <w:rPr>
          <w:rFonts w:cs="Calibri"/>
          <w:sz w:val="24"/>
          <w:szCs w:val="24"/>
        </w:rPr>
        <w:t>vysokoškolského vzdělávání</w:t>
      </w:r>
      <w:r w:rsidR="004D0F60">
        <w:rPr>
          <w:rFonts w:cs="Calibri"/>
          <w:sz w:val="24"/>
          <w:szCs w:val="24"/>
        </w:rPr>
        <w:t xml:space="preserve"> rozhodlo p</w:t>
      </w:r>
      <w:r w:rsidRPr="00036931">
        <w:rPr>
          <w:rFonts w:cs="Calibri"/>
          <w:sz w:val="24"/>
          <w:szCs w:val="24"/>
        </w:rPr>
        <w:t>rosazovat moderní témata, jako jsou otevřenost, nové a netradiční formy vzdělávání, digitalizace a</w:t>
      </w:r>
      <w:r w:rsidR="00BB072A">
        <w:rPr>
          <w:rFonts w:cs="Calibri"/>
          <w:sz w:val="24"/>
          <w:szCs w:val="24"/>
        </w:rPr>
        <w:t> </w:t>
      </w:r>
      <w:r w:rsidRPr="00036931">
        <w:rPr>
          <w:rFonts w:cs="Calibri"/>
          <w:sz w:val="24"/>
          <w:szCs w:val="24"/>
        </w:rPr>
        <w:t>snadnější sdílení informací. Návrh závěrů Rady ke globálnímu rozměru evropského vysokoškolského vzdělávání se snaží přenést pozornost od vzdělávací mobility k celkové internacionalizaci vysokých škol i jejich vzdělávacích programů, včetně aktuálních výzev, které před vysokými školami stojí v oblasti poskytování otevřených vzdělávacích zdrojů a</w:t>
      </w:r>
      <w:r w:rsidR="00BB072A">
        <w:rPr>
          <w:rFonts w:cs="Calibri"/>
          <w:sz w:val="24"/>
          <w:szCs w:val="24"/>
        </w:rPr>
        <w:t> </w:t>
      </w:r>
      <w:r w:rsidRPr="00036931">
        <w:rPr>
          <w:rFonts w:cs="Calibri"/>
          <w:sz w:val="24"/>
          <w:szCs w:val="24"/>
        </w:rPr>
        <w:t>digitalizace vzdělávání.</w:t>
      </w:r>
      <w:r w:rsidR="004D0F60">
        <w:rPr>
          <w:rFonts w:cs="Calibri"/>
          <w:sz w:val="24"/>
          <w:szCs w:val="24"/>
        </w:rPr>
        <w:t xml:space="preserve"> Přijaté závěry navazují</w:t>
      </w:r>
      <w:r w:rsidRPr="00036931">
        <w:rPr>
          <w:rFonts w:cs="Calibri"/>
          <w:sz w:val="24"/>
          <w:szCs w:val="24"/>
        </w:rPr>
        <w:t xml:space="preserve"> zejména na dosavadní pokrok při budování Evropského prostoru vysokoškolského vzdělávání a na implementaci boloňského procesu, na závěry Rady k internacionalizaci vysokoškolského vzdělávání (2010) nebo na závěry Rady k modernizaci vysokoškolského vzdělávání (2011). Závěry</w:t>
      </w:r>
      <w:r w:rsidR="00BB072A">
        <w:rPr>
          <w:rFonts w:cs="Calibri"/>
          <w:sz w:val="24"/>
          <w:szCs w:val="24"/>
        </w:rPr>
        <w:t xml:space="preserve"> se snaží upozornit na fakt, že </w:t>
      </w:r>
      <w:r w:rsidRPr="00036931">
        <w:rPr>
          <w:rFonts w:cs="Calibri"/>
          <w:sz w:val="24"/>
          <w:szCs w:val="24"/>
        </w:rPr>
        <w:t>současné vysoké školy v EU nemohou plně uspokojit stoupající poptávku po vzdělávání a</w:t>
      </w:r>
      <w:r w:rsidR="00BB072A">
        <w:rPr>
          <w:rFonts w:cs="Calibri"/>
          <w:sz w:val="24"/>
          <w:szCs w:val="24"/>
        </w:rPr>
        <w:t> </w:t>
      </w:r>
      <w:r w:rsidRPr="00036931">
        <w:rPr>
          <w:rFonts w:cs="Calibri"/>
          <w:sz w:val="24"/>
          <w:szCs w:val="24"/>
        </w:rPr>
        <w:t xml:space="preserve">začínají ztrácet monopol na vzdělávání i jeho certifikaci. Proto je podle </w:t>
      </w:r>
      <w:r w:rsidR="004D0F60">
        <w:rPr>
          <w:rFonts w:cs="Calibri"/>
          <w:sz w:val="24"/>
          <w:szCs w:val="24"/>
        </w:rPr>
        <w:t>předsednictví</w:t>
      </w:r>
      <w:r w:rsidRPr="00036931">
        <w:rPr>
          <w:rFonts w:cs="Calibri"/>
          <w:sz w:val="24"/>
          <w:szCs w:val="24"/>
        </w:rPr>
        <w:t xml:space="preserve"> nezbytné rychle posílit skutečnou internacionalizaci evropských vysokých škol, která jim může výrazně pomoci zvýšit jejich kvalitu a globální konkurenceschopnost</w:t>
      </w:r>
      <w:r w:rsidR="004D0F60">
        <w:rPr>
          <w:rFonts w:cs="Calibri"/>
          <w:sz w:val="24"/>
          <w:szCs w:val="24"/>
        </w:rPr>
        <w:t xml:space="preserve"> nejen ve srovnání s tradičními rivaly jako USA nebo Japonsko, ale i s nově nastupujícími ekonomikami a jejich úspěšně se rozvíjejícími vzdělávacími systémy</w:t>
      </w:r>
      <w:r w:rsidRPr="00036931">
        <w:rPr>
          <w:rFonts w:cs="Calibri"/>
          <w:sz w:val="24"/>
          <w:szCs w:val="24"/>
        </w:rPr>
        <w:t xml:space="preserve">. </w:t>
      </w:r>
    </w:p>
    <w:p w:rsidR="004D0F60" w:rsidRDefault="00036931" w:rsidP="001E0D27">
      <w:pPr>
        <w:spacing w:before="240" w:line="240" w:lineRule="auto"/>
        <w:jc w:val="both"/>
        <w:rPr>
          <w:rFonts w:cs="Calibri"/>
          <w:sz w:val="24"/>
          <w:szCs w:val="24"/>
        </w:rPr>
      </w:pPr>
      <w:r w:rsidRPr="00036931">
        <w:rPr>
          <w:rFonts w:cs="Calibri"/>
          <w:sz w:val="24"/>
          <w:szCs w:val="24"/>
        </w:rPr>
        <w:t xml:space="preserve">Členské státy </w:t>
      </w:r>
      <w:r w:rsidR="004D0F60">
        <w:rPr>
          <w:rFonts w:cs="Calibri"/>
          <w:sz w:val="24"/>
          <w:szCs w:val="24"/>
        </w:rPr>
        <w:t>se přijetím závěrů přihlásily k naplňování</w:t>
      </w:r>
      <w:r w:rsidRPr="00036931">
        <w:rPr>
          <w:rFonts w:cs="Calibri"/>
          <w:sz w:val="24"/>
          <w:szCs w:val="24"/>
        </w:rPr>
        <w:t xml:space="preserve"> tři </w:t>
      </w:r>
      <w:r w:rsidR="004D0F60">
        <w:rPr>
          <w:rFonts w:cs="Calibri"/>
          <w:sz w:val="24"/>
          <w:szCs w:val="24"/>
        </w:rPr>
        <w:t>základních priorit:</w:t>
      </w:r>
    </w:p>
    <w:p w:rsidR="004D0F60" w:rsidRDefault="004D0F60" w:rsidP="00EA3710">
      <w:pPr>
        <w:pStyle w:val="Odstavecseseznamem"/>
        <w:numPr>
          <w:ilvl w:val="0"/>
          <w:numId w:val="6"/>
        </w:numPr>
        <w:spacing w:before="240" w:line="240" w:lineRule="auto"/>
        <w:jc w:val="both"/>
        <w:rPr>
          <w:rFonts w:cs="Calibri"/>
          <w:sz w:val="24"/>
          <w:szCs w:val="24"/>
        </w:rPr>
      </w:pPr>
      <w:r>
        <w:rPr>
          <w:rFonts w:cs="Calibri"/>
          <w:sz w:val="24"/>
          <w:szCs w:val="24"/>
        </w:rPr>
        <w:t>podpora a rozvoj mezinárodní mobility</w:t>
      </w:r>
    </w:p>
    <w:p w:rsidR="004D0F60" w:rsidRDefault="004D0F60" w:rsidP="00EA3710">
      <w:pPr>
        <w:pStyle w:val="Odstavecseseznamem"/>
        <w:numPr>
          <w:ilvl w:val="0"/>
          <w:numId w:val="6"/>
        </w:numPr>
        <w:spacing w:before="240" w:line="240" w:lineRule="auto"/>
        <w:jc w:val="both"/>
        <w:rPr>
          <w:rFonts w:cs="Calibri"/>
          <w:sz w:val="24"/>
          <w:szCs w:val="24"/>
        </w:rPr>
      </w:pPr>
      <w:r>
        <w:rPr>
          <w:rFonts w:cs="Calibri"/>
          <w:sz w:val="24"/>
          <w:szCs w:val="24"/>
        </w:rPr>
        <w:t>internacionalizace kurikula/obsahu vysokoškolských studijních programů</w:t>
      </w:r>
    </w:p>
    <w:p w:rsidR="004D0F60" w:rsidRDefault="00036931" w:rsidP="00EA3710">
      <w:pPr>
        <w:pStyle w:val="Odstavecseseznamem"/>
        <w:numPr>
          <w:ilvl w:val="0"/>
          <w:numId w:val="6"/>
        </w:numPr>
        <w:spacing w:before="240" w:line="240" w:lineRule="auto"/>
        <w:jc w:val="both"/>
        <w:rPr>
          <w:rFonts w:cs="Calibri"/>
          <w:sz w:val="24"/>
          <w:szCs w:val="24"/>
        </w:rPr>
      </w:pPr>
      <w:r w:rsidRPr="004D0F60">
        <w:rPr>
          <w:rFonts w:cs="Calibri"/>
          <w:sz w:val="24"/>
          <w:szCs w:val="24"/>
        </w:rPr>
        <w:t>strategickou s</w:t>
      </w:r>
      <w:r w:rsidR="004D0F60">
        <w:rPr>
          <w:rFonts w:cs="Calibri"/>
          <w:sz w:val="24"/>
          <w:szCs w:val="24"/>
        </w:rPr>
        <w:t>polupráci a posilování kapacit</w:t>
      </w:r>
    </w:p>
    <w:p w:rsidR="00036931" w:rsidRPr="004D0F60" w:rsidRDefault="00036931" w:rsidP="001E0D27">
      <w:pPr>
        <w:spacing w:before="240" w:line="240" w:lineRule="auto"/>
        <w:jc w:val="both"/>
        <w:rPr>
          <w:rFonts w:cs="Calibri"/>
          <w:sz w:val="24"/>
          <w:szCs w:val="24"/>
        </w:rPr>
      </w:pPr>
      <w:r w:rsidRPr="004D0F60">
        <w:rPr>
          <w:rFonts w:cs="Calibri"/>
          <w:sz w:val="24"/>
          <w:szCs w:val="24"/>
        </w:rPr>
        <w:t xml:space="preserve">Mezinárodní mobilita studentů a učitelů </w:t>
      </w:r>
      <w:r w:rsidR="004D0F60">
        <w:rPr>
          <w:rFonts w:cs="Calibri"/>
          <w:sz w:val="24"/>
          <w:szCs w:val="24"/>
        </w:rPr>
        <w:t>má</w:t>
      </w:r>
      <w:r w:rsidRPr="004D0F60">
        <w:rPr>
          <w:rFonts w:cs="Calibri"/>
          <w:sz w:val="24"/>
          <w:szCs w:val="24"/>
        </w:rPr>
        <w:t xml:space="preserve"> být </w:t>
      </w:r>
      <w:r w:rsidR="004D0F60">
        <w:rPr>
          <w:rFonts w:cs="Calibri"/>
          <w:sz w:val="24"/>
          <w:szCs w:val="24"/>
        </w:rPr>
        <w:t>posílena tak, aby byla oboustranná</w:t>
      </w:r>
      <w:r w:rsidRPr="004D0F60">
        <w:rPr>
          <w:rFonts w:cs="Calibri"/>
          <w:sz w:val="24"/>
          <w:szCs w:val="24"/>
        </w:rPr>
        <w:t xml:space="preserve"> i se státy, které nejsou součástí EU, měla by být uznatelná po návratu a neměla by být blokována příliš zdlouhavým získáváním víza. Mnohem více než dosud by také mělo být také obecně více podporováno učení online a </w:t>
      </w:r>
      <w:r w:rsidR="004D0F60">
        <w:rPr>
          <w:rFonts w:cs="Calibri"/>
          <w:sz w:val="24"/>
          <w:szCs w:val="24"/>
        </w:rPr>
        <w:t xml:space="preserve">rozvoj </w:t>
      </w:r>
      <w:r w:rsidRPr="004D0F60">
        <w:rPr>
          <w:rFonts w:cs="Calibri"/>
          <w:i/>
          <w:sz w:val="24"/>
          <w:szCs w:val="24"/>
        </w:rPr>
        <w:t>MOOCs</w:t>
      </w:r>
      <w:r w:rsidR="004D0F60">
        <w:rPr>
          <w:rFonts w:cs="Calibri"/>
          <w:sz w:val="24"/>
          <w:szCs w:val="24"/>
        </w:rPr>
        <w:t xml:space="preserve"> kurzů</w:t>
      </w:r>
      <w:r w:rsidRPr="004D0F60">
        <w:rPr>
          <w:rFonts w:cs="Calibri"/>
          <w:sz w:val="24"/>
          <w:szCs w:val="24"/>
        </w:rPr>
        <w:t xml:space="preserve"> (</w:t>
      </w:r>
      <w:r w:rsidRPr="004D0F60">
        <w:rPr>
          <w:rFonts w:cs="Calibri"/>
          <w:i/>
          <w:sz w:val="24"/>
          <w:szCs w:val="24"/>
        </w:rPr>
        <w:t>massive open online courses</w:t>
      </w:r>
      <w:r w:rsidRPr="004D0F60">
        <w:rPr>
          <w:rFonts w:cs="Calibri"/>
          <w:sz w:val="24"/>
          <w:szCs w:val="24"/>
        </w:rPr>
        <w:t>) a jazyková různorodost, společné programy s dalšími vysokými školami (</w:t>
      </w:r>
      <w:r w:rsidRPr="004D0F60">
        <w:rPr>
          <w:rFonts w:cs="Calibri"/>
          <w:i/>
          <w:sz w:val="24"/>
          <w:szCs w:val="24"/>
        </w:rPr>
        <w:t>joint and double degree</w:t>
      </w:r>
      <w:r w:rsidR="00BB072A">
        <w:rPr>
          <w:rFonts w:cs="Calibri"/>
          <w:sz w:val="24"/>
          <w:szCs w:val="24"/>
        </w:rPr>
        <w:t>) a </w:t>
      </w:r>
      <w:r w:rsidRPr="004D0F60">
        <w:rPr>
          <w:rFonts w:cs="Calibri"/>
          <w:sz w:val="24"/>
          <w:szCs w:val="24"/>
        </w:rPr>
        <w:t xml:space="preserve">spolupráce mezi vysokými školami a </w:t>
      </w:r>
      <w:r w:rsidR="004D0F60">
        <w:rPr>
          <w:rFonts w:cs="Calibri"/>
          <w:sz w:val="24"/>
          <w:szCs w:val="24"/>
        </w:rPr>
        <w:t>zaměstnavateli</w:t>
      </w:r>
      <w:r w:rsidRPr="004D0F60">
        <w:rPr>
          <w:rFonts w:cs="Calibri"/>
          <w:sz w:val="24"/>
          <w:szCs w:val="24"/>
        </w:rPr>
        <w:t xml:space="preserve">. Samotná internacionalizace pak musí být především internacionalizací obsahu vzdělávacích programů. Evropská komise </w:t>
      </w:r>
      <w:r w:rsidR="004D0F60">
        <w:rPr>
          <w:rFonts w:cs="Calibri"/>
          <w:sz w:val="24"/>
          <w:szCs w:val="24"/>
        </w:rPr>
        <w:t>bude</w:t>
      </w:r>
      <w:r w:rsidRPr="004D0F60">
        <w:rPr>
          <w:rFonts w:cs="Calibri"/>
          <w:sz w:val="24"/>
          <w:szCs w:val="24"/>
        </w:rPr>
        <w:t xml:space="preserve"> podporovat členské státy a vysokoškolské vzdělávací instituce v provádění těchto závěrů zejména prostřednictvím programů EU (Erasmus+, Horizont 2020), podporovat zvyšování atraktivity a rozmanitosti evropského vysokoškolského vzdělávání, a to i prostřednictvím </w:t>
      </w:r>
      <w:r w:rsidR="004D0F60">
        <w:rPr>
          <w:rFonts w:cs="Calibri"/>
          <w:sz w:val="24"/>
          <w:szCs w:val="24"/>
        </w:rPr>
        <w:t xml:space="preserve">vývoje </w:t>
      </w:r>
      <w:r w:rsidRPr="004D0F60">
        <w:rPr>
          <w:rFonts w:cs="Calibri"/>
          <w:sz w:val="24"/>
          <w:szCs w:val="24"/>
        </w:rPr>
        <w:t xml:space="preserve">mezinárodního </w:t>
      </w:r>
      <w:r w:rsidR="004D0F60">
        <w:rPr>
          <w:rFonts w:cs="Calibri"/>
          <w:sz w:val="24"/>
          <w:szCs w:val="24"/>
        </w:rPr>
        <w:t>srovnávacího</w:t>
      </w:r>
      <w:r w:rsidRPr="004D0F60">
        <w:rPr>
          <w:rFonts w:cs="Calibri"/>
          <w:sz w:val="24"/>
          <w:szCs w:val="24"/>
        </w:rPr>
        <w:t xml:space="preserve"> nástroje U-Multirank, a podporovat spolupráci v oblasti vysokoškolského vzdělávání mezi členskými státy EU a třetími státy.</w:t>
      </w:r>
    </w:p>
    <w:p w:rsidR="004D0F60" w:rsidRPr="008F1624" w:rsidRDefault="004D0F60" w:rsidP="001E0D27">
      <w:pPr>
        <w:spacing w:before="240" w:line="240" w:lineRule="auto"/>
        <w:jc w:val="both"/>
        <w:rPr>
          <w:rStyle w:val="at1"/>
          <w:rFonts w:cs="Calibri"/>
          <w:sz w:val="24"/>
          <w:szCs w:val="24"/>
        </w:rPr>
      </w:pPr>
      <w:r>
        <w:rPr>
          <w:rFonts w:cs="Calibri"/>
          <w:sz w:val="24"/>
          <w:szCs w:val="24"/>
        </w:rPr>
        <w:t xml:space="preserve">Diskuze při přípravě závěrů Rady ukázala, že vysokoškolská vzdělávací politika je stále citlivým tématem evropské spolupráce – často z prostého důvodu, že v některých členských státech je míra autonomie vysokých škol tak vysoká, že samotné členské státy mohou velmi těžko garantovat prosazení výzev, ke kterým se přijetím závěrů zavázaly. </w:t>
      </w:r>
      <w:r w:rsidR="002113E2">
        <w:rPr>
          <w:rFonts w:cs="Calibri"/>
          <w:sz w:val="24"/>
          <w:szCs w:val="24"/>
        </w:rPr>
        <w:t xml:space="preserve">Do značné míry se také liší přístup jednotlivých států k novým způsobům učení (otevřené vzdělávací zdroje, </w:t>
      </w:r>
      <w:r w:rsidR="002113E2" w:rsidRPr="002113E2">
        <w:rPr>
          <w:rFonts w:cs="Calibri"/>
          <w:i/>
          <w:sz w:val="24"/>
          <w:szCs w:val="24"/>
        </w:rPr>
        <w:t>MOOCs</w:t>
      </w:r>
      <w:r w:rsidR="002113E2">
        <w:rPr>
          <w:rFonts w:cs="Calibri"/>
          <w:sz w:val="24"/>
          <w:szCs w:val="24"/>
        </w:rPr>
        <w:t>) a míra důvěry či nedůvěry k udržení tohoto trendu.</w:t>
      </w:r>
      <w:r>
        <w:rPr>
          <w:rFonts w:cs="Calibri"/>
          <w:sz w:val="24"/>
          <w:szCs w:val="24"/>
        </w:rPr>
        <w:t xml:space="preserve"> Posílení evropské koordinace v této oblasti </w:t>
      </w:r>
      <w:r w:rsidR="002113E2">
        <w:rPr>
          <w:rFonts w:cs="Calibri"/>
          <w:sz w:val="24"/>
          <w:szCs w:val="24"/>
        </w:rPr>
        <w:t xml:space="preserve">tak evidentně </w:t>
      </w:r>
      <w:r>
        <w:rPr>
          <w:rFonts w:cs="Calibri"/>
          <w:sz w:val="24"/>
          <w:szCs w:val="24"/>
        </w:rPr>
        <w:t xml:space="preserve">bude muset hledat </w:t>
      </w:r>
      <w:r w:rsidR="002113E2">
        <w:rPr>
          <w:rFonts w:cs="Calibri"/>
          <w:sz w:val="24"/>
          <w:szCs w:val="24"/>
        </w:rPr>
        <w:t>nové a jiné nástroje než dosud, například v intencích otevřené metody koordinace.</w:t>
      </w:r>
    </w:p>
    <w:p w:rsidR="00A35A42" w:rsidRDefault="00A35A42" w:rsidP="001E0D27">
      <w:pPr>
        <w:tabs>
          <w:tab w:val="left" w:pos="0"/>
        </w:tabs>
        <w:spacing w:after="0" w:line="240" w:lineRule="auto"/>
        <w:jc w:val="both"/>
        <w:rPr>
          <w:sz w:val="24"/>
          <w:szCs w:val="24"/>
        </w:rPr>
      </w:pPr>
    </w:p>
    <w:p w:rsidR="002113E2" w:rsidRPr="00F26F2A" w:rsidRDefault="002113E2" w:rsidP="001E0D27">
      <w:pPr>
        <w:tabs>
          <w:tab w:val="left" w:pos="0"/>
        </w:tabs>
        <w:spacing w:after="0" w:line="240" w:lineRule="auto"/>
        <w:jc w:val="both"/>
        <w:rPr>
          <w:rFonts w:cs="Calibri"/>
          <w:b/>
          <w:i/>
          <w:sz w:val="24"/>
          <w:szCs w:val="24"/>
        </w:rPr>
      </w:pPr>
      <w:r>
        <w:rPr>
          <w:rFonts w:cs="Calibri"/>
          <w:b/>
          <w:i/>
          <w:sz w:val="24"/>
          <w:szCs w:val="24"/>
        </w:rPr>
        <w:t>Úkoly, ke kterým se členské státy podporou závěrů Rady přihlásily:</w:t>
      </w:r>
    </w:p>
    <w:p w:rsidR="00036931" w:rsidRDefault="00036931" w:rsidP="001E0D27">
      <w:pPr>
        <w:tabs>
          <w:tab w:val="left" w:pos="0"/>
        </w:tabs>
        <w:spacing w:after="0" w:line="240" w:lineRule="auto"/>
        <w:ind w:left="720"/>
        <w:jc w:val="both"/>
        <w:rPr>
          <w:sz w:val="24"/>
          <w:szCs w:val="24"/>
        </w:rPr>
      </w:pPr>
    </w:p>
    <w:p w:rsidR="0029697F" w:rsidRPr="0029697F" w:rsidRDefault="0029697F" w:rsidP="00EA3710">
      <w:pPr>
        <w:pStyle w:val="Odstavecseseznamem"/>
        <w:numPr>
          <w:ilvl w:val="0"/>
          <w:numId w:val="7"/>
        </w:numPr>
        <w:autoSpaceDE w:val="0"/>
        <w:autoSpaceDN w:val="0"/>
        <w:adjustRightInd w:val="0"/>
        <w:spacing w:line="240" w:lineRule="auto"/>
        <w:jc w:val="both"/>
        <w:rPr>
          <w:rFonts w:asciiTheme="majorHAnsi" w:hAnsiTheme="majorHAnsi"/>
          <w:b/>
          <w:sz w:val="24"/>
          <w:szCs w:val="24"/>
        </w:rPr>
      </w:pPr>
      <w:r w:rsidRPr="0029697F">
        <w:rPr>
          <w:rFonts w:asciiTheme="majorHAnsi" w:hAnsiTheme="majorHAnsi"/>
          <w:b/>
          <w:sz w:val="24"/>
          <w:szCs w:val="24"/>
        </w:rPr>
        <w:t>Ve spolupráci s příslušnými zainteresovanými stranami usilovat o komplexní strategický přístup k internacionalizaci, zahrnující tři hlavní oblasti, jimiž jsou</w:t>
      </w:r>
    </w:p>
    <w:p w:rsidR="0029697F" w:rsidRPr="0029697F" w:rsidRDefault="00C04F63" w:rsidP="00EA3710">
      <w:pPr>
        <w:pStyle w:val="Odstavecseseznamem"/>
        <w:numPr>
          <w:ilvl w:val="0"/>
          <w:numId w:val="8"/>
        </w:numPr>
        <w:autoSpaceDE w:val="0"/>
        <w:autoSpaceDN w:val="0"/>
        <w:adjustRightInd w:val="0"/>
        <w:spacing w:line="240" w:lineRule="auto"/>
        <w:jc w:val="both"/>
        <w:rPr>
          <w:rFonts w:asciiTheme="majorHAnsi" w:hAnsiTheme="majorHAnsi"/>
          <w:sz w:val="24"/>
          <w:szCs w:val="24"/>
        </w:rPr>
      </w:pPr>
      <w:r>
        <w:rPr>
          <w:rFonts w:asciiTheme="majorHAnsi" w:hAnsiTheme="majorHAnsi"/>
          <w:sz w:val="24"/>
          <w:szCs w:val="24"/>
        </w:rPr>
        <w:t>mobilita studentů a pracovníků</w:t>
      </w:r>
    </w:p>
    <w:p w:rsidR="0029697F" w:rsidRPr="0029697F" w:rsidRDefault="0029697F" w:rsidP="00EA3710">
      <w:pPr>
        <w:pStyle w:val="Odstavecseseznamem"/>
        <w:numPr>
          <w:ilvl w:val="0"/>
          <w:numId w:val="8"/>
        </w:numPr>
        <w:autoSpaceDE w:val="0"/>
        <w:autoSpaceDN w:val="0"/>
        <w:adjustRightInd w:val="0"/>
        <w:spacing w:line="240" w:lineRule="auto"/>
        <w:jc w:val="both"/>
        <w:rPr>
          <w:rFonts w:asciiTheme="majorHAnsi" w:hAnsiTheme="majorHAnsi"/>
          <w:sz w:val="24"/>
          <w:szCs w:val="24"/>
        </w:rPr>
      </w:pPr>
      <w:r w:rsidRPr="0029697F">
        <w:rPr>
          <w:rFonts w:asciiTheme="majorHAnsi" w:hAnsiTheme="majorHAnsi"/>
          <w:sz w:val="24"/>
          <w:szCs w:val="24"/>
        </w:rPr>
        <w:t>internacionalizace vzdělávacích pr</w:t>
      </w:r>
      <w:r w:rsidR="00C04F63">
        <w:rPr>
          <w:rFonts w:asciiTheme="majorHAnsi" w:hAnsiTheme="majorHAnsi"/>
          <w:sz w:val="24"/>
          <w:szCs w:val="24"/>
        </w:rPr>
        <w:t>ogramů a digitálního vzdělávání</w:t>
      </w:r>
    </w:p>
    <w:p w:rsidR="00C04F63" w:rsidRPr="00C04F63" w:rsidRDefault="0029697F" w:rsidP="00EA3710">
      <w:pPr>
        <w:pStyle w:val="Odstavecseseznamem"/>
        <w:numPr>
          <w:ilvl w:val="0"/>
          <w:numId w:val="8"/>
        </w:numPr>
        <w:autoSpaceDE w:val="0"/>
        <w:autoSpaceDN w:val="0"/>
        <w:adjustRightInd w:val="0"/>
        <w:spacing w:line="240" w:lineRule="auto"/>
        <w:jc w:val="both"/>
        <w:rPr>
          <w:rFonts w:asciiTheme="majorHAnsi" w:hAnsiTheme="majorHAnsi"/>
          <w:sz w:val="24"/>
          <w:szCs w:val="24"/>
        </w:rPr>
      </w:pPr>
      <w:r w:rsidRPr="0029697F">
        <w:rPr>
          <w:rFonts w:asciiTheme="majorHAnsi" w:hAnsiTheme="majorHAnsi"/>
          <w:sz w:val="24"/>
          <w:szCs w:val="24"/>
        </w:rPr>
        <w:t>strategická spolupráce,</w:t>
      </w:r>
      <w:r w:rsidR="00C04F63">
        <w:rPr>
          <w:rFonts w:asciiTheme="majorHAnsi" w:hAnsiTheme="majorHAnsi"/>
          <w:sz w:val="24"/>
          <w:szCs w:val="24"/>
        </w:rPr>
        <w:t xml:space="preserve"> partnerství a budování kapacit</w:t>
      </w:r>
    </w:p>
    <w:p w:rsidR="0029697F" w:rsidRPr="0029697F" w:rsidRDefault="0029697F" w:rsidP="00EA3710">
      <w:pPr>
        <w:pStyle w:val="Odstavecseseznamem"/>
        <w:numPr>
          <w:ilvl w:val="0"/>
          <w:numId w:val="7"/>
        </w:numPr>
        <w:autoSpaceDE w:val="0"/>
        <w:autoSpaceDN w:val="0"/>
        <w:adjustRightInd w:val="0"/>
        <w:spacing w:line="240" w:lineRule="auto"/>
        <w:jc w:val="both"/>
        <w:rPr>
          <w:rFonts w:asciiTheme="majorHAnsi" w:hAnsiTheme="majorHAnsi"/>
          <w:b/>
          <w:sz w:val="24"/>
          <w:szCs w:val="24"/>
        </w:rPr>
      </w:pPr>
      <w:r w:rsidRPr="0029697F">
        <w:rPr>
          <w:rFonts w:asciiTheme="majorHAnsi" w:hAnsiTheme="majorHAnsi"/>
          <w:b/>
          <w:sz w:val="24"/>
          <w:szCs w:val="24"/>
        </w:rPr>
        <w:t>Prosazovat obousměrnou mezinárodní mobilitu studentů za účelem získání diplom</w:t>
      </w:r>
      <w:r>
        <w:rPr>
          <w:rFonts w:asciiTheme="majorHAnsi" w:hAnsiTheme="majorHAnsi"/>
          <w:b/>
          <w:sz w:val="24"/>
          <w:szCs w:val="24"/>
        </w:rPr>
        <w:t>u a kreditů a rovněž poskytovat</w:t>
      </w:r>
      <w:r w:rsidRPr="0029697F">
        <w:rPr>
          <w:rFonts w:asciiTheme="majorHAnsi" w:hAnsiTheme="majorHAnsi"/>
          <w:b/>
          <w:sz w:val="24"/>
          <w:szCs w:val="24"/>
        </w:rPr>
        <w:t xml:space="preserve"> příležitosti pro mobilitu pracovníků mezi evropskými a třetími zeměmi, mimo jiné i: </w:t>
      </w:r>
    </w:p>
    <w:p w:rsidR="0029697F" w:rsidRPr="0029697F" w:rsidRDefault="0029697F" w:rsidP="001E0D27">
      <w:pPr>
        <w:autoSpaceDE w:val="0"/>
        <w:autoSpaceDN w:val="0"/>
        <w:adjustRightInd w:val="0"/>
        <w:spacing w:line="240" w:lineRule="auto"/>
        <w:ind w:left="1134" w:hanging="567"/>
        <w:jc w:val="both"/>
        <w:rPr>
          <w:rFonts w:asciiTheme="majorHAnsi" w:hAnsiTheme="majorHAnsi"/>
          <w:sz w:val="24"/>
          <w:szCs w:val="24"/>
        </w:rPr>
      </w:pPr>
      <w:r>
        <w:rPr>
          <w:rFonts w:asciiTheme="majorHAnsi" w:hAnsiTheme="majorHAnsi"/>
          <w:noProof/>
          <w:sz w:val="24"/>
          <w:szCs w:val="24"/>
        </w:rPr>
        <w:t>1</w:t>
      </w:r>
      <w:r w:rsidRPr="0029697F">
        <w:rPr>
          <w:rFonts w:asciiTheme="majorHAnsi" w:hAnsiTheme="majorHAnsi"/>
          <w:noProof/>
          <w:sz w:val="24"/>
          <w:szCs w:val="24"/>
        </w:rPr>
        <w:t>)</w:t>
      </w:r>
      <w:r w:rsidRPr="0029697F">
        <w:rPr>
          <w:rFonts w:asciiTheme="majorHAnsi" w:hAnsiTheme="majorHAnsi"/>
          <w:sz w:val="24"/>
          <w:szCs w:val="24"/>
        </w:rPr>
        <w:tab/>
        <w:t xml:space="preserve">zajištěním toho, aby ve strategiích internacionalizace byla významně zastoupena složka související s mobilitou studentů a výzkumných a dalších pracovníků podporovaná rámcem kvality, který může mimo jiné zahrnovat </w:t>
      </w:r>
      <w:r w:rsidR="00BB072A">
        <w:rPr>
          <w:rFonts w:asciiTheme="majorHAnsi" w:hAnsiTheme="majorHAnsi"/>
          <w:sz w:val="24"/>
          <w:szCs w:val="24"/>
        </w:rPr>
        <w:t>poradenské a </w:t>
      </w:r>
      <w:r w:rsidR="00C04F63">
        <w:rPr>
          <w:rFonts w:asciiTheme="majorHAnsi" w:hAnsiTheme="majorHAnsi"/>
          <w:sz w:val="24"/>
          <w:szCs w:val="24"/>
        </w:rPr>
        <w:t>informační služby</w:t>
      </w:r>
    </w:p>
    <w:p w:rsidR="0029697F" w:rsidRPr="0029697F" w:rsidRDefault="0029697F" w:rsidP="001E0D27">
      <w:pPr>
        <w:autoSpaceDE w:val="0"/>
        <w:autoSpaceDN w:val="0"/>
        <w:adjustRightInd w:val="0"/>
        <w:spacing w:line="240" w:lineRule="auto"/>
        <w:ind w:left="1134" w:hanging="567"/>
        <w:jc w:val="both"/>
        <w:rPr>
          <w:rFonts w:asciiTheme="majorHAnsi" w:hAnsiTheme="majorHAnsi"/>
          <w:sz w:val="24"/>
          <w:szCs w:val="24"/>
        </w:rPr>
      </w:pPr>
      <w:r>
        <w:rPr>
          <w:rFonts w:asciiTheme="majorHAnsi" w:hAnsiTheme="majorHAnsi"/>
          <w:noProof/>
          <w:sz w:val="24"/>
          <w:szCs w:val="24"/>
        </w:rPr>
        <w:t>2</w:t>
      </w:r>
      <w:r w:rsidRPr="0029697F">
        <w:rPr>
          <w:rFonts w:asciiTheme="majorHAnsi" w:hAnsiTheme="majorHAnsi"/>
          <w:noProof/>
          <w:sz w:val="24"/>
          <w:szCs w:val="24"/>
        </w:rPr>
        <w:t>)</w:t>
      </w:r>
      <w:r w:rsidRPr="0029697F">
        <w:rPr>
          <w:rFonts w:asciiTheme="majorHAnsi" w:hAnsiTheme="majorHAnsi"/>
          <w:sz w:val="24"/>
          <w:szCs w:val="24"/>
        </w:rPr>
        <w:tab/>
        <w:t>zavedením dvousměrných programů mobility vzájemného zájmu se třetími zeměmi, které představují přiměřenou rovnováhu mezi fyzickou a virtuální mobilitou, jakož i mezi příchozí a odchozí mobilitou a které zahrnují širokou škálu předmětů a ve vhodných případech se zaměřují na ob</w:t>
      </w:r>
      <w:r w:rsidR="00C04F63">
        <w:rPr>
          <w:rFonts w:asciiTheme="majorHAnsi" w:hAnsiTheme="majorHAnsi"/>
          <w:sz w:val="24"/>
          <w:szCs w:val="24"/>
        </w:rPr>
        <w:t>lasti s nedostatkem dovedností</w:t>
      </w:r>
    </w:p>
    <w:p w:rsidR="0029697F" w:rsidRPr="0029697F" w:rsidRDefault="0029697F" w:rsidP="001E0D27">
      <w:pPr>
        <w:autoSpaceDE w:val="0"/>
        <w:autoSpaceDN w:val="0"/>
        <w:adjustRightInd w:val="0"/>
        <w:spacing w:line="240" w:lineRule="auto"/>
        <w:ind w:left="1134" w:hanging="567"/>
        <w:jc w:val="both"/>
        <w:rPr>
          <w:rFonts w:asciiTheme="majorHAnsi" w:hAnsiTheme="majorHAnsi"/>
          <w:sz w:val="24"/>
          <w:szCs w:val="24"/>
        </w:rPr>
      </w:pPr>
      <w:r>
        <w:rPr>
          <w:rFonts w:asciiTheme="majorHAnsi" w:hAnsiTheme="majorHAnsi"/>
          <w:noProof/>
          <w:sz w:val="24"/>
          <w:szCs w:val="24"/>
        </w:rPr>
        <w:t>3</w:t>
      </w:r>
      <w:r w:rsidRPr="0029697F">
        <w:rPr>
          <w:rFonts w:asciiTheme="majorHAnsi" w:hAnsiTheme="majorHAnsi"/>
          <w:noProof/>
          <w:sz w:val="24"/>
          <w:szCs w:val="24"/>
        </w:rPr>
        <w:t>)</w:t>
      </w:r>
      <w:r w:rsidRPr="0029697F">
        <w:rPr>
          <w:rFonts w:asciiTheme="majorHAnsi" w:hAnsiTheme="majorHAnsi"/>
          <w:sz w:val="24"/>
          <w:szCs w:val="24"/>
        </w:rPr>
        <w:tab/>
        <w:t>podporou uznávání kreditů, diplomů, kvalifikací a kompetencí získaných studenty a výzkumnými a dalšími pracovníky, kteří se účastní meziná</w:t>
      </w:r>
      <w:r w:rsidR="00BB072A">
        <w:rPr>
          <w:rFonts w:asciiTheme="majorHAnsi" w:hAnsiTheme="majorHAnsi"/>
          <w:sz w:val="24"/>
          <w:szCs w:val="24"/>
        </w:rPr>
        <w:t>rodní mobility, v </w:t>
      </w:r>
      <w:r w:rsidRPr="0029697F">
        <w:rPr>
          <w:rFonts w:asciiTheme="majorHAnsi" w:hAnsiTheme="majorHAnsi"/>
          <w:sz w:val="24"/>
          <w:szCs w:val="24"/>
        </w:rPr>
        <w:t xml:space="preserve">zahraničí, a to v souladu s vnitrostátními </w:t>
      </w:r>
      <w:r w:rsidR="00C04F63">
        <w:rPr>
          <w:rFonts w:asciiTheme="majorHAnsi" w:hAnsiTheme="majorHAnsi"/>
          <w:sz w:val="24"/>
          <w:szCs w:val="24"/>
        </w:rPr>
        <w:t>právními předpisy a zvyklostmi</w:t>
      </w:r>
    </w:p>
    <w:p w:rsidR="0029697F" w:rsidRPr="0029697F" w:rsidRDefault="0029697F" w:rsidP="001E0D27">
      <w:pPr>
        <w:autoSpaceDE w:val="0"/>
        <w:autoSpaceDN w:val="0"/>
        <w:adjustRightInd w:val="0"/>
        <w:spacing w:line="240" w:lineRule="auto"/>
        <w:ind w:left="1134" w:hanging="567"/>
        <w:jc w:val="both"/>
        <w:rPr>
          <w:rFonts w:asciiTheme="majorHAnsi" w:hAnsiTheme="majorHAnsi"/>
          <w:sz w:val="24"/>
          <w:szCs w:val="24"/>
        </w:rPr>
      </w:pPr>
      <w:r>
        <w:rPr>
          <w:rFonts w:asciiTheme="majorHAnsi" w:hAnsiTheme="majorHAnsi"/>
          <w:noProof/>
          <w:sz w:val="24"/>
          <w:szCs w:val="24"/>
        </w:rPr>
        <w:t>4</w:t>
      </w:r>
      <w:r w:rsidRPr="0029697F">
        <w:rPr>
          <w:rFonts w:asciiTheme="majorHAnsi" w:hAnsiTheme="majorHAnsi"/>
          <w:noProof/>
          <w:sz w:val="24"/>
          <w:szCs w:val="24"/>
        </w:rPr>
        <w:t>)</w:t>
      </w:r>
      <w:r w:rsidRPr="0029697F">
        <w:rPr>
          <w:rFonts w:asciiTheme="majorHAnsi" w:hAnsiTheme="majorHAnsi"/>
          <w:sz w:val="24"/>
          <w:szCs w:val="24"/>
        </w:rPr>
        <w:tab/>
        <w:t xml:space="preserve">výraznějším zaměřením na výsledky učení, </w:t>
      </w:r>
      <w:r w:rsidR="00BB072A">
        <w:rPr>
          <w:rFonts w:asciiTheme="majorHAnsi" w:hAnsiTheme="majorHAnsi"/>
          <w:sz w:val="24"/>
          <w:szCs w:val="24"/>
        </w:rPr>
        <w:t>jakož i posílením soudržnosti s </w:t>
      </w:r>
      <w:r w:rsidRPr="0029697F">
        <w:rPr>
          <w:rFonts w:asciiTheme="majorHAnsi" w:hAnsiTheme="majorHAnsi"/>
          <w:sz w:val="24"/>
          <w:szCs w:val="24"/>
        </w:rPr>
        <w:t>evropskými nástroji transparentnosti, jakými jsou například evropský systém přenosu a akumulace kreditů, dodatek k diplomu a evropský rámec kvalifikací, jakož i soudržnosti s m</w:t>
      </w:r>
      <w:r w:rsidR="00C04F63">
        <w:rPr>
          <w:rFonts w:asciiTheme="majorHAnsi" w:hAnsiTheme="majorHAnsi"/>
          <w:sz w:val="24"/>
          <w:szCs w:val="24"/>
        </w:rPr>
        <w:t>echanismy zajišťování kvality</w:t>
      </w:r>
    </w:p>
    <w:p w:rsidR="0029697F" w:rsidRPr="0029697F" w:rsidRDefault="0029697F" w:rsidP="001E0D27">
      <w:pPr>
        <w:autoSpaceDE w:val="0"/>
        <w:autoSpaceDN w:val="0"/>
        <w:adjustRightInd w:val="0"/>
        <w:spacing w:line="240" w:lineRule="auto"/>
        <w:ind w:left="1134" w:hanging="567"/>
        <w:jc w:val="both"/>
        <w:rPr>
          <w:rFonts w:asciiTheme="majorHAnsi" w:hAnsiTheme="majorHAnsi"/>
          <w:sz w:val="24"/>
          <w:szCs w:val="24"/>
        </w:rPr>
      </w:pPr>
      <w:r>
        <w:rPr>
          <w:rFonts w:asciiTheme="majorHAnsi" w:hAnsiTheme="majorHAnsi"/>
          <w:noProof/>
          <w:sz w:val="24"/>
          <w:szCs w:val="24"/>
        </w:rPr>
        <w:t>5</w:t>
      </w:r>
      <w:r w:rsidRPr="0029697F">
        <w:rPr>
          <w:rFonts w:asciiTheme="majorHAnsi" w:hAnsiTheme="majorHAnsi"/>
          <w:noProof/>
          <w:sz w:val="24"/>
          <w:szCs w:val="24"/>
        </w:rPr>
        <w:t>)</w:t>
      </w:r>
      <w:r w:rsidRPr="0029697F">
        <w:rPr>
          <w:rFonts w:asciiTheme="majorHAnsi" w:hAnsiTheme="majorHAnsi"/>
          <w:sz w:val="24"/>
          <w:szCs w:val="24"/>
        </w:rPr>
        <w:tab/>
        <w:t xml:space="preserve">urychlením pokroku na navrhovaném přepracování směrnic, které se týkají podmínek vstupu a pobytu státních příslušníků třetích </w:t>
      </w:r>
      <w:r w:rsidR="00C04F63">
        <w:rPr>
          <w:rFonts w:asciiTheme="majorHAnsi" w:hAnsiTheme="majorHAnsi"/>
          <w:sz w:val="24"/>
          <w:szCs w:val="24"/>
        </w:rPr>
        <w:t xml:space="preserve">zemí pro </w:t>
      </w:r>
      <w:r w:rsidR="00BB072A">
        <w:rPr>
          <w:rFonts w:asciiTheme="majorHAnsi" w:hAnsiTheme="majorHAnsi"/>
          <w:sz w:val="24"/>
          <w:szCs w:val="24"/>
        </w:rPr>
        <w:t>účely výzkumu a </w:t>
      </w:r>
      <w:r w:rsidR="00C04F63">
        <w:rPr>
          <w:rFonts w:asciiTheme="majorHAnsi" w:hAnsiTheme="majorHAnsi"/>
          <w:sz w:val="24"/>
          <w:szCs w:val="24"/>
        </w:rPr>
        <w:t>studia</w:t>
      </w:r>
    </w:p>
    <w:p w:rsidR="00C04F63" w:rsidRPr="00C04F63" w:rsidRDefault="00C04F63" w:rsidP="001E0D27">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line="240" w:lineRule="auto"/>
        <w:jc w:val="both"/>
        <w:rPr>
          <w:sz w:val="24"/>
          <w:szCs w:val="24"/>
        </w:rPr>
      </w:pPr>
      <w:r w:rsidRPr="00C04F63">
        <w:rPr>
          <w:sz w:val="24"/>
          <w:szCs w:val="24"/>
        </w:rPr>
        <w:t xml:space="preserve">ČR stále považuje Evropskou vzdělávací mobilitu za vlajkovou </w:t>
      </w:r>
      <w:r w:rsidR="00BB072A">
        <w:rPr>
          <w:sz w:val="24"/>
          <w:szCs w:val="24"/>
        </w:rPr>
        <w:t>loď evropské integrace, která u </w:t>
      </w:r>
      <w:r w:rsidRPr="00C04F63">
        <w:rPr>
          <w:sz w:val="24"/>
          <w:szCs w:val="24"/>
        </w:rPr>
        <w:t>mladých Evropanů přirozeným způsobem posiluje společnou zodpovědnost za celou unii a</w:t>
      </w:r>
      <w:r w:rsidR="00BB072A">
        <w:rPr>
          <w:sz w:val="24"/>
          <w:szCs w:val="24"/>
        </w:rPr>
        <w:t> </w:t>
      </w:r>
      <w:r w:rsidRPr="00C04F63">
        <w:rPr>
          <w:sz w:val="24"/>
          <w:szCs w:val="24"/>
        </w:rPr>
        <w:t>která pomáhá odstraňovat bariéry uvnitř evropského prostoru. ČR ale zároveň patří ke skupině členských států, která dlouhodobě upozorňuje na to, že z nástroje se pro mnoho členských států (i pro EU jako takovou) stává spíše cílem a že pokud se nemá dosavadní koncept evropské vzdělávací mobility vyprázdnit, je třeba jí oživit a posunout dál – ať už jejím propojením se získáváním relevantních pracovních zkušeností, tolik potřebných v době hrozivé míry nezaměstnanosti mladých lidí v některých členských státech, nebo jejím využíváním spíše jako užitečného nástroje internacionalizace vysokoškolského vzdělávání.</w:t>
      </w:r>
    </w:p>
    <w:p w:rsidR="00C04F63" w:rsidRPr="00C04F63" w:rsidRDefault="00C04F63" w:rsidP="001E0D27">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contextualSpacing/>
        <w:jc w:val="both"/>
        <w:rPr>
          <w:sz w:val="24"/>
          <w:szCs w:val="24"/>
        </w:rPr>
      </w:pPr>
      <w:r w:rsidRPr="00C04F63">
        <w:rPr>
          <w:sz w:val="24"/>
          <w:szCs w:val="24"/>
        </w:rPr>
        <w:t>Vedle důrazu na posilování kvality, relevance a přidané hodnoty mobility (například ve formě propojení s pracovními stážemi) je dlouhodobou prioritou MŠMT jako národní autority v této oblasti zapojení co možná největšího počtu vysokoškolských studentů do programů (zahraniční) mobility. ČR podporuje mobilitu studentů i akademických pracovníků zejména podporou účasti vysokoškolských institucí v evropských, regionálních a dalších vzdělávacích programech (v rámci EU i mimo ni). Výrazem toho, jaký význam ČR evropské mobilitě přikládá, je i dofinancování mobilit v rámci podprogramu Erasmus (dosavadní Program celoživotního učení) z rozpočtu MŠMT.</w:t>
      </w:r>
    </w:p>
    <w:p w:rsidR="00C04F63" w:rsidRPr="00C04F63" w:rsidRDefault="00C04F63" w:rsidP="001E0D27">
      <w:pPr>
        <w:autoSpaceDE w:val="0"/>
        <w:autoSpaceDN w:val="0"/>
        <w:adjustRightInd w:val="0"/>
        <w:spacing w:line="240" w:lineRule="auto"/>
        <w:jc w:val="both"/>
        <w:rPr>
          <w:sz w:val="24"/>
          <w:szCs w:val="24"/>
        </w:rPr>
      </w:pPr>
    </w:p>
    <w:p w:rsidR="0029697F" w:rsidRPr="00C04F63" w:rsidRDefault="0029697F" w:rsidP="001E0D27">
      <w:pPr>
        <w:autoSpaceDE w:val="0"/>
        <w:autoSpaceDN w:val="0"/>
        <w:adjustRightInd w:val="0"/>
        <w:spacing w:line="240" w:lineRule="auto"/>
        <w:jc w:val="both"/>
        <w:rPr>
          <w:rFonts w:asciiTheme="majorHAnsi" w:hAnsiTheme="majorHAnsi"/>
          <w:b/>
          <w:sz w:val="24"/>
          <w:szCs w:val="24"/>
        </w:rPr>
      </w:pPr>
      <w:r w:rsidRPr="00C04F63">
        <w:rPr>
          <w:rFonts w:asciiTheme="majorHAnsi" w:hAnsiTheme="majorHAnsi"/>
          <w:b/>
          <w:sz w:val="24"/>
          <w:szCs w:val="24"/>
        </w:rPr>
        <w:t>Prosazovat internacionalizaci na domácí půdě a digitální vzdělávání s cílem zajistit, aby velká většina evropských studentů, kteří se neúčastní fyzické mobility, byla rovněž s to rozvíjet mezinárodní dovednosti, mimo jiné i:</w:t>
      </w:r>
    </w:p>
    <w:p w:rsidR="0029697F" w:rsidRPr="0029697F" w:rsidRDefault="0029697F" w:rsidP="001E0D27">
      <w:pPr>
        <w:autoSpaceDE w:val="0"/>
        <w:autoSpaceDN w:val="0"/>
        <w:adjustRightInd w:val="0"/>
        <w:spacing w:line="240" w:lineRule="auto"/>
        <w:ind w:left="1134" w:hanging="567"/>
        <w:jc w:val="both"/>
        <w:rPr>
          <w:rFonts w:asciiTheme="majorHAnsi" w:hAnsiTheme="majorHAnsi"/>
          <w:sz w:val="24"/>
          <w:szCs w:val="24"/>
        </w:rPr>
      </w:pPr>
      <w:r>
        <w:rPr>
          <w:rFonts w:asciiTheme="majorHAnsi" w:hAnsiTheme="majorHAnsi" w:cs="(Utiliser une police de caractè"/>
          <w:noProof/>
          <w:sz w:val="24"/>
          <w:szCs w:val="24"/>
        </w:rPr>
        <w:t>1</w:t>
      </w:r>
      <w:r w:rsidRPr="0029697F">
        <w:rPr>
          <w:rFonts w:asciiTheme="majorHAnsi" w:hAnsiTheme="majorHAnsi" w:cs="(Utiliser une police de caractè"/>
          <w:noProof/>
          <w:sz w:val="24"/>
          <w:szCs w:val="24"/>
        </w:rPr>
        <w:t>)</w:t>
      </w:r>
      <w:r w:rsidRPr="0029697F">
        <w:rPr>
          <w:rFonts w:asciiTheme="majorHAnsi" w:hAnsiTheme="majorHAnsi" w:cs="(Utiliser une police de caractè"/>
          <w:sz w:val="24"/>
          <w:szCs w:val="24"/>
        </w:rPr>
        <w:tab/>
      </w:r>
      <w:r w:rsidRPr="0029697F">
        <w:rPr>
          <w:rFonts w:asciiTheme="majorHAnsi" w:hAnsiTheme="majorHAnsi"/>
          <w:sz w:val="24"/>
          <w:szCs w:val="24"/>
        </w:rPr>
        <w:t>zajištěním poskytování vysoce kvalitních zařízení a služeb studentům v terciárním vzdělávání, které odpovídají potřeb</w:t>
      </w:r>
      <w:r w:rsidR="00C04F63">
        <w:rPr>
          <w:rFonts w:asciiTheme="majorHAnsi" w:hAnsiTheme="majorHAnsi"/>
          <w:sz w:val="24"/>
          <w:szCs w:val="24"/>
        </w:rPr>
        <w:t>ám studentů</w:t>
      </w:r>
    </w:p>
    <w:p w:rsidR="0029697F" w:rsidRPr="0029697F" w:rsidRDefault="0029697F" w:rsidP="001E0D27">
      <w:pPr>
        <w:autoSpaceDE w:val="0"/>
        <w:autoSpaceDN w:val="0"/>
        <w:adjustRightInd w:val="0"/>
        <w:spacing w:line="240" w:lineRule="auto"/>
        <w:ind w:left="1134" w:hanging="567"/>
        <w:jc w:val="both"/>
        <w:rPr>
          <w:rFonts w:asciiTheme="majorHAnsi" w:hAnsiTheme="majorHAnsi"/>
          <w:sz w:val="24"/>
          <w:szCs w:val="24"/>
        </w:rPr>
      </w:pPr>
      <w:r>
        <w:rPr>
          <w:rFonts w:asciiTheme="majorHAnsi" w:hAnsiTheme="majorHAnsi"/>
          <w:noProof/>
          <w:sz w:val="24"/>
          <w:szCs w:val="24"/>
        </w:rPr>
        <w:t>2</w:t>
      </w:r>
      <w:r w:rsidRPr="0029697F">
        <w:rPr>
          <w:rFonts w:asciiTheme="majorHAnsi" w:hAnsiTheme="majorHAnsi"/>
          <w:noProof/>
          <w:sz w:val="24"/>
          <w:szCs w:val="24"/>
        </w:rPr>
        <w:t>)</w:t>
      </w:r>
      <w:r w:rsidRPr="0029697F">
        <w:rPr>
          <w:rFonts w:asciiTheme="majorHAnsi" w:hAnsiTheme="majorHAnsi"/>
          <w:b/>
          <w:bCs/>
          <w:sz w:val="24"/>
          <w:szCs w:val="24"/>
        </w:rPr>
        <w:tab/>
      </w:r>
      <w:r w:rsidRPr="0029697F">
        <w:rPr>
          <w:rFonts w:asciiTheme="majorHAnsi" w:hAnsiTheme="majorHAnsi"/>
          <w:sz w:val="24"/>
          <w:szCs w:val="24"/>
        </w:rPr>
        <w:t>účinným využíváním mezinárodních zkušeností a kompetencí, které mají zaměstnanci institucí vysokoškolského vzděl</w:t>
      </w:r>
      <w:r w:rsidR="005065C8">
        <w:rPr>
          <w:rFonts w:asciiTheme="majorHAnsi" w:hAnsiTheme="majorHAnsi"/>
          <w:sz w:val="24"/>
          <w:szCs w:val="24"/>
        </w:rPr>
        <w:t>ávání, a jejich povzbuzováním k </w:t>
      </w:r>
      <w:r w:rsidRPr="0029697F">
        <w:rPr>
          <w:rFonts w:asciiTheme="majorHAnsi" w:hAnsiTheme="majorHAnsi"/>
          <w:sz w:val="24"/>
          <w:szCs w:val="24"/>
        </w:rPr>
        <w:t xml:space="preserve">tomu, aby přispívali k vytváření vysoce kvalitních mezinárodně zaměřených vzdělávacích programů ku prospěchu studujících, kteří jsou zapojeni do mobility, i </w:t>
      </w:r>
      <w:r w:rsidR="00C04F63">
        <w:rPr>
          <w:rFonts w:asciiTheme="majorHAnsi" w:hAnsiTheme="majorHAnsi"/>
          <w:sz w:val="24"/>
          <w:szCs w:val="24"/>
        </w:rPr>
        <w:t>těch, kdo do ní zapojeni nejsou</w:t>
      </w:r>
    </w:p>
    <w:p w:rsidR="0029697F" w:rsidRPr="0029697F" w:rsidRDefault="0029697F" w:rsidP="001E0D27">
      <w:pPr>
        <w:autoSpaceDE w:val="0"/>
        <w:autoSpaceDN w:val="0"/>
        <w:adjustRightInd w:val="0"/>
        <w:spacing w:line="240" w:lineRule="auto"/>
        <w:ind w:left="1134" w:hanging="567"/>
        <w:jc w:val="both"/>
        <w:rPr>
          <w:rFonts w:asciiTheme="majorHAnsi" w:hAnsiTheme="majorHAnsi"/>
          <w:sz w:val="24"/>
          <w:szCs w:val="24"/>
        </w:rPr>
      </w:pPr>
      <w:r>
        <w:rPr>
          <w:rFonts w:asciiTheme="majorHAnsi" w:hAnsiTheme="majorHAnsi"/>
          <w:noProof/>
          <w:sz w:val="24"/>
          <w:szCs w:val="24"/>
        </w:rPr>
        <w:t>3</w:t>
      </w:r>
      <w:r w:rsidRPr="0029697F">
        <w:rPr>
          <w:rFonts w:asciiTheme="majorHAnsi" w:hAnsiTheme="majorHAnsi"/>
          <w:noProof/>
          <w:sz w:val="24"/>
          <w:szCs w:val="24"/>
        </w:rPr>
        <w:t>)</w:t>
      </w:r>
      <w:r w:rsidRPr="0029697F">
        <w:rPr>
          <w:rFonts w:asciiTheme="majorHAnsi" w:hAnsiTheme="majorHAnsi"/>
          <w:b/>
          <w:bCs/>
          <w:sz w:val="24"/>
          <w:szCs w:val="24"/>
        </w:rPr>
        <w:tab/>
      </w:r>
      <w:r w:rsidRPr="0029697F">
        <w:rPr>
          <w:rFonts w:asciiTheme="majorHAnsi" w:hAnsiTheme="majorHAnsi"/>
          <w:sz w:val="24"/>
          <w:szCs w:val="24"/>
        </w:rPr>
        <w:t>poskytováním více příležitostí studentům a výzkumným a dalším pracovníkům, aby rozvíjeli své jazykové dovednosti, zejména prostřednictvím výuky v jazyce hostitelského státu v případě jedinců navštěvujících kurzy, které nejsou v jejich mateřském jazyce, aby se maximalizoval přínos evropské jazykové rozmanitosti a sociální integrace studentů a výzkumných a dalších praco</w:t>
      </w:r>
      <w:r w:rsidR="00C04F63">
        <w:rPr>
          <w:rFonts w:asciiTheme="majorHAnsi" w:hAnsiTheme="majorHAnsi"/>
          <w:sz w:val="24"/>
          <w:szCs w:val="24"/>
        </w:rPr>
        <w:t>vníků v jejich hostitelské zemi</w:t>
      </w:r>
    </w:p>
    <w:p w:rsidR="0029697F" w:rsidRDefault="0029697F" w:rsidP="001E0D27">
      <w:pPr>
        <w:autoSpaceDE w:val="0"/>
        <w:autoSpaceDN w:val="0"/>
        <w:adjustRightInd w:val="0"/>
        <w:spacing w:line="240" w:lineRule="auto"/>
        <w:ind w:left="1134" w:hanging="567"/>
        <w:jc w:val="both"/>
        <w:rPr>
          <w:rFonts w:asciiTheme="majorHAnsi" w:hAnsiTheme="majorHAnsi"/>
          <w:sz w:val="24"/>
          <w:szCs w:val="24"/>
        </w:rPr>
      </w:pPr>
      <w:r>
        <w:rPr>
          <w:rFonts w:asciiTheme="majorHAnsi" w:hAnsiTheme="majorHAnsi"/>
          <w:noProof/>
          <w:sz w:val="24"/>
          <w:szCs w:val="24"/>
        </w:rPr>
        <w:t>4</w:t>
      </w:r>
      <w:r w:rsidRPr="0029697F">
        <w:rPr>
          <w:rFonts w:asciiTheme="majorHAnsi" w:hAnsiTheme="majorHAnsi"/>
          <w:noProof/>
          <w:sz w:val="24"/>
          <w:szCs w:val="24"/>
        </w:rPr>
        <w:t>)</w:t>
      </w:r>
      <w:r w:rsidRPr="0029697F">
        <w:rPr>
          <w:rFonts w:asciiTheme="majorHAnsi" w:hAnsiTheme="majorHAnsi"/>
          <w:b/>
          <w:bCs/>
          <w:sz w:val="24"/>
          <w:szCs w:val="24"/>
        </w:rPr>
        <w:tab/>
      </w:r>
      <w:r w:rsidRPr="0029697F">
        <w:rPr>
          <w:rFonts w:asciiTheme="majorHAnsi" w:hAnsiTheme="majorHAnsi"/>
          <w:sz w:val="24"/>
          <w:szCs w:val="24"/>
        </w:rPr>
        <w:t>nabídnutím větších příležitostí k mezinárodní společné výuce online a zkoumáním využívání informačních a komunikačních technologií a otevřených vzdělávacích zdrojů pro nové způsoby poskytování vzdělávání za účelem rozšíření přístupu, internacionalizace vzdělávacích programů a vytváření podmí</w:t>
      </w:r>
      <w:r w:rsidR="00C04F63">
        <w:rPr>
          <w:rFonts w:asciiTheme="majorHAnsi" w:hAnsiTheme="majorHAnsi"/>
          <w:sz w:val="24"/>
          <w:szCs w:val="24"/>
        </w:rPr>
        <w:t>nek pro nové formy partnerství</w:t>
      </w:r>
    </w:p>
    <w:p w:rsidR="00C04F63" w:rsidRPr="00C04F63" w:rsidRDefault="00C04F63" w:rsidP="001E0D27">
      <w:pPr>
        <w:pStyle w:val="Odstavecseseznamem"/>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ind w:left="0"/>
        <w:contextualSpacing/>
        <w:jc w:val="both"/>
        <w:rPr>
          <w:sz w:val="24"/>
          <w:szCs w:val="24"/>
        </w:rPr>
      </w:pPr>
      <w:r w:rsidRPr="00C04F63">
        <w:rPr>
          <w:sz w:val="24"/>
          <w:szCs w:val="24"/>
        </w:rPr>
        <w:t xml:space="preserve">V současné situaci ČR </w:t>
      </w:r>
      <w:r w:rsidR="00FF5EF9">
        <w:rPr>
          <w:sz w:val="24"/>
          <w:szCs w:val="24"/>
        </w:rPr>
        <w:t xml:space="preserve">zatím </w:t>
      </w:r>
      <w:r w:rsidRPr="00C04F63">
        <w:rPr>
          <w:sz w:val="24"/>
          <w:szCs w:val="24"/>
        </w:rPr>
        <w:t>nemohou vzdělávací instituce a jejich studenti těžit z přítomnosti zahraničních vyučujících, výzkumných pracovníků a zahraničních studentů tak, jak by bylo výhodné pro vysokoškolské instituce i pro jejich studenty. Ani pro zahraniční akademické a</w:t>
      </w:r>
      <w:r w:rsidR="005065C8">
        <w:rPr>
          <w:sz w:val="24"/>
          <w:szCs w:val="24"/>
        </w:rPr>
        <w:t> </w:t>
      </w:r>
      <w:r w:rsidRPr="00C04F63">
        <w:rPr>
          <w:sz w:val="24"/>
          <w:szCs w:val="24"/>
        </w:rPr>
        <w:t>výzkumné pracovníky nejsou většinou připraveny takové pracovní podmínky, díky kterým by pro ně ČR byla atraktivní.</w:t>
      </w:r>
    </w:p>
    <w:p w:rsidR="00C04F63" w:rsidRPr="00C04F63" w:rsidRDefault="00C04F63" w:rsidP="001E0D27">
      <w:pPr>
        <w:pStyle w:val="Textkomente"/>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C04F63">
        <w:rPr>
          <w:sz w:val="24"/>
          <w:szCs w:val="24"/>
        </w:rPr>
        <w:t>Pokud jde o neustále se rozšiřující možnosti poskytování otevřených vzdělávacích zdrojů a digitalizace vzdělávání,  v českém vzdělávacím systému zatím nedošlo k masivnímu nárůstu takového typu vzdělávání. Nicméně, ČR se ověřování inovativních forem vzdělávání nebrání a je si vědoma významu této problematiky, zástupci ČR už se také zapojili do diskuze o silných a slabých stránkách tohoto typu vzdělávání. Tato oblast vzdělávání by také měla být zohledněna v připravovaných koncepčních materiálech, a to včetně případné systémové podpory škol, které se jí chtějí věnovat.</w:t>
      </w:r>
    </w:p>
    <w:p w:rsidR="00C04F63" w:rsidRPr="0029697F" w:rsidRDefault="00C04F63" w:rsidP="001E0D27">
      <w:pPr>
        <w:autoSpaceDE w:val="0"/>
        <w:autoSpaceDN w:val="0"/>
        <w:adjustRightInd w:val="0"/>
        <w:spacing w:line="240" w:lineRule="auto"/>
        <w:jc w:val="both"/>
        <w:rPr>
          <w:rFonts w:asciiTheme="majorHAnsi" w:hAnsiTheme="majorHAnsi"/>
          <w:sz w:val="24"/>
          <w:szCs w:val="24"/>
        </w:rPr>
      </w:pPr>
    </w:p>
    <w:p w:rsidR="0029697F" w:rsidRPr="00C04F63" w:rsidRDefault="0029697F" w:rsidP="00EA3710">
      <w:pPr>
        <w:pStyle w:val="Odstavecseseznamem"/>
        <w:numPr>
          <w:ilvl w:val="0"/>
          <w:numId w:val="7"/>
        </w:numPr>
        <w:spacing w:line="240" w:lineRule="auto"/>
        <w:jc w:val="both"/>
        <w:rPr>
          <w:rFonts w:asciiTheme="majorHAnsi" w:hAnsiTheme="majorHAnsi"/>
          <w:b/>
          <w:sz w:val="24"/>
          <w:szCs w:val="24"/>
        </w:rPr>
      </w:pPr>
      <w:r w:rsidRPr="0029697F">
        <w:rPr>
          <w:rFonts w:asciiTheme="majorHAnsi" w:hAnsiTheme="majorHAnsi"/>
          <w:b/>
          <w:sz w:val="24"/>
          <w:szCs w:val="24"/>
        </w:rPr>
        <w:t>Prosazovat vytváření partnerství jak v rámci Evropy, tak i se třetími zeměmi s cílem posílit institucionální kapacitu ve vzdělávání, výzkumu a inovacích, mimo jiné i:</w:t>
      </w:r>
    </w:p>
    <w:p w:rsidR="0029697F" w:rsidRPr="0029697F" w:rsidRDefault="0029697F" w:rsidP="001E0D27">
      <w:pPr>
        <w:spacing w:line="240" w:lineRule="auto"/>
        <w:ind w:left="1134" w:hanging="567"/>
        <w:jc w:val="both"/>
        <w:rPr>
          <w:rFonts w:asciiTheme="majorHAnsi" w:hAnsiTheme="majorHAnsi"/>
          <w:sz w:val="24"/>
          <w:szCs w:val="24"/>
        </w:rPr>
      </w:pPr>
      <w:r>
        <w:rPr>
          <w:rFonts w:asciiTheme="majorHAnsi" w:hAnsiTheme="majorHAnsi"/>
          <w:noProof/>
          <w:sz w:val="24"/>
          <w:szCs w:val="24"/>
        </w:rPr>
        <w:t>1</w:t>
      </w:r>
      <w:r w:rsidRPr="0029697F">
        <w:rPr>
          <w:rFonts w:asciiTheme="majorHAnsi" w:hAnsiTheme="majorHAnsi"/>
          <w:noProof/>
          <w:sz w:val="24"/>
          <w:szCs w:val="24"/>
        </w:rPr>
        <w:t>)</w:t>
      </w:r>
      <w:r w:rsidRPr="0029697F">
        <w:rPr>
          <w:rFonts w:asciiTheme="majorHAnsi" w:hAnsiTheme="majorHAnsi"/>
          <w:b/>
          <w:bCs/>
          <w:sz w:val="24"/>
          <w:szCs w:val="24"/>
        </w:rPr>
        <w:tab/>
      </w:r>
      <w:r w:rsidRPr="0029697F">
        <w:rPr>
          <w:rFonts w:asciiTheme="majorHAnsi" w:hAnsiTheme="majorHAnsi"/>
          <w:sz w:val="24"/>
          <w:szCs w:val="24"/>
        </w:rPr>
        <w:t>poskytováním vzdělávacích programů, které podněcují podnikání a inovace a rovněž podporují rozvoj přenositelných dovedností, a vytvářením mezinárodních příležitostí odborné přípravy prostřednictvím úzké spolupráce se zaměst</w:t>
      </w:r>
      <w:r w:rsidR="00C04F63">
        <w:rPr>
          <w:rFonts w:asciiTheme="majorHAnsi" w:hAnsiTheme="majorHAnsi"/>
          <w:sz w:val="24"/>
          <w:szCs w:val="24"/>
        </w:rPr>
        <w:t>navateli z EU i ze třetích zemí</w:t>
      </w:r>
    </w:p>
    <w:p w:rsidR="00C04F63" w:rsidRDefault="0029697F" w:rsidP="001E0D27">
      <w:pPr>
        <w:spacing w:line="240" w:lineRule="auto"/>
        <w:ind w:left="1134" w:hanging="567"/>
        <w:jc w:val="both"/>
        <w:rPr>
          <w:rFonts w:asciiTheme="majorHAnsi" w:hAnsiTheme="majorHAnsi"/>
          <w:sz w:val="24"/>
          <w:szCs w:val="24"/>
        </w:rPr>
      </w:pPr>
      <w:r>
        <w:rPr>
          <w:rFonts w:asciiTheme="majorHAnsi" w:hAnsiTheme="majorHAnsi"/>
          <w:noProof/>
          <w:sz w:val="24"/>
          <w:szCs w:val="24"/>
        </w:rPr>
        <w:t>2</w:t>
      </w:r>
      <w:r w:rsidRPr="0029697F">
        <w:rPr>
          <w:rFonts w:asciiTheme="majorHAnsi" w:hAnsiTheme="majorHAnsi"/>
          <w:noProof/>
          <w:sz w:val="24"/>
          <w:szCs w:val="24"/>
        </w:rPr>
        <w:t>)</w:t>
      </w:r>
      <w:r w:rsidRPr="0029697F">
        <w:rPr>
          <w:rFonts w:asciiTheme="majorHAnsi" w:hAnsiTheme="majorHAnsi"/>
          <w:b/>
          <w:bCs/>
          <w:sz w:val="24"/>
          <w:szCs w:val="24"/>
        </w:rPr>
        <w:tab/>
      </w:r>
      <w:r w:rsidRPr="0029697F">
        <w:rPr>
          <w:rFonts w:asciiTheme="majorHAnsi" w:hAnsiTheme="majorHAnsi"/>
          <w:sz w:val="24"/>
          <w:szCs w:val="24"/>
        </w:rPr>
        <w:t>prosazováním zaměření na konkrétní silné stránky a priority každé instituce vysokoškolského vzdělávání jakožto na prostředek k zajištění účinného a účelnéh</w:t>
      </w:r>
      <w:r w:rsidR="00C04F63">
        <w:rPr>
          <w:rFonts w:asciiTheme="majorHAnsi" w:hAnsiTheme="majorHAnsi"/>
          <w:sz w:val="24"/>
          <w:szCs w:val="24"/>
        </w:rPr>
        <w:t>o využívání veřejných investic</w:t>
      </w:r>
    </w:p>
    <w:p w:rsidR="0029697F" w:rsidRPr="0029697F" w:rsidRDefault="0029697F" w:rsidP="001E0D27">
      <w:pPr>
        <w:spacing w:line="240" w:lineRule="auto"/>
        <w:ind w:left="1134" w:hanging="567"/>
        <w:jc w:val="both"/>
        <w:rPr>
          <w:rFonts w:asciiTheme="majorHAnsi" w:hAnsiTheme="majorHAnsi"/>
          <w:sz w:val="24"/>
          <w:szCs w:val="24"/>
        </w:rPr>
      </w:pPr>
      <w:r>
        <w:rPr>
          <w:rFonts w:asciiTheme="majorHAnsi" w:hAnsiTheme="majorHAnsi"/>
          <w:noProof/>
          <w:sz w:val="24"/>
          <w:szCs w:val="24"/>
        </w:rPr>
        <w:t>3</w:t>
      </w:r>
      <w:r w:rsidRPr="0029697F">
        <w:rPr>
          <w:rFonts w:asciiTheme="majorHAnsi" w:hAnsiTheme="majorHAnsi"/>
          <w:noProof/>
          <w:sz w:val="24"/>
          <w:szCs w:val="24"/>
        </w:rPr>
        <w:t>)</w:t>
      </w:r>
      <w:r w:rsidRPr="0029697F">
        <w:rPr>
          <w:rFonts w:asciiTheme="majorHAnsi" w:hAnsiTheme="majorHAnsi"/>
          <w:b/>
          <w:bCs/>
          <w:sz w:val="24"/>
          <w:szCs w:val="24"/>
        </w:rPr>
        <w:tab/>
      </w:r>
      <w:r w:rsidRPr="0029697F">
        <w:rPr>
          <w:rFonts w:asciiTheme="majorHAnsi" w:hAnsiTheme="majorHAnsi"/>
          <w:sz w:val="24"/>
          <w:szCs w:val="24"/>
        </w:rPr>
        <w:t>odstraňováním zbývajících překážek, které brání rozvoji a provádění programů společných, dvojích či vícenásobných diplomů, a lepším zajišťováním kvality a přeshraničního uznávání;</w:t>
      </w:r>
    </w:p>
    <w:p w:rsidR="0029697F" w:rsidRPr="0029697F" w:rsidRDefault="0029697F" w:rsidP="001E0D27">
      <w:pPr>
        <w:spacing w:line="240" w:lineRule="auto"/>
        <w:ind w:left="1134" w:hanging="567"/>
        <w:jc w:val="both"/>
        <w:rPr>
          <w:rFonts w:asciiTheme="majorHAnsi" w:hAnsiTheme="majorHAnsi"/>
          <w:sz w:val="24"/>
          <w:szCs w:val="24"/>
        </w:rPr>
      </w:pPr>
      <w:r>
        <w:rPr>
          <w:rFonts w:asciiTheme="majorHAnsi" w:hAnsiTheme="majorHAnsi"/>
          <w:noProof/>
          <w:sz w:val="24"/>
          <w:szCs w:val="24"/>
        </w:rPr>
        <w:t>4)</w:t>
      </w:r>
      <w:r w:rsidRPr="0029697F">
        <w:rPr>
          <w:rFonts w:asciiTheme="majorHAnsi" w:hAnsiTheme="majorHAnsi"/>
          <w:b/>
          <w:bCs/>
          <w:sz w:val="24"/>
          <w:szCs w:val="24"/>
        </w:rPr>
        <w:tab/>
      </w:r>
      <w:r w:rsidRPr="0029697F">
        <w:rPr>
          <w:rFonts w:asciiTheme="majorHAnsi" w:hAnsiTheme="majorHAnsi"/>
          <w:sz w:val="24"/>
          <w:szCs w:val="24"/>
        </w:rPr>
        <w:t>podporou soudržnosti mezi strategiemi internacionalizace jednotlivých členských států a politikami rozvojové spolupráce EU při zohlednění zásady rovnosti a odpovědnosti partnerské země, jakož i potřeb institucí vysokoškolského vzdělávání;</w:t>
      </w:r>
    </w:p>
    <w:p w:rsidR="0029697F" w:rsidRPr="0029697F" w:rsidRDefault="0029697F" w:rsidP="001E0D27">
      <w:pPr>
        <w:spacing w:line="240" w:lineRule="auto"/>
        <w:ind w:left="1134" w:hanging="567"/>
        <w:jc w:val="both"/>
        <w:rPr>
          <w:rFonts w:asciiTheme="majorHAnsi" w:hAnsiTheme="majorHAnsi"/>
          <w:sz w:val="24"/>
          <w:szCs w:val="24"/>
        </w:rPr>
      </w:pPr>
      <w:r>
        <w:rPr>
          <w:rFonts w:asciiTheme="majorHAnsi" w:hAnsiTheme="majorHAnsi"/>
          <w:noProof/>
          <w:sz w:val="24"/>
          <w:szCs w:val="24"/>
        </w:rPr>
        <w:t>5</w:t>
      </w:r>
      <w:r w:rsidRPr="0029697F">
        <w:rPr>
          <w:rFonts w:asciiTheme="majorHAnsi" w:hAnsiTheme="majorHAnsi"/>
          <w:noProof/>
          <w:sz w:val="24"/>
          <w:szCs w:val="24"/>
        </w:rPr>
        <w:t>)</w:t>
      </w:r>
      <w:r w:rsidRPr="0029697F">
        <w:rPr>
          <w:rFonts w:asciiTheme="majorHAnsi" w:hAnsiTheme="majorHAnsi"/>
          <w:b/>
          <w:bCs/>
          <w:sz w:val="24"/>
          <w:szCs w:val="24"/>
        </w:rPr>
        <w:tab/>
      </w:r>
      <w:r w:rsidRPr="0029697F">
        <w:rPr>
          <w:rFonts w:asciiTheme="majorHAnsi" w:hAnsiTheme="majorHAnsi"/>
          <w:sz w:val="24"/>
          <w:szCs w:val="24"/>
        </w:rPr>
        <w:t>čerpáním ze zkušeností studentů a výzkumných a dalších pracovníků ze třetích zemí jakožto vyslanců spolupráce s institucemi vysokoškolského vzdělávání v těchto zemích;</w:t>
      </w:r>
    </w:p>
    <w:p w:rsidR="0029697F" w:rsidRDefault="0029697F" w:rsidP="001E0D27">
      <w:pPr>
        <w:spacing w:line="240" w:lineRule="auto"/>
        <w:ind w:left="1134" w:hanging="567"/>
        <w:jc w:val="both"/>
        <w:rPr>
          <w:rFonts w:asciiTheme="majorHAnsi" w:hAnsiTheme="majorHAnsi"/>
          <w:sz w:val="24"/>
          <w:szCs w:val="24"/>
        </w:rPr>
      </w:pPr>
      <w:r>
        <w:rPr>
          <w:rFonts w:asciiTheme="majorHAnsi" w:hAnsiTheme="majorHAnsi"/>
          <w:noProof/>
          <w:sz w:val="24"/>
          <w:szCs w:val="24"/>
        </w:rPr>
        <w:t>6</w:t>
      </w:r>
      <w:r w:rsidRPr="0029697F">
        <w:rPr>
          <w:rFonts w:asciiTheme="majorHAnsi" w:hAnsiTheme="majorHAnsi"/>
          <w:noProof/>
          <w:sz w:val="24"/>
          <w:szCs w:val="24"/>
        </w:rPr>
        <w:t>)</w:t>
      </w:r>
      <w:r w:rsidRPr="0029697F">
        <w:rPr>
          <w:rFonts w:asciiTheme="majorHAnsi" w:hAnsiTheme="majorHAnsi"/>
          <w:b/>
          <w:bCs/>
          <w:sz w:val="24"/>
          <w:szCs w:val="24"/>
        </w:rPr>
        <w:tab/>
      </w:r>
      <w:r w:rsidRPr="0029697F">
        <w:rPr>
          <w:rFonts w:asciiTheme="majorHAnsi" w:hAnsiTheme="majorHAnsi"/>
          <w:sz w:val="24"/>
          <w:szCs w:val="24"/>
        </w:rPr>
        <w:t>povzbuzováním institucí vysokoškolského vzdělávání, aby rozvíjely vlastní komplexní strategie internacionalizace a uznávaly přitom průřezovou povahu internacionalizace, která ovlivňuje všechny oblasti univerzitního života, včetně výzkumu, učení, řízení, správy a služeb, a podporou jejich úsilí.</w:t>
      </w:r>
    </w:p>
    <w:p w:rsidR="00C04F63" w:rsidRDefault="00C04F63" w:rsidP="001E0D27">
      <w:pPr>
        <w:spacing w:line="240" w:lineRule="auto"/>
        <w:jc w:val="both"/>
        <w:rPr>
          <w:rFonts w:asciiTheme="majorHAnsi" w:hAnsiTheme="majorHAnsi"/>
          <w:sz w:val="24"/>
          <w:szCs w:val="24"/>
        </w:rPr>
      </w:pPr>
    </w:p>
    <w:p w:rsidR="00C04F63" w:rsidRDefault="00C04F63" w:rsidP="001E0D27">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Pr>
          <w:sz w:val="24"/>
          <w:szCs w:val="24"/>
        </w:rPr>
        <w:t>Pro ČR je bezpochyby výzvou</w:t>
      </w:r>
      <w:r w:rsidRPr="00C04F63">
        <w:rPr>
          <w:sz w:val="24"/>
          <w:szCs w:val="24"/>
        </w:rPr>
        <w:t>, jak internacionalizaci vysokoškolských institucí, která se už na většině z nich do určité míry etablovala, obohatit o jasnou přidanou hodnotu (větší důraz na kvalitu, například pokud jde o kvalitativní strukturu společného cíle strategie Evropa 2020 pro oblast terciárního vzdělávání). Výzva členským státům, aby vytvořily národní strategie internacionalizace vysokoškolského vzdělávání, je plně v souladu s dlouhodobými prioritami ČR v oblasti rozvoje vysokých škol. ČR už zahájila práce na přípravě strategie internacionalizace, která se dotkne nejen samotných vysokých škol, ale zohlední i celý inovační ekosystém – například v návaznosti na závěry a doporučení mezinárodního auditu výzkumu, vývoje a inovací v ČR a v souladu s cíli aktualizované Národní politiky výzkumu, vývoje a inovací ČR na léta 2009 - 2015 s výhledem</w:t>
      </w:r>
      <w:r w:rsidR="005065C8">
        <w:rPr>
          <w:sz w:val="24"/>
          <w:szCs w:val="24"/>
        </w:rPr>
        <w:t xml:space="preserve"> do roku 2020 vypracuje MŠMT ve </w:t>
      </w:r>
      <w:r w:rsidRPr="00C04F63">
        <w:rPr>
          <w:sz w:val="24"/>
          <w:szCs w:val="24"/>
        </w:rPr>
        <w:t>spolupráci s dalšími věcně příslušnými orgány státní správy komplexní meziresortní strategii internacionalizace výzkumu, vývoje a inovací ČR zahrnující oblast mezinárodní spolupráce ČR ve výzkumu a vývoji, vysokoškolského vzdělávání a podnikání.</w:t>
      </w:r>
    </w:p>
    <w:p w:rsidR="00036931" w:rsidRDefault="00FF5EF9" w:rsidP="001E0D27">
      <w:pPr>
        <w:pStyle w:val="Odstavecseseznamem"/>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ind w:left="0"/>
        <w:jc w:val="both"/>
        <w:rPr>
          <w:sz w:val="24"/>
          <w:szCs w:val="24"/>
        </w:rPr>
      </w:pPr>
      <w:r w:rsidRPr="00FF5EF9">
        <w:rPr>
          <w:sz w:val="24"/>
          <w:szCs w:val="24"/>
        </w:rPr>
        <w:t>Vzhledem k vysoké míře autonomie vysokoškolských institucí v ČR je zřejmé, že každá z nich má své vlastní legitimní zájmy i v oblasti internacionalizace institucí a programů, což se odráží i ve způsobu, jakým k ní přistupují (odlišné důrazy na mobilitu a na partnerství institucí). ČR si je vědoma, že koordinační a metodickou roli musí v tomto procesu převzít příslušná národní autorita (v případě ČR tedy MŠMT). Proto se ČR hlásí k návrhům závěrů v tom smyslu, jakým způsobem by měly být vypracovány národní strategie internacionalizace a jaké aspekty by měly zohledňovat. V případě ČR mezi ně zcela jistě bude patřit uznávání výsledků vzdělávání dosažených v zahraničí, jednodušší přenositelnost kreditů a vydávání společných a dvojích diplomů.</w:t>
      </w:r>
    </w:p>
    <w:p w:rsidR="00036931" w:rsidRDefault="00036931" w:rsidP="000D3646">
      <w:pPr>
        <w:tabs>
          <w:tab w:val="left" w:pos="0"/>
        </w:tabs>
        <w:spacing w:after="0" w:line="240" w:lineRule="auto"/>
        <w:ind w:left="720"/>
        <w:jc w:val="both"/>
        <w:rPr>
          <w:sz w:val="24"/>
          <w:szCs w:val="24"/>
        </w:rPr>
      </w:pPr>
    </w:p>
    <w:p w:rsidR="000D3646" w:rsidRPr="000D3646" w:rsidRDefault="000D3646" w:rsidP="000D3646">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závěrů Rady doporučujeme zohlednit především v těchto strategických záměrech MŠMT: </w:t>
      </w:r>
    </w:p>
    <w:p w:rsidR="000D3646" w:rsidRDefault="000D3646" w:rsidP="000D3646">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0D3646" w:rsidRDefault="000D3646" w:rsidP="00EA3710">
      <w:pPr>
        <w:pStyle w:val="Nadpis2"/>
        <w:numPr>
          <w:ilvl w:val="1"/>
          <w:numId w:val="11"/>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b w:val="0"/>
          <w:sz w:val="24"/>
          <w:szCs w:val="24"/>
        </w:rPr>
      </w:pPr>
      <w:r>
        <w:rPr>
          <w:b w:val="0"/>
          <w:sz w:val="24"/>
          <w:szCs w:val="24"/>
        </w:rPr>
        <w:t>Implemen</w:t>
      </w:r>
      <w:r w:rsidRPr="007638E1">
        <w:rPr>
          <w:rFonts w:eastAsia="Calibri" w:cs="Calibri"/>
          <w:b w:val="0"/>
          <w:bCs w:val="0"/>
          <w:iCs w:val="0"/>
          <w:sz w:val="24"/>
          <w:szCs w:val="24"/>
        </w:rPr>
        <w:t xml:space="preserve">tace Strategie vzdělávací politiky ČR do roku 2020, a to zejména pokud jde o </w:t>
      </w:r>
      <w:r>
        <w:rPr>
          <w:rFonts w:eastAsia="Calibri" w:cs="Calibri"/>
          <w:b w:val="0"/>
          <w:bCs w:val="0"/>
          <w:iCs w:val="0"/>
          <w:sz w:val="24"/>
          <w:szCs w:val="24"/>
        </w:rPr>
        <w:t>její část zaměřenou na modernizaci kariérních systémů vysokých škol a posílení role kvalitní výuky</w:t>
      </w:r>
    </w:p>
    <w:p w:rsidR="000D3646" w:rsidRDefault="000D3646" w:rsidP="00EA3710">
      <w:pPr>
        <w:pStyle w:val="Nadpis2"/>
        <w:numPr>
          <w:ilvl w:val="1"/>
          <w:numId w:val="11"/>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b w:val="0"/>
          <w:sz w:val="24"/>
          <w:szCs w:val="24"/>
        </w:rPr>
      </w:pPr>
      <w:r>
        <w:rPr>
          <w:b w:val="0"/>
          <w:sz w:val="24"/>
          <w:szCs w:val="24"/>
        </w:rPr>
        <w:t>Příprava nového Dlouhodobého záměru</w:t>
      </w:r>
      <w:r w:rsidR="005B3EA8">
        <w:rPr>
          <w:b w:val="0"/>
          <w:sz w:val="24"/>
          <w:szCs w:val="24"/>
        </w:rPr>
        <w:t xml:space="preserve"> pro oblast</w:t>
      </w:r>
      <w:r>
        <w:rPr>
          <w:b w:val="0"/>
          <w:sz w:val="24"/>
          <w:szCs w:val="24"/>
        </w:rPr>
        <w:t xml:space="preserve"> vysokých škol</w:t>
      </w:r>
    </w:p>
    <w:p w:rsidR="000D3646" w:rsidRDefault="000D3646" w:rsidP="00EA3710">
      <w:pPr>
        <w:pStyle w:val="Nadpis2"/>
        <w:numPr>
          <w:ilvl w:val="1"/>
          <w:numId w:val="11"/>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b w:val="0"/>
          <w:sz w:val="24"/>
          <w:szCs w:val="24"/>
        </w:rPr>
      </w:pPr>
      <w:r>
        <w:rPr>
          <w:b w:val="0"/>
          <w:sz w:val="24"/>
          <w:szCs w:val="24"/>
        </w:rPr>
        <w:t xml:space="preserve">Rámec rozvoje vzdělávací činnosti vysokých škol v ČR do roku 2020 </w:t>
      </w:r>
    </w:p>
    <w:p w:rsidR="000D3646" w:rsidRPr="000D3646" w:rsidRDefault="000D3646" w:rsidP="000D3646"/>
    <w:p w:rsidR="000D3646" w:rsidRDefault="000D3646" w:rsidP="000D3646"/>
    <w:p w:rsidR="00D72E0E" w:rsidRDefault="00D72E0E" w:rsidP="000D3646"/>
    <w:p w:rsidR="00D72E0E" w:rsidRDefault="00D72E0E" w:rsidP="000D3646"/>
    <w:p w:rsidR="00D72E0E" w:rsidRDefault="00D72E0E" w:rsidP="000D3646"/>
    <w:p w:rsidR="00D72E0E" w:rsidRDefault="00D72E0E" w:rsidP="000D3646"/>
    <w:p w:rsidR="00D72E0E" w:rsidRDefault="00D72E0E" w:rsidP="000D3646"/>
    <w:p w:rsidR="00D72E0E" w:rsidRDefault="00D72E0E" w:rsidP="000D3646"/>
    <w:p w:rsidR="00D72E0E" w:rsidRDefault="00D72E0E" w:rsidP="000D3646"/>
    <w:p w:rsidR="005065C8" w:rsidRDefault="005065C8" w:rsidP="000D3646"/>
    <w:p w:rsidR="005065C8" w:rsidRPr="000D3646" w:rsidRDefault="005065C8" w:rsidP="000D3646"/>
    <w:p w:rsidR="00036931" w:rsidRDefault="00036931" w:rsidP="001E0D27">
      <w:pPr>
        <w:tabs>
          <w:tab w:val="left" w:pos="0"/>
        </w:tabs>
        <w:spacing w:after="0" w:line="240" w:lineRule="auto"/>
        <w:jc w:val="both"/>
        <w:rPr>
          <w:sz w:val="24"/>
          <w:szCs w:val="24"/>
        </w:rPr>
      </w:pPr>
    </w:p>
    <w:p w:rsidR="00A35A42" w:rsidRPr="005D4343" w:rsidRDefault="00A35A42" w:rsidP="001E0D27">
      <w:pPr>
        <w:tabs>
          <w:tab w:val="left" w:pos="0"/>
        </w:tabs>
        <w:spacing w:after="0" w:line="240" w:lineRule="auto"/>
        <w:ind w:left="720"/>
        <w:jc w:val="both"/>
        <w:rPr>
          <w:b/>
          <w:sz w:val="24"/>
          <w:szCs w:val="24"/>
          <w:u w:val="single"/>
        </w:rPr>
      </w:pPr>
    </w:p>
    <w:p w:rsidR="00385AFB" w:rsidRPr="00422240" w:rsidRDefault="00385AFB" w:rsidP="00FB1F40">
      <w:pPr>
        <w:pStyle w:val="Nadpis1"/>
      </w:pPr>
      <w:bookmarkStart w:id="7" w:name="_Toc315270274"/>
      <w:bookmarkStart w:id="8" w:name="_Toc330379564"/>
      <w:r w:rsidRPr="00422240">
        <w:t>Mládež</w:t>
      </w:r>
      <w:bookmarkEnd w:id="7"/>
      <w:bookmarkEnd w:id="8"/>
    </w:p>
    <w:p w:rsidR="00FF5EF9" w:rsidRDefault="00FF5EF9" w:rsidP="001E0D27">
      <w:pPr>
        <w:tabs>
          <w:tab w:val="left" w:pos="0"/>
        </w:tabs>
        <w:spacing w:after="0" w:line="240" w:lineRule="auto"/>
        <w:jc w:val="both"/>
        <w:rPr>
          <w:b/>
        </w:rPr>
      </w:pPr>
      <w:bookmarkStart w:id="9" w:name="_Toc315270275"/>
      <w:bookmarkStart w:id="10" w:name="_Toc330379565"/>
    </w:p>
    <w:p w:rsidR="00FF5EF9" w:rsidRDefault="00FF5EF9" w:rsidP="001E0D27">
      <w:pPr>
        <w:tabs>
          <w:tab w:val="left" w:pos="0"/>
        </w:tabs>
        <w:spacing w:after="0" w:line="240" w:lineRule="auto"/>
        <w:jc w:val="both"/>
        <w:rPr>
          <w:b/>
        </w:rPr>
      </w:pPr>
    </w:p>
    <w:p w:rsidR="00B904EC" w:rsidRPr="00FF5EF9" w:rsidRDefault="00FF5EF9" w:rsidP="001E0D27">
      <w:pPr>
        <w:tabs>
          <w:tab w:val="left" w:pos="0"/>
        </w:tabs>
        <w:spacing w:after="0" w:line="240" w:lineRule="auto"/>
        <w:jc w:val="both"/>
        <w:rPr>
          <w:rFonts w:eastAsia="Times New Roman"/>
          <w:b/>
          <w:bCs/>
          <w:kern w:val="32"/>
          <w:sz w:val="32"/>
          <w:szCs w:val="32"/>
        </w:rPr>
      </w:pPr>
      <w:r>
        <w:rPr>
          <w:rFonts w:eastAsia="Times New Roman"/>
          <w:b/>
          <w:bCs/>
          <w:kern w:val="32"/>
          <w:sz w:val="32"/>
          <w:szCs w:val="32"/>
        </w:rPr>
        <w:t>Z</w:t>
      </w:r>
      <w:r w:rsidRPr="00FF5EF9">
        <w:rPr>
          <w:rFonts w:eastAsia="Times New Roman"/>
          <w:b/>
          <w:bCs/>
          <w:kern w:val="32"/>
          <w:sz w:val="32"/>
          <w:szCs w:val="32"/>
        </w:rPr>
        <w:t>lepšení sociálního začlenění mladých lidí, kteří nejsou zařazeni do pracovního procesu ani do vzdělávání či odborné přípravy</w:t>
      </w:r>
    </w:p>
    <w:p w:rsidR="00FF5EF9" w:rsidRDefault="00FF5EF9" w:rsidP="001E0D27">
      <w:pPr>
        <w:spacing w:after="0" w:line="240" w:lineRule="auto"/>
        <w:jc w:val="both"/>
        <w:rPr>
          <w:b/>
          <w:i/>
          <w:sz w:val="24"/>
          <w:szCs w:val="24"/>
        </w:rPr>
      </w:pPr>
    </w:p>
    <w:p w:rsidR="001E0D27" w:rsidRDefault="00FF5EF9" w:rsidP="001E0D27">
      <w:pPr>
        <w:spacing w:line="240" w:lineRule="auto"/>
        <w:jc w:val="both"/>
        <w:rPr>
          <w:sz w:val="24"/>
          <w:szCs w:val="24"/>
        </w:rPr>
      </w:pPr>
      <w:r w:rsidRPr="00FF5EF9">
        <w:rPr>
          <w:sz w:val="24"/>
          <w:szCs w:val="24"/>
        </w:rPr>
        <w:t xml:space="preserve">Podle údajů Eurostatu bylo v roce 2011 v Evropě vyloučeno z trhu práce a ze systému vzdělávání 7,5 mil. mladých lidí (tzv. </w:t>
      </w:r>
      <w:r w:rsidRPr="001E0D27">
        <w:rPr>
          <w:i/>
          <w:sz w:val="24"/>
          <w:szCs w:val="24"/>
        </w:rPr>
        <w:t>NEETs</w:t>
      </w:r>
      <w:r w:rsidRPr="00FF5EF9">
        <w:rPr>
          <w:sz w:val="24"/>
          <w:szCs w:val="24"/>
        </w:rPr>
        <w:t xml:space="preserve">) ve věku 15-24 let a 6,5 mil. ve věku 25-29 let. </w:t>
      </w:r>
      <w:r>
        <w:rPr>
          <w:sz w:val="24"/>
          <w:szCs w:val="24"/>
        </w:rPr>
        <w:t>M</w:t>
      </w:r>
      <w:r w:rsidRPr="00FF5EF9">
        <w:rPr>
          <w:sz w:val="24"/>
          <w:szCs w:val="24"/>
        </w:rPr>
        <w:t>ladí lidé, kteří nejsou zařazeni do pracovního procesu ani do vzdělávání či odborné přípravy se mohou potýkat s nepříznivými sociálními podmínkami, jako je izolace, chybějící nezávislost, rizikové chování a nestabilní duševní a tělesné zdraví, kvůli nimž jsou v pozdější fázi života vystaveni vyššímu riziku nezaměstnanosti a sociálního vyloučení. Sociální vyloučení mladých lidí, zejména nezařazených mladých lidí může mít nepříznivý dopad na hospodářství a může pro Evrop</w:t>
      </w:r>
      <w:r>
        <w:rPr>
          <w:sz w:val="24"/>
          <w:szCs w:val="24"/>
        </w:rPr>
        <w:t>u představovat významné náklady</w:t>
      </w:r>
      <w:r>
        <w:rPr>
          <w:rStyle w:val="Znakapoznpodarou"/>
          <w:sz w:val="24"/>
          <w:szCs w:val="24"/>
        </w:rPr>
        <w:footnoteReference w:id="3"/>
      </w:r>
      <w:r>
        <w:rPr>
          <w:sz w:val="24"/>
          <w:szCs w:val="24"/>
        </w:rPr>
        <w:t>.</w:t>
      </w:r>
      <w:r w:rsidRPr="00FF5EF9">
        <w:rPr>
          <w:sz w:val="24"/>
          <w:szCs w:val="24"/>
        </w:rPr>
        <w:t xml:space="preserve"> </w:t>
      </w:r>
      <w:r>
        <w:rPr>
          <w:sz w:val="24"/>
          <w:szCs w:val="24"/>
        </w:rPr>
        <w:t xml:space="preserve">Sociální začleňování je obecně </w:t>
      </w:r>
      <w:r w:rsidR="001E0D27">
        <w:rPr>
          <w:sz w:val="24"/>
          <w:szCs w:val="24"/>
        </w:rPr>
        <w:t>prioritou aktuálního předsednického tria Rady EU (Irsko, Litva, Řecko)</w:t>
      </w:r>
      <w:r w:rsidRPr="00FF5EF9">
        <w:rPr>
          <w:sz w:val="24"/>
          <w:szCs w:val="24"/>
        </w:rPr>
        <w:t xml:space="preserve">, přičemž litevské předsednictví si zvolilo jako </w:t>
      </w:r>
      <w:r w:rsidR="001E0D27">
        <w:rPr>
          <w:sz w:val="24"/>
          <w:szCs w:val="24"/>
        </w:rPr>
        <w:t xml:space="preserve">svou </w:t>
      </w:r>
      <w:r w:rsidRPr="00FF5EF9">
        <w:rPr>
          <w:sz w:val="24"/>
          <w:szCs w:val="24"/>
        </w:rPr>
        <w:t xml:space="preserve">specifickou prioritu sociální začlenění </w:t>
      </w:r>
      <w:r w:rsidR="001E0D27">
        <w:rPr>
          <w:sz w:val="24"/>
          <w:szCs w:val="24"/>
        </w:rPr>
        <w:t xml:space="preserve">tzv. </w:t>
      </w:r>
      <w:r w:rsidR="001E0D27">
        <w:rPr>
          <w:i/>
          <w:sz w:val="24"/>
          <w:szCs w:val="24"/>
        </w:rPr>
        <w:t>NEETs.</w:t>
      </w:r>
    </w:p>
    <w:p w:rsidR="00FF5EF9" w:rsidRPr="00FF5EF9" w:rsidRDefault="001E0D27" w:rsidP="001E0D27">
      <w:pPr>
        <w:spacing w:line="240" w:lineRule="auto"/>
        <w:jc w:val="both"/>
        <w:rPr>
          <w:sz w:val="24"/>
          <w:szCs w:val="24"/>
        </w:rPr>
      </w:pPr>
      <w:r>
        <w:rPr>
          <w:sz w:val="24"/>
          <w:szCs w:val="24"/>
        </w:rPr>
        <w:t>V závěrech Rady EU se ministři zodpovědní za politiku mládeže přihlásili například</w:t>
      </w:r>
      <w:r w:rsidR="00FF5EF9" w:rsidRPr="00FF5EF9">
        <w:rPr>
          <w:sz w:val="24"/>
          <w:szCs w:val="24"/>
        </w:rPr>
        <w:t xml:space="preserve"> k přijetí strategií a programů </w:t>
      </w:r>
      <w:r>
        <w:rPr>
          <w:sz w:val="24"/>
          <w:szCs w:val="24"/>
        </w:rPr>
        <w:t>nutných k podpoře</w:t>
      </w:r>
      <w:r w:rsidR="00FF5EF9" w:rsidRPr="00FF5EF9">
        <w:rPr>
          <w:sz w:val="24"/>
          <w:szCs w:val="24"/>
        </w:rPr>
        <w:t xml:space="preserve"> sociálního začlenění </w:t>
      </w:r>
      <w:r w:rsidR="00FF5EF9" w:rsidRPr="001E0D27">
        <w:rPr>
          <w:i/>
          <w:sz w:val="24"/>
          <w:szCs w:val="24"/>
        </w:rPr>
        <w:t xml:space="preserve">NEETs </w:t>
      </w:r>
      <w:r w:rsidR="00FF5EF9" w:rsidRPr="00FF5EF9">
        <w:rPr>
          <w:sz w:val="24"/>
          <w:szCs w:val="24"/>
        </w:rPr>
        <w:t>na národních, regionálních i místních úrovních. Důležité je zejména zapoj</w:t>
      </w:r>
      <w:r w:rsidR="005065C8">
        <w:rPr>
          <w:sz w:val="24"/>
          <w:szCs w:val="24"/>
        </w:rPr>
        <w:t>ení všech relevantních aktérů a </w:t>
      </w:r>
      <w:r w:rsidR="00FF5EF9" w:rsidRPr="00FF5EF9">
        <w:rPr>
          <w:sz w:val="24"/>
          <w:szCs w:val="24"/>
        </w:rPr>
        <w:t xml:space="preserve">koordinovaná mezioborová spolupráce. Předsednictví </w:t>
      </w:r>
      <w:r>
        <w:rPr>
          <w:sz w:val="24"/>
          <w:szCs w:val="24"/>
        </w:rPr>
        <w:t>formulovalo</w:t>
      </w:r>
      <w:r w:rsidR="00FF5EF9" w:rsidRPr="00FF5EF9">
        <w:rPr>
          <w:sz w:val="24"/>
          <w:szCs w:val="24"/>
        </w:rPr>
        <w:t xml:space="preserve"> opatř</w:t>
      </w:r>
      <w:r>
        <w:rPr>
          <w:sz w:val="24"/>
          <w:szCs w:val="24"/>
        </w:rPr>
        <w:t>ení v oblastech prevence (</w:t>
      </w:r>
      <w:r w:rsidR="00FF5EF9" w:rsidRPr="00FF5EF9">
        <w:rPr>
          <w:sz w:val="24"/>
          <w:szCs w:val="24"/>
        </w:rPr>
        <w:t>práce s mládeží, kariérní poradenství), zaměst</w:t>
      </w:r>
      <w:r>
        <w:rPr>
          <w:sz w:val="24"/>
          <w:szCs w:val="24"/>
        </w:rPr>
        <w:t>nanosti (</w:t>
      </w:r>
      <w:r w:rsidR="00FF5EF9" w:rsidRPr="00FF5EF9">
        <w:rPr>
          <w:sz w:val="24"/>
          <w:szCs w:val="24"/>
        </w:rPr>
        <w:t>zapojení aktérů z oblasti politiky mládeže do implementace Záruky pro mladé) a</w:t>
      </w:r>
      <w:r w:rsidR="005065C8">
        <w:rPr>
          <w:sz w:val="24"/>
          <w:szCs w:val="24"/>
        </w:rPr>
        <w:t xml:space="preserve"> vzdělávání, odborné přípravy a </w:t>
      </w:r>
      <w:r w:rsidR="00FF5EF9" w:rsidRPr="00FF5EF9">
        <w:rPr>
          <w:sz w:val="24"/>
          <w:szCs w:val="24"/>
        </w:rPr>
        <w:t>neformá</w:t>
      </w:r>
      <w:r>
        <w:rPr>
          <w:sz w:val="24"/>
          <w:szCs w:val="24"/>
        </w:rPr>
        <w:t>lního učení (</w:t>
      </w:r>
      <w:r w:rsidR="00FF5EF9" w:rsidRPr="00FF5EF9">
        <w:rPr>
          <w:sz w:val="24"/>
          <w:szCs w:val="24"/>
        </w:rPr>
        <w:t xml:space="preserve">uznávání neformálního a informálního učení, podpora </w:t>
      </w:r>
      <w:r>
        <w:rPr>
          <w:sz w:val="24"/>
          <w:szCs w:val="24"/>
        </w:rPr>
        <w:t>z nového společného</w:t>
      </w:r>
      <w:r w:rsidR="00FF5EF9" w:rsidRPr="00FF5EF9">
        <w:rPr>
          <w:sz w:val="24"/>
          <w:szCs w:val="24"/>
        </w:rPr>
        <w:t xml:space="preserve"> programu Erasmus+). </w:t>
      </w:r>
      <w:r>
        <w:rPr>
          <w:sz w:val="24"/>
          <w:szCs w:val="24"/>
        </w:rPr>
        <w:t>Evropská komise</w:t>
      </w:r>
      <w:r w:rsidR="00FF5EF9" w:rsidRPr="00FF5EF9">
        <w:rPr>
          <w:sz w:val="24"/>
          <w:szCs w:val="24"/>
        </w:rPr>
        <w:t xml:space="preserve"> </w:t>
      </w:r>
      <w:r>
        <w:rPr>
          <w:sz w:val="24"/>
          <w:szCs w:val="24"/>
        </w:rPr>
        <w:t>bude členské státy podporovat ve</w:t>
      </w:r>
      <w:r w:rsidR="00FF5EF9" w:rsidRPr="00FF5EF9">
        <w:rPr>
          <w:sz w:val="24"/>
          <w:szCs w:val="24"/>
        </w:rPr>
        <w:t xml:space="preserve"> sdílení osvědčené pr</w:t>
      </w:r>
      <w:r>
        <w:rPr>
          <w:sz w:val="24"/>
          <w:szCs w:val="24"/>
        </w:rPr>
        <w:t>axe v členských státech, ustaví</w:t>
      </w:r>
      <w:r w:rsidR="00FF5EF9" w:rsidRPr="00FF5EF9">
        <w:rPr>
          <w:sz w:val="24"/>
          <w:szCs w:val="24"/>
        </w:rPr>
        <w:t xml:space="preserve"> mezioborovou platformu a </w:t>
      </w:r>
      <w:r>
        <w:rPr>
          <w:sz w:val="24"/>
          <w:szCs w:val="24"/>
        </w:rPr>
        <w:t xml:space="preserve">bude k této problematice organizovat semináře. </w:t>
      </w:r>
    </w:p>
    <w:p w:rsidR="00FF5EF9" w:rsidRDefault="00FF5EF9" w:rsidP="001E0D27">
      <w:pPr>
        <w:spacing w:after="0" w:line="240" w:lineRule="auto"/>
        <w:jc w:val="both"/>
        <w:rPr>
          <w:b/>
          <w:i/>
          <w:sz w:val="24"/>
          <w:szCs w:val="24"/>
        </w:rPr>
      </w:pPr>
    </w:p>
    <w:p w:rsidR="001E0D27" w:rsidRDefault="001E0D27" w:rsidP="001E0D27">
      <w:pPr>
        <w:spacing w:after="0" w:line="240" w:lineRule="auto"/>
        <w:jc w:val="both"/>
        <w:rPr>
          <w:rFonts w:cs="Calibri"/>
          <w:b/>
          <w:i/>
          <w:sz w:val="24"/>
          <w:szCs w:val="24"/>
        </w:rPr>
      </w:pPr>
      <w:r>
        <w:rPr>
          <w:rFonts w:cs="Calibri"/>
          <w:b/>
          <w:i/>
          <w:sz w:val="24"/>
          <w:szCs w:val="24"/>
        </w:rPr>
        <w:t>Úkoly, ke kterým jsou členské státy v závěrech Rady vyzvány:</w:t>
      </w:r>
    </w:p>
    <w:p w:rsidR="001E0D27" w:rsidRDefault="001E0D27" w:rsidP="001E0D27">
      <w:pPr>
        <w:spacing w:after="0" w:line="240" w:lineRule="auto"/>
        <w:jc w:val="both"/>
        <w:rPr>
          <w:rFonts w:cs="Calibri"/>
          <w:b/>
          <w:i/>
          <w:sz w:val="24"/>
          <w:szCs w:val="24"/>
        </w:rPr>
      </w:pPr>
    </w:p>
    <w:p w:rsidR="00DB5BCB"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1E0D27">
        <w:rPr>
          <w:rFonts w:asciiTheme="majorHAnsi" w:hAnsiTheme="majorHAnsi"/>
          <w:sz w:val="24"/>
          <w:szCs w:val="24"/>
        </w:rPr>
        <w:t>Aby zavedly, prováděly a podle potřeby dále rozvíjely vnitrostátní, regionální nebo lokální strategie či programy, jako jsou prováděcí plány systému Záruky pro mladé lidi, na posílení sociálního začleňování mladých lidí, kteří nejsou zařazeni do pracovního procesu ani do vzdělávání či odborné přípravy. Tyto strategie by měly být empiricky podloženy, měly být založeny na měziodvětvové spolupráci a měly by zahrnovat všechny příslušné zúčastněné subjekty. Vypracovávání strategií by mělo zahrnovat diskusi s cílovou skupinou, plánování, provádění, monitorován</w:t>
      </w:r>
      <w:r w:rsidR="005065C8">
        <w:rPr>
          <w:rFonts w:asciiTheme="majorHAnsi" w:hAnsiTheme="majorHAnsi"/>
          <w:sz w:val="24"/>
          <w:szCs w:val="24"/>
        </w:rPr>
        <w:t>í a </w:t>
      </w:r>
      <w:r w:rsidRPr="001E0D27">
        <w:rPr>
          <w:rFonts w:asciiTheme="majorHAnsi" w:hAnsiTheme="majorHAnsi"/>
          <w:sz w:val="24"/>
          <w:szCs w:val="24"/>
        </w:rPr>
        <w:t>hodnocení účinných nástrojů politiky. Moni</w:t>
      </w:r>
      <w:r w:rsidR="005065C8">
        <w:rPr>
          <w:rFonts w:asciiTheme="majorHAnsi" w:hAnsiTheme="majorHAnsi"/>
          <w:sz w:val="24"/>
          <w:szCs w:val="24"/>
        </w:rPr>
        <w:t>torování a hodnocení přístupu k </w:t>
      </w:r>
      <w:r w:rsidRPr="001E0D27">
        <w:rPr>
          <w:rFonts w:asciiTheme="majorHAnsi" w:hAnsiTheme="majorHAnsi"/>
          <w:sz w:val="24"/>
          <w:szCs w:val="24"/>
        </w:rPr>
        <w:t>politickým opatřením a monitorování a hodnocení výsledků by mělo zohledň</w:t>
      </w:r>
      <w:r>
        <w:rPr>
          <w:rFonts w:asciiTheme="majorHAnsi" w:hAnsiTheme="majorHAnsi"/>
          <w:sz w:val="24"/>
          <w:szCs w:val="24"/>
        </w:rPr>
        <w:t>ovat rozdíly mezi muži a ženami</w:t>
      </w:r>
    </w:p>
    <w:p w:rsidR="005065C8" w:rsidRPr="00DB5BCB" w:rsidRDefault="005065C8" w:rsidP="005065C8">
      <w:pPr>
        <w:pStyle w:val="Odstavecseseznamem"/>
        <w:widowControl w:val="0"/>
        <w:spacing w:after="240" w:line="240" w:lineRule="auto"/>
        <w:ind w:left="720"/>
        <w:jc w:val="both"/>
        <w:rPr>
          <w:rFonts w:asciiTheme="majorHAnsi" w:hAnsiTheme="majorHAnsi"/>
          <w:sz w:val="24"/>
          <w:szCs w:val="24"/>
        </w:rPr>
      </w:pPr>
    </w:p>
    <w:p w:rsidR="001E0D27" w:rsidRPr="001E0D27" w:rsidRDefault="001E0D27" w:rsidP="001E0D27">
      <w:pPr>
        <w:tabs>
          <w:tab w:val="left" w:pos="1080"/>
        </w:tabs>
        <w:spacing w:after="240" w:line="240" w:lineRule="auto"/>
        <w:jc w:val="both"/>
        <w:outlineLvl w:val="0"/>
        <w:rPr>
          <w:rFonts w:asciiTheme="majorHAnsi" w:hAnsiTheme="majorHAnsi"/>
          <w:b/>
          <w:bCs/>
          <w:sz w:val="24"/>
          <w:szCs w:val="24"/>
        </w:rPr>
      </w:pPr>
      <w:r>
        <w:rPr>
          <w:rFonts w:asciiTheme="majorHAnsi" w:hAnsiTheme="majorHAnsi"/>
          <w:b/>
          <w:bCs/>
          <w:sz w:val="24"/>
          <w:szCs w:val="24"/>
        </w:rPr>
        <w:t>Aby v</w:t>
      </w:r>
      <w:r w:rsidRPr="001E0D27">
        <w:rPr>
          <w:rFonts w:asciiTheme="majorHAnsi" w:hAnsiTheme="majorHAnsi"/>
          <w:b/>
          <w:bCs/>
          <w:sz w:val="24"/>
          <w:szCs w:val="24"/>
        </w:rPr>
        <w:t> oblasti prevence</w:t>
      </w:r>
      <w:r>
        <w:rPr>
          <w:rFonts w:asciiTheme="majorHAnsi" w:hAnsiTheme="majorHAnsi"/>
          <w:b/>
          <w:bCs/>
          <w:sz w:val="24"/>
          <w:szCs w:val="24"/>
        </w:rPr>
        <w:t>:</w:t>
      </w:r>
    </w:p>
    <w:p w:rsidR="001E0D27" w:rsidRPr="001E0D27"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1E0D27">
        <w:rPr>
          <w:rFonts w:asciiTheme="majorHAnsi" w:hAnsiTheme="majorHAnsi"/>
          <w:sz w:val="24"/>
          <w:szCs w:val="24"/>
        </w:rPr>
        <w:t>podporovaly přístup k adekvátním, dostupným, přístupným a kvalitním službám, jako je předškolní vzdělávání a péče, bydlení, zdravotní a sociální služby, aby se zabránilo tomu, že mladí lidé nebudou zařazeni do pracovního procesu ani do vzdělávání či odborné přípravy a že bude tato je</w:t>
      </w:r>
      <w:r>
        <w:rPr>
          <w:rFonts w:asciiTheme="majorHAnsi" w:hAnsiTheme="majorHAnsi"/>
          <w:sz w:val="24"/>
          <w:szCs w:val="24"/>
        </w:rPr>
        <w:t>jich životní situace přetrvávat</w:t>
      </w:r>
    </w:p>
    <w:p w:rsidR="001E0D27" w:rsidRPr="001E0D27"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1E0D27">
        <w:rPr>
          <w:rFonts w:asciiTheme="majorHAnsi" w:hAnsiTheme="majorHAnsi"/>
          <w:sz w:val="24"/>
          <w:szCs w:val="24"/>
        </w:rPr>
        <w:t>prosazovaly práci s mládeží a investovaly do ní a usnadnily nezařazeným mladým lidem přístup k jejím službám posílením meziodvětvové spolupráce mezi př</w:t>
      </w:r>
      <w:r>
        <w:rPr>
          <w:rFonts w:asciiTheme="majorHAnsi" w:hAnsiTheme="majorHAnsi"/>
          <w:sz w:val="24"/>
          <w:szCs w:val="24"/>
        </w:rPr>
        <w:t>íslušnými zúčastněnými subjekty</w:t>
      </w:r>
    </w:p>
    <w:p w:rsidR="001E0D27" w:rsidRPr="001E0D27"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1E0D27">
        <w:rPr>
          <w:rFonts w:asciiTheme="majorHAnsi" w:hAnsiTheme="majorHAnsi"/>
          <w:sz w:val="24"/>
          <w:szCs w:val="24"/>
        </w:rPr>
        <w:t>usilovaly o komplexní přístup s cílem omezit předčasné ukončování školní docházky zahrnující preventivní opatření a opatření včasného zásahu</w:t>
      </w:r>
    </w:p>
    <w:p w:rsidR="001E0D27" w:rsidRPr="001E0D27"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1E0D27">
        <w:rPr>
          <w:rFonts w:asciiTheme="majorHAnsi" w:hAnsiTheme="majorHAnsi"/>
          <w:sz w:val="24"/>
          <w:szCs w:val="24"/>
        </w:rPr>
        <w:t>rozvíjely a uplatňovaly nové a individuálně uzpůsobené přístupy, jako je práce mimo existující centra pro mládež nebo informační činnosti zaměřené na mladé lidi za účelem lepšího sociálního začlenění nezařazených mladých lidí; plně využívaly potenciálu práce s mládeží z hlediska dodávání sebedůvěry a poskytování možností osobního rozvoje, a přispěly tak ke snížení předčasného ukončování školní docházky</w:t>
      </w:r>
    </w:p>
    <w:p w:rsidR="001E0D27" w:rsidRPr="001E0D27"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1E0D27">
        <w:rPr>
          <w:rFonts w:asciiTheme="majorHAnsi" w:hAnsiTheme="majorHAnsi"/>
          <w:sz w:val="24"/>
          <w:szCs w:val="24"/>
        </w:rPr>
        <w:t>povzbuzovaly a podporovaly kvalitní poradenství včetně informací týkajících se možností zaměstnání, informací o právech v zaměstnání, vyhlídkách v oblasti zaměstnanosti a vzdělávání a možnostech volného pohybu a komplexnější poradenství a podporu všech mladých lidí, zejména mladých lidí, u nichž hrozí, že nebudou zařazeni do pracovního procesu ani do vzdělávání či o</w:t>
      </w:r>
      <w:r w:rsidR="005065C8">
        <w:rPr>
          <w:rFonts w:asciiTheme="majorHAnsi" w:hAnsiTheme="majorHAnsi"/>
          <w:sz w:val="24"/>
          <w:szCs w:val="24"/>
        </w:rPr>
        <w:t>dborné přípravy, a </w:t>
      </w:r>
      <w:r>
        <w:rPr>
          <w:rFonts w:asciiTheme="majorHAnsi" w:hAnsiTheme="majorHAnsi"/>
          <w:sz w:val="24"/>
          <w:szCs w:val="24"/>
        </w:rPr>
        <w:t>jejich rodin</w:t>
      </w:r>
    </w:p>
    <w:p w:rsidR="001E0D27" w:rsidRPr="001E0D27"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1E0D27">
        <w:rPr>
          <w:rFonts w:asciiTheme="majorHAnsi" w:hAnsiTheme="majorHAnsi"/>
          <w:sz w:val="24"/>
          <w:szCs w:val="24"/>
        </w:rPr>
        <w:t>posilovaly kapacitu organizací mládeže, práce s mládeží a jiných forem začlenění jakožto prostředků účasti a využívání jejich potenciálu na podporu sociálního začl</w:t>
      </w:r>
      <w:r>
        <w:rPr>
          <w:rFonts w:asciiTheme="majorHAnsi" w:hAnsiTheme="majorHAnsi"/>
          <w:sz w:val="24"/>
          <w:szCs w:val="24"/>
        </w:rPr>
        <w:t>enění nezařazených mladých lidí</w:t>
      </w:r>
    </w:p>
    <w:p w:rsidR="001E0D27" w:rsidRPr="001E0D27"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1E0D27">
        <w:rPr>
          <w:rFonts w:asciiTheme="majorHAnsi" w:hAnsiTheme="majorHAnsi"/>
          <w:sz w:val="24"/>
          <w:szCs w:val="24"/>
        </w:rPr>
        <w:t>podporovaly místní iniciativy a plány sociální soudržnosti na rozvoj konkrétních kroků zaměřených na nezařazené mladé lidi za účelem jejich (opětovného</w:t>
      </w:r>
      <w:r>
        <w:rPr>
          <w:rFonts w:asciiTheme="majorHAnsi" w:hAnsiTheme="majorHAnsi"/>
          <w:sz w:val="24"/>
          <w:szCs w:val="24"/>
        </w:rPr>
        <w:t>) začlenění do místních komunit</w:t>
      </w:r>
    </w:p>
    <w:p w:rsidR="001E0D27" w:rsidRPr="001E0D27"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1E0D27">
        <w:rPr>
          <w:rFonts w:asciiTheme="majorHAnsi" w:hAnsiTheme="majorHAnsi"/>
          <w:sz w:val="24"/>
          <w:szCs w:val="24"/>
        </w:rPr>
        <w:t>využívaly Evropský portál pro mládež jakožto informační platformu pro informování mladých lidí o otázkách souvis</w:t>
      </w:r>
      <w:r>
        <w:rPr>
          <w:rFonts w:asciiTheme="majorHAnsi" w:hAnsiTheme="majorHAnsi"/>
          <w:sz w:val="24"/>
          <w:szCs w:val="24"/>
        </w:rPr>
        <w:t>ejících se sociálním začleněním</w:t>
      </w:r>
    </w:p>
    <w:p w:rsidR="001E0D27" w:rsidRPr="001E0D27" w:rsidRDefault="001E0D27" w:rsidP="001E0D27">
      <w:pPr>
        <w:pStyle w:val="Odstavecseseznamem"/>
        <w:tabs>
          <w:tab w:val="left" w:pos="4500"/>
        </w:tabs>
        <w:spacing w:after="240" w:line="240" w:lineRule="auto"/>
        <w:ind w:left="0"/>
        <w:jc w:val="both"/>
        <w:outlineLvl w:val="0"/>
        <w:rPr>
          <w:rFonts w:asciiTheme="majorHAnsi" w:hAnsiTheme="majorHAnsi"/>
          <w:b/>
          <w:bCs/>
          <w:sz w:val="24"/>
          <w:szCs w:val="24"/>
        </w:rPr>
      </w:pPr>
      <w:r>
        <w:rPr>
          <w:rFonts w:asciiTheme="majorHAnsi" w:hAnsiTheme="majorHAnsi"/>
          <w:b/>
          <w:bCs/>
          <w:sz w:val="24"/>
          <w:szCs w:val="24"/>
        </w:rPr>
        <w:t>Aby v</w:t>
      </w:r>
      <w:r w:rsidRPr="001E0D27">
        <w:rPr>
          <w:rFonts w:asciiTheme="majorHAnsi" w:hAnsiTheme="majorHAnsi"/>
          <w:b/>
          <w:bCs/>
          <w:sz w:val="24"/>
          <w:szCs w:val="24"/>
        </w:rPr>
        <w:t xml:space="preserve"> oblasti vzdělávání, odborné přípravy a neformálního učení</w:t>
      </w:r>
      <w:r>
        <w:rPr>
          <w:rFonts w:asciiTheme="majorHAnsi" w:hAnsiTheme="majorHAnsi"/>
          <w:b/>
          <w:bCs/>
          <w:sz w:val="24"/>
          <w:szCs w:val="24"/>
        </w:rPr>
        <w:t>:</w:t>
      </w:r>
    </w:p>
    <w:p w:rsidR="001E0D27" w:rsidRPr="001E0D27"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1E0D27">
        <w:rPr>
          <w:rFonts w:asciiTheme="majorHAnsi" w:hAnsiTheme="majorHAnsi"/>
          <w:sz w:val="24"/>
          <w:szCs w:val="24"/>
        </w:rPr>
        <w:t>rozšířily možnost zapojení do vzdělávacích programů druhé šance a podporovaly získávání nebo rozvíjení dovedností a kompetencí splňujících potřeby trhu práce</w:t>
      </w:r>
    </w:p>
    <w:p w:rsidR="001E0D27" w:rsidRPr="00BB20ED"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BB20ED">
        <w:rPr>
          <w:rFonts w:asciiTheme="majorHAnsi" w:hAnsiTheme="majorHAnsi"/>
          <w:sz w:val="24"/>
          <w:szCs w:val="24"/>
        </w:rPr>
        <w:t>prosazovaly profesní poradenství a konzultace uzpůsobené potřebám sociálně vyloučených mladých lidí ve všech fázích jejich života a zvyšovaly jejich dostupnost</w:t>
      </w:r>
    </w:p>
    <w:p w:rsidR="001E0D27" w:rsidRPr="00BB20ED"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BB20ED">
        <w:rPr>
          <w:rFonts w:asciiTheme="majorHAnsi" w:hAnsiTheme="majorHAnsi"/>
          <w:sz w:val="24"/>
          <w:szCs w:val="24"/>
        </w:rPr>
        <w:t>podle okolností a zvláštních podmínek jednotlivých států a v souladu s tím, co považují členské státy za vhodné, měly nejpozději v roce 2018 fungující režim uznávání neformálního a informálního učení, což jednotlivcům umožní využívat toho, co se naučili, pro svoji profesionální dráhu a pro další učení</w:t>
      </w:r>
    </w:p>
    <w:p w:rsidR="001E0D27" w:rsidRPr="00BB20ED"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BB20ED">
        <w:rPr>
          <w:rFonts w:asciiTheme="majorHAnsi" w:hAnsiTheme="majorHAnsi"/>
          <w:sz w:val="24"/>
          <w:szCs w:val="24"/>
        </w:rPr>
        <w:t>zvýšily dostupnost a kvalitu předškolního vzdělávání a péče.</w:t>
      </w:r>
      <w:r w:rsidRPr="00BB20ED">
        <w:rPr>
          <w:rFonts w:asciiTheme="majorHAnsi" w:hAnsiTheme="majorHAnsi"/>
          <w:noProof/>
          <w:sz w:val="24"/>
          <w:szCs w:val="24"/>
        </w:rPr>
        <w:t xml:space="preserve"> </w:t>
      </w:r>
      <w:r w:rsidRPr="00BB20ED">
        <w:rPr>
          <w:rFonts w:asciiTheme="majorHAnsi" w:hAnsiTheme="majorHAnsi"/>
          <w:sz w:val="24"/>
          <w:szCs w:val="24"/>
        </w:rPr>
        <w:t>Dětem ze znevýhodněného prostředí by měla být poskytována doplňující podpora</w:t>
      </w:r>
    </w:p>
    <w:p w:rsidR="001E0D27" w:rsidRPr="00BB20ED"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BB20ED">
        <w:rPr>
          <w:rFonts w:asciiTheme="majorHAnsi" w:hAnsiTheme="majorHAnsi"/>
          <w:sz w:val="24"/>
          <w:szCs w:val="24"/>
        </w:rPr>
        <w:t>prováděly program Erasmus+ jakožto podpůrný nástroj k získávání soc</w:t>
      </w:r>
      <w:r w:rsidR="005065C8">
        <w:rPr>
          <w:rFonts w:asciiTheme="majorHAnsi" w:hAnsiTheme="majorHAnsi"/>
          <w:sz w:val="24"/>
          <w:szCs w:val="24"/>
        </w:rPr>
        <w:t>iálních a </w:t>
      </w:r>
      <w:r w:rsidRPr="00BB20ED">
        <w:rPr>
          <w:rFonts w:asciiTheme="majorHAnsi" w:hAnsiTheme="majorHAnsi"/>
          <w:sz w:val="24"/>
          <w:szCs w:val="24"/>
        </w:rPr>
        <w:t>občanských kompetencí a dovedností a posilovaly mobilitu a zaměstnatelnost mladých lidí</w:t>
      </w:r>
    </w:p>
    <w:p w:rsidR="001E0D27" w:rsidRPr="001E0D27" w:rsidRDefault="001E0D27" w:rsidP="001E0D27">
      <w:pPr>
        <w:pStyle w:val="Odstavecseseznamem"/>
        <w:tabs>
          <w:tab w:val="left" w:pos="4500"/>
        </w:tabs>
        <w:spacing w:after="240" w:line="240" w:lineRule="auto"/>
        <w:ind w:left="0"/>
        <w:jc w:val="both"/>
        <w:outlineLvl w:val="0"/>
        <w:rPr>
          <w:rFonts w:asciiTheme="majorHAnsi" w:hAnsiTheme="majorHAnsi"/>
          <w:b/>
          <w:bCs/>
          <w:sz w:val="24"/>
          <w:szCs w:val="24"/>
          <w:lang w:val="pl-PL"/>
        </w:rPr>
      </w:pPr>
      <w:r>
        <w:rPr>
          <w:rFonts w:asciiTheme="majorHAnsi" w:hAnsiTheme="majorHAnsi"/>
          <w:b/>
          <w:bCs/>
          <w:sz w:val="24"/>
          <w:szCs w:val="24"/>
        </w:rPr>
        <w:t>Aby v</w:t>
      </w:r>
      <w:r w:rsidRPr="001E0D27">
        <w:rPr>
          <w:rFonts w:asciiTheme="majorHAnsi" w:hAnsiTheme="majorHAnsi"/>
          <w:b/>
          <w:bCs/>
          <w:sz w:val="24"/>
          <w:szCs w:val="24"/>
        </w:rPr>
        <w:t xml:space="preserve"> oblasti přechodu z procesu vzdělávání do zaměstnání</w:t>
      </w:r>
      <w:r>
        <w:rPr>
          <w:rFonts w:asciiTheme="majorHAnsi" w:hAnsiTheme="majorHAnsi"/>
          <w:b/>
          <w:bCs/>
          <w:sz w:val="24"/>
          <w:szCs w:val="24"/>
        </w:rPr>
        <w:t>:</w:t>
      </w:r>
    </w:p>
    <w:p w:rsidR="00BB20ED" w:rsidRPr="00BB20ED" w:rsidRDefault="001E0D27" w:rsidP="00EA3710">
      <w:pPr>
        <w:pStyle w:val="Odstavecseseznamem"/>
        <w:widowControl w:val="0"/>
        <w:numPr>
          <w:ilvl w:val="0"/>
          <w:numId w:val="9"/>
        </w:numPr>
        <w:spacing w:after="240" w:line="240" w:lineRule="auto"/>
        <w:jc w:val="both"/>
        <w:rPr>
          <w:rFonts w:asciiTheme="majorHAnsi" w:hAnsiTheme="majorHAnsi"/>
          <w:sz w:val="24"/>
          <w:szCs w:val="24"/>
          <w:lang w:val="pl-PL"/>
        </w:rPr>
      </w:pPr>
      <w:r w:rsidRPr="00BB20ED">
        <w:rPr>
          <w:rFonts w:asciiTheme="majorHAnsi" w:hAnsiTheme="majorHAnsi"/>
          <w:sz w:val="24"/>
          <w:szCs w:val="24"/>
        </w:rPr>
        <w:t>rozvíjely partnerství mezi veřejnými a soukromými službami zaměstnanosti, službami poradenství v oblasti zaměstnání a s dalšími specializovanými službami zaměřenými na mladé lidi (nevládní organizace, centra pro mládež a sdružení mladých lidí), jež napomáhají bezproblémovému přechodu z nezaměstnanosti, nečinnosti, vzdělávání či odborné přípravy do zaměstnání</w:t>
      </w:r>
    </w:p>
    <w:p w:rsidR="00BB20ED" w:rsidRPr="00BB20ED" w:rsidRDefault="001E0D27" w:rsidP="00EA3710">
      <w:pPr>
        <w:pStyle w:val="Odstavecseseznamem"/>
        <w:widowControl w:val="0"/>
        <w:numPr>
          <w:ilvl w:val="0"/>
          <w:numId w:val="9"/>
        </w:numPr>
        <w:spacing w:after="240" w:line="240" w:lineRule="auto"/>
        <w:jc w:val="both"/>
        <w:rPr>
          <w:rFonts w:asciiTheme="majorHAnsi" w:hAnsiTheme="majorHAnsi"/>
          <w:sz w:val="24"/>
          <w:szCs w:val="24"/>
          <w:lang w:val="pl-PL"/>
        </w:rPr>
      </w:pPr>
      <w:r w:rsidRPr="00BB20ED">
        <w:rPr>
          <w:rFonts w:asciiTheme="majorHAnsi" w:hAnsiTheme="majorHAnsi"/>
          <w:sz w:val="24"/>
          <w:szCs w:val="24"/>
        </w:rPr>
        <w:t>podporovaly kvalitní učení založené na pracovní činnosti, jako je učňovská příprava, odborné stáže a praxe, jakožto účinné opatření ke zlepšení udržitelného přechodu ze vzdělávání a odborné přípravy do zaměstnání, zejména podporou dovedností, které jsou pro trh práce důležité, a lepším sladěním nabízených a požadovaných dovedností, a to mimo jiné v souvislosti s prohlášením Rady týkajícím se Evropské aliance pro učňovskou přípravu</w:t>
      </w:r>
    </w:p>
    <w:p w:rsidR="001E0D27" w:rsidRPr="00BB20ED" w:rsidRDefault="001E0D27" w:rsidP="00EA3710">
      <w:pPr>
        <w:pStyle w:val="Odstavecseseznamem"/>
        <w:widowControl w:val="0"/>
        <w:numPr>
          <w:ilvl w:val="0"/>
          <w:numId w:val="9"/>
        </w:numPr>
        <w:spacing w:after="240" w:line="240" w:lineRule="auto"/>
        <w:jc w:val="both"/>
        <w:rPr>
          <w:rFonts w:asciiTheme="majorHAnsi" w:hAnsiTheme="majorHAnsi"/>
          <w:sz w:val="24"/>
          <w:szCs w:val="24"/>
          <w:lang w:val="pl-PL"/>
        </w:rPr>
      </w:pPr>
      <w:r w:rsidRPr="00BB20ED">
        <w:rPr>
          <w:rFonts w:asciiTheme="majorHAnsi" w:hAnsiTheme="majorHAnsi"/>
          <w:sz w:val="24"/>
          <w:szCs w:val="24"/>
        </w:rPr>
        <w:t>prováděly opatření v zájmu řešení problému nezaměstnanosti mladých lidí, zejména v zájmu zlepšení přechodu ze vzdělávání a odborné přípravy do zaměstnání při zohlednění doporučení Rady o zavedení Záruk pro mladé lidi, a to mimo jiné budováním přístupů založených na partnerství (včetně přístupů zahrnujících služby podpory mladých lidí), včasným zásahem a aktivací, podpůrnými opatřeními umožňujícími začlenit se na trh práce (včetně posilování dovedností a opatření související s trhem práce), využíváním fon</w:t>
      </w:r>
      <w:r w:rsidR="005065C8">
        <w:rPr>
          <w:rFonts w:asciiTheme="majorHAnsi" w:hAnsiTheme="majorHAnsi"/>
          <w:sz w:val="24"/>
          <w:szCs w:val="24"/>
        </w:rPr>
        <w:t>dů Evropské unie, posuzováním a </w:t>
      </w:r>
      <w:r w:rsidRPr="00BB20ED">
        <w:rPr>
          <w:rFonts w:asciiTheme="majorHAnsi" w:hAnsiTheme="majorHAnsi"/>
          <w:sz w:val="24"/>
          <w:szCs w:val="24"/>
        </w:rPr>
        <w:t>neustálým zlepšováním systém</w:t>
      </w:r>
      <w:r w:rsidR="00BB20ED">
        <w:rPr>
          <w:rFonts w:asciiTheme="majorHAnsi" w:hAnsiTheme="majorHAnsi"/>
          <w:sz w:val="24"/>
          <w:szCs w:val="24"/>
        </w:rPr>
        <w:t>ů</w:t>
      </w:r>
    </w:p>
    <w:p w:rsidR="001E0D27" w:rsidRPr="001E0D27" w:rsidRDefault="001E0D27" w:rsidP="001E0D27">
      <w:pPr>
        <w:spacing w:after="240" w:line="240" w:lineRule="auto"/>
        <w:jc w:val="both"/>
        <w:rPr>
          <w:rFonts w:asciiTheme="majorHAnsi" w:hAnsiTheme="majorHAnsi"/>
          <w:b/>
          <w:bCs/>
          <w:sz w:val="24"/>
          <w:szCs w:val="24"/>
        </w:rPr>
      </w:pPr>
      <w:r>
        <w:rPr>
          <w:rFonts w:asciiTheme="majorHAnsi" w:hAnsiTheme="majorHAnsi"/>
          <w:b/>
          <w:bCs/>
          <w:sz w:val="24"/>
          <w:szCs w:val="24"/>
        </w:rPr>
        <w:t>Aby v</w:t>
      </w:r>
      <w:r w:rsidRPr="001E0D27">
        <w:rPr>
          <w:rFonts w:asciiTheme="majorHAnsi" w:hAnsiTheme="majorHAnsi"/>
          <w:b/>
          <w:bCs/>
          <w:sz w:val="24"/>
          <w:szCs w:val="24"/>
        </w:rPr>
        <w:t> oblasti zaměstnanosti</w:t>
      </w:r>
      <w:r>
        <w:rPr>
          <w:rFonts w:asciiTheme="majorHAnsi" w:hAnsiTheme="majorHAnsi"/>
          <w:b/>
          <w:bCs/>
          <w:sz w:val="24"/>
          <w:szCs w:val="24"/>
        </w:rPr>
        <w:t>:</w:t>
      </w:r>
    </w:p>
    <w:p w:rsidR="00BB20ED"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BB20ED">
        <w:rPr>
          <w:rFonts w:asciiTheme="majorHAnsi" w:hAnsiTheme="majorHAnsi"/>
          <w:sz w:val="24"/>
          <w:szCs w:val="24"/>
        </w:rPr>
        <w:t>posilovaly plnou a aktivní účast na trhu práce pomocí opatření na aktivní začleňování, prosazovaly tvořivost a inovativnost mladých lidí v úsilí o samostatnou výdělečnou činnost a podporovaly podnikání a první pracovní zkušenosti</w:t>
      </w:r>
    </w:p>
    <w:p w:rsidR="00BB20ED"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BB20ED">
        <w:rPr>
          <w:rFonts w:asciiTheme="majorHAnsi" w:hAnsiTheme="majorHAnsi"/>
          <w:sz w:val="24"/>
          <w:szCs w:val="24"/>
        </w:rPr>
        <w:t>v zájmu vstupu nebo návratu na trh práce odstraňovaly překážky, včetně diskriminace z důvodu věku a dalších forem diskriminace, řešily problematiku nejrůznějších forem nejistých zaměstnání a v případě potřeby analyzovaly možnosti, jak omezit nemzdové náklady práce s cílem zlepšit vyhlídky mladých lidí na získání zaměstnání</w:t>
      </w:r>
    </w:p>
    <w:p w:rsidR="00BB20ED"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BB20ED">
        <w:rPr>
          <w:rFonts w:asciiTheme="majorHAnsi" w:hAnsiTheme="majorHAnsi"/>
          <w:sz w:val="24"/>
          <w:szCs w:val="24"/>
        </w:rPr>
        <w:t xml:space="preserve">umožnily službám zaměstnanosti a organizacím mládeže již v rané fázi poskytovat společně s dalšími partnerskými subjekty podporujícími mladé lidi personalizované poradenství a individuální akční plány, včetně individuálně uzpůsobených systémů podpory, založené </w:t>
      </w:r>
      <w:r w:rsidR="00BB20ED">
        <w:rPr>
          <w:rFonts w:asciiTheme="majorHAnsi" w:hAnsiTheme="majorHAnsi"/>
          <w:sz w:val="24"/>
          <w:szCs w:val="24"/>
        </w:rPr>
        <w:t>na zásadě vzájemných povinností</w:t>
      </w:r>
    </w:p>
    <w:p w:rsidR="00BB20ED"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BB20ED">
        <w:rPr>
          <w:rFonts w:asciiTheme="majorHAnsi" w:hAnsiTheme="majorHAnsi"/>
          <w:sz w:val="24"/>
          <w:szCs w:val="24"/>
        </w:rPr>
        <w:t>zapojovaly zúčastněné subjekty v oblasti politik</w:t>
      </w:r>
      <w:r w:rsidR="005065C8">
        <w:rPr>
          <w:rFonts w:asciiTheme="majorHAnsi" w:hAnsiTheme="majorHAnsi"/>
          <w:sz w:val="24"/>
          <w:szCs w:val="24"/>
        </w:rPr>
        <w:t>y mládeže a mladé lidi, jakož i </w:t>
      </w:r>
      <w:r w:rsidRPr="00BB20ED">
        <w:rPr>
          <w:rFonts w:asciiTheme="majorHAnsi" w:hAnsiTheme="majorHAnsi"/>
          <w:sz w:val="24"/>
          <w:szCs w:val="24"/>
        </w:rPr>
        <w:t>organizace mládeže a jiné organizace občans</w:t>
      </w:r>
      <w:r w:rsidR="005065C8">
        <w:rPr>
          <w:rFonts w:asciiTheme="majorHAnsi" w:hAnsiTheme="majorHAnsi"/>
          <w:sz w:val="24"/>
          <w:szCs w:val="24"/>
        </w:rPr>
        <w:t>ké společnosti do koncipování a </w:t>
      </w:r>
      <w:r w:rsidRPr="00BB20ED">
        <w:rPr>
          <w:rFonts w:asciiTheme="majorHAnsi" w:hAnsiTheme="majorHAnsi"/>
          <w:sz w:val="24"/>
          <w:szCs w:val="24"/>
        </w:rPr>
        <w:t>provádění vhodných politik, včetně Záruk pro mladé lidi, přičemž zvláštní pozornost by měla být věnována zejména potenciálu práce s mládeží při vyhledávání mladých lidí, u nichž hrozí, že nebudou zařazeni do pracovního procesu ani do vzdělávání či odborné přípravy, a aby vytvářely kontakty mezi nimi a mezi poskytovateli služeb; umožnily zúčastněným subjektům v oblasti mládeže, aby prosazovaly a propagovaly možnosti, které nabízí Záruky pro mladé lidi a další inici</w:t>
      </w:r>
      <w:r w:rsidR="005065C8">
        <w:rPr>
          <w:rFonts w:asciiTheme="majorHAnsi" w:hAnsiTheme="majorHAnsi"/>
          <w:sz w:val="24"/>
          <w:szCs w:val="24"/>
        </w:rPr>
        <w:t>ativy v oblasti zaměstnanosti a </w:t>
      </w:r>
      <w:r w:rsidRPr="00BB20ED">
        <w:rPr>
          <w:rFonts w:asciiTheme="majorHAnsi" w:hAnsiTheme="majorHAnsi"/>
          <w:sz w:val="24"/>
          <w:szCs w:val="24"/>
        </w:rPr>
        <w:t>o</w:t>
      </w:r>
      <w:r w:rsidR="00BB20ED">
        <w:rPr>
          <w:rFonts w:asciiTheme="majorHAnsi" w:hAnsiTheme="majorHAnsi"/>
          <w:sz w:val="24"/>
          <w:szCs w:val="24"/>
        </w:rPr>
        <w:t>dborné přípravy</w:t>
      </w:r>
    </w:p>
    <w:p w:rsidR="00BB20ED" w:rsidRPr="00BB20ED"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BB20ED">
        <w:rPr>
          <w:rFonts w:asciiTheme="majorHAnsi" w:hAnsiTheme="majorHAnsi"/>
          <w:sz w:val="24"/>
          <w:szCs w:val="24"/>
        </w:rPr>
        <w:t>plně přispívaly k rozvoji sítě EURES, aby se stala</w:t>
      </w:r>
      <w:r w:rsidR="005065C8">
        <w:rPr>
          <w:rFonts w:asciiTheme="majorHAnsi" w:hAnsiTheme="majorHAnsi"/>
          <w:sz w:val="24"/>
          <w:szCs w:val="24"/>
        </w:rPr>
        <w:t xml:space="preserve"> skutečnou celoevropskou sítí v </w:t>
      </w:r>
      <w:r w:rsidRPr="00BB20ED">
        <w:rPr>
          <w:rFonts w:asciiTheme="majorHAnsi" w:hAnsiTheme="majorHAnsi"/>
          <w:sz w:val="24"/>
          <w:szCs w:val="24"/>
        </w:rPr>
        <w:t>oblasti umísťování do zaměstnání a náboru zaměřenou na řešení potřeb trhu práce v jednotlivých členských státech, mimo jiné i pokud jde o volná místa v rámci veřejných i soukromých služeb zaměstnanosti, jakož i o učňovskou přípravu, případně stáže</w:t>
      </w:r>
    </w:p>
    <w:p w:rsidR="001E0D27" w:rsidRPr="00BB20ED" w:rsidRDefault="001E0D27" w:rsidP="00EA3710">
      <w:pPr>
        <w:pStyle w:val="Odstavecseseznamem"/>
        <w:widowControl w:val="0"/>
        <w:numPr>
          <w:ilvl w:val="0"/>
          <w:numId w:val="9"/>
        </w:numPr>
        <w:spacing w:after="240" w:line="240" w:lineRule="auto"/>
        <w:jc w:val="both"/>
        <w:rPr>
          <w:rFonts w:asciiTheme="majorHAnsi" w:hAnsiTheme="majorHAnsi"/>
          <w:sz w:val="24"/>
          <w:szCs w:val="24"/>
        </w:rPr>
      </w:pPr>
      <w:r w:rsidRPr="00BB20ED">
        <w:rPr>
          <w:rFonts w:asciiTheme="majorHAnsi" w:hAnsiTheme="majorHAnsi"/>
          <w:sz w:val="24"/>
          <w:szCs w:val="24"/>
        </w:rPr>
        <w:t>podporovaly sladění pracovního, soukromého a rodinného života s cílem předcházet a vyhýbat se všemu, co</w:t>
      </w:r>
      <w:r w:rsidR="00BB20ED">
        <w:rPr>
          <w:rFonts w:asciiTheme="majorHAnsi" w:hAnsiTheme="majorHAnsi"/>
          <w:sz w:val="24"/>
          <w:szCs w:val="24"/>
        </w:rPr>
        <w:t xml:space="preserve"> brání začleňování na trh práce</w:t>
      </w:r>
    </w:p>
    <w:p w:rsidR="00DB5BCB" w:rsidRDefault="00DB5BCB" w:rsidP="00DB5BCB">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DB5BCB">
        <w:rPr>
          <w:sz w:val="24"/>
          <w:szCs w:val="24"/>
        </w:rPr>
        <w:t>Jednotlivá doporučení jsou průběžně zohledňována v národní politice mládeže, včetně připravované Strategie pro mládež 2020, jejíž předložení vládě se předpokládá v dubnu 2014. ČR zastává názor, že opatření v oblasti politiky mládeže jsou pro</w:t>
      </w:r>
      <w:r w:rsidR="005B3EA8">
        <w:rPr>
          <w:sz w:val="24"/>
          <w:szCs w:val="24"/>
        </w:rPr>
        <w:t xml:space="preserve"> tzv.</w:t>
      </w:r>
      <w:r w:rsidRPr="00DB5BCB">
        <w:rPr>
          <w:sz w:val="24"/>
          <w:szCs w:val="24"/>
        </w:rPr>
        <w:t xml:space="preserve"> </w:t>
      </w:r>
      <w:r w:rsidRPr="005B3EA8">
        <w:rPr>
          <w:i/>
          <w:sz w:val="24"/>
          <w:szCs w:val="24"/>
        </w:rPr>
        <w:t xml:space="preserve">NEETs </w:t>
      </w:r>
      <w:r w:rsidRPr="00DB5BCB">
        <w:rPr>
          <w:sz w:val="24"/>
          <w:szCs w:val="24"/>
        </w:rPr>
        <w:t>nezanedbatelným přínosem - jedná se zejména o práci s mládeží či dobrovolnictví, které mladým lidem mohou pomoci překlenout toto období, připravit je na trh práce nebo jim zachovat schopnosti být zaměstnatelní. Tyto nástroje jsou ze strany MŠMT trvale podporovány a rozvíjeny, mj. prostřednictvím grantů poskytovaných NNO pracujícími s dětmi a mládeží, příp. mimořádnými granty na podporu dobrovolnických projektů.</w:t>
      </w:r>
    </w:p>
    <w:p w:rsidR="00DB5BCB" w:rsidRPr="00DB5BCB" w:rsidRDefault="00DB5BCB" w:rsidP="005B3EA8">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DB5BCB">
        <w:rPr>
          <w:sz w:val="24"/>
          <w:szCs w:val="24"/>
        </w:rPr>
        <w:t xml:space="preserve">V současné době realizuje ČR projekt“K2 – kvalita a konkurenceschopnost v neformálním vzdělávání“, podpořený z prostředků ESF a státního rozpočtu. Jeho </w:t>
      </w:r>
      <w:r w:rsidRPr="00DB5BCB">
        <w:rPr>
          <w:color w:val="010202"/>
          <w:sz w:val="24"/>
          <w:szCs w:val="24"/>
        </w:rPr>
        <w:t xml:space="preserve">cílem je posílení zaměstnavatelnosti a konkurenceschopnosti občanů na trhu práce prostřednictvím podpory neformálního vzdělávání v rámci celoživotního učení. </w:t>
      </w:r>
      <w:r w:rsidRPr="00DB5BCB">
        <w:rPr>
          <w:sz w:val="24"/>
          <w:szCs w:val="24"/>
        </w:rPr>
        <w:t xml:space="preserve">Projekt </w:t>
      </w:r>
      <w:r w:rsidRPr="00DB5BCB">
        <w:rPr>
          <w:color w:val="010202"/>
          <w:sz w:val="24"/>
          <w:szCs w:val="24"/>
        </w:rPr>
        <w:t>vychází ze stanovených cílů a akčních plánů politiky mládeže a Strategie celoživotního učení ČR a</w:t>
      </w:r>
      <w:r w:rsidRPr="00DB5BCB">
        <w:rPr>
          <w:sz w:val="24"/>
          <w:szCs w:val="24"/>
        </w:rPr>
        <w:t xml:space="preserve"> je zaměřen zejména na dosažení </w:t>
      </w:r>
      <w:r w:rsidRPr="00DB5BCB">
        <w:rPr>
          <w:color w:val="010202"/>
          <w:sz w:val="24"/>
          <w:szCs w:val="24"/>
        </w:rPr>
        <w:t>kvalitativních změn v</w:t>
      </w:r>
      <w:r w:rsidR="005B3EA8">
        <w:rPr>
          <w:color w:val="010202"/>
          <w:sz w:val="24"/>
          <w:szCs w:val="24"/>
        </w:rPr>
        <w:t> nestátních a neziskových organizacích</w:t>
      </w:r>
      <w:r w:rsidRPr="00DB5BCB">
        <w:rPr>
          <w:color w:val="010202"/>
          <w:sz w:val="24"/>
          <w:szCs w:val="24"/>
        </w:rPr>
        <w:t xml:space="preserve"> a školských zařízeních pro zájmové vzdělávání </w:t>
      </w:r>
      <w:r w:rsidRPr="00DB5BCB">
        <w:rPr>
          <w:sz w:val="24"/>
          <w:szCs w:val="24"/>
        </w:rPr>
        <w:t>přispívajících k trvale udržitelnému rozvoji neformálního vzdělávání. Náklady na projekt realizovaný v období 1. 10. 2012 – 28. 2. 2015 činí cca 2,3 mil. EUR.</w:t>
      </w:r>
    </w:p>
    <w:p w:rsidR="00DB5BCB" w:rsidRPr="00DB5BCB" w:rsidRDefault="00DB5BCB" w:rsidP="005B3EA8">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Pr>
          <w:sz w:val="24"/>
          <w:szCs w:val="24"/>
        </w:rPr>
        <w:t>K naplnění výzev, ke kterým se ČR přihlásila, může přispět také nově připravovaná</w:t>
      </w:r>
      <w:r w:rsidRPr="00DB5BCB">
        <w:rPr>
          <w:sz w:val="24"/>
          <w:szCs w:val="24"/>
        </w:rPr>
        <w:t xml:space="preserve"> Strategie pro mládež 2020 v konkrétních opatřeních týkajících se profes</w:t>
      </w:r>
      <w:r w:rsidR="005065C8">
        <w:rPr>
          <w:sz w:val="24"/>
          <w:szCs w:val="24"/>
        </w:rPr>
        <w:t>ních konzultací a poradenství u </w:t>
      </w:r>
      <w:r w:rsidRPr="00DB5BCB">
        <w:rPr>
          <w:sz w:val="24"/>
          <w:szCs w:val="24"/>
        </w:rPr>
        <w:t>následujícího strategického cíle (SC) a jeho dílčích cílů (DC):</w:t>
      </w:r>
    </w:p>
    <w:p w:rsidR="00DB5BCB" w:rsidRPr="00DB5BCB" w:rsidRDefault="00DB5BCB" w:rsidP="005B3EA8">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sz w:val="24"/>
          <w:szCs w:val="24"/>
        </w:rPr>
      </w:pPr>
      <w:r w:rsidRPr="00DB5BCB">
        <w:rPr>
          <w:sz w:val="24"/>
          <w:szCs w:val="24"/>
        </w:rPr>
        <w:t>SC 3: Vytvářet příznivé a udržitelné podmínky pro účast dětí a mládeže v zájmovém a</w:t>
      </w:r>
      <w:r w:rsidR="005065C8">
        <w:rPr>
          <w:sz w:val="24"/>
          <w:szCs w:val="24"/>
        </w:rPr>
        <w:t> </w:t>
      </w:r>
      <w:r w:rsidRPr="00DB5BCB">
        <w:rPr>
          <w:sz w:val="24"/>
          <w:szCs w:val="24"/>
        </w:rPr>
        <w:t>neformálním vzdělávání</w:t>
      </w:r>
    </w:p>
    <w:p w:rsidR="00DB5BCB" w:rsidRPr="00DB5BCB" w:rsidRDefault="00DB5BCB" w:rsidP="005B3EA8">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DB5BCB">
        <w:rPr>
          <w:sz w:val="24"/>
          <w:szCs w:val="24"/>
        </w:rPr>
        <w:t>DC A: Poskytovat všem skupinám dětí a mládeže rovné příležitosti ke zdokonalování a</w:t>
      </w:r>
      <w:r w:rsidR="005065C8">
        <w:rPr>
          <w:sz w:val="24"/>
          <w:szCs w:val="24"/>
        </w:rPr>
        <w:t> </w:t>
      </w:r>
      <w:r w:rsidRPr="00DB5BCB">
        <w:rPr>
          <w:sz w:val="24"/>
          <w:szCs w:val="24"/>
        </w:rPr>
        <w:t>prohlubování klíčových kompetencí potřebných pro uplatnění v pracovním, občanském a</w:t>
      </w:r>
      <w:r w:rsidR="005065C8">
        <w:rPr>
          <w:sz w:val="24"/>
          <w:szCs w:val="24"/>
        </w:rPr>
        <w:t> </w:t>
      </w:r>
      <w:r w:rsidRPr="00DB5BCB">
        <w:rPr>
          <w:sz w:val="24"/>
          <w:szCs w:val="24"/>
        </w:rPr>
        <w:t>osobním životě</w:t>
      </w:r>
    </w:p>
    <w:p w:rsidR="00DB5BCB" w:rsidRPr="00DB5BCB" w:rsidRDefault="00DB5BCB" w:rsidP="005B3EA8">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DB5BCB">
        <w:rPr>
          <w:sz w:val="24"/>
          <w:szCs w:val="24"/>
        </w:rPr>
        <w:t>DC B: Podporovat inovace v oblasti zájmového a neformálního vzdělávání</w:t>
      </w:r>
    </w:p>
    <w:p w:rsidR="00DB5BCB" w:rsidRPr="00DB5BCB" w:rsidRDefault="00DB5BCB" w:rsidP="005B3EA8">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DB5BCB">
        <w:rPr>
          <w:sz w:val="24"/>
          <w:szCs w:val="24"/>
        </w:rPr>
        <w:t>DC C: Podporovat vzájemnou spolupráci škol a školských zařízení s NNO, kulturními institucemi a dalšími zařízeními pracujícími s dětmi a mládeží</w:t>
      </w:r>
    </w:p>
    <w:p w:rsidR="00DB5BCB" w:rsidRPr="00DB5BCB" w:rsidRDefault="00DB5BCB" w:rsidP="005B3EA8">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DB5BCB">
        <w:rPr>
          <w:sz w:val="24"/>
          <w:szCs w:val="24"/>
        </w:rPr>
        <w:t>DC D: Podporovat uznávání výsledků zájmového a neformálního vzdělávání</w:t>
      </w:r>
    </w:p>
    <w:p w:rsidR="00DB5BCB" w:rsidRPr="00DB5BCB" w:rsidRDefault="00DB5BCB" w:rsidP="00DB5BCB">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color w:val="010202"/>
          <w:sz w:val="24"/>
          <w:szCs w:val="24"/>
        </w:rPr>
      </w:pPr>
      <w:r w:rsidRPr="00DB5BCB">
        <w:rPr>
          <w:color w:val="010202"/>
          <w:sz w:val="24"/>
          <w:szCs w:val="24"/>
        </w:rPr>
        <w:t xml:space="preserve">ČR se může také </w:t>
      </w:r>
      <w:r w:rsidR="005B3EA8">
        <w:rPr>
          <w:color w:val="010202"/>
          <w:sz w:val="24"/>
          <w:szCs w:val="24"/>
        </w:rPr>
        <w:t>využít schválený r</w:t>
      </w:r>
      <w:r w:rsidRPr="00DB5BCB">
        <w:rPr>
          <w:color w:val="010202"/>
          <w:sz w:val="24"/>
          <w:szCs w:val="24"/>
        </w:rPr>
        <w:t xml:space="preserve">ealizační program iniciativy </w:t>
      </w:r>
      <w:r w:rsidRPr="005B3EA8">
        <w:rPr>
          <w:i/>
          <w:color w:val="010202"/>
          <w:sz w:val="24"/>
          <w:szCs w:val="24"/>
        </w:rPr>
        <w:t>Záruky pro mládež</w:t>
      </w:r>
      <w:r w:rsidRPr="00DB5BCB">
        <w:rPr>
          <w:color w:val="010202"/>
          <w:sz w:val="24"/>
          <w:szCs w:val="24"/>
        </w:rPr>
        <w:t>. Vláda ČR tímto programem garantuje, že každý mladý člověk do 25 let dostane kvalitní nabídku zaměstnání, dalšího vzdělávání, odborné přípravy nebo stáže, a to do čtyř měsíců poté, co se stal nezaměstnaným, ukončil formální vzdělávání nebo odešel ze systému formálního vzdělávání. Nabídka dalšího vzdělávání se rovněž týká kvalitních programů odborné přípravy, které vedou k uznávané odborné kvalifikaci. V rámci Programu Záruky pro mládež na národní úrovni bude klíčová spolupráce Ministerstva práce a sociálních věcí (MPSV) a Ministerstva školství, mládeže a tělovýchovy (MŠMT). Realizační Program Záruky pro mládež využije stávající projekty a programy zaměřené na mladé lidi ve věku 15-24 let, financované jak z</w:t>
      </w:r>
      <w:r w:rsidR="005065C8">
        <w:rPr>
          <w:color w:val="010202"/>
          <w:sz w:val="24"/>
          <w:szCs w:val="24"/>
        </w:rPr>
        <w:t> </w:t>
      </w:r>
      <w:r w:rsidRPr="00DB5BCB">
        <w:rPr>
          <w:color w:val="010202"/>
          <w:sz w:val="24"/>
          <w:szCs w:val="24"/>
        </w:rPr>
        <w:t>národních prostředků, tak v rámci Operačního programu Lidské zdroje a zaměstnanost a</w:t>
      </w:r>
      <w:r w:rsidR="005065C8">
        <w:rPr>
          <w:color w:val="010202"/>
          <w:sz w:val="24"/>
          <w:szCs w:val="24"/>
        </w:rPr>
        <w:t> </w:t>
      </w:r>
      <w:r w:rsidRPr="00DB5BCB">
        <w:rPr>
          <w:color w:val="010202"/>
          <w:sz w:val="24"/>
          <w:szCs w:val="24"/>
        </w:rPr>
        <w:t>Operačního programu Vzdělávání pro konkurenceschopnost.</w:t>
      </w:r>
    </w:p>
    <w:bookmarkEnd w:id="5"/>
    <w:bookmarkEnd w:id="6"/>
    <w:bookmarkEnd w:id="9"/>
    <w:bookmarkEnd w:id="10"/>
    <w:p w:rsidR="000B3035" w:rsidRDefault="000B3035" w:rsidP="000B3035">
      <w:pPr>
        <w:tabs>
          <w:tab w:val="left" w:pos="0"/>
        </w:tabs>
        <w:spacing w:after="0" w:line="240" w:lineRule="auto"/>
        <w:jc w:val="both"/>
        <w:rPr>
          <w:b/>
          <w:i/>
          <w:sz w:val="24"/>
          <w:szCs w:val="24"/>
        </w:rPr>
      </w:pPr>
    </w:p>
    <w:p w:rsidR="000D3646" w:rsidRDefault="000D3646" w:rsidP="000D3646">
      <w:pPr>
        <w:tabs>
          <w:tab w:val="left" w:pos="0"/>
        </w:tabs>
        <w:spacing w:after="0" w:line="240" w:lineRule="auto"/>
        <w:ind w:left="720"/>
        <w:jc w:val="both"/>
        <w:rPr>
          <w:sz w:val="24"/>
          <w:szCs w:val="24"/>
        </w:rPr>
      </w:pPr>
    </w:p>
    <w:p w:rsidR="000D3646" w:rsidRPr="000D3646" w:rsidRDefault="000D3646" w:rsidP="005B3EA8">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závěrů Rady doporučujeme zohlednit především v těchto strategických záměrech MŠMT: </w:t>
      </w:r>
    </w:p>
    <w:p w:rsidR="000D3646" w:rsidRDefault="000D3646" w:rsidP="005B3EA8">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0D3646" w:rsidRPr="005B3EA8" w:rsidRDefault="005B3EA8" w:rsidP="00EA3710">
      <w:pPr>
        <w:pStyle w:val="Odstavecseseznamem"/>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ind w:left="284" w:hanging="284"/>
      </w:pPr>
      <w:r w:rsidRPr="005B3EA8">
        <w:rPr>
          <w:sz w:val="24"/>
          <w:szCs w:val="24"/>
        </w:rPr>
        <w:t>Příprava Strategie pro mládež do roku 2020</w:t>
      </w:r>
    </w:p>
    <w:p w:rsidR="001E0D27" w:rsidRDefault="001E0D27"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D72E0E" w:rsidRDefault="00D72E0E" w:rsidP="001E0D27">
      <w:pPr>
        <w:spacing w:after="0" w:line="240" w:lineRule="auto"/>
        <w:jc w:val="both"/>
        <w:rPr>
          <w:rFonts w:asciiTheme="majorHAnsi" w:hAnsiTheme="majorHAnsi"/>
          <w:b/>
          <w:i/>
          <w:sz w:val="24"/>
          <w:szCs w:val="24"/>
        </w:rPr>
      </w:pPr>
    </w:p>
    <w:p w:rsidR="00D72E0E" w:rsidRDefault="00D72E0E" w:rsidP="001E0D27">
      <w:pPr>
        <w:spacing w:after="0" w:line="240" w:lineRule="auto"/>
        <w:jc w:val="both"/>
        <w:rPr>
          <w:rFonts w:asciiTheme="majorHAnsi" w:hAnsiTheme="majorHAnsi"/>
          <w:b/>
          <w:i/>
          <w:sz w:val="24"/>
          <w:szCs w:val="24"/>
        </w:rPr>
      </w:pPr>
    </w:p>
    <w:p w:rsidR="00D72E0E" w:rsidRDefault="00D72E0E" w:rsidP="001E0D27">
      <w:pPr>
        <w:spacing w:after="0" w:line="240" w:lineRule="auto"/>
        <w:jc w:val="both"/>
        <w:rPr>
          <w:rFonts w:asciiTheme="majorHAnsi" w:hAnsiTheme="majorHAnsi"/>
          <w:b/>
          <w:i/>
          <w:sz w:val="24"/>
          <w:szCs w:val="24"/>
        </w:rPr>
      </w:pPr>
    </w:p>
    <w:p w:rsidR="00D72E0E" w:rsidRDefault="00D72E0E" w:rsidP="001E0D27">
      <w:pPr>
        <w:spacing w:after="0" w:line="240" w:lineRule="auto"/>
        <w:jc w:val="both"/>
        <w:rPr>
          <w:rFonts w:asciiTheme="majorHAnsi" w:hAnsiTheme="majorHAnsi"/>
          <w:b/>
          <w:i/>
          <w:sz w:val="24"/>
          <w:szCs w:val="24"/>
        </w:rPr>
      </w:pPr>
    </w:p>
    <w:p w:rsidR="00D72E0E" w:rsidRDefault="00D72E0E" w:rsidP="001E0D27">
      <w:pPr>
        <w:spacing w:after="0" w:line="240" w:lineRule="auto"/>
        <w:jc w:val="both"/>
        <w:rPr>
          <w:rFonts w:asciiTheme="majorHAnsi" w:hAnsiTheme="majorHAnsi"/>
          <w:b/>
          <w:i/>
          <w:sz w:val="24"/>
          <w:szCs w:val="24"/>
        </w:rPr>
      </w:pPr>
    </w:p>
    <w:p w:rsidR="00D72E0E" w:rsidRDefault="00D72E0E" w:rsidP="001E0D27">
      <w:pPr>
        <w:spacing w:after="0" w:line="240" w:lineRule="auto"/>
        <w:jc w:val="both"/>
        <w:rPr>
          <w:rFonts w:asciiTheme="majorHAnsi" w:hAnsiTheme="majorHAnsi"/>
          <w:b/>
          <w:i/>
          <w:sz w:val="24"/>
          <w:szCs w:val="24"/>
        </w:rPr>
      </w:pPr>
    </w:p>
    <w:p w:rsidR="00D72E0E" w:rsidRDefault="00D72E0E" w:rsidP="001E0D27">
      <w:pPr>
        <w:spacing w:after="0" w:line="240" w:lineRule="auto"/>
        <w:jc w:val="both"/>
        <w:rPr>
          <w:rFonts w:asciiTheme="majorHAnsi" w:hAnsiTheme="majorHAnsi"/>
          <w:b/>
          <w:i/>
          <w:sz w:val="24"/>
          <w:szCs w:val="24"/>
        </w:rPr>
      </w:pPr>
    </w:p>
    <w:p w:rsidR="00D72E0E" w:rsidRDefault="00D72E0E" w:rsidP="001E0D27">
      <w:pPr>
        <w:spacing w:after="0" w:line="240" w:lineRule="auto"/>
        <w:jc w:val="both"/>
        <w:rPr>
          <w:rFonts w:asciiTheme="majorHAnsi" w:hAnsiTheme="majorHAnsi"/>
          <w:b/>
          <w:i/>
          <w:sz w:val="24"/>
          <w:szCs w:val="24"/>
        </w:rPr>
      </w:pPr>
    </w:p>
    <w:p w:rsidR="00D72E0E" w:rsidRDefault="00D72E0E" w:rsidP="001E0D27">
      <w:pPr>
        <w:spacing w:after="0" w:line="240" w:lineRule="auto"/>
        <w:jc w:val="both"/>
        <w:rPr>
          <w:rFonts w:asciiTheme="majorHAnsi" w:hAnsiTheme="majorHAnsi"/>
          <w:b/>
          <w:i/>
          <w:sz w:val="24"/>
          <w:szCs w:val="24"/>
        </w:rPr>
      </w:pPr>
    </w:p>
    <w:p w:rsidR="00D72E0E" w:rsidRDefault="00D72E0E" w:rsidP="001E0D27">
      <w:pPr>
        <w:spacing w:after="0" w:line="240" w:lineRule="auto"/>
        <w:jc w:val="both"/>
        <w:rPr>
          <w:rFonts w:asciiTheme="majorHAnsi" w:hAnsiTheme="majorHAnsi"/>
          <w:b/>
          <w:i/>
          <w:sz w:val="24"/>
          <w:szCs w:val="24"/>
        </w:rPr>
      </w:pPr>
    </w:p>
    <w:p w:rsidR="00D72E0E" w:rsidRDefault="00D72E0E" w:rsidP="001E0D27">
      <w:pPr>
        <w:spacing w:after="0" w:line="240" w:lineRule="auto"/>
        <w:jc w:val="both"/>
        <w:rPr>
          <w:rFonts w:asciiTheme="majorHAnsi" w:hAnsiTheme="majorHAnsi"/>
          <w:b/>
          <w:i/>
          <w:sz w:val="24"/>
          <w:szCs w:val="24"/>
        </w:rPr>
      </w:pPr>
    </w:p>
    <w:p w:rsidR="00D72E0E" w:rsidRDefault="00D72E0E" w:rsidP="001E0D27">
      <w:pPr>
        <w:spacing w:after="0" w:line="240" w:lineRule="auto"/>
        <w:jc w:val="both"/>
        <w:rPr>
          <w:rFonts w:asciiTheme="majorHAnsi" w:hAnsiTheme="majorHAnsi"/>
          <w:b/>
          <w:i/>
          <w:sz w:val="24"/>
          <w:szCs w:val="24"/>
        </w:rPr>
      </w:pPr>
    </w:p>
    <w:p w:rsidR="00D72E0E" w:rsidRDefault="00D72E0E" w:rsidP="001E0D27">
      <w:pPr>
        <w:spacing w:after="0" w:line="240" w:lineRule="auto"/>
        <w:jc w:val="both"/>
        <w:rPr>
          <w:rFonts w:asciiTheme="majorHAnsi" w:hAnsiTheme="majorHAnsi"/>
          <w:b/>
          <w:i/>
          <w:sz w:val="24"/>
          <w:szCs w:val="24"/>
        </w:rPr>
      </w:pPr>
    </w:p>
    <w:p w:rsidR="00D72E0E" w:rsidRDefault="00D72E0E" w:rsidP="001E0D27">
      <w:pPr>
        <w:spacing w:after="0" w:line="240" w:lineRule="auto"/>
        <w:jc w:val="both"/>
        <w:rPr>
          <w:rFonts w:asciiTheme="majorHAnsi" w:hAnsiTheme="majorHAnsi"/>
          <w:b/>
          <w:i/>
          <w:sz w:val="24"/>
          <w:szCs w:val="24"/>
        </w:rPr>
      </w:pPr>
    </w:p>
    <w:p w:rsidR="00D72E0E" w:rsidRDefault="00D72E0E" w:rsidP="001E0D27">
      <w:pPr>
        <w:spacing w:after="0" w:line="240" w:lineRule="auto"/>
        <w:jc w:val="both"/>
        <w:rPr>
          <w:rFonts w:asciiTheme="majorHAnsi" w:hAnsiTheme="majorHAnsi"/>
          <w:b/>
          <w:i/>
          <w:sz w:val="24"/>
          <w:szCs w:val="24"/>
        </w:rPr>
      </w:pPr>
    </w:p>
    <w:p w:rsidR="00D72E0E" w:rsidRPr="004A0BBD" w:rsidRDefault="00D72E0E" w:rsidP="00FB1F40">
      <w:pPr>
        <w:pStyle w:val="Nadpis1"/>
      </w:pPr>
      <w:r w:rsidRPr="004A0BBD">
        <w:t>Sport</w:t>
      </w:r>
    </w:p>
    <w:p w:rsidR="00D72E0E" w:rsidRDefault="00D72E0E" w:rsidP="00D72E0E">
      <w:pPr>
        <w:tabs>
          <w:tab w:val="left" w:pos="0"/>
        </w:tabs>
        <w:spacing w:after="0" w:line="240" w:lineRule="auto"/>
        <w:jc w:val="both"/>
        <w:rPr>
          <w:b/>
          <w:highlight w:val="yellow"/>
        </w:rPr>
      </w:pPr>
    </w:p>
    <w:p w:rsidR="00D72E0E" w:rsidRPr="004A0BBD" w:rsidRDefault="00D72E0E" w:rsidP="00D72E0E">
      <w:pPr>
        <w:tabs>
          <w:tab w:val="left" w:pos="0"/>
        </w:tabs>
        <w:spacing w:after="0" w:line="240" w:lineRule="auto"/>
        <w:jc w:val="both"/>
        <w:rPr>
          <w:b/>
          <w:highlight w:val="yellow"/>
        </w:rPr>
      </w:pPr>
    </w:p>
    <w:p w:rsidR="00D72E0E" w:rsidRPr="004A0BBD" w:rsidRDefault="00D72E0E" w:rsidP="00D72E0E">
      <w:pPr>
        <w:tabs>
          <w:tab w:val="left" w:pos="0"/>
        </w:tabs>
        <w:spacing w:after="0" w:line="240" w:lineRule="auto"/>
        <w:jc w:val="both"/>
        <w:rPr>
          <w:rFonts w:eastAsia="Times New Roman"/>
          <w:b/>
          <w:bCs/>
          <w:kern w:val="32"/>
          <w:sz w:val="32"/>
          <w:szCs w:val="32"/>
          <w:highlight w:val="yellow"/>
        </w:rPr>
      </w:pPr>
      <w:r>
        <w:rPr>
          <w:rFonts w:eastAsia="Times New Roman"/>
          <w:b/>
          <w:bCs/>
          <w:kern w:val="32"/>
          <w:sz w:val="32"/>
          <w:szCs w:val="32"/>
        </w:rPr>
        <w:t xml:space="preserve">1. Pohybová </w:t>
      </w:r>
      <w:r w:rsidRPr="004A0BBD">
        <w:rPr>
          <w:rFonts w:eastAsia="Times New Roman"/>
          <w:b/>
          <w:bCs/>
          <w:kern w:val="32"/>
          <w:sz w:val="32"/>
          <w:szCs w:val="32"/>
        </w:rPr>
        <w:t>aktivit</w:t>
      </w:r>
      <w:r>
        <w:rPr>
          <w:rFonts w:eastAsia="Times New Roman"/>
          <w:b/>
          <w:bCs/>
          <w:kern w:val="32"/>
          <w:sz w:val="32"/>
          <w:szCs w:val="32"/>
        </w:rPr>
        <w:t>a</w:t>
      </w:r>
      <w:r w:rsidRPr="004A0BBD">
        <w:rPr>
          <w:rFonts w:eastAsia="Times New Roman"/>
          <w:b/>
          <w:bCs/>
          <w:kern w:val="32"/>
          <w:sz w:val="32"/>
          <w:szCs w:val="32"/>
        </w:rPr>
        <w:t xml:space="preserve"> upevňující zdraví</w:t>
      </w:r>
      <w:r>
        <w:rPr>
          <w:rFonts w:eastAsia="Times New Roman"/>
          <w:b/>
          <w:bCs/>
          <w:kern w:val="32"/>
          <w:sz w:val="32"/>
          <w:szCs w:val="32"/>
        </w:rPr>
        <w:t xml:space="preserve"> (HEPA)</w:t>
      </w:r>
    </w:p>
    <w:p w:rsidR="00D72E0E" w:rsidRPr="004A0BBD" w:rsidRDefault="00D72E0E" w:rsidP="00D72E0E">
      <w:pPr>
        <w:spacing w:after="0" w:line="240" w:lineRule="auto"/>
        <w:jc w:val="both"/>
        <w:rPr>
          <w:b/>
          <w:i/>
          <w:sz w:val="24"/>
          <w:szCs w:val="24"/>
          <w:highlight w:val="yellow"/>
        </w:rPr>
      </w:pPr>
    </w:p>
    <w:p w:rsidR="00D72E0E" w:rsidRDefault="00D72E0E" w:rsidP="00D72E0E">
      <w:pPr>
        <w:spacing w:line="240" w:lineRule="auto"/>
        <w:jc w:val="both"/>
        <w:rPr>
          <w:sz w:val="24"/>
          <w:szCs w:val="24"/>
        </w:rPr>
      </w:pPr>
      <w:r w:rsidRPr="005E3275">
        <w:rPr>
          <w:sz w:val="24"/>
          <w:szCs w:val="24"/>
        </w:rPr>
        <w:t>Pohybová aktivita je jedním z nejúčinnějších způsobů, jak předcházet chronickým neinfekčním onemocněním a jak bojovat s nadváhou a obezitou a s rizikem jejich vzniku. Nedostatek pohybové aktivity má negativní dopad nejen na lidské zdraví, ale v širším kontextu také na veřejné zdraví, zdravotní systémy a národní hospodářství. Jako prevence má pohybová aktivita pozitivní vliv na všechny věkové sk</w:t>
      </w:r>
      <w:r w:rsidR="005065C8">
        <w:rPr>
          <w:sz w:val="24"/>
          <w:szCs w:val="24"/>
        </w:rPr>
        <w:t>upiny, především však na děti a </w:t>
      </w:r>
      <w:r w:rsidRPr="005E3275">
        <w:rPr>
          <w:sz w:val="24"/>
          <w:szCs w:val="24"/>
        </w:rPr>
        <w:t>mládež, současnou stárnoucí populaci, a udržování vysoké kvality života.</w:t>
      </w:r>
    </w:p>
    <w:p w:rsidR="00D72E0E" w:rsidRPr="004A0BBD" w:rsidRDefault="00D72E0E" w:rsidP="00D72E0E">
      <w:pPr>
        <w:spacing w:line="240" w:lineRule="auto"/>
        <w:jc w:val="both"/>
        <w:rPr>
          <w:sz w:val="24"/>
          <w:szCs w:val="24"/>
          <w:highlight w:val="yellow"/>
        </w:rPr>
      </w:pPr>
      <w:r w:rsidRPr="00F874B8">
        <w:rPr>
          <w:sz w:val="24"/>
          <w:szCs w:val="24"/>
        </w:rPr>
        <w:t>Doporučení</w:t>
      </w:r>
      <w:r>
        <w:rPr>
          <w:sz w:val="24"/>
          <w:szCs w:val="24"/>
        </w:rPr>
        <w:t xml:space="preserve"> přijaté během </w:t>
      </w:r>
      <w:r w:rsidR="00124A38">
        <w:rPr>
          <w:sz w:val="24"/>
          <w:szCs w:val="24"/>
        </w:rPr>
        <w:t>litevského předsednictví vychází ze s</w:t>
      </w:r>
      <w:r w:rsidRPr="00F874B8">
        <w:rPr>
          <w:sz w:val="24"/>
          <w:szCs w:val="24"/>
        </w:rPr>
        <w:t xml:space="preserve">dělení Komise o rozvoji evropského rozměru v oblasti sportu (2011) a zejména z Usnesení Rady o pracovním plánu EU pro sport na léta 2011 - 2014, ve kterém je podpora zdraví prospěšné pohybové aktivity (HEPA) uvedena jako jedna z priorit a na jehož základě byla vytvořena Odborná skupina k problematice sportu, zdraví a účasti, která vypracovala řadu doporučení pro podporu HEPA. Během </w:t>
      </w:r>
      <w:r w:rsidR="00124A38">
        <w:rPr>
          <w:sz w:val="24"/>
          <w:szCs w:val="24"/>
        </w:rPr>
        <w:t>kyperského předsednictví</w:t>
      </w:r>
      <w:r w:rsidRPr="00F874B8">
        <w:rPr>
          <w:sz w:val="24"/>
          <w:szCs w:val="24"/>
        </w:rPr>
        <w:t xml:space="preserve"> byl Radou EU přijat dokument Závěry o podpoře tělesné aktivity upevňující zdraví (2012), který vyzývá EK k vypracování a předložení návrhu doporučení z této oblasti a ke zvážení začlenění jednoduchého rámce monitorování doplněného o systém hodnocení podle souboru ukazatelů.</w:t>
      </w:r>
    </w:p>
    <w:p w:rsidR="00D72E0E" w:rsidRPr="004A0BBD" w:rsidRDefault="00D72E0E" w:rsidP="00D72E0E">
      <w:pPr>
        <w:spacing w:line="240" w:lineRule="auto"/>
        <w:jc w:val="both"/>
        <w:rPr>
          <w:sz w:val="24"/>
          <w:szCs w:val="24"/>
          <w:highlight w:val="yellow"/>
        </w:rPr>
      </w:pPr>
      <w:r w:rsidRPr="00F874B8">
        <w:rPr>
          <w:sz w:val="24"/>
          <w:szCs w:val="24"/>
        </w:rPr>
        <w:t>Doporučení odkazuje na Pokyny EU pro pohybovou aktivitu (2008) jako na vhodný základ pro tvorbu politik a národních strategií ve všech relevantních odvětvích (sport, veřejné zdraví, vzdělávání, životní prostředí, místní rozvoj, doprava).</w:t>
      </w:r>
    </w:p>
    <w:p w:rsidR="00D72E0E" w:rsidRPr="004A0BBD" w:rsidRDefault="00D72E0E" w:rsidP="00D72E0E">
      <w:pPr>
        <w:spacing w:after="0" w:line="240" w:lineRule="auto"/>
        <w:jc w:val="both"/>
        <w:rPr>
          <w:b/>
          <w:i/>
          <w:sz w:val="24"/>
          <w:szCs w:val="24"/>
          <w:highlight w:val="yellow"/>
        </w:rPr>
      </w:pPr>
    </w:p>
    <w:p w:rsidR="00D72E0E" w:rsidRPr="001567A4" w:rsidRDefault="00D72E0E" w:rsidP="00D72E0E">
      <w:pPr>
        <w:spacing w:after="0" w:line="240" w:lineRule="auto"/>
        <w:jc w:val="both"/>
        <w:rPr>
          <w:rFonts w:cs="Calibri"/>
          <w:b/>
          <w:i/>
          <w:sz w:val="24"/>
          <w:szCs w:val="24"/>
        </w:rPr>
      </w:pPr>
      <w:r w:rsidRPr="001567A4">
        <w:rPr>
          <w:rFonts w:cs="Calibri"/>
          <w:b/>
          <w:i/>
          <w:sz w:val="24"/>
          <w:szCs w:val="24"/>
        </w:rPr>
        <w:t>Úkoly, ke kterým jsou členské státy v doporučení Rady vyzvány:</w:t>
      </w:r>
    </w:p>
    <w:p w:rsidR="00D72E0E" w:rsidRPr="001567A4" w:rsidRDefault="00D72E0E" w:rsidP="00D72E0E">
      <w:pPr>
        <w:spacing w:after="0" w:line="240" w:lineRule="auto"/>
        <w:jc w:val="both"/>
        <w:rPr>
          <w:rFonts w:cs="Calibri"/>
          <w:b/>
          <w:i/>
          <w:sz w:val="24"/>
          <w:szCs w:val="24"/>
        </w:rPr>
      </w:pPr>
    </w:p>
    <w:p w:rsidR="00D72E0E" w:rsidRDefault="00D72E0E" w:rsidP="00EA3710">
      <w:pPr>
        <w:pStyle w:val="Odstavecseseznamem"/>
        <w:widowControl w:val="0"/>
        <w:numPr>
          <w:ilvl w:val="0"/>
          <w:numId w:val="19"/>
        </w:numPr>
        <w:spacing w:after="240" w:line="240" w:lineRule="auto"/>
        <w:jc w:val="both"/>
        <w:rPr>
          <w:rFonts w:asciiTheme="majorHAnsi" w:hAnsiTheme="majorHAnsi"/>
          <w:sz w:val="24"/>
          <w:szCs w:val="24"/>
        </w:rPr>
      </w:pPr>
      <w:r w:rsidRPr="001567A4">
        <w:rPr>
          <w:rFonts w:asciiTheme="majorHAnsi" w:hAnsiTheme="majorHAnsi"/>
          <w:sz w:val="24"/>
          <w:szCs w:val="24"/>
        </w:rPr>
        <w:t>sledovat úroveň pohybové aktivity a účinnost relevantních politik prostřednictvím jednoduchého rámce monitorování, jehož základem je soubor 23 ukazatelů, který j</w:t>
      </w:r>
      <w:r>
        <w:rPr>
          <w:rFonts w:asciiTheme="majorHAnsi" w:hAnsiTheme="majorHAnsi"/>
          <w:sz w:val="24"/>
          <w:szCs w:val="24"/>
        </w:rPr>
        <w:t>e součástí návrhu doporučení</w:t>
      </w:r>
    </w:p>
    <w:p w:rsidR="00D72E0E" w:rsidRDefault="00D72E0E" w:rsidP="00EA3710">
      <w:pPr>
        <w:pStyle w:val="Odstavecseseznamem"/>
        <w:widowControl w:val="0"/>
        <w:numPr>
          <w:ilvl w:val="0"/>
          <w:numId w:val="19"/>
        </w:numPr>
        <w:spacing w:after="240" w:line="240" w:lineRule="auto"/>
        <w:jc w:val="both"/>
        <w:rPr>
          <w:rFonts w:asciiTheme="majorHAnsi" w:hAnsiTheme="majorHAnsi"/>
          <w:sz w:val="24"/>
          <w:szCs w:val="24"/>
        </w:rPr>
      </w:pPr>
      <w:r w:rsidRPr="001567A4">
        <w:rPr>
          <w:rFonts w:asciiTheme="majorHAnsi" w:hAnsiTheme="majorHAnsi"/>
          <w:sz w:val="24"/>
          <w:szCs w:val="24"/>
        </w:rPr>
        <w:t>během šesti měsíců od přijetí doporučení určit kontaktní místa pro pohybovou aktivitu, která budou toto monitorování zajišťovat</w:t>
      </w:r>
    </w:p>
    <w:p w:rsidR="00D72E0E" w:rsidRPr="00CB221C" w:rsidRDefault="00D72E0E" w:rsidP="00EA3710">
      <w:pPr>
        <w:pStyle w:val="Odstavecseseznamem"/>
        <w:widowControl w:val="0"/>
        <w:numPr>
          <w:ilvl w:val="0"/>
          <w:numId w:val="19"/>
        </w:numPr>
        <w:spacing w:after="240" w:line="240" w:lineRule="auto"/>
        <w:jc w:val="both"/>
        <w:rPr>
          <w:rFonts w:asciiTheme="majorHAnsi" w:hAnsiTheme="majorHAnsi"/>
          <w:sz w:val="24"/>
          <w:szCs w:val="24"/>
        </w:rPr>
      </w:pPr>
      <w:r w:rsidRPr="001567A4">
        <w:rPr>
          <w:rFonts w:asciiTheme="majorHAnsi" w:hAnsiTheme="majorHAnsi"/>
          <w:sz w:val="24"/>
          <w:szCs w:val="24"/>
        </w:rPr>
        <w:t>vypracovat a/či rozvíjet mezioborové strategie a zavést příslušné akční plány zaměřené na podporu HEPA</w:t>
      </w:r>
    </w:p>
    <w:p w:rsidR="00D72E0E" w:rsidRDefault="00D72E0E" w:rsidP="00D72E0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0C2E30">
        <w:rPr>
          <w:sz w:val="24"/>
          <w:szCs w:val="24"/>
        </w:rPr>
        <w:t>Co se týče určení národního kontaktního místa pro monitorování pohybové aktivity, MŠMT ve shodě s MZ doporučuje využití stávajícího kontaktního místa z oblasti výživy a boje proti obezitě a rozšíření jeho působnosti o oblast HEPA.</w:t>
      </w:r>
    </w:p>
    <w:p w:rsidR="00D72E0E" w:rsidRDefault="00D72E0E" w:rsidP="00D72E0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0C2E30">
        <w:rPr>
          <w:sz w:val="24"/>
          <w:szCs w:val="24"/>
        </w:rPr>
        <w:t>Česká republika má však jisté obavy týkající se zavedení jednoduchého rámce monitorování, který by měl být založen na ukazatelích obsažených v příloze doporučení. Podle našeho názoru si tento proces zcela jistě vyžádá sběr nových údajů a informací, což s sebou přirozeně přinese i větší admi</w:t>
      </w:r>
      <w:r>
        <w:rPr>
          <w:sz w:val="24"/>
          <w:szCs w:val="24"/>
        </w:rPr>
        <w:t xml:space="preserve">nistrativní a finanční zátěž.  </w:t>
      </w:r>
    </w:p>
    <w:p w:rsidR="00D72E0E" w:rsidRDefault="00D72E0E" w:rsidP="00D72E0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0C2E30">
        <w:rPr>
          <w:sz w:val="24"/>
          <w:szCs w:val="24"/>
        </w:rPr>
        <w:t>Pro Českou republiku je navíc poměrně složité zajistit některé z požadovaných velmi podrobných údajů a informací. Některé z nich se v současnosti prostě nesbírají a některé jsou v kompetenci místní samosprávy či soukromých organizací, tudíž státní správa nemá patřičné pravomoci, aby je vymáhala (EK ujis</w:t>
      </w:r>
      <w:r>
        <w:rPr>
          <w:sz w:val="24"/>
          <w:szCs w:val="24"/>
        </w:rPr>
        <w:t>tila, že toto bude respektovat)</w:t>
      </w:r>
    </w:p>
    <w:p w:rsidR="00D72E0E" w:rsidRPr="000C2E30" w:rsidRDefault="00D72E0E" w:rsidP="00D72E0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0C2E30">
        <w:rPr>
          <w:sz w:val="24"/>
          <w:szCs w:val="24"/>
        </w:rPr>
        <w:t xml:space="preserve">Co se týče </w:t>
      </w:r>
      <w:r>
        <w:rPr>
          <w:sz w:val="24"/>
          <w:szCs w:val="24"/>
        </w:rPr>
        <w:t>snahy o vypracování mezioborových strategií, je na samotných dotčených rezortech, aby došlo k podnícení spolupráce, a za využití získaných zkušeností v rámci dosavadních iniciativ nové mezioborové strategie rozvíjely.</w:t>
      </w:r>
    </w:p>
    <w:p w:rsidR="00D72E0E" w:rsidRDefault="00D72E0E" w:rsidP="00D72E0E">
      <w:pPr>
        <w:tabs>
          <w:tab w:val="left" w:pos="0"/>
        </w:tabs>
        <w:spacing w:after="0" w:line="240" w:lineRule="auto"/>
        <w:ind w:left="720"/>
        <w:jc w:val="both"/>
        <w:rPr>
          <w:sz w:val="24"/>
          <w:szCs w:val="24"/>
        </w:rPr>
      </w:pPr>
    </w:p>
    <w:p w:rsidR="00D72E0E" w:rsidRPr="000D3646" w:rsidRDefault="00D72E0E" w:rsidP="00D72E0E">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w:t>
      </w:r>
      <w:r>
        <w:rPr>
          <w:i/>
          <w:sz w:val="24"/>
          <w:szCs w:val="24"/>
        </w:rPr>
        <w:t>doporučení</w:t>
      </w:r>
      <w:r w:rsidRPr="000D3646">
        <w:rPr>
          <w:i/>
          <w:sz w:val="24"/>
          <w:szCs w:val="24"/>
        </w:rPr>
        <w:t xml:space="preserve"> Rady doporučujeme zohlednit především v těchto strategických záměrech MŠMT: </w:t>
      </w:r>
    </w:p>
    <w:p w:rsidR="00D72E0E" w:rsidRDefault="00D72E0E" w:rsidP="00D72E0E">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D72E0E" w:rsidRPr="00DC61E2" w:rsidRDefault="00D72E0E" w:rsidP="00EA3710">
      <w:pPr>
        <w:pStyle w:val="Odstavecseseznamem"/>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ind w:left="284" w:hanging="284"/>
      </w:pPr>
      <w:r w:rsidRPr="00DC61E2">
        <w:rPr>
          <w:sz w:val="24"/>
          <w:szCs w:val="24"/>
        </w:rPr>
        <w:t>Jmenování kontaktního místa HEPA</w:t>
      </w:r>
      <w:r>
        <w:rPr>
          <w:sz w:val="24"/>
          <w:szCs w:val="24"/>
        </w:rPr>
        <w:t xml:space="preserve"> do 1. června 2014</w:t>
      </w:r>
    </w:p>
    <w:p w:rsidR="00D72E0E" w:rsidRDefault="00D72E0E" w:rsidP="00D72E0E">
      <w:pPr>
        <w:spacing w:after="0" w:line="240" w:lineRule="auto"/>
        <w:jc w:val="both"/>
        <w:rPr>
          <w:rFonts w:asciiTheme="majorHAnsi" w:hAnsiTheme="majorHAnsi"/>
          <w:b/>
          <w:sz w:val="24"/>
          <w:szCs w:val="24"/>
        </w:rPr>
      </w:pPr>
    </w:p>
    <w:p w:rsidR="00D72E0E" w:rsidRDefault="00D72E0E" w:rsidP="00D72E0E">
      <w:pPr>
        <w:spacing w:after="0" w:line="240" w:lineRule="auto"/>
        <w:jc w:val="both"/>
        <w:rPr>
          <w:rFonts w:asciiTheme="majorHAnsi" w:hAnsiTheme="majorHAnsi"/>
          <w:b/>
          <w:sz w:val="24"/>
          <w:szCs w:val="24"/>
        </w:rPr>
      </w:pPr>
    </w:p>
    <w:p w:rsidR="00D72E0E" w:rsidRDefault="00D72E0E" w:rsidP="00D72E0E">
      <w:pPr>
        <w:tabs>
          <w:tab w:val="left" w:pos="0"/>
        </w:tabs>
        <w:spacing w:after="0" w:line="240" w:lineRule="auto"/>
        <w:jc w:val="both"/>
        <w:rPr>
          <w:rFonts w:eastAsia="Times New Roman"/>
          <w:b/>
          <w:bCs/>
          <w:kern w:val="32"/>
          <w:sz w:val="32"/>
          <w:szCs w:val="32"/>
        </w:rPr>
      </w:pPr>
      <w:r>
        <w:rPr>
          <w:rFonts w:eastAsia="Times New Roman"/>
          <w:b/>
          <w:bCs/>
          <w:kern w:val="32"/>
          <w:sz w:val="32"/>
          <w:szCs w:val="32"/>
        </w:rPr>
        <w:t>2. Přínos</w:t>
      </w:r>
      <w:r w:rsidRPr="00011D9B">
        <w:rPr>
          <w:rFonts w:eastAsia="Times New Roman"/>
          <w:b/>
          <w:bCs/>
          <w:kern w:val="32"/>
          <w:sz w:val="32"/>
          <w:szCs w:val="32"/>
        </w:rPr>
        <w:t xml:space="preserve"> sportu k hospodářství EU, zejména při řešení nezaměstnanosti mládeže a sociálního začlenění</w:t>
      </w:r>
    </w:p>
    <w:p w:rsidR="00D72E0E" w:rsidRDefault="00D72E0E" w:rsidP="00D72E0E">
      <w:pPr>
        <w:tabs>
          <w:tab w:val="left" w:pos="0"/>
        </w:tabs>
        <w:spacing w:after="0" w:line="240" w:lineRule="auto"/>
        <w:jc w:val="both"/>
        <w:rPr>
          <w:rFonts w:eastAsia="Times New Roman"/>
          <w:b/>
          <w:bCs/>
          <w:kern w:val="32"/>
          <w:sz w:val="32"/>
          <w:szCs w:val="32"/>
        </w:rPr>
      </w:pPr>
    </w:p>
    <w:p w:rsidR="00D72E0E" w:rsidRDefault="00D72E0E" w:rsidP="00D72E0E">
      <w:pPr>
        <w:tabs>
          <w:tab w:val="left" w:pos="0"/>
        </w:tabs>
        <w:spacing w:after="0" w:line="240" w:lineRule="auto"/>
        <w:jc w:val="both"/>
        <w:rPr>
          <w:rFonts w:eastAsia="Times New Roman"/>
          <w:bCs/>
          <w:kern w:val="32"/>
          <w:sz w:val="24"/>
          <w:szCs w:val="24"/>
        </w:rPr>
      </w:pPr>
      <w:r>
        <w:rPr>
          <w:rFonts w:eastAsia="Times New Roman"/>
          <w:bCs/>
          <w:kern w:val="32"/>
          <w:sz w:val="24"/>
          <w:szCs w:val="24"/>
        </w:rPr>
        <w:t>Závěry</w:t>
      </w:r>
      <w:r w:rsidRPr="000B4C96">
        <w:rPr>
          <w:rFonts w:eastAsia="Times New Roman"/>
          <w:bCs/>
          <w:kern w:val="32"/>
          <w:sz w:val="24"/>
          <w:szCs w:val="24"/>
        </w:rPr>
        <w:t xml:space="preserve"> poukazuj</w:t>
      </w:r>
      <w:r>
        <w:rPr>
          <w:rFonts w:eastAsia="Times New Roman"/>
          <w:bCs/>
          <w:kern w:val="32"/>
          <w:sz w:val="24"/>
          <w:szCs w:val="24"/>
        </w:rPr>
        <w:t>í</w:t>
      </w:r>
      <w:r w:rsidRPr="000B4C96">
        <w:rPr>
          <w:rFonts w:eastAsia="Times New Roman"/>
          <w:bCs/>
          <w:kern w:val="32"/>
          <w:sz w:val="24"/>
          <w:szCs w:val="24"/>
        </w:rPr>
        <w:t xml:space="preserve"> na vážný problém nezaměstnanosti mládeže v EU a zejména na jeho socioekonomické důsledky. Prostřednictvím účasti ve sportu mohou mladí lidé získat specifické osobní i profesní dovednosti a způsobilosti, které mohou posílit jejich zaměstnatelnost a přispět k sociálnímu začlenění. Zvláštní význam mají dobrovolné aktivity ve sportu. Závěry konstatují, že sportovní odvětví je přínosem pro hospodářský růst, zaměstnanost a sociální začlenění, čímž přispívá k dosahov</w:t>
      </w:r>
      <w:r>
        <w:rPr>
          <w:rFonts w:eastAsia="Times New Roman"/>
          <w:bCs/>
          <w:kern w:val="32"/>
          <w:sz w:val="24"/>
          <w:szCs w:val="24"/>
        </w:rPr>
        <w:t>ání cílů strategie Evropa 2020.</w:t>
      </w:r>
    </w:p>
    <w:p w:rsidR="00D72E0E" w:rsidRDefault="00D72E0E" w:rsidP="00D72E0E">
      <w:pPr>
        <w:tabs>
          <w:tab w:val="left" w:pos="0"/>
        </w:tabs>
        <w:spacing w:after="0" w:line="240" w:lineRule="auto"/>
        <w:jc w:val="both"/>
        <w:rPr>
          <w:rFonts w:eastAsia="Times New Roman"/>
          <w:bCs/>
          <w:kern w:val="32"/>
          <w:sz w:val="24"/>
          <w:szCs w:val="24"/>
        </w:rPr>
      </w:pPr>
    </w:p>
    <w:p w:rsidR="00D72E0E" w:rsidRDefault="00D72E0E" w:rsidP="00D72E0E">
      <w:pPr>
        <w:tabs>
          <w:tab w:val="left" w:pos="0"/>
        </w:tabs>
        <w:spacing w:after="0" w:line="240" w:lineRule="auto"/>
        <w:jc w:val="both"/>
        <w:rPr>
          <w:rFonts w:eastAsia="Times New Roman"/>
          <w:bCs/>
          <w:kern w:val="32"/>
          <w:sz w:val="24"/>
          <w:szCs w:val="24"/>
        </w:rPr>
      </w:pPr>
      <w:r w:rsidRPr="000B4C96">
        <w:rPr>
          <w:rFonts w:eastAsia="Times New Roman"/>
          <w:bCs/>
          <w:kern w:val="32"/>
          <w:sz w:val="24"/>
          <w:szCs w:val="24"/>
        </w:rPr>
        <w:t>Sport je odvětvím velmi odolným i v době krize a má pozitivní d</w:t>
      </w:r>
      <w:r>
        <w:rPr>
          <w:rFonts w:eastAsia="Times New Roman"/>
          <w:bCs/>
          <w:kern w:val="32"/>
          <w:sz w:val="24"/>
          <w:szCs w:val="24"/>
        </w:rPr>
        <w:t>opad na rozvoj dalších odvětví.</w:t>
      </w:r>
    </w:p>
    <w:p w:rsidR="00D72E0E" w:rsidRDefault="00D72E0E" w:rsidP="00D72E0E">
      <w:pPr>
        <w:tabs>
          <w:tab w:val="left" w:pos="0"/>
        </w:tabs>
        <w:spacing w:after="0" w:line="240" w:lineRule="auto"/>
        <w:jc w:val="both"/>
        <w:rPr>
          <w:rFonts w:eastAsia="Times New Roman"/>
          <w:bCs/>
          <w:kern w:val="32"/>
          <w:sz w:val="24"/>
          <w:szCs w:val="24"/>
        </w:rPr>
      </w:pPr>
    </w:p>
    <w:p w:rsidR="00D72E0E" w:rsidRPr="001567A4" w:rsidRDefault="00D72E0E" w:rsidP="00D72E0E">
      <w:pPr>
        <w:spacing w:after="0" w:line="240" w:lineRule="auto"/>
        <w:jc w:val="both"/>
        <w:rPr>
          <w:rFonts w:cs="Calibri"/>
          <w:b/>
          <w:i/>
          <w:sz w:val="24"/>
          <w:szCs w:val="24"/>
        </w:rPr>
      </w:pPr>
      <w:r w:rsidRPr="001567A4">
        <w:rPr>
          <w:rFonts w:cs="Calibri"/>
          <w:b/>
          <w:i/>
          <w:sz w:val="24"/>
          <w:szCs w:val="24"/>
        </w:rPr>
        <w:t xml:space="preserve">Úkoly, ke kterým jsou členské státy v </w:t>
      </w:r>
      <w:r>
        <w:rPr>
          <w:rFonts w:cs="Calibri"/>
          <w:b/>
          <w:i/>
          <w:sz w:val="24"/>
          <w:szCs w:val="24"/>
        </w:rPr>
        <w:t>závěrech</w:t>
      </w:r>
      <w:r w:rsidRPr="001567A4">
        <w:rPr>
          <w:rFonts w:cs="Calibri"/>
          <w:b/>
          <w:i/>
          <w:sz w:val="24"/>
          <w:szCs w:val="24"/>
        </w:rPr>
        <w:t xml:space="preserve"> Rady vyzvány:</w:t>
      </w:r>
    </w:p>
    <w:p w:rsidR="00D72E0E" w:rsidRPr="001567A4" w:rsidRDefault="00D72E0E" w:rsidP="00D72E0E">
      <w:pPr>
        <w:spacing w:after="0" w:line="240" w:lineRule="auto"/>
        <w:jc w:val="both"/>
        <w:rPr>
          <w:rFonts w:cs="Calibri"/>
          <w:b/>
          <w:i/>
          <w:sz w:val="24"/>
          <w:szCs w:val="24"/>
        </w:rPr>
      </w:pPr>
    </w:p>
    <w:p w:rsidR="00D72E0E" w:rsidRDefault="00D72E0E" w:rsidP="00EA3710">
      <w:pPr>
        <w:pStyle w:val="Odstavecseseznamem"/>
        <w:widowControl w:val="0"/>
        <w:numPr>
          <w:ilvl w:val="0"/>
          <w:numId w:val="20"/>
        </w:numPr>
        <w:spacing w:after="240" w:line="240" w:lineRule="auto"/>
        <w:jc w:val="both"/>
        <w:rPr>
          <w:rFonts w:asciiTheme="majorHAnsi" w:hAnsiTheme="majorHAnsi"/>
          <w:sz w:val="24"/>
          <w:szCs w:val="24"/>
        </w:rPr>
      </w:pPr>
      <w:r w:rsidRPr="00E55AA3">
        <w:rPr>
          <w:rFonts w:asciiTheme="majorHAnsi" w:hAnsiTheme="majorHAnsi"/>
          <w:sz w:val="24"/>
          <w:szCs w:val="24"/>
        </w:rPr>
        <w:t xml:space="preserve">podporovat výměnu osvědčených postupů a zkušeností týkajících se účasti ve sportu zejména mimo rámec formálního vzdělávání a v rámci dobrovolných aktivit </w:t>
      </w:r>
    </w:p>
    <w:p w:rsidR="00D72E0E" w:rsidRPr="00E55AA3" w:rsidRDefault="00D72E0E" w:rsidP="00EA3710">
      <w:pPr>
        <w:pStyle w:val="Odstavecseseznamem"/>
        <w:widowControl w:val="0"/>
        <w:numPr>
          <w:ilvl w:val="0"/>
          <w:numId w:val="20"/>
        </w:numPr>
        <w:tabs>
          <w:tab w:val="left" w:pos="0"/>
        </w:tabs>
        <w:spacing w:after="0" w:line="240" w:lineRule="auto"/>
        <w:jc w:val="both"/>
        <w:rPr>
          <w:rFonts w:eastAsia="Times New Roman"/>
          <w:bCs/>
          <w:kern w:val="32"/>
          <w:sz w:val="24"/>
          <w:szCs w:val="24"/>
        </w:rPr>
      </w:pPr>
      <w:r w:rsidRPr="00E55AA3">
        <w:rPr>
          <w:rFonts w:asciiTheme="majorHAnsi" w:hAnsiTheme="majorHAnsi"/>
          <w:sz w:val="24"/>
          <w:szCs w:val="24"/>
        </w:rPr>
        <w:t>podporovat politické iniciativy zaměřené na rozvoj dovedností získaných prostřednictvím sportu, které mohou přispět k zaměstnanosti, zlepšit vzdělávání budoucích sportovních profesionálů i dobrovolníků, jehož</w:t>
      </w:r>
      <w:r w:rsidR="005065C8">
        <w:rPr>
          <w:rFonts w:asciiTheme="majorHAnsi" w:hAnsiTheme="majorHAnsi"/>
          <w:sz w:val="24"/>
          <w:szCs w:val="24"/>
        </w:rPr>
        <w:t xml:space="preserve"> výsledky budou uznávány a </w:t>
      </w:r>
      <w:r w:rsidRPr="00E55AA3">
        <w:rPr>
          <w:rFonts w:asciiTheme="majorHAnsi" w:hAnsiTheme="majorHAnsi"/>
          <w:sz w:val="24"/>
          <w:szCs w:val="24"/>
        </w:rPr>
        <w:t>začleněny do národních kvalifikačních rámců,</w:t>
      </w:r>
    </w:p>
    <w:p w:rsidR="00D72E0E" w:rsidRPr="00E55AA3" w:rsidRDefault="00D72E0E" w:rsidP="00D72E0E">
      <w:pPr>
        <w:widowControl w:val="0"/>
        <w:tabs>
          <w:tab w:val="left" w:pos="0"/>
        </w:tabs>
        <w:spacing w:after="0" w:line="240" w:lineRule="auto"/>
        <w:jc w:val="both"/>
        <w:rPr>
          <w:rFonts w:eastAsia="Times New Roman"/>
          <w:bCs/>
          <w:kern w:val="32"/>
          <w:sz w:val="24"/>
          <w:szCs w:val="24"/>
        </w:rPr>
      </w:pPr>
    </w:p>
    <w:p w:rsidR="00D72E0E" w:rsidRPr="00856189" w:rsidRDefault="00D72E0E" w:rsidP="00EA3710">
      <w:pPr>
        <w:pStyle w:val="Odstavecseseznamem"/>
        <w:widowControl w:val="0"/>
        <w:numPr>
          <w:ilvl w:val="0"/>
          <w:numId w:val="20"/>
        </w:numPr>
        <w:tabs>
          <w:tab w:val="left" w:pos="0"/>
        </w:tabs>
        <w:spacing w:after="0" w:line="240" w:lineRule="auto"/>
        <w:jc w:val="both"/>
        <w:rPr>
          <w:rFonts w:eastAsia="Times New Roman"/>
          <w:bCs/>
          <w:kern w:val="32"/>
          <w:sz w:val="24"/>
          <w:szCs w:val="24"/>
        </w:rPr>
      </w:pPr>
      <w:r w:rsidRPr="00E55AA3">
        <w:rPr>
          <w:rFonts w:asciiTheme="majorHAnsi" w:hAnsiTheme="majorHAnsi"/>
          <w:sz w:val="24"/>
          <w:szCs w:val="24"/>
        </w:rPr>
        <w:t>podporovat strategické investování do sportu, mj. prostřednictvím finančních nástrojů a programů EU</w:t>
      </w:r>
    </w:p>
    <w:p w:rsidR="00D72E0E" w:rsidRPr="00E00F03" w:rsidRDefault="00D72E0E" w:rsidP="00D72E0E">
      <w:pPr>
        <w:rPr>
          <w:rFonts w:eastAsia="Times New Roman"/>
          <w:bCs/>
          <w:kern w:val="32"/>
          <w:sz w:val="24"/>
          <w:szCs w:val="24"/>
        </w:rPr>
      </w:pPr>
    </w:p>
    <w:p w:rsidR="00D72E0E" w:rsidRDefault="00D72E0E" w:rsidP="00D72E0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Pr>
          <w:sz w:val="24"/>
          <w:szCs w:val="24"/>
        </w:rPr>
        <w:t>MŠMT v rámci dotačních programů státní podpory sportu na všeobecnou sportovní činnost podporuje nestátní neziskové organizace v oblasti sportu. Co se týče oblasti dobrovolnictví, MŠMT považuje dlouhodobě tuto oblast za prioritní a pro sport v ČR zcela nezastupitelnou.</w:t>
      </w:r>
    </w:p>
    <w:p w:rsidR="00D72E0E" w:rsidRDefault="00D72E0E" w:rsidP="00D72E0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Pr>
          <w:sz w:val="24"/>
          <w:szCs w:val="24"/>
        </w:rPr>
        <w:t xml:space="preserve">V rámci kapitoly sport v nově schváleném finančním nástroji Evropské unie Erasmus+ bude MŠMT plně podporovat využití těchto zdrojů sportovními svazy, tj. nestátními neziskovými organizacemi.  </w:t>
      </w:r>
    </w:p>
    <w:p w:rsidR="00D72E0E" w:rsidRDefault="00D72E0E" w:rsidP="00D72E0E">
      <w:pPr>
        <w:tabs>
          <w:tab w:val="left" w:pos="0"/>
        </w:tabs>
        <w:spacing w:after="0" w:line="240" w:lineRule="auto"/>
        <w:ind w:left="720"/>
        <w:jc w:val="both"/>
        <w:rPr>
          <w:sz w:val="24"/>
          <w:szCs w:val="24"/>
        </w:rPr>
      </w:pPr>
    </w:p>
    <w:p w:rsidR="00D72E0E" w:rsidRPr="000D3646" w:rsidRDefault="00D72E0E" w:rsidP="00D72E0E">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w:t>
      </w:r>
      <w:r>
        <w:rPr>
          <w:i/>
          <w:sz w:val="24"/>
          <w:szCs w:val="24"/>
        </w:rPr>
        <w:t>závěrů</w:t>
      </w:r>
      <w:r w:rsidRPr="000D3646">
        <w:rPr>
          <w:i/>
          <w:sz w:val="24"/>
          <w:szCs w:val="24"/>
        </w:rPr>
        <w:t xml:space="preserve"> Rady doporučujeme zohlednit především v těchto strategických záměrech MŠMT: </w:t>
      </w:r>
    </w:p>
    <w:p w:rsidR="00D72E0E" w:rsidRDefault="00D72E0E" w:rsidP="00D72E0E">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D72E0E" w:rsidRPr="00850B9C" w:rsidRDefault="00D72E0E" w:rsidP="00EA3710">
      <w:pPr>
        <w:pStyle w:val="Odstavecseseznamem"/>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ind w:left="284" w:hanging="284"/>
      </w:pPr>
      <w:r>
        <w:rPr>
          <w:sz w:val="24"/>
          <w:szCs w:val="24"/>
        </w:rPr>
        <w:t>podpora sportu skrze dotační programy státní podpory sportu</w:t>
      </w:r>
    </w:p>
    <w:p w:rsidR="00D72E0E" w:rsidRPr="00DC61E2" w:rsidRDefault="00D72E0E" w:rsidP="00EA3710">
      <w:pPr>
        <w:pStyle w:val="Odstavecseseznamem"/>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ind w:left="284" w:hanging="284"/>
      </w:pPr>
      <w:r>
        <w:rPr>
          <w:sz w:val="24"/>
          <w:szCs w:val="24"/>
        </w:rPr>
        <w:t>podpora využití zdrojů Erasmus+ sportovními svazy</w:t>
      </w:r>
    </w:p>
    <w:p w:rsidR="00D72E0E" w:rsidRPr="00856189" w:rsidRDefault="00D72E0E" w:rsidP="00D72E0E">
      <w:pPr>
        <w:widowControl w:val="0"/>
        <w:tabs>
          <w:tab w:val="left" w:pos="0"/>
        </w:tabs>
        <w:spacing w:after="0" w:line="240" w:lineRule="auto"/>
        <w:jc w:val="both"/>
        <w:rPr>
          <w:rFonts w:eastAsia="Times New Roman"/>
          <w:bCs/>
          <w:kern w:val="32"/>
          <w:sz w:val="24"/>
          <w:szCs w:val="24"/>
        </w:rPr>
      </w:pPr>
    </w:p>
    <w:p w:rsidR="00D72E0E" w:rsidRDefault="00D72E0E" w:rsidP="001E0D27">
      <w:pPr>
        <w:spacing w:after="0" w:line="240" w:lineRule="auto"/>
        <w:jc w:val="both"/>
        <w:rPr>
          <w:rFonts w:asciiTheme="majorHAnsi" w:hAnsiTheme="majorHAnsi"/>
          <w:b/>
          <w:i/>
          <w:sz w:val="24"/>
          <w:szCs w:val="24"/>
        </w:rPr>
      </w:pPr>
    </w:p>
    <w:p w:rsidR="00D72E0E" w:rsidRDefault="00D72E0E" w:rsidP="001E0D27">
      <w:pPr>
        <w:spacing w:after="0" w:line="240" w:lineRule="auto"/>
        <w:jc w:val="both"/>
        <w:rPr>
          <w:rFonts w:asciiTheme="majorHAnsi" w:hAnsiTheme="majorHAnsi"/>
          <w:b/>
          <w:i/>
          <w:sz w:val="24"/>
          <w:szCs w:val="24"/>
        </w:rPr>
      </w:pPr>
    </w:p>
    <w:p w:rsidR="00D72E0E" w:rsidRDefault="00D72E0E"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1E0D27">
      <w:pPr>
        <w:spacing w:after="0" w:line="240" w:lineRule="auto"/>
        <w:jc w:val="both"/>
        <w:rPr>
          <w:rFonts w:asciiTheme="majorHAnsi" w:hAnsiTheme="majorHAnsi"/>
          <w:b/>
          <w:i/>
          <w:sz w:val="24"/>
          <w:szCs w:val="24"/>
        </w:rPr>
      </w:pPr>
    </w:p>
    <w:p w:rsidR="00A914EF" w:rsidRDefault="00A914EF" w:rsidP="0068720F">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center"/>
        <w:rPr>
          <w:rFonts w:asciiTheme="majorHAnsi" w:hAnsiTheme="majorHAnsi"/>
          <w:b/>
          <w:sz w:val="32"/>
          <w:szCs w:val="32"/>
        </w:rPr>
      </w:pPr>
      <w:r w:rsidRPr="00A914EF">
        <w:rPr>
          <w:rFonts w:asciiTheme="majorHAnsi" w:hAnsiTheme="majorHAnsi"/>
          <w:b/>
          <w:sz w:val="32"/>
          <w:szCs w:val="32"/>
        </w:rPr>
        <w:t>Výzkum, vývoj a inovace</w:t>
      </w:r>
    </w:p>
    <w:p w:rsidR="00A914EF" w:rsidRDefault="00A914EF" w:rsidP="00A914EF">
      <w:pPr>
        <w:rPr>
          <w:rFonts w:asciiTheme="majorHAnsi" w:hAnsiTheme="majorHAnsi"/>
          <w:sz w:val="32"/>
          <w:szCs w:val="32"/>
        </w:rPr>
      </w:pPr>
    </w:p>
    <w:p w:rsidR="00A914EF" w:rsidRPr="007D4923" w:rsidRDefault="007D4923" w:rsidP="007D4923">
      <w:pPr>
        <w:rPr>
          <w:b/>
          <w:sz w:val="28"/>
          <w:szCs w:val="28"/>
        </w:rPr>
      </w:pPr>
      <w:r>
        <w:rPr>
          <w:b/>
          <w:sz w:val="28"/>
          <w:szCs w:val="28"/>
        </w:rPr>
        <w:t xml:space="preserve">1. </w:t>
      </w:r>
      <w:r w:rsidR="005E44F5" w:rsidRPr="007D4923">
        <w:rPr>
          <w:b/>
          <w:sz w:val="28"/>
          <w:szCs w:val="28"/>
        </w:rPr>
        <w:t>Nový program pro podporu výzkumu a inovací</w:t>
      </w:r>
      <w:r w:rsidR="00A914EF" w:rsidRPr="007D4923">
        <w:rPr>
          <w:b/>
          <w:sz w:val="28"/>
          <w:szCs w:val="28"/>
        </w:rPr>
        <w:t xml:space="preserve"> Horizont 2020</w:t>
      </w:r>
    </w:p>
    <w:p w:rsidR="00A914EF" w:rsidRPr="004B18C3" w:rsidRDefault="00277E01" w:rsidP="00534EEA">
      <w:pPr>
        <w:spacing w:line="240" w:lineRule="auto"/>
        <w:jc w:val="both"/>
        <w:rPr>
          <w:sz w:val="24"/>
          <w:szCs w:val="24"/>
        </w:rPr>
      </w:pPr>
      <w:r w:rsidRPr="005C73E5">
        <w:rPr>
          <w:b/>
          <w:sz w:val="24"/>
          <w:szCs w:val="24"/>
        </w:rPr>
        <w:t>Program Horizont 2020 – rámcový program pro výzkum a inovace</w:t>
      </w:r>
      <w:r w:rsidRPr="004B18C3">
        <w:rPr>
          <w:sz w:val="24"/>
          <w:szCs w:val="24"/>
        </w:rPr>
        <w:t xml:space="preserve"> bude v letech 2014-2020 představovat hlavní nástroj EU pro podporu výzkumu, vývoje a inovací</w:t>
      </w:r>
      <w:r w:rsidR="006D7BBE">
        <w:rPr>
          <w:sz w:val="24"/>
          <w:szCs w:val="24"/>
        </w:rPr>
        <w:t xml:space="preserve"> (VaVaI)</w:t>
      </w:r>
      <w:r w:rsidRPr="004B18C3">
        <w:rPr>
          <w:sz w:val="24"/>
          <w:szCs w:val="24"/>
        </w:rPr>
        <w:t xml:space="preserve"> a</w:t>
      </w:r>
      <w:r w:rsidR="004B18C3">
        <w:rPr>
          <w:sz w:val="24"/>
          <w:szCs w:val="24"/>
        </w:rPr>
        <w:t> </w:t>
      </w:r>
      <w:r w:rsidRPr="004B18C3">
        <w:rPr>
          <w:sz w:val="24"/>
          <w:szCs w:val="24"/>
        </w:rPr>
        <w:t>významnou měrou tak přispěje k naplňování cílů Unie inovací, stěžejní iniciativy strategie Evropa 2020, a</w:t>
      </w:r>
      <w:r w:rsidR="00145A66">
        <w:rPr>
          <w:sz w:val="24"/>
          <w:szCs w:val="24"/>
        </w:rPr>
        <w:t> </w:t>
      </w:r>
      <w:r w:rsidRPr="004B18C3">
        <w:rPr>
          <w:sz w:val="24"/>
          <w:szCs w:val="24"/>
        </w:rPr>
        <w:t xml:space="preserve">dalšímu prohlubování Evropského výzkumného prostoru. S ohledem na význam tohoto programu, jehož rozpočet přesahuje 70 miliard EUR v běžných cenách roku 2011, bylo umožnění jeho včasné implementace klíčovou prioritou </w:t>
      </w:r>
      <w:r w:rsidR="00124A38">
        <w:rPr>
          <w:sz w:val="24"/>
          <w:szCs w:val="24"/>
        </w:rPr>
        <w:t>litevského předsednictví</w:t>
      </w:r>
      <w:r w:rsidRPr="004B18C3">
        <w:rPr>
          <w:sz w:val="24"/>
          <w:szCs w:val="24"/>
        </w:rPr>
        <w:t xml:space="preserve"> v druhé polovině roku 2013.</w:t>
      </w:r>
      <w:r w:rsidR="00024F72" w:rsidRPr="004B18C3">
        <w:rPr>
          <w:sz w:val="24"/>
          <w:szCs w:val="24"/>
        </w:rPr>
        <w:t xml:space="preserve"> </w:t>
      </w:r>
      <w:r w:rsidR="00C72F31" w:rsidRPr="004B18C3">
        <w:rPr>
          <w:sz w:val="24"/>
          <w:szCs w:val="24"/>
        </w:rPr>
        <w:t xml:space="preserve">V návaznosti na finální schválení legislativních dokumentů ustavujících program Horizont 2020 na jednání Rady pro konkurenceschopnost dne 3. 12. 2014, byly dne 10. 12. 2014 vyhlášeny první výzvy k předkládání </w:t>
      </w:r>
      <w:r w:rsidR="00A077A1">
        <w:rPr>
          <w:sz w:val="24"/>
          <w:szCs w:val="24"/>
        </w:rPr>
        <w:t>návrhů</w:t>
      </w:r>
      <w:r w:rsidR="00A077A1" w:rsidRPr="004B18C3">
        <w:rPr>
          <w:sz w:val="24"/>
          <w:szCs w:val="24"/>
        </w:rPr>
        <w:t xml:space="preserve"> </w:t>
      </w:r>
      <w:r w:rsidR="00C72F31" w:rsidRPr="004B18C3">
        <w:rPr>
          <w:sz w:val="24"/>
          <w:szCs w:val="24"/>
        </w:rPr>
        <w:t>projektů a byla tak zahájena implementační fáze programu.</w:t>
      </w:r>
      <w:r w:rsidR="00B83F30">
        <w:rPr>
          <w:sz w:val="24"/>
          <w:szCs w:val="24"/>
        </w:rPr>
        <w:t xml:space="preserve"> </w:t>
      </w:r>
      <w:r w:rsidR="00124A38">
        <w:rPr>
          <w:sz w:val="24"/>
          <w:szCs w:val="24"/>
        </w:rPr>
        <w:t>litevského předsednictví</w:t>
      </w:r>
      <w:r w:rsidR="00124A38" w:rsidRPr="004B18C3">
        <w:rPr>
          <w:sz w:val="24"/>
          <w:szCs w:val="24"/>
        </w:rPr>
        <w:t xml:space="preserve"> </w:t>
      </w:r>
      <w:r w:rsidR="00934B57">
        <w:rPr>
          <w:sz w:val="24"/>
          <w:szCs w:val="24"/>
        </w:rPr>
        <w:t xml:space="preserve">tak na základě pokroku dosaženého v průběhu předchozích předsednictví úspěšně zakončilo schvalovací proces legislativních dokumentů a splnilo stanovený cíl umožnění včasného zahájení implementace programu Horizont 2020. </w:t>
      </w:r>
    </w:p>
    <w:p w:rsidR="0047341F" w:rsidRDefault="004B18C3" w:rsidP="00534EEA">
      <w:pPr>
        <w:spacing w:line="240" w:lineRule="auto"/>
        <w:jc w:val="both"/>
        <w:rPr>
          <w:sz w:val="24"/>
          <w:szCs w:val="24"/>
        </w:rPr>
      </w:pPr>
      <w:r>
        <w:rPr>
          <w:sz w:val="24"/>
          <w:szCs w:val="24"/>
        </w:rPr>
        <w:t>Program Horizont 2020 navazuje na 7. rámcový program pro výzkum, technologický rozvoj a</w:t>
      </w:r>
      <w:r w:rsidR="00145A66">
        <w:rPr>
          <w:sz w:val="24"/>
          <w:szCs w:val="24"/>
        </w:rPr>
        <w:t> </w:t>
      </w:r>
      <w:r>
        <w:rPr>
          <w:sz w:val="24"/>
          <w:szCs w:val="24"/>
        </w:rPr>
        <w:t>demonstrace</w:t>
      </w:r>
      <w:r w:rsidR="006D7BBE">
        <w:rPr>
          <w:sz w:val="24"/>
          <w:szCs w:val="24"/>
        </w:rPr>
        <w:t xml:space="preserve"> (7. RP)</w:t>
      </w:r>
      <w:r>
        <w:rPr>
          <w:sz w:val="24"/>
          <w:szCs w:val="24"/>
        </w:rPr>
        <w:t xml:space="preserve"> implementovaný v letech 2007-2013 a nově zahrnuje rovněž i</w:t>
      </w:r>
      <w:r w:rsidR="00371A7B" w:rsidRPr="004B18C3">
        <w:rPr>
          <w:sz w:val="24"/>
          <w:szCs w:val="24"/>
        </w:rPr>
        <w:t>novační aktivity Rámcového programu pro konkurenceschopnost a inovace (CIP)</w:t>
      </w:r>
      <w:r>
        <w:rPr>
          <w:sz w:val="24"/>
          <w:szCs w:val="24"/>
        </w:rPr>
        <w:t xml:space="preserve"> a a</w:t>
      </w:r>
      <w:r w:rsidR="00371A7B" w:rsidRPr="004B18C3">
        <w:rPr>
          <w:sz w:val="24"/>
          <w:szCs w:val="24"/>
        </w:rPr>
        <w:t>ktivity Evropského inovačního a technologického institutu (EIT)</w:t>
      </w:r>
      <w:r>
        <w:rPr>
          <w:sz w:val="24"/>
          <w:szCs w:val="24"/>
        </w:rPr>
        <w:t xml:space="preserve">. Program Horizont 2020 bude dále doplněn programem Evropského společenství pro atomovou energii pro výzkum a odbornou přípravu, který obsahuje podporu aktivit v oblasti jaderného štěpení i jaderné fúze. </w:t>
      </w:r>
      <w:r w:rsidR="0047341F">
        <w:rPr>
          <w:sz w:val="24"/>
          <w:szCs w:val="24"/>
        </w:rPr>
        <w:t>Cílů programu bude dosahováno prostřednictvím tří vzájemně propojených pilířů:</w:t>
      </w:r>
    </w:p>
    <w:p w:rsidR="005A473A" w:rsidRPr="0047341F" w:rsidRDefault="00534EEA" w:rsidP="00EA3710">
      <w:pPr>
        <w:numPr>
          <w:ilvl w:val="1"/>
          <w:numId w:val="14"/>
        </w:numPr>
        <w:spacing w:line="240" w:lineRule="auto"/>
        <w:jc w:val="both"/>
        <w:rPr>
          <w:sz w:val="24"/>
          <w:szCs w:val="24"/>
        </w:rPr>
      </w:pPr>
      <w:r>
        <w:rPr>
          <w:sz w:val="24"/>
          <w:szCs w:val="24"/>
        </w:rPr>
        <w:t xml:space="preserve">I. </w:t>
      </w:r>
      <w:r w:rsidR="005A473A" w:rsidRPr="0047341F">
        <w:rPr>
          <w:sz w:val="24"/>
          <w:szCs w:val="24"/>
        </w:rPr>
        <w:t>vynikající věda</w:t>
      </w:r>
    </w:p>
    <w:p w:rsidR="005A473A" w:rsidRPr="0047341F" w:rsidRDefault="00534EEA" w:rsidP="00EA3710">
      <w:pPr>
        <w:numPr>
          <w:ilvl w:val="1"/>
          <w:numId w:val="14"/>
        </w:numPr>
        <w:spacing w:line="240" w:lineRule="auto"/>
        <w:jc w:val="both"/>
        <w:rPr>
          <w:sz w:val="24"/>
          <w:szCs w:val="24"/>
        </w:rPr>
      </w:pPr>
      <w:r>
        <w:rPr>
          <w:sz w:val="24"/>
          <w:szCs w:val="24"/>
        </w:rPr>
        <w:t xml:space="preserve">II. </w:t>
      </w:r>
      <w:r w:rsidR="005A473A" w:rsidRPr="0047341F">
        <w:rPr>
          <w:sz w:val="24"/>
          <w:szCs w:val="24"/>
        </w:rPr>
        <w:t>vedoucí postavení v průmyslu</w:t>
      </w:r>
    </w:p>
    <w:p w:rsidR="005A473A" w:rsidRPr="0047341F" w:rsidRDefault="00534EEA" w:rsidP="00EA3710">
      <w:pPr>
        <w:numPr>
          <w:ilvl w:val="1"/>
          <w:numId w:val="14"/>
        </w:numPr>
        <w:spacing w:line="240" w:lineRule="auto"/>
        <w:jc w:val="both"/>
        <w:rPr>
          <w:sz w:val="24"/>
          <w:szCs w:val="24"/>
        </w:rPr>
      </w:pPr>
      <w:r>
        <w:rPr>
          <w:sz w:val="24"/>
          <w:szCs w:val="24"/>
        </w:rPr>
        <w:t xml:space="preserve">III. </w:t>
      </w:r>
      <w:r w:rsidR="005A473A" w:rsidRPr="0047341F">
        <w:rPr>
          <w:sz w:val="24"/>
          <w:szCs w:val="24"/>
        </w:rPr>
        <w:t>společenské výzvy</w:t>
      </w:r>
    </w:p>
    <w:p w:rsidR="00534EEA" w:rsidRDefault="005A473A" w:rsidP="00534EEA">
      <w:pPr>
        <w:spacing w:line="240" w:lineRule="auto"/>
        <w:jc w:val="both"/>
        <w:rPr>
          <w:sz w:val="24"/>
          <w:szCs w:val="24"/>
        </w:rPr>
      </w:pPr>
      <w:r w:rsidRPr="0047341F">
        <w:rPr>
          <w:sz w:val="24"/>
          <w:szCs w:val="24"/>
        </w:rPr>
        <w:t xml:space="preserve">Aktivity EIT </w:t>
      </w:r>
      <w:r w:rsidR="0047341F">
        <w:rPr>
          <w:sz w:val="24"/>
          <w:szCs w:val="24"/>
        </w:rPr>
        <w:t xml:space="preserve">dále přispějí k dosažení stanovených cílů </w:t>
      </w:r>
      <w:r w:rsidRPr="0047341F">
        <w:rPr>
          <w:sz w:val="24"/>
          <w:szCs w:val="24"/>
        </w:rPr>
        <w:t>propojením znalostního trojúhelníku</w:t>
      </w:r>
      <w:r w:rsidR="0047341F">
        <w:rPr>
          <w:sz w:val="24"/>
          <w:szCs w:val="24"/>
        </w:rPr>
        <w:t xml:space="preserve"> a</w:t>
      </w:r>
      <w:r w:rsidR="004A2D8D">
        <w:rPr>
          <w:sz w:val="24"/>
          <w:szCs w:val="24"/>
        </w:rPr>
        <w:t> </w:t>
      </w:r>
      <w:r w:rsidR="0047341F">
        <w:rPr>
          <w:sz w:val="24"/>
          <w:szCs w:val="24"/>
        </w:rPr>
        <w:t>činnost Společného výzkumného střediska</w:t>
      </w:r>
      <w:r w:rsidRPr="0047341F">
        <w:rPr>
          <w:sz w:val="24"/>
          <w:szCs w:val="24"/>
        </w:rPr>
        <w:t xml:space="preserve"> </w:t>
      </w:r>
      <w:r w:rsidR="0047341F">
        <w:rPr>
          <w:sz w:val="24"/>
          <w:szCs w:val="24"/>
        </w:rPr>
        <w:t>(</w:t>
      </w:r>
      <w:r w:rsidRPr="0047341F">
        <w:rPr>
          <w:sz w:val="24"/>
          <w:szCs w:val="24"/>
        </w:rPr>
        <w:t>JRC</w:t>
      </w:r>
      <w:r w:rsidR="0047341F">
        <w:rPr>
          <w:sz w:val="24"/>
          <w:szCs w:val="24"/>
        </w:rPr>
        <w:t>)</w:t>
      </w:r>
      <w:r w:rsidRPr="0047341F">
        <w:rPr>
          <w:sz w:val="24"/>
          <w:szCs w:val="24"/>
        </w:rPr>
        <w:t xml:space="preserve"> </w:t>
      </w:r>
      <w:r w:rsidR="0047341F">
        <w:rPr>
          <w:sz w:val="24"/>
          <w:szCs w:val="24"/>
        </w:rPr>
        <w:t>podpoří tvorbu</w:t>
      </w:r>
      <w:r w:rsidRPr="0047341F">
        <w:rPr>
          <w:sz w:val="24"/>
          <w:szCs w:val="24"/>
        </w:rPr>
        <w:t xml:space="preserve"> </w:t>
      </w:r>
      <w:r w:rsidR="00A077A1">
        <w:rPr>
          <w:sz w:val="24"/>
          <w:szCs w:val="24"/>
        </w:rPr>
        <w:t>evidence-based policy</w:t>
      </w:r>
      <w:r w:rsidR="0047341F">
        <w:rPr>
          <w:sz w:val="24"/>
          <w:szCs w:val="24"/>
        </w:rPr>
        <w:t>. Za účelem snížení rozdílů ve výkonnosti inovačních systémů členských států EU, které stále představují jednu z překážek v rámci Evropského výzkumného prostoru a</w:t>
      </w:r>
      <w:r w:rsidR="004A2D8D">
        <w:rPr>
          <w:sz w:val="24"/>
          <w:szCs w:val="24"/>
        </w:rPr>
        <w:t> </w:t>
      </w:r>
      <w:r w:rsidR="0047341F">
        <w:rPr>
          <w:sz w:val="24"/>
          <w:szCs w:val="24"/>
        </w:rPr>
        <w:t xml:space="preserve">neumožňují plné využití jeho potenciálu, </w:t>
      </w:r>
      <w:r w:rsidR="004E30A7">
        <w:rPr>
          <w:sz w:val="24"/>
          <w:szCs w:val="24"/>
        </w:rPr>
        <w:t xml:space="preserve">budou v části „Spreading Excellence and Widening Participation“ vyčleněny prostředky na podporu rozvoje excelentního výzkumu v zemích s nižší inovační výkonností. </w:t>
      </w:r>
    </w:p>
    <w:p w:rsidR="004B18C3" w:rsidRDefault="004B18C3" w:rsidP="001C46F6">
      <w:pPr>
        <w:spacing w:line="240" w:lineRule="auto"/>
        <w:jc w:val="both"/>
        <w:rPr>
          <w:sz w:val="24"/>
          <w:szCs w:val="24"/>
        </w:rPr>
      </w:pPr>
      <w:r>
        <w:rPr>
          <w:sz w:val="24"/>
          <w:szCs w:val="24"/>
        </w:rPr>
        <w:t xml:space="preserve">Ve srovnání s předchozími rámcovými programy zahrnuje program Horizont 2020 řadu nových prvků. </w:t>
      </w:r>
      <w:r w:rsidR="00371A7B">
        <w:rPr>
          <w:sz w:val="24"/>
          <w:szCs w:val="24"/>
        </w:rPr>
        <w:t xml:space="preserve">Výraznější důraz je kladen na propojování výzkumu a inovací, </w:t>
      </w:r>
      <w:r w:rsidR="00E875E3">
        <w:rPr>
          <w:sz w:val="24"/>
          <w:szCs w:val="24"/>
        </w:rPr>
        <w:t>tedy</w:t>
      </w:r>
      <w:r w:rsidR="00371A7B">
        <w:rPr>
          <w:sz w:val="24"/>
          <w:szCs w:val="24"/>
        </w:rPr>
        <w:t xml:space="preserve"> podporu celéh</w:t>
      </w:r>
      <w:r w:rsidR="00E875E3">
        <w:rPr>
          <w:sz w:val="24"/>
          <w:szCs w:val="24"/>
        </w:rPr>
        <w:t xml:space="preserve">o inovačního řetězce a transformaci výsledků výzkumu v produkty uplatnitelné na trhu. </w:t>
      </w:r>
      <w:r w:rsidR="0047341F">
        <w:rPr>
          <w:sz w:val="24"/>
          <w:szCs w:val="24"/>
        </w:rPr>
        <w:t>Pozornost bude věnována účasti malých a středních podniků</w:t>
      </w:r>
      <w:r w:rsidR="00534EEA">
        <w:rPr>
          <w:sz w:val="24"/>
          <w:szCs w:val="24"/>
        </w:rPr>
        <w:t xml:space="preserve">, pro něž byl zaveden specifický nástroj </w:t>
      </w:r>
      <w:r w:rsidR="00A077A1">
        <w:rPr>
          <w:sz w:val="24"/>
          <w:szCs w:val="24"/>
        </w:rPr>
        <w:t>podpory</w:t>
      </w:r>
      <w:r w:rsidR="00F7455F">
        <w:rPr>
          <w:sz w:val="24"/>
          <w:szCs w:val="24"/>
        </w:rPr>
        <w:t>. Celková výše podpory pro malé a střední podniky</w:t>
      </w:r>
      <w:r w:rsidR="00534EEA">
        <w:rPr>
          <w:sz w:val="24"/>
          <w:szCs w:val="24"/>
        </w:rPr>
        <w:t xml:space="preserve"> by měla dosahovat 20 % kombinovaného rozpočtu pro části II. a III. programu Horizont 2020.</w:t>
      </w:r>
      <w:r w:rsidR="00371A7B">
        <w:rPr>
          <w:sz w:val="24"/>
          <w:szCs w:val="24"/>
        </w:rPr>
        <w:t xml:space="preserve"> </w:t>
      </w:r>
      <w:r w:rsidR="004E7551">
        <w:rPr>
          <w:sz w:val="24"/>
          <w:szCs w:val="24"/>
        </w:rPr>
        <w:t xml:space="preserve">Program je více zaměřen na řešení aktuálních společenských výzev, kdy výzkum prováděný ve spolupráci více členských států umožní nalézt inovativní řešení na výzvy, které překračují hranice </w:t>
      </w:r>
      <w:r w:rsidR="009D1DC4">
        <w:rPr>
          <w:sz w:val="24"/>
          <w:szCs w:val="24"/>
        </w:rPr>
        <w:t xml:space="preserve">jednotlivých </w:t>
      </w:r>
      <w:r w:rsidR="004E7551">
        <w:rPr>
          <w:sz w:val="24"/>
          <w:szCs w:val="24"/>
        </w:rPr>
        <w:t>států a jsou re</w:t>
      </w:r>
      <w:r w:rsidR="00061632">
        <w:rPr>
          <w:sz w:val="24"/>
          <w:szCs w:val="24"/>
        </w:rPr>
        <w:t xml:space="preserve">levantní pro všechny občany EU. Z pohledu potenciálních </w:t>
      </w:r>
      <w:r w:rsidR="00061632" w:rsidRPr="00922B62">
        <w:rPr>
          <w:sz w:val="24"/>
          <w:szCs w:val="24"/>
        </w:rPr>
        <w:t>účastníků je poté klíčová skutečnost, že program Horizont 2020 obsahuj</w:t>
      </w:r>
      <w:r w:rsidR="006D7BBE">
        <w:rPr>
          <w:sz w:val="24"/>
          <w:szCs w:val="24"/>
        </w:rPr>
        <w:t>e řadu opatření směřovaných</w:t>
      </w:r>
      <w:r w:rsidR="00061632" w:rsidRPr="00922B62">
        <w:rPr>
          <w:sz w:val="24"/>
          <w:szCs w:val="24"/>
        </w:rPr>
        <w:t xml:space="preserve"> k zjednodušení. </w:t>
      </w:r>
      <w:r w:rsidR="009F2F83" w:rsidRPr="00922B62">
        <w:rPr>
          <w:sz w:val="24"/>
          <w:szCs w:val="24"/>
        </w:rPr>
        <w:t xml:space="preserve">Kromě samotné struktury je zjednodušení </w:t>
      </w:r>
      <w:r w:rsidR="005C73E5" w:rsidRPr="00922B62">
        <w:rPr>
          <w:sz w:val="24"/>
          <w:szCs w:val="24"/>
        </w:rPr>
        <w:t>obsaženo především v navrženém modelu financování, který počítá s</w:t>
      </w:r>
      <w:r w:rsidR="009F2F83" w:rsidRPr="00922B62">
        <w:rPr>
          <w:sz w:val="24"/>
          <w:szCs w:val="24"/>
        </w:rPr>
        <w:t xml:space="preserve"> použitím </w:t>
      </w:r>
      <w:r w:rsidR="005C73E5" w:rsidRPr="00922B62">
        <w:rPr>
          <w:sz w:val="24"/>
          <w:szCs w:val="24"/>
        </w:rPr>
        <w:t xml:space="preserve">jednotné sazby financování pro všechny účastníky a všechny aktivity za použití pevné sazby na úhradu nepřímých nákladů. Dále by mělo dojít k výraznému zkrácení doby do udělení grantu, z čehož by měli mít užitek opět účastníci rámcového programu. </w:t>
      </w:r>
      <w:r w:rsidR="003D3C62" w:rsidRPr="00922B62">
        <w:rPr>
          <w:sz w:val="24"/>
          <w:szCs w:val="24"/>
        </w:rPr>
        <w:t>Díky zjednodušenému přístupu a</w:t>
      </w:r>
      <w:r w:rsidR="006D7BBE">
        <w:rPr>
          <w:sz w:val="24"/>
          <w:szCs w:val="24"/>
        </w:rPr>
        <w:t> </w:t>
      </w:r>
      <w:r w:rsidR="003D3C62" w:rsidRPr="00922B62">
        <w:rPr>
          <w:sz w:val="24"/>
          <w:szCs w:val="24"/>
        </w:rPr>
        <w:t>jednodušším pravidlům by program Horizont 2020 měl podpořit účast průmyslu na výzkumných a</w:t>
      </w:r>
      <w:r w:rsidR="00145A66">
        <w:rPr>
          <w:sz w:val="24"/>
          <w:szCs w:val="24"/>
        </w:rPr>
        <w:t> </w:t>
      </w:r>
      <w:r w:rsidR="003D3C62" w:rsidRPr="00922B62">
        <w:rPr>
          <w:sz w:val="24"/>
          <w:szCs w:val="24"/>
        </w:rPr>
        <w:t>inovačních aktivitách v rámci EU a rovněž přilákat řadu nových účastníků, kteří dosud nemají s rámcovými programy zkušenosti.</w:t>
      </w:r>
      <w:r w:rsidR="003D3C62">
        <w:t xml:space="preserve"> </w:t>
      </w:r>
    </w:p>
    <w:p w:rsidR="004B18C3" w:rsidRPr="004B7A08" w:rsidRDefault="005A473A" w:rsidP="009310ED">
      <w:pPr>
        <w:pBdr>
          <w:top w:val="single" w:sz="4" w:space="1" w:color="auto"/>
          <w:left w:val="single" w:sz="4" w:space="4" w:color="auto"/>
          <w:bottom w:val="single" w:sz="4" w:space="0" w:color="auto"/>
          <w:right w:val="single" w:sz="4" w:space="4" w:color="auto"/>
        </w:pBdr>
        <w:shd w:val="clear" w:color="auto" w:fill="C6D9F1" w:themeFill="text2" w:themeFillTint="33"/>
        <w:spacing w:line="240" w:lineRule="auto"/>
        <w:jc w:val="both"/>
        <w:rPr>
          <w:sz w:val="24"/>
          <w:szCs w:val="24"/>
        </w:rPr>
      </w:pPr>
      <w:r w:rsidRPr="004B7A08">
        <w:rPr>
          <w:sz w:val="24"/>
          <w:szCs w:val="24"/>
        </w:rPr>
        <w:t>Program Horizont 2020</w:t>
      </w:r>
      <w:r w:rsidR="00922B62" w:rsidRPr="004B7A08">
        <w:rPr>
          <w:sz w:val="24"/>
          <w:szCs w:val="24"/>
        </w:rPr>
        <w:t xml:space="preserve"> je ustaven prostřednictvím </w:t>
      </w:r>
      <w:r w:rsidR="00922B62" w:rsidRPr="00D446F7">
        <w:rPr>
          <w:rFonts w:cs="Arial"/>
          <w:bCs/>
          <w:i/>
          <w:sz w:val="24"/>
          <w:szCs w:val="24"/>
        </w:rPr>
        <w:t>nařízení Evropského parlamentu a Rady o</w:t>
      </w:r>
      <w:r w:rsidR="00145A66">
        <w:rPr>
          <w:rFonts w:cs="Arial"/>
          <w:bCs/>
          <w:i/>
          <w:sz w:val="24"/>
          <w:szCs w:val="24"/>
        </w:rPr>
        <w:t> </w:t>
      </w:r>
      <w:r w:rsidR="00922B62" w:rsidRPr="00D446F7">
        <w:rPr>
          <w:rFonts w:cs="Arial"/>
          <w:bCs/>
          <w:i/>
          <w:sz w:val="24"/>
          <w:szCs w:val="24"/>
        </w:rPr>
        <w:t>zřízení Horizontu 2020 – rámcového programu pro výzkum a inovace (2014–2020)</w:t>
      </w:r>
      <w:r w:rsidR="006D7BBE">
        <w:rPr>
          <w:rFonts w:cs="Arial"/>
          <w:bCs/>
          <w:sz w:val="24"/>
          <w:szCs w:val="24"/>
        </w:rPr>
        <w:t>. Jelikož se jedná o právní akt</w:t>
      </w:r>
      <w:r w:rsidR="00922B62" w:rsidRPr="004B7A08">
        <w:rPr>
          <w:rFonts w:cs="Arial"/>
          <w:bCs/>
          <w:sz w:val="24"/>
          <w:szCs w:val="24"/>
        </w:rPr>
        <w:t xml:space="preserve"> nařízení, které je přímo aplikovatelné v celém svém rozsahu na území členských států EU, nevyžaduje schválení programu Horizont 2020 změnu legislativy na národní úrovni. </w:t>
      </w:r>
    </w:p>
    <w:p w:rsidR="004B7A08" w:rsidRDefault="004B7A08" w:rsidP="009310ED">
      <w:pPr>
        <w:pBdr>
          <w:top w:val="single" w:sz="4" w:space="1" w:color="auto"/>
          <w:left w:val="single" w:sz="4" w:space="4" w:color="auto"/>
          <w:bottom w:val="single" w:sz="4" w:space="0" w:color="auto"/>
          <w:right w:val="single" w:sz="4" w:space="4" w:color="auto"/>
        </w:pBdr>
        <w:shd w:val="clear" w:color="auto" w:fill="C6D9F1" w:themeFill="text2" w:themeFillTint="33"/>
        <w:spacing w:line="240" w:lineRule="auto"/>
        <w:jc w:val="both"/>
        <w:rPr>
          <w:sz w:val="24"/>
          <w:szCs w:val="24"/>
        </w:rPr>
      </w:pPr>
      <w:r w:rsidRPr="004B7A08">
        <w:rPr>
          <w:sz w:val="24"/>
          <w:szCs w:val="24"/>
        </w:rPr>
        <w:t>ČR považuje podporu výzkumu, vývoje a inovací</w:t>
      </w:r>
      <w:r w:rsidR="006D7BBE">
        <w:rPr>
          <w:sz w:val="24"/>
          <w:szCs w:val="24"/>
        </w:rPr>
        <w:t xml:space="preserve"> (VaVaI)</w:t>
      </w:r>
      <w:r w:rsidRPr="004B7A08">
        <w:rPr>
          <w:sz w:val="24"/>
          <w:szCs w:val="24"/>
        </w:rPr>
        <w:t xml:space="preserve"> za nezbytný předpoklad zajištění konkurenceschopnosti a prospe</w:t>
      </w:r>
      <w:r>
        <w:rPr>
          <w:sz w:val="24"/>
          <w:szCs w:val="24"/>
        </w:rPr>
        <w:t>rity EU v dlouhodobém horizontu a i z tohoto důvodu podporovala včasné schválení legislativních dokumentů takovým způsobem, aby byla umožněna implementace programu Horizont 2020 v souladu s plánovaným harmonogramem. Zaměření programu na tři klíčové oblasti reflektované ve třech hlavních pilířích programu považuje ČR za adekvátní a reflektující potřeby současné společnosti a</w:t>
      </w:r>
      <w:r w:rsidR="00D446F7">
        <w:rPr>
          <w:sz w:val="24"/>
          <w:szCs w:val="24"/>
        </w:rPr>
        <w:t> </w:t>
      </w:r>
      <w:r>
        <w:rPr>
          <w:sz w:val="24"/>
          <w:szCs w:val="24"/>
        </w:rPr>
        <w:t xml:space="preserve">dalšího vývoje. </w:t>
      </w:r>
    </w:p>
    <w:p w:rsidR="004B7A08" w:rsidRDefault="004B7A08" w:rsidP="009310ED">
      <w:pPr>
        <w:pBdr>
          <w:top w:val="single" w:sz="4" w:space="1" w:color="auto"/>
          <w:left w:val="single" w:sz="4" w:space="4" w:color="auto"/>
          <w:bottom w:val="single" w:sz="4" w:space="0" w:color="auto"/>
          <w:right w:val="single" w:sz="4" w:space="4" w:color="auto"/>
        </w:pBdr>
        <w:shd w:val="clear" w:color="auto" w:fill="C6D9F1" w:themeFill="text2" w:themeFillTint="33"/>
        <w:spacing w:line="240" w:lineRule="auto"/>
        <w:jc w:val="both"/>
        <w:rPr>
          <w:sz w:val="24"/>
          <w:szCs w:val="24"/>
        </w:rPr>
      </w:pPr>
      <w:r>
        <w:rPr>
          <w:sz w:val="24"/>
          <w:szCs w:val="24"/>
        </w:rPr>
        <w:t xml:space="preserve">Z pohledu ČR je jednou z priorit následujících let v oblasti </w:t>
      </w:r>
      <w:r w:rsidR="006D7BBE">
        <w:rPr>
          <w:sz w:val="24"/>
          <w:szCs w:val="24"/>
        </w:rPr>
        <w:t>VaVaI</w:t>
      </w:r>
      <w:r>
        <w:rPr>
          <w:sz w:val="24"/>
          <w:szCs w:val="24"/>
        </w:rPr>
        <w:t xml:space="preserve"> zvýšení účasti v rámcovém programu Horizont 2020 v porovnání s předcházejícím 7. </w:t>
      </w:r>
      <w:r w:rsidR="006D7BBE">
        <w:rPr>
          <w:sz w:val="24"/>
          <w:szCs w:val="24"/>
        </w:rPr>
        <w:t>RP</w:t>
      </w:r>
      <w:r>
        <w:rPr>
          <w:sz w:val="24"/>
          <w:szCs w:val="24"/>
        </w:rPr>
        <w:t>. Vyšší míra zapojení ČR do aktivit rámcového programu přispěje ke zvyšování excelence a konkurenceschopnosti českého výzkumu a rovněž umožní ČR čerpat prostředky na podporu těchto aktivit z rozpočtu EU.</w:t>
      </w:r>
      <w:r w:rsidR="00CB74EE">
        <w:rPr>
          <w:sz w:val="24"/>
          <w:szCs w:val="24"/>
        </w:rPr>
        <w:t xml:space="preserve"> Z tohoto pohledu ČR oceňuje snahu o otevření programu novým účastníkům</w:t>
      </w:r>
      <w:r w:rsidR="008C50E0">
        <w:rPr>
          <w:sz w:val="24"/>
          <w:szCs w:val="24"/>
        </w:rPr>
        <w:t xml:space="preserve"> </w:t>
      </w:r>
      <w:r w:rsidR="00A077A1">
        <w:rPr>
          <w:sz w:val="24"/>
          <w:szCs w:val="24"/>
        </w:rPr>
        <w:t>a </w:t>
      </w:r>
      <w:r w:rsidR="008C50E0">
        <w:rPr>
          <w:sz w:val="24"/>
          <w:szCs w:val="24"/>
        </w:rPr>
        <w:t>také zahrnutí specifických opatření na podporu šíření excelence a rozšíření účasti, která mají napomoci snížení rozdílu ve výkonnosti inovačních systémů členských států EU.</w:t>
      </w:r>
      <w:r w:rsidR="00934B57">
        <w:rPr>
          <w:sz w:val="24"/>
          <w:szCs w:val="24"/>
        </w:rPr>
        <w:t xml:space="preserve"> </w:t>
      </w:r>
    </w:p>
    <w:p w:rsidR="00730DB6" w:rsidRDefault="008C50E0" w:rsidP="009310ED">
      <w:pPr>
        <w:pBdr>
          <w:top w:val="single" w:sz="4" w:space="1" w:color="auto"/>
          <w:left w:val="single" w:sz="4" w:space="4" w:color="auto"/>
          <w:bottom w:val="single" w:sz="4" w:space="0" w:color="auto"/>
          <w:right w:val="single" w:sz="4" w:space="4" w:color="auto"/>
        </w:pBdr>
        <w:shd w:val="clear" w:color="auto" w:fill="C6D9F1" w:themeFill="text2" w:themeFillTint="33"/>
        <w:spacing w:line="240" w:lineRule="auto"/>
        <w:jc w:val="both"/>
        <w:rPr>
          <w:sz w:val="24"/>
          <w:szCs w:val="24"/>
        </w:rPr>
      </w:pPr>
      <w:r>
        <w:rPr>
          <w:sz w:val="24"/>
          <w:szCs w:val="24"/>
        </w:rPr>
        <w:t xml:space="preserve">V průběhu schvalovacího procesu se ČR aktivně podílela na projednávání jednotlivých legislativních dokumentů. V současnosti je vzhledem k přechodu do implementační fáze </w:t>
      </w:r>
      <w:r w:rsidR="00730DB6">
        <w:rPr>
          <w:sz w:val="24"/>
          <w:szCs w:val="24"/>
        </w:rPr>
        <w:t>pozornost zaměřena</w:t>
      </w:r>
      <w:r>
        <w:rPr>
          <w:sz w:val="24"/>
          <w:szCs w:val="24"/>
        </w:rPr>
        <w:t xml:space="preserve"> na zastupování ČR v programovém výboru, jehož prostřednictvím budou moci členské státy ovlivňovat další směřování a vývoj programu Horizont 2020. </w:t>
      </w:r>
      <w:r w:rsidR="00730DB6" w:rsidRPr="00730DB6">
        <w:rPr>
          <w:sz w:val="24"/>
          <w:szCs w:val="24"/>
        </w:rPr>
        <w:t>S ohledem na snahu zajistit efektivní prosazování zájmů Č</w:t>
      </w:r>
      <w:r w:rsidR="00730DB6">
        <w:rPr>
          <w:sz w:val="24"/>
          <w:szCs w:val="24"/>
        </w:rPr>
        <w:t>R</w:t>
      </w:r>
      <w:r w:rsidR="00730DB6" w:rsidRPr="00730DB6">
        <w:rPr>
          <w:sz w:val="24"/>
          <w:szCs w:val="24"/>
        </w:rPr>
        <w:t>, které by přispělo ke zvýšení české účasti v rámcovém programu</w:t>
      </w:r>
      <w:r w:rsidR="00730DB6">
        <w:rPr>
          <w:sz w:val="24"/>
          <w:szCs w:val="24"/>
        </w:rPr>
        <w:t xml:space="preserve">, zorganizovalo MŠMT nominační proces, jehož výstupem byl výběr delegátů do daných konfigurací. </w:t>
      </w:r>
      <w:r w:rsidR="003A0F57">
        <w:rPr>
          <w:sz w:val="24"/>
          <w:szCs w:val="24"/>
        </w:rPr>
        <w:t xml:space="preserve">Kromě výběru vhodných delegátů </w:t>
      </w:r>
      <w:r w:rsidR="009310ED">
        <w:rPr>
          <w:sz w:val="24"/>
          <w:szCs w:val="24"/>
        </w:rPr>
        <w:t>připravuje MŠMT koncepci fungování celého systému tak, aby byla zajištěna tvorba pozice ČR reflektující zájmy výzkumné komunity v dané oblasti a současně umožněno šíření</w:t>
      </w:r>
      <w:r w:rsidR="00D446F7">
        <w:rPr>
          <w:sz w:val="24"/>
          <w:szCs w:val="24"/>
        </w:rPr>
        <w:t xml:space="preserve"> relevantních</w:t>
      </w:r>
      <w:r w:rsidR="009310ED">
        <w:rPr>
          <w:sz w:val="24"/>
          <w:szCs w:val="24"/>
        </w:rPr>
        <w:t xml:space="preserve"> informací směrem k výzkumníkům majícím potenciál k účasti v rámcovém programu.</w:t>
      </w:r>
      <w:r w:rsidR="003A0F57">
        <w:rPr>
          <w:sz w:val="24"/>
          <w:szCs w:val="24"/>
        </w:rPr>
        <w:t xml:space="preserve"> </w:t>
      </w:r>
    </w:p>
    <w:p w:rsidR="00922B62" w:rsidRDefault="00934B57" w:rsidP="005065C8">
      <w:pPr>
        <w:pBdr>
          <w:top w:val="single" w:sz="4" w:space="1" w:color="auto"/>
          <w:left w:val="single" w:sz="4" w:space="4" w:color="auto"/>
          <w:bottom w:val="single" w:sz="4" w:space="0" w:color="auto"/>
          <w:right w:val="single" w:sz="4" w:space="4" w:color="auto"/>
        </w:pBdr>
        <w:shd w:val="clear" w:color="auto" w:fill="C6D9F1" w:themeFill="text2" w:themeFillTint="33"/>
        <w:spacing w:line="240" w:lineRule="auto"/>
        <w:jc w:val="both"/>
        <w:rPr>
          <w:sz w:val="24"/>
          <w:szCs w:val="24"/>
        </w:rPr>
      </w:pPr>
      <w:r>
        <w:rPr>
          <w:sz w:val="24"/>
          <w:szCs w:val="24"/>
        </w:rPr>
        <w:t xml:space="preserve">Podpora zapojování výzkumných týmů z ČR do mezinárodního výzkumu je jednou z prioritních oblastí strategických dokumentů ČR pro oblast VaVaI. </w:t>
      </w:r>
      <w:r w:rsidR="00032EC8" w:rsidRPr="00032EC8">
        <w:rPr>
          <w:b/>
          <w:sz w:val="24"/>
          <w:szCs w:val="24"/>
        </w:rPr>
        <w:t>Národní priority orientovaného výzkumu, experimentálního vývoje a inovací</w:t>
      </w:r>
      <w:r w:rsidR="00032EC8" w:rsidRPr="00032EC8">
        <w:rPr>
          <w:sz w:val="24"/>
          <w:szCs w:val="24"/>
        </w:rPr>
        <w:t xml:space="preserve"> </w:t>
      </w:r>
      <w:r w:rsidR="00032EC8">
        <w:rPr>
          <w:sz w:val="24"/>
          <w:szCs w:val="24"/>
        </w:rPr>
        <w:t xml:space="preserve">uznávají význam podpory participace na mezinárodním výzkumu pro dosažení stanovených priorit. Aktualizace </w:t>
      </w:r>
      <w:r w:rsidR="00032EC8">
        <w:rPr>
          <w:b/>
          <w:sz w:val="24"/>
          <w:szCs w:val="24"/>
        </w:rPr>
        <w:t>Národní politiky</w:t>
      </w:r>
      <w:r w:rsidR="00032EC8" w:rsidRPr="00032EC8">
        <w:rPr>
          <w:b/>
          <w:sz w:val="24"/>
          <w:szCs w:val="24"/>
        </w:rPr>
        <w:t xml:space="preserve"> výzkumu, vývoje a inovací ČR na léta 2009 až 2015 s výhledem do roku 2020</w:t>
      </w:r>
      <w:r w:rsidR="00032EC8">
        <w:rPr>
          <w:b/>
          <w:sz w:val="24"/>
          <w:szCs w:val="24"/>
        </w:rPr>
        <w:t xml:space="preserve"> </w:t>
      </w:r>
      <w:r w:rsidR="00032EC8">
        <w:rPr>
          <w:sz w:val="24"/>
          <w:szCs w:val="24"/>
        </w:rPr>
        <w:t xml:space="preserve">vnímá zlepšení zapojování výzkumných týmů do rámcových programů EU jako jednu z hlavních výzev, na níž je třeba reagovat. Komplexně bude otázka účasti v rámcovém programu Horizont 2020 řešena ve </w:t>
      </w:r>
      <w:r w:rsidR="00032EC8">
        <w:rPr>
          <w:b/>
          <w:sz w:val="24"/>
          <w:szCs w:val="24"/>
        </w:rPr>
        <w:t>Strategii</w:t>
      </w:r>
      <w:r w:rsidR="00032EC8" w:rsidRPr="00032EC8">
        <w:rPr>
          <w:b/>
          <w:sz w:val="24"/>
          <w:szCs w:val="24"/>
        </w:rPr>
        <w:t xml:space="preserve"> internacionalizace vysokého školství, VaVaI a</w:t>
      </w:r>
      <w:r w:rsidR="006D7BBE">
        <w:rPr>
          <w:b/>
          <w:sz w:val="24"/>
          <w:szCs w:val="24"/>
        </w:rPr>
        <w:t> </w:t>
      </w:r>
      <w:r w:rsidR="00032EC8" w:rsidRPr="00032EC8">
        <w:rPr>
          <w:b/>
          <w:sz w:val="24"/>
          <w:szCs w:val="24"/>
        </w:rPr>
        <w:t>podnikání ČR</w:t>
      </w:r>
      <w:r w:rsidR="00032EC8" w:rsidRPr="00032EC8">
        <w:rPr>
          <w:sz w:val="24"/>
          <w:szCs w:val="24"/>
        </w:rPr>
        <w:t>, jejíž příprava bude probíhat v průběhu roku 2014 v gesci MŠMT a MPO.</w:t>
      </w:r>
      <w:r w:rsidR="00032EC8">
        <w:rPr>
          <w:sz w:val="24"/>
          <w:szCs w:val="24"/>
        </w:rPr>
        <w:t xml:space="preserve"> </w:t>
      </w:r>
    </w:p>
    <w:p w:rsidR="005C73E5" w:rsidRDefault="005C73E5" w:rsidP="004B18C3">
      <w:pPr>
        <w:spacing w:line="240" w:lineRule="auto"/>
        <w:ind w:firstLine="708"/>
        <w:jc w:val="both"/>
        <w:rPr>
          <w:sz w:val="24"/>
          <w:szCs w:val="24"/>
        </w:rPr>
      </w:pPr>
    </w:p>
    <w:p w:rsidR="00371A7B" w:rsidRPr="007D4923" w:rsidRDefault="007D4923" w:rsidP="007D4923">
      <w:pPr>
        <w:rPr>
          <w:b/>
          <w:sz w:val="28"/>
          <w:szCs w:val="28"/>
        </w:rPr>
      </w:pPr>
      <w:r>
        <w:rPr>
          <w:b/>
          <w:bCs/>
          <w:sz w:val="28"/>
          <w:szCs w:val="28"/>
        </w:rPr>
        <w:t xml:space="preserve">2.  </w:t>
      </w:r>
      <w:r w:rsidR="00DD0002" w:rsidRPr="007D4923">
        <w:rPr>
          <w:b/>
          <w:bCs/>
          <w:sz w:val="28"/>
          <w:szCs w:val="28"/>
        </w:rPr>
        <w:t>Iniciativy na základě článku 185 SFEU za účelem společného provádění národních programů výzkumu</w:t>
      </w:r>
    </w:p>
    <w:p w:rsidR="00535869" w:rsidRDefault="00124A38" w:rsidP="00535869">
      <w:pPr>
        <w:spacing w:after="120" w:line="240" w:lineRule="auto"/>
        <w:jc w:val="both"/>
        <w:rPr>
          <w:rFonts w:cs="TimesNewRoman,Bold"/>
          <w:bCs/>
          <w:sz w:val="24"/>
          <w:szCs w:val="24"/>
        </w:rPr>
      </w:pPr>
      <w:r>
        <w:rPr>
          <w:sz w:val="24"/>
          <w:szCs w:val="24"/>
        </w:rPr>
        <w:t>Litevské předsednictví</w:t>
      </w:r>
      <w:r w:rsidRPr="004B18C3">
        <w:rPr>
          <w:sz w:val="24"/>
          <w:szCs w:val="24"/>
        </w:rPr>
        <w:t xml:space="preserve"> </w:t>
      </w:r>
      <w:r w:rsidR="00E504FA" w:rsidRPr="00535869">
        <w:rPr>
          <w:sz w:val="24"/>
          <w:szCs w:val="24"/>
        </w:rPr>
        <w:t xml:space="preserve">se </w:t>
      </w:r>
      <w:r w:rsidR="00A50DBC">
        <w:rPr>
          <w:sz w:val="24"/>
          <w:szCs w:val="24"/>
        </w:rPr>
        <w:t xml:space="preserve">dále </w:t>
      </w:r>
      <w:r w:rsidR="00E504FA" w:rsidRPr="00535869">
        <w:rPr>
          <w:sz w:val="24"/>
          <w:szCs w:val="24"/>
        </w:rPr>
        <w:t>zaměřilo na projednání tzv. balíčku investic do inovací,</w:t>
      </w:r>
      <w:r w:rsidR="006D7BBE">
        <w:rPr>
          <w:sz w:val="24"/>
          <w:szCs w:val="24"/>
        </w:rPr>
        <w:t xml:space="preserve"> který má pomoci zvýšení dopadů investic do VaVaI ve prospěch ekonomického růstu. S</w:t>
      </w:r>
      <w:r w:rsidR="00E504FA" w:rsidRPr="00535869">
        <w:rPr>
          <w:sz w:val="24"/>
          <w:szCs w:val="24"/>
        </w:rPr>
        <w:t>oučás</w:t>
      </w:r>
      <w:r w:rsidR="00535869" w:rsidRPr="00535869">
        <w:rPr>
          <w:sz w:val="24"/>
          <w:szCs w:val="24"/>
        </w:rPr>
        <w:t>tí</w:t>
      </w:r>
      <w:r w:rsidR="006D7BBE">
        <w:rPr>
          <w:sz w:val="24"/>
          <w:szCs w:val="24"/>
        </w:rPr>
        <w:t xml:space="preserve"> balíčku</w:t>
      </w:r>
      <w:r w:rsidR="00535869" w:rsidRPr="00535869">
        <w:rPr>
          <w:sz w:val="24"/>
          <w:szCs w:val="24"/>
        </w:rPr>
        <w:t xml:space="preserve"> jsou i</w:t>
      </w:r>
      <w:r w:rsidR="006D7BBE">
        <w:rPr>
          <w:sz w:val="24"/>
          <w:szCs w:val="24"/>
        </w:rPr>
        <w:t> čtyři</w:t>
      </w:r>
      <w:r w:rsidR="00535869" w:rsidRPr="00535869">
        <w:rPr>
          <w:sz w:val="24"/>
          <w:szCs w:val="24"/>
        </w:rPr>
        <w:t xml:space="preserve"> legislativní návrhy ustavující právní rámec pro realizaci programů na </w:t>
      </w:r>
      <w:r w:rsidR="00535869" w:rsidRPr="00535869">
        <w:rPr>
          <w:rFonts w:cs="TimesNewRoman,Bold"/>
          <w:bCs/>
          <w:sz w:val="24"/>
          <w:szCs w:val="24"/>
        </w:rPr>
        <w:t>základě článku 185 Smlouvy o fungování Evropské unie (SFEU)</w:t>
      </w:r>
      <w:r w:rsidR="00535869">
        <w:rPr>
          <w:rFonts w:cs="TimesNewRoman,Bold"/>
          <w:bCs/>
          <w:sz w:val="24"/>
          <w:szCs w:val="24"/>
        </w:rPr>
        <w:t>:</w:t>
      </w:r>
      <w:r w:rsidR="00535869" w:rsidRPr="00535869">
        <w:rPr>
          <w:rFonts w:cs="TimesNewRoman,Bold"/>
          <w:bCs/>
          <w:sz w:val="24"/>
          <w:szCs w:val="24"/>
        </w:rPr>
        <w:t xml:space="preserve"> </w:t>
      </w:r>
    </w:p>
    <w:p w:rsidR="00535869" w:rsidRPr="00141BE0" w:rsidRDefault="00535869" w:rsidP="00EA3710">
      <w:pPr>
        <w:pStyle w:val="Odstavecseseznamem"/>
        <w:numPr>
          <w:ilvl w:val="0"/>
          <w:numId w:val="15"/>
        </w:numPr>
        <w:spacing w:after="120" w:line="240" w:lineRule="auto"/>
        <w:ind w:left="1066"/>
        <w:jc w:val="both"/>
        <w:rPr>
          <w:sz w:val="24"/>
          <w:szCs w:val="24"/>
        </w:rPr>
      </w:pPr>
      <w:r w:rsidRPr="00141BE0">
        <w:rPr>
          <w:sz w:val="24"/>
          <w:szCs w:val="24"/>
        </w:rPr>
        <w:t>Návrh rozhodnutí Evropského parlamentu a Rady o účasti Unie na programu výzkumu a vývoje v oblasti aktivního a asistovaného žití, který společně provádí několik členských států</w:t>
      </w:r>
    </w:p>
    <w:p w:rsidR="00535869" w:rsidRPr="00141BE0" w:rsidRDefault="00535869" w:rsidP="00EA3710">
      <w:pPr>
        <w:pStyle w:val="Odstavecseseznamem"/>
        <w:keepNext/>
        <w:numPr>
          <w:ilvl w:val="0"/>
          <w:numId w:val="15"/>
        </w:numPr>
        <w:spacing w:after="120" w:line="240" w:lineRule="auto"/>
        <w:ind w:left="1066"/>
        <w:jc w:val="both"/>
        <w:rPr>
          <w:b/>
          <w:bCs/>
          <w:sz w:val="24"/>
          <w:szCs w:val="24"/>
          <w:u w:val="single"/>
        </w:rPr>
      </w:pPr>
      <w:r w:rsidRPr="00141BE0">
        <w:rPr>
          <w:sz w:val="24"/>
          <w:szCs w:val="24"/>
        </w:rPr>
        <w:t>Návrh rozhodnutí Evropského parlamentu a Rady o účasti Unie na druhém programu Partnerství evropských a rozvojových zemí při klinických testech prováděných společně několika státy</w:t>
      </w:r>
    </w:p>
    <w:p w:rsidR="00535869" w:rsidRPr="00141BE0" w:rsidRDefault="00535869" w:rsidP="00EA3710">
      <w:pPr>
        <w:pStyle w:val="Odstavecseseznamem"/>
        <w:keepNext/>
        <w:numPr>
          <w:ilvl w:val="0"/>
          <w:numId w:val="15"/>
        </w:numPr>
        <w:spacing w:after="120" w:line="240" w:lineRule="auto"/>
        <w:ind w:left="1066"/>
        <w:jc w:val="both"/>
        <w:rPr>
          <w:bCs/>
          <w:sz w:val="24"/>
          <w:szCs w:val="24"/>
        </w:rPr>
      </w:pPr>
      <w:r w:rsidRPr="00141BE0">
        <w:rPr>
          <w:bCs/>
          <w:sz w:val="24"/>
          <w:szCs w:val="24"/>
        </w:rPr>
        <w:t xml:space="preserve">Návrh rozhodnutí </w:t>
      </w:r>
      <w:r w:rsidRPr="00141BE0">
        <w:rPr>
          <w:sz w:val="24"/>
          <w:szCs w:val="24"/>
        </w:rPr>
        <w:t>Evropského parlamentu a Rady o účasti Unie na evropském metrologickém programu pro inovace a výzkum prováděném společně několika členskými státy</w:t>
      </w:r>
    </w:p>
    <w:p w:rsidR="00535869" w:rsidRPr="00A50DBC" w:rsidRDefault="00535869" w:rsidP="00EA3710">
      <w:pPr>
        <w:pStyle w:val="Odstavecseseznamem"/>
        <w:numPr>
          <w:ilvl w:val="0"/>
          <w:numId w:val="15"/>
        </w:numPr>
        <w:autoSpaceDE w:val="0"/>
        <w:autoSpaceDN w:val="0"/>
        <w:adjustRightInd w:val="0"/>
        <w:spacing w:after="120" w:line="240" w:lineRule="auto"/>
        <w:ind w:left="1066" w:hanging="357"/>
        <w:jc w:val="both"/>
        <w:rPr>
          <w:rFonts w:cs="TimesNewRoman,Bold"/>
          <w:b/>
          <w:bCs/>
          <w:sz w:val="24"/>
          <w:szCs w:val="24"/>
        </w:rPr>
      </w:pPr>
      <w:r w:rsidRPr="00141BE0">
        <w:rPr>
          <w:sz w:val="24"/>
          <w:szCs w:val="24"/>
        </w:rPr>
        <w:t>Návrh Rozhodnutí Evropského parlamentu a Rady</w:t>
      </w:r>
      <w:r w:rsidRPr="00141BE0">
        <w:rPr>
          <w:rFonts w:cs="TimesNewRoman,Bold"/>
          <w:b/>
          <w:bCs/>
          <w:sz w:val="24"/>
          <w:szCs w:val="24"/>
        </w:rPr>
        <w:t xml:space="preserve"> </w:t>
      </w:r>
      <w:r w:rsidRPr="00141BE0">
        <w:rPr>
          <w:rFonts w:cs="TimesNewRoman,Bold"/>
          <w:bCs/>
          <w:sz w:val="24"/>
          <w:szCs w:val="24"/>
        </w:rPr>
        <w:t>o účasti Unie v programu výzkumu a vývoje společně prováděném několika členskými státy a zaměřeném na podporu výzkumu prováděného malými a středními</w:t>
      </w:r>
      <w:r w:rsidRPr="00141BE0">
        <w:rPr>
          <w:rFonts w:cs="TimesNewRoman,Bold"/>
          <w:b/>
          <w:bCs/>
          <w:sz w:val="24"/>
          <w:szCs w:val="24"/>
        </w:rPr>
        <w:t xml:space="preserve"> </w:t>
      </w:r>
      <w:r w:rsidRPr="00141BE0">
        <w:rPr>
          <w:rFonts w:cs="TimesNewRoman,Bold"/>
          <w:bCs/>
          <w:sz w:val="24"/>
          <w:szCs w:val="24"/>
        </w:rPr>
        <w:t>podniky</w:t>
      </w:r>
    </w:p>
    <w:p w:rsidR="00A50DBC" w:rsidRPr="00A50DBC" w:rsidRDefault="00A50DBC" w:rsidP="00A50DBC">
      <w:pPr>
        <w:autoSpaceDE w:val="0"/>
        <w:autoSpaceDN w:val="0"/>
        <w:adjustRightInd w:val="0"/>
        <w:spacing w:after="120" w:line="240" w:lineRule="auto"/>
        <w:jc w:val="both"/>
        <w:rPr>
          <w:rFonts w:cs="TimesNewRoman,Bold"/>
          <w:bCs/>
          <w:sz w:val="24"/>
          <w:szCs w:val="24"/>
        </w:rPr>
      </w:pPr>
      <w:r w:rsidRPr="00A50DBC">
        <w:rPr>
          <w:rFonts w:cs="TimesNewRoman,Bold"/>
          <w:bCs/>
          <w:sz w:val="24"/>
          <w:szCs w:val="24"/>
        </w:rPr>
        <w:t>Návrhy byly představené Evropskou komisí dne</w:t>
      </w:r>
      <w:r>
        <w:rPr>
          <w:rFonts w:cs="TimesNewRoman,Bold"/>
          <w:bCs/>
          <w:sz w:val="24"/>
          <w:szCs w:val="24"/>
        </w:rPr>
        <w:t xml:space="preserve"> 10. 7. 2013 a následně v průběhu druhé poloviny roku projednávány v přípravných orgánech Rady </w:t>
      </w:r>
      <w:r w:rsidR="00124A38">
        <w:rPr>
          <w:rFonts w:cs="TimesNewRoman,Bold"/>
          <w:bCs/>
          <w:sz w:val="24"/>
          <w:szCs w:val="24"/>
        </w:rPr>
        <w:t xml:space="preserve">pod vedením </w:t>
      </w:r>
      <w:r w:rsidR="00124A38">
        <w:rPr>
          <w:sz w:val="24"/>
          <w:szCs w:val="24"/>
        </w:rPr>
        <w:t>litevského předsednictví</w:t>
      </w:r>
      <w:r>
        <w:rPr>
          <w:rFonts w:cs="TimesNewRoman,Bold"/>
          <w:bCs/>
          <w:sz w:val="24"/>
          <w:szCs w:val="24"/>
        </w:rPr>
        <w:t xml:space="preserve">. </w:t>
      </w:r>
      <w:r w:rsidR="00124A38">
        <w:rPr>
          <w:rFonts w:cs="TimesNewRoman,Bold"/>
          <w:bCs/>
          <w:sz w:val="24"/>
          <w:szCs w:val="24"/>
        </w:rPr>
        <w:t>Předsednictví také</w:t>
      </w:r>
      <w:r>
        <w:rPr>
          <w:rFonts w:cs="TimesNewRoman,Bold"/>
          <w:bCs/>
          <w:sz w:val="24"/>
          <w:szCs w:val="24"/>
        </w:rPr>
        <w:t xml:space="preserve"> uspělo ve snaze dokončit projednávání do konce roku 2013 a na zasedání Rady pro konkurenceschopnost dne 3. 12. 2013 byl přijat ke všem výše uvedeným návrhům obecný přístup.  </w:t>
      </w:r>
    </w:p>
    <w:p w:rsidR="00535869" w:rsidRPr="00535869" w:rsidRDefault="00A50DBC" w:rsidP="00535869">
      <w:pPr>
        <w:spacing w:after="120" w:line="240" w:lineRule="auto"/>
        <w:jc w:val="both"/>
        <w:rPr>
          <w:rFonts w:cs="TimesNewRoman,Bold"/>
          <w:bCs/>
          <w:sz w:val="24"/>
          <w:szCs w:val="24"/>
        </w:rPr>
      </w:pPr>
      <w:r>
        <w:rPr>
          <w:rFonts w:cs="TimesNewRoman,Bold"/>
          <w:bCs/>
          <w:sz w:val="24"/>
          <w:szCs w:val="24"/>
        </w:rPr>
        <w:t>I</w:t>
      </w:r>
      <w:r w:rsidR="00535869" w:rsidRPr="00535869">
        <w:rPr>
          <w:rFonts w:cs="TimesNewRoman,Bold"/>
          <w:bCs/>
          <w:sz w:val="24"/>
          <w:szCs w:val="24"/>
        </w:rPr>
        <w:t xml:space="preserve">niciativy v oblasti partnerství </w:t>
      </w:r>
      <w:r>
        <w:rPr>
          <w:rFonts w:cs="TimesNewRoman,Bold"/>
          <w:bCs/>
          <w:sz w:val="24"/>
          <w:szCs w:val="24"/>
        </w:rPr>
        <w:t>veřejného</w:t>
      </w:r>
      <w:r w:rsidR="00535869" w:rsidRPr="00535869">
        <w:rPr>
          <w:rFonts w:cs="TimesNewRoman,Bold"/>
          <w:bCs/>
          <w:sz w:val="24"/>
          <w:szCs w:val="24"/>
        </w:rPr>
        <w:t xml:space="preserve"> sektoru budou v letech 2014-2020 představovat nedílnou součást implementace programu Horizont 2020. Článek 185 SFEU umožňuje EU po souhlasu členských států stanovit společná pravidla pro účast na výzkumných programech prováděných několika členskými státy, tedy určitou míru koordinace národních programů ve vybraných oblastech. Předkládané návrhy poté zajistí členství EU jako jednoho ze subjektů účastnícího se vedle členských států společně prováděného výzkumu v oblastech aktivního </w:t>
      </w:r>
      <w:r w:rsidR="00A077A1" w:rsidRPr="00535869">
        <w:rPr>
          <w:rFonts w:cs="TimesNewRoman,Bold"/>
          <w:bCs/>
          <w:sz w:val="24"/>
          <w:szCs w:val="24"/>
        </w:rPr>
        <w:t>a</w:t>
      </w:r>
      <w:r w:rsidR="00A077A1">
        <w:rPr>
          <w:rFonts w:cs="TimesNewRoman,Bold"/>
          <w:bCs/>
          <w:sz w:val="24"/>
          <w:szCs w:val="24"/>
        </w:rPr>
        <w:t> </w:t>
      </w:r>
      <w:r w:rsidR="00535869" w:rsidRPr="00535869">
        <w:rPr>
          <w:rFonts w:cs="TimesNewRoman,Bold"/>
          <w:bCs/>
          <w:sz w:val="24"/>
          <w:szCs w:val="24"/>
        </w:rPr>
        <w:t xml:space="preserve">asistovaného žití (dále jen </w:t>
      </w:r>
      <w:r w:rsidR="00A077A1">
        <w:rPr>
          <w:rFonts w:cs="TimesNewRoman,Bold"/>
          <w:bCs/>
          <w:sz w:val="24"/>
          <w:szCs w:val="24"/>
        </w:rPr>
        <w:t>„</w:t>
      </w:r>
      <w:r w:rsidR="00535869" w:rsidRPr="00535869">
        <w:rPr>
          <w:rFonts w:cs="TimesNewRoman,Bold"/>
          <w:bCs/>
          <w:sz w:val="24"/>
          <w:szCs w:val="24"/>
        </w:rPr>
        <w:t>AAL 2</w:t>
      </w:r>
      <w:r w:rsidR="00A077A1">
        <w:rPr>
          <w:rFonts w:cs="TimesNewRoman,Bold"/>
          <w:bCs/>
          <w:sz w:val="24"/>
          <w:szCs w:val="24"/>
        </w:rPr>
        <w:t>“</w:t>
      </w:r>
      <w:r w:rsidR="00535869" w:rsidRPr="00535869">
        <w:rPr>
          <w:rFonts w:cs="TimesNewRoman,Bold"/>
          <w:bCs/>
          <w:sz w:val="24"/>
          <w:szCs w:val="24"/>
        </w:rPr>
        <w:t xml:space="preserve">), klinických testů (dále jen </w:t>
      </w:r>
      <w:r w:rsidR="00A077A1">
        <w:rPr>
          <w:rFonts w:cs="TimesNewRoman,Bold"/>
          <w:bCs/>
          <w:sz w:val="24"/>
          <w:szCs w:val="24"/>
        </w:rPr>
        <w:t>„</w:t>
      </w:r>
      <w:r w:rsidR="00535869" w:rsidRPr="00535869">
        <w:rPr>
          <w:rFonts w:cs="TimesNewRoman,Bold"/>
          <w:bCs/>
          <w:sz w:val="24"/>
          <w:szCs w:val="24"/>
        </w:rPr>
        <w:t>EDCTP 2</w:t>
      </w:r>
      <w:r w:rsidR="00A077A1">
        <w:rPr>
          <w:rFonts w:cs="TimesNewRoman,Bold"/>
          <w:bCs/>
          <w:sz w:val="24"/>
          <w:szCs w:val="24"/>
        </w:rPr>
        <w:t>“</w:t>
      </w:r>
      <w:r w:rsidR="00535869" w:rsidRPr="00535869">
        <w:rPr>
          <w:rFonts w:cs="TimesNewRoman,Bold"/>
          <w:bCs/>
          <w:sz w:val="24"/>
          <w:szCs w:val="24"/>
        </w:rPr>
        <w:t xml:space="preserve">), metrologického výzkumu (dále jen </w:t>
      </w:r>
      <w:r w:rsidR="00A077A1">
        <w:rPr>
          <w:rFonts w:cs="TimesNewRoman,Bold"/>
          <w:bCs/>
          <w:sz w:val="24"/>
          <w:szCs w:val="24"/>
        </w:rPr>
        <w:t>„</w:t>
      </w:r>
      <w:r w:rsidR="00535869" w:rsidRPr="00535869">
        <w:rPr>
          <w:rFonts w:cs="TimesNewRoman,Bold"/>
          <w:bCs/>
          <w:sz w:val="24"/>
          <w:szCs w:val="24"/>
        </w:rPr>
        <w:t>EMPIR</w:t>
      </w:r>
      <w:r w:rsidR="00A077A1">
        <w:rPr>
          <w:rFonts w:cs="TimesNewRoman,Bold"/>
          <w:bCs/>
          <w:sz w:val="24"/>
          <w:szCs w:val="24"/>
        </w:rPr>
        <w:t>“</w:t>
      </w:r>
      <w:r w:rsidR="00535869" w:rsidRPr="00535869">
        <w:rPr>
          <w:rFonts w:cs="TimesNewRoman,Bold"/>
          <w:bCs/>
          <w:sz w:val="24"/>
          <w:szCs w:val="24"/>
        </w:rPr>
        <w:t xml:space="preserve">) a výzkumu ve prospěch malých a středních podniků (dále jen </w:t>
      </w:r>
      <w:r w:rsidR="00A077A1">
        <w:rPr>
          <w:rFonts w:cs="TimesNewRoman,Bold"/>
          <w:bCs/>
          <w:sz w:val="24"/>
          <w:szCs w:val="24"/>
        </w:rPr>
        <w:t>„</w:t>
      </w:r>
      <w:r w:rsidR="00535869" w:rsidRPr="00535869">
        <w:rPr>
          <w:rFonts w:cs="TimesNewRoman,Bold"/>
          <w:bCs/>
          <w:sz w:val="24"/>
          <w:szCs w:val="24"/>
        </w:rPr>
        <w:t>Eurostars 2</w:t>
      </w:r>
      <w:r w:rsidR="00A077A1">
        <w:rPr>
          <w:rFonts w:cs="TimesNewRoman,Bold"/>
          <w:bCs/>
          <w:sz w:val="24"/>
          <w:szCs w:val="24"/>
        </w:rPr>
        <w:t>“</w:t>
      </w:r>
      <w:r w:rsidR="00535869" w:rsidRPr="00535869">
        <w:rPr>
          <w:rFonts w:cs="TimesNewRoman,Bold"/>
          <w:bCs/>
          <w:sz w:val="24"/>
          <w:szCs w:val="24"/>
        </w:rPr>
        <w:t xml:space="preserve">). </w:t>
      </w:r>
    </w:p>
    <w:p w:rsidR="00A50DBC" w:rsidRPr="00A50DBC" w:rsidRDefault="00A50DBC" w:rsidP="00A50DBC">
      <w:pPr>
        <w:spacing w:after="120" w:line="240" w:lineRule="auto"/>
        <w:jc w:val="both"/>
        <w:rPr>
          <w:bCs/>
          <w:sz w:val="24"/>
          <w:szCs w:val="24"/>
        </w:rPr>
      </w:pPr>
      <w:r w:rsidRPr="00A50DBC">
        <w:rPr>
          <w:bCs/>
          <w:sz w:val="24"/>
          <w:szCs w:val="24"/>
        </w:rPr>
        <w:t>Partnerství v oblasti veřejného sektoru mají v obecné rovině přispět zejména ke snížení fragmentace výzkumného a inovačního úsilí a předejít tak nežádoucímu zdvojování úsilí ve vybraných oblastech napříč EU.  Návrhy navazují na partnerství implementova</w:t>
      </w:r>
      <w:r w:rsidR="006D7BBE">
        <w:rPr>
          <w:bCs/>
          <w:sz w:val="24"/>
          <w:szCs w:val="24"/>
        </w:rPr>
        <w:t>ná v průběhu trvání 7. RP</w:t>
      </w:r>
      <w:r w:rsidRPr="00A50DBC">
        <w:rPr>
          <w:bCs/>
          <w:sz w:val="24"/>
          <w:szCs w:val="24"/>
        </w:rPr>
        <w:t xml:space="preserve"> a ve většině případů dochází k rozšíření jejich záběru o</w:t>
      </w:r>
      <w:r>
        <w:rPr>
          <w:bCs/>
          <w:sz w:val="24"/>
          <w:szCs w:val="24"/>
        </w:rPr>
        <w:t> </w:t>
      </w:r>
      <w:r w:rsidRPr="00A50DBC">
        <w:rPr>
          <w:bCs/>
          <w:sz w:val="24"/>
          <w:szCs w:val="24"/>
        </w:rPr>
        <w:t>nová témata, což je reflektováno rovněž v navýšení výše finančních prostředků vyčleněných z rozpočtu EU. Větší důraz by měl být rovněž kladen na sledování dopadů této formy spolupráce.</w:t>
      </w:r>
    </w:p>
    <w:p w:rsidR="00141BE0" w:rsidRPr="00535869" w:rsidRDefault="004234F5" w:rsidP="00CC7CDC">
      <w:pPr>
        <w:spacing w:after="120" w:line="240" w:lineRule="auto"/>
        <w:jc w:val="both"/>
        <w:rPr>
          <w:sz w:val="24"/>
          <w:szCs w:val="24"/>
        </w:rPr>
      </w:pPr>
      <w:r>
        <w:rPr>
          <w:sz w:val="24"/>
          <w:szCs w:val="24"/>
        </w:rPr>
        <w:t>Jednotlivé iniciativy si kladou následující cíle:</w:t>
      </w:r>
    </w:p>
    <w:p w:rsidR="004234F5" w:rsidRPr="004234F5" w:rsidRDefault="004234F5" w:rsidP="00EA3710">
      <w:pPr>
        <w:pStyle w:val="Odstavecseseznamem"/>
        <w:numPr>
          <w:ilvl w:val="0"/>
          <w:numId w:val="16"/>
        </w:numPr>
        <w:spacing w:after="120" w:line="240" w:lineRule="auto"/>
        <w:jc w:val="both"/>
        <w:rPr>
          <w:sz w:val="24"/>
          <w:szCs w:val="24"/>
        </w:rPr>
      </w:pPr>
      <w:r w:rsidRPr="00811ADD">
        <w:rPr>
          <w:b/>
          <w:noProof/>
          <w:sz w:val="24"/>
          <w:szCs w:val="24"/>
        </w:rPr>
        <w:t>Program AAL 2</w:t>
      </w:r>
      <w:r w:rsidRPr="00811ADD">
        <w:rPr>
          <w:noProof/>
          <w:sz w:val="24"/>
          <w:szCs w:val="24"/>
        </w:rPr>
        <w:t xml:space="preserve"> – realizace inovativních řešení v oblasti informačních a komunikačních technologií (ICT), které umožní nezávislé a důstojné stáří, přispějí k celkovému</w:t>
      </w:r>
      <w:r w:rsidRPr="004234F5">
        <w:rPr>
          <w:sz w:val="24"/>
          <w:szCs w:val="24"/>
        </w:rPr>
        <w:t xml:space="preserve"> udržitelnému rozvoji péče o občany a zároveň zajistí nové ekonomické příležitosti pro evropský průmysl. </w:t>
      </w:r>
    </w:p>
    <w:p w:rsidR="004234F5" w:rsidRPr="004234F5" w:rsidRDefault="004234F5" w:rsidP="00EA3710">
      <w:pPr>
        <w:pStyle w:val="Odstavecseseznamem"/>
        <w:numPr>
          <w:ilvl w:val="0"/>
          <w:numId w:val="16"/>
        </w:numPr>
        <w:spacing w:after="120" w:line="240" w:lineRule="auto"/>
        <w:jc w:val="both"/>
        <w:rPr>
          <w:sz w:val="24"/>
          <w:szCs w:val="24"/>
        </w:rPr>
      </w:pPr>
      <w:r w:rsidRPr="004234F5">
        <w:rPr>
          <w:b/>
          <w:sz w:val="24"/>
          <w:szCs w:val="24"/>
        </w:rPr>
        <w:t>Program EDCTP 2</w:t>
      </w:r>
      <w:r w:rsidRPr="004234F5">
        <w:rPr>
          <w:sz w:val="24"/>
          <w:szCs w:val="24"/>
        </w:rPr>
        <w:t xml:space="preserve"> - pokročit v boji proti HIV, malárii a tuberkulóze, tj. nemocem, které mají významné negativní socioekonomické dopady na rozvoj afrických zemí. Předmětem koordinace příslušných výzkumných programů účastnických států EDCTP jsou jak samotné klinické pokusy za účelem vývoje nových léčiv a léčebných postupů, tak vytvoření zázemí pro klinický výzkum v afrických zemích. V druhé fázi implementace iniciativy v letech 2014-2024 je plánováno více než ztrojnásobení rozpočtu a rozšíření výzkumu i na další nemoci spojované s chudobou. </w:t>
      </w:r>
    </w:p>
    <w:p w:rsidR="004234F5" w:rsidRPr="00CC7CDC" w:rsidRDefault="004234F5" w:rsidP="00EA3710">
      <w:pPr>
        <w:pStyle w:val="Odstavecseseznamem"/>
        <w:numPr>
          <w:ilvl w:val="0"/>
          <w:numId w:val="16"/>
        </w:numPr>
        <w:spacing w:after="120" w:line="240" w:lineRule="auto"/>
        <w:jc w:val="both"/>
        <w:rPr>
          <w:sz w:val="24"/>
          <w:szCs w:val="24"/>
        </w:rPr>
      </w:pPr>
      <w:r w:rsidRPr="00CC7CDC">
        <w:rPr>
          <w:b/>
          <w:bCs/>
          <w:sz w:val="24"/>
          <w:szCs w:val="24"/>
        </w:rPr>
        <w:t>Program EMPIR</w:t>
      </w:r>
      <w:r w:rsidRPr="00CC7CDC">
        <w:rPr>
          <w:bCs/>
          <w:sz w:val="24"/>
          <w:szCs w:val="24"/>
        </w:rPr>
        <w:t xml:space="preserve"> - </w:t>
      </w:r>
      <w:r w:rsidR="00CC7CDC" w:rsidRPr="00CC7CDC">
        <w:rPr>
          <w:sz w:val="24"/>
          <w:szCs w:val="24"/>
        </w:rPr>
        <w:t>poskytnutí integrovaných metrologických řešení vhodných pro daný účel, která podporují inovace a konkurenceschopnost průmyslu, a technologií měření, které se zabývají společenskými výzvami, jako je zdraví, životní prostředí a</w:t>
      </w:r>
      <w:r w:rsidR="00CC7CDC">
        <w:rPr>
          <w:sz w:val="24"/>
          <w:szCs w:val="24"/>
        </w:rPr>
        <w:t> </w:t>
      </w:r>
      <w:r w:rsidR="00CC7CDC" w:rsidRPr="00CC7CDC">
        <w:rPr>
          <w:sz w:val="24"/>
          <w:szCs w:val="24"/>
        </w:rPr>
        <w:t xml:space="preserve">energie, včetně podpory při </w:t>
      </w:r>
      <w:r w:rsidR="00CC7CDC">
        <w:rPr>
          <w:sz w:val="24"/>
          <w:szCs w:val="24"/>
        </w:rPr>
        <w:t>vypracování a provádění politik.</w:t>
      </w:r>
      <w:r w:rsidR="00CC7CDC" w:rsidRPr="00CC7CDC">
        <w:rPr>
          <w:sz w:val="24"/>
          <w:szCs w:val="24"/>
        </w:rPr>
        <w:t xml:space="preserve"> </w:t>
      </w:r>
    </w:p>
    <w:p w:rsidR="004B18C3" w:rsidRPr="00950F6C" w:rsidRDefault="004234F5" w:rsidP="00EA3710">
      <w:pPr>
        <w:pStyle w:val="Odstavecseseznamem"/>
        <w:numPr>
          <w:ilvl w:val="0"/>
          <w:numId w:val="16"/>
        </w:numPr>
        <w:spacing w:line="240" w:lineRule="auto"/>
        <w:ind w:left="714" w:hanging="357"/>
        <w:jc w:val="both"/>
        <w:rPr>
          <w:sz w:val="24"/>
          <w:szCs w:val="24"/>
        </w:rPr>
      </w:pPr>
      <w:r w:rsidRPr="004234F5">
        <w:rPr>
          <w:b/>
          <w:sz w:val="24"/>
          <w:szCs w:val="24"/>
        </w:rPr>
        <w:t>Program Eurostars 2</w:t>
      </w:r>
      <w:r w:rsidRPr="004234F5">
        <w:rPr>
          <w:sz w:val="24"/>
          <w:szCs w:val="24"/>
        </w:rPr>
        <w:t xml:space="preserve"> </w:t>
      </w:r>
      <w:r>
        <w:rPr>
          <w:sz w:val="24"/>
          <w:szCs w:val="24"/>
        </w:rPr>
        <w:t xml:space="preserve">- </w:t>
      </w:r>
      <w:r w:rsidRPr="004234F5">
        <w:rPr>
          <w:sz w:val="24"/>
          <w:szCs w:val="24"/>
        </w:rPr>
        <w:t xml:space="preserve">podpořit tržně orientovanou nadnárodní výzkumnou činnost </w:t>
      </w:r>
      <w:r>
        <w:rPr>
          <w:sz w:val="24"/>
          <w:szCs w:val="24"/>
        </w:rPr>
        <w:t>malých a středních podniků (MSP)</w:t>
      </w:r>
      <w:r w:rsidRPr="004234F5">
        <w:rPr>
          <w:sz w:val="24"/>
          <w:szCs w:val="24"/>
        </w:rPr>
        <w:t xml:space="preserve"> a přispět tak k posílení konkurenceschopnosti </w:t>
      </w:r>
      <w:r w:rsidR="00A077A1" w:rsidRPr="004234F5">
        <w:rPr>
          <w:sz w:val="24"/>
          <w:szCs w:val="24"/>
        </w:rPr>
        <w:t>a</w:t>
      </w:r>
      <w:r w:rsidR="00A077A1">
        <w:rPr>
          <w:sz w:val="24"/>
          <w:szCs w:val="24"/>
        </w:rPr>
        <w:t> </w:t>
      </w:r>
      <w:r w:rsidRPr="004234F5">
        <w:rPr>
          <w:sz w:val="24"/>
          <w:szCs w:val="24"/>
        </w:rPr>
        <w:t xml:space="preserve">tvorbě pracovních míst. Dílčím cílem programu je přispět ke koordinaci podpory výzkumně zaměřených MSP napříč členskými státy a snížit tak administrativní náklady zapojování se do projektů mezinárodní spolupráce. </w:t>
      </w:r>
    </w:p>
    <w:p w:rsidR="00E17B19" w:rsidRDefault="00E17B19" w:rsidP="00A32042">
      <w:pPr>
        <w:pBdr>
          <w:top w:val="single" w:sz="4" w:space="1" w:color="auto"/>
          <w:left w:val="single" w:sz="4" w:space="4" w:color="auto"/>
          <w:bottom w:val="single" w:sz="4" w:space="1" w:color="auto"/>
          <w:right w:val="single" w:sz="4" w:space="4" w:color="auto"/>
        </w:pBdr>
        <w:shd w:val="clear" w:color="auto" w:fill="B8CCE4" w:themeFill="accent1" w:themeFillTint="66"/>
        <w:spacing w:after="120" w:line="240" w:lineRule="auto"/>
        <w:jc w:val="both"/>
        <w:rPr>
          <w:rFonts w:cs="TimesNewRoman,Bold"/>
          <w:bCs/>
          <w:sz w:val="24"/>
          <w:szCs w:val="24"/>
        </w:rPr>
      </w:pPr>
      <w:r w:rsidRPr="00E17B19">
        <w:rPr>
          <w:rFonts w:cs="TimesNewRoman,Bold"/>
          <w:bCs/>
          <w:sz w:val="24"/>
          <w:szCs w:val="24"/>
        </w:rPr>
        <w:t>Č</w:t>
      </w:r>
      <w:r>
        <w:rPr>
          <w:rFonts w:cs="TimesNewRoman,Bold"/>
          <w:bCs/>
          <w:sz w:val="24"/>
          <w:szCs w:val="24"/>
        </w:rPr>
        <w:t xml:space="preserve">R </w:t>
      </w:r>
      <w:r w:rsidRPr="00E17B19">
        <w:rPr>
          <w:rFonts w:cs="TimesNewRoman,Bold"/>
          <w:bCs/>
          <w:sz w:val="24"/>
          <w:szCs w:val="24"/>
        </w:rPr>
        <w:t>se v průběhu 7. RP zapojila do implementace programu Eurostars zaměřeného na podporu malých a středních podniků a evropského metrologického programu pro výzkum (EMRP).</w:t>
      </w:r>
      <w:r>
        <w:rPr>
          <w:rFonts w:cs="TimesNewRoman,Bold"/>
          <w:bCs/>
          <w:sz w:val="24"/>
          <w:szCs w:val="24"/>
        </w:rPr>
        <w:t xml:space="preserve"> ČR vítá p</w:t>
      </w:r>
      <w:r w:rsidRPr="00E17B19">
        <w:rPr>
          <w:rFonts w:cs="TimesNewRoman,Bold"/>
          <w:bCs/>
          <w:sz w:val="24"/>
          <w:szCs w:val="24"/>
        </w:rPr>
        <w:t xml:space="preserve">okračování těchto programů a podporuje zapojení Unie do návazných programů, neboť jejich dosavadní implementace přispěla ke zvýšení konkurenceschopnosti českých firem prostřednictvím jejich zapojení do mezinárodních projektů výzkumu a vývoje </w:t>
      </w:r>
      <w:r w:rsidR="00A077A1" w:rsidRPr="00E17B19">
        <w:rPr>
          <w:rFonts w:cs="TimesNewRoman,Bold"/>
          <w:bCs/>
          <w:sz w:val="24"/>
          <w:szCs w:val="24"/>
        </w:rPr>
        <w:t>a</w:t>
      </w:r>
      <w:r w:rsidR="00A077A1">
        <w:rPr>
          <w:rFonts w:cs="TimesNewRoman,Bold"/>
          <w:bCs/>
          <w:sz w:val="24"/>
          <w:szCs w:val="24"/>
        </w:rPr>
        <w:t> </w:t>
      </w:r>
      <w:r w:rsidRPr="00E17B19">
        <w:rPr>
          <w:rFonts w:cs="TimesNewRoman,Bold"/>
          <w:bCs/>
          <w:sz w:val="24"/>
          <w:szCs w:val="24"/>
        </w:rPr>
        <w:t xml:space="preserve">umožnila dosáhnout kritického množství potřebného pro výzkum a vývoj špičkových technologií. V případech obou programů bylo v průběhu let možné zaznamenat zvyšující se počet účastí českých subjektů, což ukazuje na zvyšující se zájem českých výzkumných </w:t>
      </w:r>
      <w:r w:rsidR="00A077A1" w:rsidRPr="00E17B19">
        <w:rPr>
          <w:rFonts w:cs="TimesNewRoman,Bold"/>
          <w:bCs/>
          <w:sz w:val="24"/>
          <w:szCs w:val="24"/>
        </w:rPr>
        <w:t>t</w:t>
      </w:r>
      <w:r w:rsidR="00A077A1">
        <w:rPr>
          <w:rFonts w:cs="TimesNewRoman,Bold"/>
          <w:bCs/>
          <w:sz w:val="24"/>
          <w:szCs w:val="24"/>
        </w:rPr>
        <w:t>ý</w:t>
      </w:r>
      <w:r w:rsidR="00A077A1" w:rsidRPr="00E17B19">
        <w:rPr>
          <w:rFonts w:cs="TimesNewRoman,Bold"/>
          <w:bCs/>
          <w:sz w:val="24"/>
          <w:szCs w:val="24"/>
        </w:rPr>
        <w:t xml:space="preserve">mů </w:t>
      </w:r>
      <w:r w:rsidRPr="00E17B19">
        <w:rPr>
          <w:rFonts w:cs="TimesNewRoman,Bold"/>
          <w:bCs/>
          <w:sz w:val="24"/>
          <w:szCs w:val="24"/>
        </w:rPr>
        <w:t>o</w:t>
      </w:r>
      <w:r w:rsidR="005065C8">
        <w:rPr>
          <w:rFonts w:cs="TimesNewRoman,Bold"/>
          <w:bCs/>
          <w:sz w:val="24"/>
          <w:szCs w:val="24"/>
        </w:rPr>
        <w:t> </w:t>
      </w:r>
      <w:r w:rsidRPr="00E17B19">
        <w:rPr>
          <w:rFonts w:cs="TimesNewRoman,Bold"/>
          <w:bCs/>
          <w:sz w:val="24"/>
          <w:szCs w:val="24"/>
        </w:rPr>
        <w:t xml:space="preserve">účast a současně na jejich schopnost uspět v mezinárodní konkurenci a do programů se zapojovat. </w:t>
      </w:r>
    </w:p>
    <w:p w:rsidR="00A32042" w:rsidRPr="00E17B19" w:rsidRDefault="00A32042" w:rsidP="00A32042">
      <w:pPr>
        <w:pBdr>
          <w:top w:val="single" w:sz="4" w:space="1" w:color="auto"/>
          <w:left w:val="single" w:sz="4" w:space="4" w:color="auto"/>
          <w:bottom w:val="single" w:sz="4" w:space="1" w:color="auto"/>
          <w:right w:val="single" w:sz="4" w:space="4" w:color="auto"/>
        </w:pBdr>
        <w:shd w:val="clear" w:color="auto" w:fill="B8CCE4" w:themeFill="accent1" w:themeFillTint="66"/>
        <w:spacing w:after="120" w:line="240" w:lineRule="auto"/>
        <w:jc w:val="both"/>
        <w:rPr>
          <w:rFonts w:cs="TimesNewRoman,Bold"/>
          <w:bCs/>
          <w:sz w:val="24"/>
          <w:szCs w:val="24"/>
        </w:rPr>
      </w:pPr>
      <w:r>
        <w:rPr>
          <w:rFonts w:cs="TimesNewRoman,Bold"/>
          <w:bCs/>
          <w:sz w:val="24"/>
          <w:szCs w:val="24"/>
        </w:rPr>
        <w:t>ČR tak s ohledem na nadcházející ustavení dvou výše uvedených programů již vůči Evropské komisi deklarovala svůj závazek k účasti v těchto programech, včetně finanční alokace. V případě dvou zbývajících programů (AAL 2, EDCTP</w:t>
      </w:r>
      <w:r w:rsidR="00C75970">
        <w:rPr>
          <w:rFonts w:cs="TimesNewRoman,Bold"/>
          <w:bCs/>
          <w:sz w:val="24"/>
          <w:szCs w:val="24"/>
        </w:rPr>
        <w:t xml:space="preserve"> 2</w:t>
      </w:r>
      <w:r>
        <w:rPr>
          <w:rFonts w:cs="TimesNewRoman,Bold"/>
          <w:bCs/>
          <w:sz w:val="24"/>
          <w:szCs w:val="24"/>
        </w:rPr>
        <w:t xml:space="preserve">), na jejichž aktivitách se ČR dosud nepodílela, bude možnost přistoupení komplexně vyhodnocena v rámci přípravy </w:t>
      </w:r>
      <w:r>
        <w:rPr>
          <w:b/>
          <w:sz w:val="24"/>
          <w:szCs w:val="24"/>
        </w:rPr>
        <w:t>Strategie</w:t>
      </w:r>
      <w:r w:rsidRPr="00032EC8">
        <w:rPr>
          <w:b/>
          <w:sz w:val="24"/>
          <w:szCs w:val="24"/>
        </w:rPr>
        <w:t xml:space="preserve"> internacionalizace vysokého školství, VaVaI a podnikání ČR</w:t>
      </w:r>
      <w:r>
        <w:rPr>
          <w:b/>
          <w:sz w:val="24"/>
          <w:szCs w:val="24"/>
        </w:rPr>
        <w:t xml:space="preserve"> </w:t>
      </w:r>
      <w:r w:rsidRPr="00A32042">
        <w:rPr>
          <w:sz w:val="24"/>
          <w:szCs w:val="24"/>
        </w:rPr>
        <w:t>v průběhu roku 2014.</w:t>
      </w:r>
    </w:p>
    <w:p w:rsidR="004B18C3" w:rsidRDefault="004B18C3" w:rsidP="001C46F6">
      <w:pPr>
        <w:spacing w:line="240" w:lineRule="auto"/>
        <w:jc w:val="both"/>
        <w:rPr>
          <w:sz w:val="24"/>
          <w:szCs w:val="24"/>
        </w:rPr>
      </w:pPr>
    </w:p>
    <w:p w:rsidR="005065C8" w:rsidRDefault="005065C8" w:rsidP="001C46F6">
      <w:pPr>
        <w:spacing w:line="240" w:lineRule="auto"/>
        <w:jc w:val="both"/>
        <w:rPr>
          <w:sz w:val="24"/>
          <w:szCs w:val="24"/>
        </w:rPr>
      </w:pPr>
    </w:p>
    <w:p w:rsidR="004B18C3" w:rsidRPr="007D4923" w:rsidRDefault="007D4923" w:rsidP="007D4923">
      <w:pPr>
        <w:spacing w:line="240" w:lineRule="auto"/>
        <w:rPr>
          <w:sz w:val="28"/>
          <w:szCs w:val="28"/>
        </w:rPr>
      </w:pPr>
      <w:r>
        <w:rPr>
          <w:b/>
          <w:sz w:val="28"/>
          <w:szCs w:val="28"/>
        </w:rPr>
        <w:t xml:space="preserve">3.  </w:t>
      </w:r>
      <w:r w:rsidR="00042631" w:rsidRPr="007D4923">
        <w:rPr>
          <w:b/>
          <w:sz w:val="28"/>
          <w:szCs w:val="28"/>
        </w:rPr>
        <w:t>Iniciativy na základě článku 187 SFEU za účelem implementace společných technologických iniciativ</w:t>
      </w:r>
    </w:p>
    <w:p w:rsidR="004B18C3" w:rsidRDefault="00042631" w:rsidP="00042631">
      <w:pPr>
        <w:spacing w:line="240" w:lineRule="auto"/>
        <w:jc w:val="both"/>
        <w:rPr>
          <w:sz w:val="24"/>
          <w:szCs w:val="24"/>
        </w:rPr>
      </w:pPr>
      <w:r>
        <w:rPr>
          <w:sz w:val="24"/>
          <w:szCs w:val="24"/>
        </w:rPr>
        <w:t>Soubor legislativních návrhů, které umožní ustavení společných podniků na základě článku 187 SFEU za účelem implementace společných technologických iniciativ</w:t>
      </w:r>
      <w:r w:rsidR="006D7BBE">
        <w:rPr>
          <w:sz w:val="24"/>
          <w:szCs w:val="24"/>
        </w:rPr>
        <w:t>,</w:t>
      </w:r>
      <w:r>
        <w:rPr>
          <w:sz w:val="24"/>
          <w:szCs w:val="24"/>
        </w:rPr>
        <w:t xml:space="preserve"> je další součástí tzv. balíčku investic do inovací. Na rozdíl </w:t>
      </w:r>
      <w:r w:rsidR="00693B94">
        <w:rPr>
          <w:sz w:val="24"/>
          <w:szCs w:val="24"/>
        </w:rPr>
        <w:t>od iniciativ na základě článku 185 SFEU, které představují partnerství v oblasti veřejného sektoru, jde o partnerství veřejného a soukromého sektoru a</w:t>
      </w:r>
      <w:r w:rsidR="006D7BBE">
        <w:rPr>
          <w:sz w:val="24"/>
          <w:szCs w:val="24"/>
        </w:rPr>
        <w:t xml:space="preserve"> návrhy</w:t>
      </w:r>
      <w:r w:rsidR="00693B94">
        <w:rPr>
          <w:sz w:val="24"/>
          <w:szCs w:val="24"/>
        </w:rPr>
        <w:t xml:space="preserve"> jsou schvalovány procedurou konzultace, nikoli spolupráce. Soubor zahrnuje následující dokumenty: </w:t>
      </w:r>
    </w:p>
    <w:p w:rsidR="00693B94" w:rsidRPr="00693B94" w:rsidRDefault="00693B94" w:rsidP="00EA3710">
      <w:pPr>
        <w:pStyle w:val="Odstavecseseznamem"/>
        <w:keepNext/>
        <w:numPr>
          <w:ilvl w:val="0"/>
          <w:numId w:val="17"/>
        </w:numPr>
        <w:spacing w:after="120" w:line="240" w:lineRule="auto"/>
        <w:jc w:val="both"/>
        <w:rPr>
          <w:bCs/>
          <w:sz w:val="24"/>
          <w:szCs w:val="24"/>
        </w:rPr>
      </w:pPr>
      <w:r w:rsidRPr="00693B94">
        <w:rPr>
          <w:sz w:val="24"/>
          <w:szCs w:val="24"/>
        </w:rPr>
        <w:t>Návrh Nařízení Rady o společném podniku v oblasti průmyslu založeného na biotechnologiích</w:t>
      </w:r>
    </w:p>
    <w:p w:rsidR="00693B94" w:rsidRPr="00693B94" w:rsidRDefault="00693B94" w:rsidP="00EA3710">
      <w:pPr>
        <w:pStyle w:val="Odstavecseseznamem"/>
        <w:numPr>
          <w:ilvl w:val="0"/>
          <w:numId w:val="17"/>
        </w:numPr>
        <w:spacing w:after="120" w:line="240" w:lineRule="auto"/>
        <w:jc w:val="both"/>
        <w:rPr>
          <w:sz w:val="24"/>
          <w:szCs w:val="24"/>
        </w:rPr>
      </w:pPr>
      <w:r w:rsidRPr="00693B94">
        <w:rPr>
          <w:sz w:val="24"/>
          <w:szCs w:val="24"/>
        </w:rPr>
        <w:t>Návrh Nařízení Rady o společném podniku Clean Sky 2</w:t>
      </w:r>
    </w:p>
    <w:p w:rsidR="00693B94" w:rsidRPr="00693B94" w:rsidRDefault="00693B94" w:rsidP="00EA3710">
      <w:pPr>
        <w:pStyle w:val="Odstavecseseznamem"/>
        <w:numPr>
          <w:ilvl w:val="0"/>
          <w:numId w:val="17"/>
        </w:numPr>
        <w:spacing w:after="120" w:line="240" w:lineRule="auto"/>
        <w:jc w:val="both"/>
        <w:rPr>
          <w:sz w:val="24"/>
          <w:szCs w:val="24"/>
        </w:rPr>
      </w:pPr>
      <w:r w:rsidRPr="00693B94">
        <w:rPr>
          <w:sz w:val="24"/>
          <w:szCs w:val="24"/>
        </w:rPr>
        <w:t>Návrh Nařízení Rady o společném podniku ECSEL</w:t>
      </w:r>
    </w:p>
    <w:p w:rsidR="00693B94" w:rsidRPr="00693B94" w:rsidRDefault="00693B94" w:rsidP="00EA3710">
      <w:pPr>
        <w:pStyle w:val="Odstavecseseznamem"/>
        <w:numPr>
          <w:ilvl w:val="0"/>
          <w:numId w:val="17"/>
        </w:numPr>
        <w:spacing w:after="120" w:line="240" w:lineRule="auto"/>
        <w:jc w:val="both"/>
        <w:rPr>
          <w:sz w:val="24"/>
          <w:szCs w:val="24"/>
        </w:rPr>
      </w:pPr>
      <w:r w:rsidRPr="00693B94">
        <w:rPr>
          <w:sz w:val="24"/>
          <w:szCs w:val="24"/>
        </w:rPr>
        <w:t>Návrh Nařízení Rady o společném podniku pro palivové články a vodík 2</w:t>
      </w:r>
    </w:p>
    <w:p w:rsidR="00693B94" w:rsidRPr="00693B94" w:rsidRDefault="00693B94" w:rsidP="00EA3710">
      <w:pPr>
        <w:pStyle w:val="Odstavecseseznamem"/>
        <w:keepNext/>
        <w:numPr>
          <w:ilvl w:val="0"/>
          <w:numId w:val="17"/>
        </w:numPr>
        <w:spacing w:after="240" w:line="240" w:lineRule="auto"/>
        <w:jc w:val="both"/>
        <w:rPr>
          <w:bCs/>
          <w:sz w:val="24"/>
          <w:szCs w:val="24"/>
        </w:rPr>
      </w:pPr>
      <w:r w:rsidRPr="00693B94">
        <w:rPr>
          <w:sz w:val="24"/>
          <w:szCs w:val="24"/>
        </w:rPr>
        <w:t>Návrh nařízení Rady o společném podniku iniciativy pro inovativní léčiva 2</w:t>
      </w:r>
    </w:p>
    <w:p w:rsidR="00693B94" w:rsidRDefault="000960F1" w:rsidP="00693B94">
      <w:pPr>
        <w:spacing w:after="120" w:line="240" w:lineRule="auto"/>
        <w:jc w:val="both"/>
        <w:rPr>
          <w:sz w:val="24"/>
          <w:szCs w:val="24"/>
        </w:rPr>
      </w:pPr>
      <w:r>
        <w:rPr>
          <w:sz w:val="24"/>
          <w:szCs w:val="24"/>
        </w:rPr>
        <w:t xml:space="preserve">Legislativní návrhy byly představeny Evropskou komisí dne 10. 7. 2013 a v průběhu druhé poloviny roku 2013 byly pod vedením </w:t>
      </w:r>
      <w:r w:rsidR="00124A38">
        <w:rPr>
          <w:sz w:val="24"/>
          <w:szCs w:val="24"/>
        </w:rPr>
        <w:t>litevského předsednictví</w:t>
      </w:r>
      <w:r w:rsidR="00124A38" w:rsidRPr="004B18C3">
        <w:rPr>
          <w:sz w:val="24"/>
          <w:szCs w:val="24"/>
        </w:rPr>
        <w:t xml:space="preserve"> </w:t>
      </w:r>
      <w:r>
        <w:rPr>
          <w:sz w:val="24"/>
          <w:szCs w:val="24"/>
        </w:rPr>
        <w:t xml:space="preserve">zevrubně projednány na přípravných orgánech Rady. V návaznosti na dosažení konsensu mezi členskými státy byl na zasedání Rady pro konkurenceschopnost dne 3. 12. 2014 přijat obecný přístup ke </w:t>
      </w:r>
      <w:r w:rsidR="00D85EEE">
        <w:rPr>
          <w:sz w:val="24"/>
          <w:szCs w:val="24"/>
        </w:rPr>
        <w:t>všem výše uvedeným návrhům.</w:t>
      </w:r>
    </w:p>
    <w:p w:rsidR="00042631" w:rsidRPr="00693B94" w:rsidRDefault="00042631" w:rsidP="00693B94">
      <w:pPr>
        <w:spacing w:after="120" w:line="240" w:lineRule="auto"/>
        <w:jc w:val="both"/>
        <w:rPr>
          <w:sz w:val="24"/>
          <w:szCs w:val="24"/>
        </w:rPr>
      </w:pPr>
      <w:r w:rsidRPr="00693B94">
        <w:rPr>
          <w:sz w:val="24"/>
          <w:szCs w:val="24"/>
        </w:rPr>
        <w:t>Účelem společných podniků je implementace společné technologické iniciativy (Joint Technology Initiative – JTI), tedy partnerství veřejného a soukromého sektoru s definovanou výzkumnou a inovační agendou, ve strategicky významných oblastech výzkumu a vývoje s potenciálně vysokou přidanou hodnotou pro ekonomiku EU. Společné technologické iniciativy jsou schématem, které bylo poprvé představeno v průběhu 7. RP, a v programu Horizont 2020 by měly hrát významnou roli v </w:t>
      </w:r>
      <w:r w:rsidRPr="00D35B9A">
        <w:rPr>
          <w:sz w:val="24"/>
          <w:szCs w:val="24"/>
        </w:rPr>
        <w:t>posílení spolupráce mezi podniky a</w:t>
      </w:r>
      <w:r w:rsidR="00693B94" w:rsidRPr="00D35B9A">
        <w:rPr>
          <w:sz w:val="24"/>
          <w:szCs w:val="24"/>
        </w:rPr>
        <w:t> </w:t>
      </w:r>
      <w:r w:rsidRPr="00D35B9A">
        <w:rPr>
          <w:sz w:val="24"/>
          <w:szCs w:val="24"/>
        </w:rPr>
        <w:t>akademickou sférou a přispět k naplnění jeho cílů v</w:t>
      </w:r>
      <w:r w:rsidRPr="00693B94">
        <w:rPr>
          <w:sz w:val="24"/>
          <w:szCs w:val="24"/>
        </w:rPr>
        <w:t xml:space="preserve"> jednotlivých oblastech výzkumu. JTI by měly zejména přispět k navýšení výdajů soukromého sektoru do inovačních aktivit. V případě ECSEL, FCH 2, Clean Sky 2 a IMI 2 jde o pokračování v současnosti implementovaných iniciativ, ačkoli v případě ECSEL jde o kombinaci dvou dosavadních společných podniků ARTEMIS a ENIAC. Společný podnik v oblasti průmyslu založeného na biotechnologiích je nově ustanovovanou iniciativou. </w:t>
      </w:r>
    </w:p>
    <w:p w:rsidR="004B18C3" w:rsidRPr="00AF7372" w:rsidRDefault="00042631" w:rsidP="00AF7372">
      <w:pPr>
        <w:spacing w:after="120" w:line="240" w:lineRule="auto"/>
        <w:jc w:val="both"/>
        <w:rPr>
          <w:sz w:val="24"/>
          <w:szCs w:val="24"/>
        </w:rPr>
      </w:pPr>
      <w:r w:rsidRPr="00693B94">
        <w:rPr>
          <w:sz w:val="24"/>
          <w:szCs w:val="24"/>
        </w:rPr>
        <w:t>Návrhy druhé vlny JTIs vycházejí ze zkušeností s dosavadním fungováním těchto iniciativ, které byly ve zprávě Evropského účetního dvora hodnoceny pozitivně co do dosažení stanovených cílů. Komise do návrhů zapracovala řadu podnětů, které by měly přispět k efektivnějšímu fungování těchto iniciativ, jejich otevřenosti vůči novým členům a atraktivitě pro zástupce průmyslu. Nově budou pro tyto iniciativy platit obecná pravidla účasti pro program Horizont 2020 s tím, že odchylky budou umožněny ve výjimečných případech prostřednictvím delegovaných aktů. Pro každou z iniciativ je rovněž definována role členských států tak, aby byly zapojeny do procesu řízení JTIs, byl zajištěn přístup k relevantním datům a informacím, a byly posíleny synergie mezi aktivitami na národní a evropské úrovni.</w:t>
      </w:r>
    </w:p>
    <w:p w:rsidR="00D85EEE" w:rsidRPr="00D85EEE" w:rsidRDefault="00D85EEE" w:rsidP="00F918B6">
      <w:pPr>
        <w:pBdr>
          <w:top w:val="single" w:sz="4" w:space="1" w:color="auto"/>
          <w:left w:val="single" w:sz="4" w:space="4" w:color="auto"/>
          <w:bottom w:val="single" w:sz="4" w:space="1" w:color="auto"/>
          <w:right w:val="single" w:sz="4" w:space="4" w:color="auto"/>
        </w:pBdr>
        <w:shd w:val="clear" w:color="auto" w:fill="B8CCE4" w:themeFill="accent1" w:themeFillTint="66"/>
        <w:spacing w:line="240" w:lineRule="auto"/>
        <w:jc w:val="both"/>
        <w:rPr>
          <w:b/>
          <w:color w:val="000000"/>
          <w:sz w:val="24"/>
          <w:szCs w:val="24"/>
        </w:rPr>
      </w:pPr>
      <w:r w:rsidRPr="00D85EEE">
        <w:rPr>
          <w:sz w:val="24"/>
          <w:szCs w:val="24"/>
        </w:rPr>
        <w:t>ČR považuje rozvoj partnerství veřejného a soukromého sektoru za nedílnou součást funkčního inovačního systému</w:t>
      </w:r>
      <w:r w:rsidRPr="00D85EEE">
        <w:rPr>
          <w:b/>
          <w:color w:val="000000"/>
          <w:sz w:val="24"/>
          <w:szCs w:val="24"/>
        </w:rPr>
        <w:t xml:space="preserve"> </w:t>
      </w:r>
      <w:r w:rsidRPr="00D85EEE">
        <w:rPr>
          <w:color w:val="000000"/>
          <w:sz w:val="24"/>
          <w:szCs w:val="24"/>
        </w:rPr>
        <w:t xml:space="preserve">a </w:t>
      </w:r>
      <w:r w:rsidRPr="00D85EEE">
        <w:rPr>
          <w:sz w:val="24"/>
          <w:szCs w:val="24"/>
        </w:rPr>
        <w:t>plně podporuje vznik a rozvoj partnerství veřejného a soukromého sektoru na úrovni EU. Dlouhodobá spolupráce veřejného výzkumného a</w:t>
      </w:r>
      <w:r w:rsidR="00AF7372">
        <w:rPr>
          <w:sz w:val="24"/>
          <w:szCs w:val="24"/>
        </w:rPr>
        <w:t> </w:t>
      </w:r>
      <w:r w:rsidRPr="00D85EEE">
        <w:rPr>
          <w:sz w:val="24"/>
          <w:szCs w:val="24"/>
        </w:rPr>
        <w:t>soukromého sektoru v </w:t>
      </w:r>
      <w:r>
        <w:rPr>
          <w:sz w:val="24"/>
          <w:szCs w:val="24"/>
        </w:rPr>
        <w:t>rámci strategicky definovaných s</w:t>
      </w:r>
      <w:r w:rsidRPr="00D85EEE">
        <w:rPr>
          <w:sz w:val="24"/>
          <w:szCs w:val="24"/>
        </w:rPr>
        <w:t>polečných technologických iniciativ implementovaných prostřednictvím společných podniků je v 7. RP hodnocena pozitivně a Č</w:t>
      </w:r>
      <w:r>
        <w:rPr>
          <w:sz w:val="24"/>
          <w:szCs w:val="24"/>
        </w:rPr>
        <w:t xml:space="preserve">R </w:t>
      </w:r>
      <w:r w:rsidRPr="00D85EEE">
        <w:rPr>
          <w:sz w:val="24"/>
          <w:szCs w:val="24"/>
        </w:rPr>
        <w:t>tak souhlas</w:t>
      </w:r>
      <w:r w:rsidR="00F918B6">
        <w:rPr>
          <w:sz w:val="24"/>
          <w:szCs w:val="24"/>
        </w:rPr>
        <w:t>í</w:t>
      </w:r>
      <w:r w:rsidRPr="00D85EEE">
        <w:rPr>
          <w:sz w:val="24"/>
          <w:szCs w:val="24"/>
        </w:rPr>
        <w:t xml:space="preserve"> s dalším zintenzivněním podpory daného modelu spolupráce v nadcházejícím programovém období v rámci programu Horizont 2020.</w:t>
      </w:r>
    </w:p>
    <w:p w:rsidR="004B18C3" w:rsidRPr="00AF7372" w:rsidRDefault="00AF7372" w:rsidP="00F918B6">
      <w:pPr>
        <w:pBdr>
          <w:top w:val="single" w:sz="4" w:space="1" w:color="auto"/>
          <w:left w:val="single" w:sz="4" w:space="4" w:color="auto"/>
          <w:bottom w:val="single" w:sz="4" w:space="1" w:color="auto"/>
          <w:right w:val="single" w:sz="4" w:space="4" w:color="auto"/>
        </w:pBdr>
        <w:shd w:val="clear" w:color="auto" w:fill="B8CCE4" w:themeFill="accent1" w:themeFillTint="66"/>
        <w:spacing w:line="240" w:lineRule="auto"/>
        <w:jc w:val="both"/>
        <w:rPr>
          <w:color w:val="000000"/>
          <w:sz w:val="24"/>
          <w:szCs w:val="24"/>
        </w:rPr>
      </w:pPr>
      <w:r w:rsidRPr="00AF7372">
        <w:rPr>
          <w:color w:val="000000"/>
          <w:sz w:val="24"/>
          <w:szCs w:val="24"/>
        </w:rPr>
        <w:t>V průběhu trvání 7. RP byla ČR zapojena</w:t>
      </w:r>
      <w:r>
        <w:rPr>
          <w:color w:val="000000"/>
          <w:sz w:val="24"/>
          <w:szCs w:val="24"/>
        </w:rPr>
        <w:t xml:space="preserve"> do činnosti všech existujících JTI a se svým aktivním zapojením počítá i v rámci programu Horizont 2020. ČR pozitivně hodnotí skutečnost, že společné podniky svými aktivitami přispívají ke zvýšení intenzity spolupráce mezi výzkumnými organizacemi a soukromými podniky</w:t>
      </w:r>
      <w:r w:rsidRPr="00AF7372">
        <w:rPr>
          <w:color w:val="000000"/>
          <w:sz w:val="24"/>
          <w:szCs w:val="24"/>
        </w:rPr>
        <w:t xml:space="preserve"> </w:t>
      </w:r>
      <w:r w:rsidR="00F918B6">
        <w:rPr>
          <w:color w:val="000000"/>
          <w:sz w:val="24"/>
          <w:szCs w:val="24"/>
        </w:rPr>
        <w:t xml:space="preserve">a zlepšují tak podmínky pro přenos znalostí do praxe. Vyšší míra spolupráce mezi výzkumnými organizacemi a inovujícími podniky je jednou z klíčových oblastí aktualizované </w:t>
      </w:r>
      <w:r w:rsidR="00F918B6">
        <w:rPr>
          <w:b/>
          <w:sz w:val="24"/>
          <w:szCs w:val="24"/>
        </w:rPr>
        <w:t>Národní politiky</w:t>
      </w:r>
      <w:r w:rsidR="00F918B6" w:rsidRPr="00032EC8">
        <w:rPr>
          <w:b/>
          <w:sz w:val="24"/>
          <w:szCs w:val="24"/>
        </w:rPr>
        <w:t xml:space="preserve"> výzkumu, vývoje a</w:t>
      </w:r>
      <w:r w:rsidR="00F918B6">
        <w:rPr>
          <w:b/>
          <w:sz w:val="24"/>
          <w:szCs w:val="24"/>
        </w:rPr>
        <w:t> </w:t>
      </w:r>
      <w:r w:rsidR="00F918B6" w:rsidRPr="00032EC8">
        <w:rPr>
          <w:b/>
          <w:sz w:val="24"/>
          <w:szCs w:val="24"/>
        </w:rPr>
        <w:t>inovací ČR na léta 2009 až 2015 s výhledem do roku 2020</w:t>
      </w:r>
      <w:r w:rsidR="00F918B6">
        <w:rPr>
          <w:b/>
          <w:sz w:val="24"/>
          <w:szCs w:val="24"/>
        </w:rPr>
        <w:t xml:space="preserve">. </w:t>
      </w:r>
      <w:r w:rsidR="00F918B6" w:rsidRPr="00F918B6">
        <w:rPr>
          <w:sz w:val="24"/>
          <w:szCs w:val="24"/>
        </w:rPr>
        <w:t>Na</w:t>
      </w:r>
      <w:r w:rsidR="00F918B6">
        <w:rPr>
          <w:sz w:val="24"/>
          <w:szCs w:val="24"/>
        </w:rPr>
        <w:t xml:space="preserve"> rozvoj strategických partnerství soukromého a veřejného sektoru a dlouhodobou spolupráci výzkumných organizací s podniky je kladen důraz rovněž při přípravě </w:t>
      </w:r>
      <w:r w:rsidR="00F918B6" w:rsidRPr="00F918B6">
        <w:rPr>
          <w:b/>
          <w:sz w:val="24"/>
          <w:szCs w:val="24"/>
        </w:rPr>
        <w:t>budoucího operačního programu v gesci MŠMT OP VVV</w:t>
      </w:r>
      <w:r w:rsidR="00F918B6">
        <w:rPr>
          <w:sz w:val="24"/>
          <w:szCs w:val="24"/>
        </w:rPr>
        <w:t>.</w:t>
      </w:r>
    </w:p>
    <w:p w:rsidR="004B18C3" w:rsidRDefault="004B18C3" w:rsidP="004B18C3">
      <w:pPr>
        <w:rPr>
          <w:b/>
          <w:color w:val="000000"/>
        </w:rPr>
      </w:pPr>
    </w:p>
    <w:p w:rsidR="004B18C3" w:rsidRDefault="004B18C3" w:rsidP="004B18C3">
      <w:pPr>
        <w:rPr>
          <w:b/>
          <w:color w:val="000000"/>
        </w:rPr>
      </w:pPr>
    </w:p>
    <w:p w:rsidR="004B18C3" w:rsidRDefault="004B18C3" w:rsidP="004B18C3">
      <w:pPr>
        <w:rPr>
          <w:b/>
          <w:color w:val="000000"/>
        </w:rPr>
      </w:pPr>
    </w:p>
    <w:p w:rsidR="004B18C3" w:rsidRDefault="004B18C3" w:rsidP="004B18C3">
      <w:pPr>
        <w:rPr>
          <w:b/>
          <w:color w:val="000000"/>
        </w:rPr>
      </w:pPr>
    </w:p>
    <w:p w:rsidR="004B18C3" w:rsidRDefault="004B18C3" w:rsidP="004B18C3">
      <w:pPr>
        <w:rPr>
          <w:b/>
          <w:color w:val="000000"/>
        </w:rPr>
      </w:pPr>
    </w:p>
    <w:p w:rsidR="004B18C3" w:rsidRDefault="004B18C3" w:rsidP="004B18C3">
      <w:pPr>
        <w:rPr>
          <w:b/>
          <w:color w:val="000000"/>
        </w:rPr>
      </w:pPr>
    </w:p>
    <w:p w:rsidR="004B18C3" w:rsidRDefault="004B18C3" w:rsidP="004B18C3">
      <w:pPr>
        <w:rPr>
          <w:b/>
          <w:color w:val="000000"/>
        </w:rPr>
      </w:pPr>
    </w:p>
    <w:sectPr w:rsidR="004B18C3" w:rsidSect="00BB072A">
      <w:footerReference w:type="default" r:id="rId12"/>
      <w:footerReference w:type="first" r:id="rId13"/>
      <w:pgSz w:w="11906" w:h="16838"/>
      <w:pgMar w:top="709" w:right="1417" w:bottom="709"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453" w:rsidRDefault="00F14453" w:rsidP="00CD66C5">
      <w:pPr>
        <w:spacing w:after="0" w:line="240" w:lineRule="auto"/>
      </w:pPr>
      <w:r>
        <w:separator/>
      </w:r>
    </w:p>
  </w:endnote>
  <w:endnote w:type="continuationSeparator" w:id="0">
    <w:p w:rsidR="00F14453" w:rsidRDefault="00F14453" w:rsidP="00CD66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Utiliser une police de caractè">
    <w:altName w:val="Times New Roman"/>
    <w:panose1 w:val="00000000000000000000"/>
    <w:charset w:val="00"/>
    <w:family w:val="roman"/>
    <w:notTrueType/>
    <w:pitch w:val="default"/>
    <w:sig w:usb0="00000000" w:usb1="00000000" w:usb2="00000000" w:usb3="00000000" w:csb0="00000000" w:csb1="00000000"/>
  </w:font>
  <w:font w:name="TimesNewRoman,Bold">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A2" w:rsidRPr="00856A4C" w:rsidRDefault="00AA39A2" w:rsidP="00856A4C">
    <w:pPr>
      <w:pStyle w:val="Zpat"/>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A2" w:rsidRDefault="00AA39A2" w:rsidP="00FE2E7E">
    <w:pPr>
      <w:pStyle w:val="Zpat"/>
      <w:tabs>
        <w:tab w:val="left" w:pos="4395"/>
      </w:tabs>
    </w:pPr>
    <w:r>
      <w:tab/>
    </w:r>
  </w:p>
  <w:p w:rsidR="00AA39A2" w:rsidRDefault="00AA39A2">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A2" w:rsidRDefault="00E75134">
    <w:pPr>
      <w:pStyle w:val="Zpat"/>
      <w:jc w:val="center"/>
    </w:pPr>
    <w:r>
      <w:fldChar w:fldCharType="begin"/>
    </w:r>
    <w:r w:rsidR="008F375E">
      <w:instrText xml:space="preserve"> PAGE   \* MERGEFORMAT </w:instrText>
    </w:r>
    <w:r>
      <w:fldChar w:fldCharType="separate"/>
    </w:r>
    <w:r w:rsidR="003B0E80">
      <w:rPr>
        <w:noProof/>
      </w:rPr>
      <w:t>2</w:t>
    </w:r>
    <w:r>
      <w:rPr>
        <w:noProof/>
      </w:rPr>
      <w:fldChar w:fldCharType="end"/>
    </w:r>
  </w:p>
  <w:p w:rsidR="00AA39A2" w:rsidRPr="00856A4C" w:rsidRDefault="00AA39A2" w:rsidP="00856A4C">
    <w:pPr>
      <w:pStyle w:val="Zpat"/>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A2" w:rsidRDefault="00E75134">
    <w:pPr>
      <w:pStyle w:val="Zpat"/>
      <w:jc w:val="center"/>
    </w:pPr>
    <w:r>
      <w:fldChar w:fldCharType="begin"/>
    </w:r>
    <w:r w:rsidR="008F375E">
      <w:instrText xml:space="preserve"> PAGE   \* MERGEFORMAT </w:instrText>
    </w:r>
    <w:r>
      <w:fldChar w:fldCharType="separate"/>
    </w:r>
    <w:r w:rsidR="003B0E80">
      <w:rPr>
        <w:noProof/>
      </w:rPr>
      <w:t>1</w:t>
    </w:r>
    <w:r>
      <w:rPr>
        <w:noProof/>
      </w:rPr>
      <w:fldChar w:fldCharType="end"/>
    </w:r>
  </w:p>
  <w:p w:rsidR="00AA39A2" w:rsidRDefault="00AA39A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453" w:rsidRDefault="00F14453" w:rsidP="00CD66C5">
      <w:pPr>
        <w:spacing w:after="0" w:line="240" w:lineRule="auto"/>
      </w:pPr>
      <w:r>
        <w:separator/>
      </w:r>
    </w:p>
  </w:footnote>
  <w:footnote w:type="continuationSeparator" w:id="0">
    <w:p w:rsidR="00F14453" w:rsidRDefault="00F14453" w:rsidP="00CD66C5">
      <w:pPr>
        <w:spacing w:after="0" w:line="240" w:lineRule="auto"/>
      </w:pPr>
      <w:r>
        <w:continuationSeparator/>
      </w:r>
    </w:p>
  </w:footnote>
  <w:footnote w:id="1">
    <w:p w:rsidR="00AA39A2" w:rsidRDefault="00AA39A2" w:rsidP="00647CFE">
      <w:pPr>
        <w:pStyle w:val="Textpoznpodarou"/>
        <w:spacing w:line="240" w:lineRule="auto"/>
        <w:jc w:val="both"/>
      </w:pPr>
      <w:r>
        <w:rPr>
          <w:rStyle w:val="Znakapoznpodarou"/>
        </w:rPr>
        <w:footnoteRef/>
      </w:r>
      <w:r w:rsidR="00124A38">
        <w:t xml:space="preserve"> T</w:t>
      </w:r>
      <w:r>
        <w:t>ermín „vedení“, jako překlad anglického termínu „</w:t>
      </w:r>
      <w:r w:rsidRPr="00001665">
        <w:rPr>
          <w:i/>
        </w:rPr>
        <w:t>leadership</w:t>
      </w:r>
      <w:r>
        <w:t xml:space="preserve">“, zahrnuje v tomto kontextu využití schopností a energie nejen ředitelů škol (případně odpovídajících vedoucích činitelů vysokých škol) a jejich zástupců, ale i učitelů, </w:t>
      </w:r>
      <w:r w:rsidR="00124A38">
        <w:t xml:space="preserve">studentů, </w:t>
      </w:r>
      <w:r>
        <w:t>žáků a rodičů a jejich motivace za účelem dosažení společných vzdělávacích cílů (určování vize instituce, strategií k dosažení cílů, rozvoj instituce a jedinců, kteří v ní působí).</w:t>
      </w:r>
    </w:p>
  </w:footnote>
  <w:footnote w:id="2">
    <w:p w:rsidR="00AA39A2" w:rsidRDefault="00AA39A2" w:rsidP="00647CFE">
      <w:pPr>
        <w:pStyle w:val="Textpoznpodarou"/>
        <w:spacing w:line="240" w:lineRule="auto"/>
        <w:jc w:val="both"/>
      </w:pPr>
      <w:r>
        <w:rPr>
          <w:rStyle w:val="Znakapoznpodarou"/>
        </w:rPr>
        <w:footnoteRef/>
      </w:r>
      <w:r>
        <w:t xml:space="preserve"> </w:t>
      </w:r>
      <w:r w:rsidRPr="00647CFE">
        <w:t xml:space="preserve">I po přijetí Lisabonské smlouvy a posílení spolupráce </w:t>
      </w:r>
      <w:r>
        <w:t>uvnitř EU</w:t>
      </w:r>
      <w:r w:rsidRPr="00647CFE">
        <w:t xml:space="preserve"> si v mnoha oblastech </w:t>
      </w:r>
      <w:r>
        <w:t xml:space="preserve">(včetně vzdělávání) </w:t>
      </w:r>
      <w:r w:rsidRPr="00647CFE">
        <w:t xml:space="preserve">stanovují vlády členských států svou vlastní politiku a nemusí se řídit společnou </w:t>
      </w:r>
      <w:r>
        <w:t xml:space="preserve">politikou EU. </w:t>
      </w:r>
      <w:r w:rsidRPr="00647CFE">
        <w:t xml:space="preserve">I přesto si členské státy, za podpory Evropské komise, mohou vyměňovat informace a osvědčené postupy a své politiky mezi sebou koordinovat. Tento způsob, který také můžeme charakterizovat jako „vzájemné učení se“, je označován jako otevřená metoda koordinace (OMC, </w:t>
      </w:r>
      <w:r w:rsidRPr="00647CFE">
        <w:rPr>
          <w:i/>
        </w:rPr>
        <w:t>open method of coordination</w:t>
      </w:r>
      <w:r w:rsidRPr="00647CFE">
        <w:t>).</w:t>
      </w:r>
    </w:p>
  </w:footnote>
  <w:footnote w:id="3">
    <w:p w:rsidR="00AA39A2" w:rsidRDefault="00AA39A2" w:rsidP="00FF5EF9">
      <w:pPr>
        <w:pStyle w:val="Textpoznpodarou"/>
        <w:spacing w:line="240" w:lineRule="auto"/>
      </w:pPr>
      <w:r>
        <w:rPr>
          <w:rStyle w:val="Znakapoznpodarou"/>
        </w:rPr>
        <w:footnoteRef/>
      </w:r>
      <w:r>
        <w:t xml:space="preserve"> Podle kvalifikovaných odhadů v roce </w:t>
      </w:r>
      <w:r w:rsidRPr="00593BF4">
        <w:t>2011 činila hospodářská ztráta v důsledku neúčasti</w:t>
      </w:r>
      <w:r>
        <w:t xml:space="preserve"> mladých lidí na trhu práce 153 </w:t>
      </w:r>
      <w:r w:rsidRPr="00593BF4">
        <w:t>miliard EUR</w:t>
      </w:r>
      <w:r>
        <w:t xml:space="preserve">, což </w:t>
      </w:r>
      <w:r w:rsidRPr="00593BF4">
        <w:t>odpovídá 1,2 % HDP EU</w:t>
      </w:r>
      <w:r>
        <w:rPr>
          <w:bC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A2" w:rsidRPr="00D93DD5" w:rsidRDefault="00AA39A2">
    <w:pPr>
      <w:pStyle w:val="Zhlav"/>
      <w:rPr>
        <w:rFonts w:ascii="Times New Roman" w:hAnsi="Times New Roman"/>
        <w:noProof/>
      </w:rPr>
    </w:pP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D0752"/>
    <w:multiLevelType w:val="hybridMultilevel"/>
    <w:tmpl w:val="FF1ED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D6567E6"/>
    <w:multiLevelType w:val="hybridMultilevel"/>
    <w:tmpl w:val="17A80998"/>
    <w:lvl w:ilvl="0" w:tplc="6F0EE3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FA06847"/>
    <w:multiLevelType w:val="hybridMultilevel"/>
    <w:tmpl w:val="0958E41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7B16A69"/>
    <w:multiLevelType w:val="hybridMultilevel"/>
    <w:tmpl w:val="2752CD4A"/>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EC6068"/>
    <w:multiLevelType w:val="hybridMultilevel"/>
    <w:tmpl w:val="74B834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BA211F6"/>
    <w:multiLevelType w:val="hybridMultilevel"/>
    <w:tmpl w:val="8F68FF80"/>
    <w:lvl w:ilvl="0" w:tplc="04050011">
      <w:start w:val="1"/>
      <w:numFmt w:val="decimal"/>
      <w:lvlText w:val="%1)"/>
      <w:lvlJc w:val="left"/>
      <w:pPr>
        <w:ind w:left="720" w:hanging="360"/>
      </w:pPr>
      <w:rPr>
        <w:rFonts w:hint="default"/>
      </w:rPr>
    </w:lvl>
    <w:lvl w:ilvl="1" w:tplc="6ACA5792">
      <w:start w:val="3"/>
      <w:numFmt w:val="bullet"/>
      <w:lvlText w:val="-"/>
      <w:lvlJc w:val="left"/>
      <w:pPr>
        <w:ind w:left="1440" w:hanging="360"/>
      </w:pPr>
      <w:rPr>
        <w:rFonts w:ascii="Calibri" w:eastAsia="Times New Roman" w:hAnsi="Calibr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BE2289"/>
    <w:multiLevelType w:val="hybridMultilevel"/>
    <w:tmpl w:val="F6721E44"/>
    <w:lvl w:ilvl="0" w:tplc="FFFFFFFF">
      <w:start w:val="1"/>
      <w:numFmt w:val="decimal"/>
      <w:lvlText w:val="%1."/>
      <w:lvlJc w:val="left"/>
      <w:pPr>
        <w:ind w:left="720" w:hanging="360"/>
      </w:pPr>
      <w:rPr>
        <w:b w:val="0"/>
        <w:bCs w:val="0"/>
      </w:rPr>
    </w:lvl>
    <w:lvl w:ilvl="1" w:tplc="FFFFFFFF">
      <w:start w:val="1"/>
      <w:numFmt w:val="decimal"/>
      <w:lvlText w:val="%2"/>
      <w:lvlJc w:val="left"/>
      <w:pPr>
        <w:tabs>
          <w:tab w:val="num" w:pos="1440"/>
        </w:tabs>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3AB3148A"/>
    <w:multiLevelType w:val="hybridMultilevel"/>
    <w:tmpl w:val="17A80998"/>
    <w:lvl w:ilvl="0" w:tplc="6F0EE3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06235BA"/>
    <w:multiLevelType w:val="hybridMultilevel"/>
    <w:tmpl w:val="160C4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29E5692"/>
    <w:multiLevelType w:val="hybridMultilevel"/>
    <w:tmpl w:val="B8C29136"/>
    <w:lvl w:ilvl="0" w:tplc="4114272E">
      <w:start w:val="1"/>
      <w:numFmt w:val="bullet"/>
      <w:lvlText w:val="–"/>
      <w:lvlJc w:val="left"/>
      <w:pPr>
        <w:tabs>
          <w:tab w:val="num" w:pos="720"/>
        </w:tabs>
        <w:ind w:left="720" w:hanging="360"/>
      </w:pPr>
      <w:rPr>
        <w:rFonts w:ascii="Arial" w:hAnsi="Arial" w:hint="default"/>
      </w:rPr>
    </w:lvl>
    <w:lvl w:ilvl="1" w:tplc="80944E2C">
      <w:start w:val="1"/>
      <w:numFmt w:val="bullet"/>
      <w:lvlText w:val="–"/>
      <w:lvlJc w:val="left"/>
      <w:pPr>
        <w:tabs>
          <w:tab w:val="num" w:pos="1440"/>
        </w:tabs>
        <w:ind w:left="1440" w:hanging="360"/>
      </w:pPr>
      <w:rPr>
        <w:rFonts w:ascii="Arial" w:hAnsi="Arial" w:hint="default"/>
      </w:rPr>
    </w:lvl>
    <w:lvl w:ilvl="2" w:tplc="43847E4A" w:tentative="1">
      <w:start w:val="1"/>
      <w:numFmt w:val="bullet"/>
      <w:lvlText w:val="–"/>
      <w:lvlJc w:val="left"/>
      <w:pPr>
        <w:tabs>
          <w:tab w:val="num" w:pos="2160"/>
        </w:tabs>
        <w:ind w:left="2160" w:hanging="360"/>
      </w:pPr>
      <w:rPr>
        <w:rFonts w:ascii="Arial" w:hAnsi="Arial" w:hint="default"/>
      </w:rPr>
    </w:lvl>
    <w:lvl w:ilvl="3" w:tplc="5692B808" w:tentative="1">
      <w:start w:val="1"/>
      <w:numFmt w:val="bullet"/>
      <w:lvlText w:val="–"/>
      <w:lvlJc w:val="left"/>
      <w:pPr>
        <w:tabs>
          <w:tab w:val="num" w:pos="2880"/>
        </w:tabs>
        <w:ind w:left="2880" w:hanging="360"/>
      </w:pPr>
      <w:rPr>
        <w:rFonts w:ascii="Arial" w:hAnsi="Arial" w:hint="default"/>
      </w:rPr>
    </w:lvl>
    <w:lvl w:ilvl="4" w:tplc="AE882D6C" w:tentative="1">
      <w:start w:val="1"/>
      <w:numFmt w:val="bullet"/>
      <w:lvlText w:val="–"/>
      <w:lvlJc w:val="left"/>
      <w:pPr>
        <w:tabs>
          <w:tab w:val="num" w:pos="3600"/>
        </w:tabs>
        <w:ind w:left="3600" w:hanging="360"/>
      </w:pPr>
      <w:rPr>
        <w:rFonts w:ascii="Arial" w:hAnsi="Arial" w:hint="default"/>
      </w:rPr>
    </w:lvl>
    <w:lvl w:ilvl="5" w:tplc="12DE118C" w:tentative="1">
      <w:start w:val="1"/>
      <w:numFmt w:val="bullet"/>
      <w:lvlText w:val="–"/>
      <w:lvlJc w:val="left"/>
      <w:pPr>
        <w:tabs>
          <w:tab w:val="num" w:pos="4320"/>
        </w:tabs>
        <w:ind w:left="4320" w:hanging="360"/>
      </w:pPr>
      <w:rPr>
        <w:rFonts w:ascii="Arial" w:hAnsi="Arial" w:hint="default"/>
      </w:rPr>
    </w:lvl>
    <w:lvl w:ilvl="6" w:tplc="6BD0A9D4" w:tentative="1">
      <w:start w:val="1"/>
      <w:numFmt w:val="bullet"/>
      <w:lvlText w:val="–"/>
      <w:lvlJc w:val="left"/>
      <w:pPr>
        <w:tabs>
          <w:tab w:val="num" w:pos="5040"/>
        </w:tabs>
        <w:ind w:left="5040" w:hanging="360"/>
      </w:pPr>
      <w:rPr>
        <w:rFonts w:ascii="Arial" w:hAnsi="Arial" w:hint="default"/>
      </w:rPr>
    </w:lvl>
    <w:lvl w:ilvl="7" w:tplc="A7A4DE9C" w:tentative="1">
      <w:start w:val="1"/>
      <w:numFmt w:val="bullet"/>
      <w:lvlText w:val="–"/>
      <w:lvlJc w:val="left"/>
      <w:pPr>
        <w:tabs>
          <w:tab w:val="num" w:pos="5760"/>
        </w:tabs>
        <w:ind w:left="5760" w:hanging="360"/>
      </w:pPr>
      <w:rPr>
        <w:rFonts w:ascii="Arial" w:hAnsi="Arial" w:hint="default"/>
      </w:rPr>
    </w:lvl>
    <w:lvl w:ilvl="8" w:tplc="A5B23248" w:tentative="1">
      <w:start w:val="1"/>
      <w:numFmt w:val="bullet"/>
      <w:lvlText w:val="–"/>
      <w:lvlJc w:val="left"/>
      <w:pPr>
        <w:tabs>
          <w:tab w:val="num" w:pos="6480"/>
        </w:tabs>
        <w:ind w:left="6480" w:hanging="360"/>
      </w:pPr>
      <w:rPr>
        <w:rFonts w:ascii="Arial" w:hAnsi="Arial" w:hint="default"/>
      </w:rPr>
    </w:lvl>
  </w:abstractNum>
  <w:abstractNum w:abstractNumId="10">
    <w:nsid w:val="450A5F67"/>
    <w:multiLevelType w:val="hybridMultilevel"/>
    <w:tmpl w:val="9D902970"/>
    <w:lvl w:ilvl="0" w:tplc="04050001">
      <w:start w:val="1"/>
      <w:numFmt w:val="bullet"/>
      <w:lvlText w:val=""/>
      <w:lvlJc w:val="left"/>
      <w:pPr>
        <w:ind w:left="1004" w:hanging="360"/>
      </w:pPr>
      <w:rPr>
        <w:rFonts w:ascii="Symbol" w:hAnsi="Symbo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nsid w:val="52525BCD"/>
    <w:multiLevelType w:val="hybridMultilevel"/>
    <w:tmpl w:val="1324AA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3">
    <w:nsid w:val="556F4E70"/>
    <w:multiLevelType w:val="hybridMultilevel"/>
    <w:tmpl w:val="7152BECA"/>
    <w:lvl w:ilvl="0" w:tplc="04050001">
      <w:start w:val="1"/>
      <w:numFmt w:val="bullet"/>
      <w:lvlText w:val=""/>
      <w:lvlJc w:val="left"/>
      <w:pPr>
        <w:ind w:left="1065" w:hanging="360"/>
      </w:pPr>
      <w:rPr>
        <w:rFonts w:ascii="Symbol" w:hAnsi="Symbol" w:hint="default"/>
        <w:b w:val="0"/>
        <w:u w:val="none"/>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nsid w:val="597D60A0"/>
    <w:multiLevelType w:val="hybridMultilevel"/>
    <w:tmpl w:val="17A80998"/>
    <w:lvl w:ilvl="0" w:tplc="6F0EE3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D612059"/>
    <w:multiLevelType w:val="hybridMultilevel"/>
    <w:tmpl w:val="370C575A"/>
    <w:lvl w:ilvl="0" w:tplc="04050001">
      <w:start w:val="1"/>
      <w:numFmt w:val="bullet"/>
      <w:lvlText w:val=""/>
      <w:lvlJc w:val="left"/>
      <w:pPr>
        <w:ind w:left="1020" w:hanging="360"/>
      </w:pPr>
      <w:rPr>
        <w:rFonts w:ascii="Symbol" w:hAnsi="Symbol" w:hint="default"/>
      </w:rPr>
    </w:lvl>
    <w:lvl w:ilvl="1" w:tplc="04050003" w:tentative="1">
      <w:start w:val="1"/>
      <w:numFmt w:val="bullet"/>
      <w:lvlText w:val="o"/>
      <w:lvlJc w:val="left"/>
      <w:pPr>
        <w:ind w:left="1740" w:hanging="360"/>
      </w:pPr>
      <w:rPr>
        <w:rFonts w:ascii="Courier New" w:hAnsi="Courier New" w:cs="Courier New" w:hint="default"/>
      </w:rPr>
    </w:lvl>
    <w:lvl w:ilvl="2" w:tplc="04050005" w:tentative="1">
      <w:start w:val="1"/>
      <w:numFmt w:val="bullet"/>
      <w:lvlText w:val=""/>
      <w:lvlJc w:val="left"/>
      <w:pPr>
        <w:ind w:left="2460" w:hanging="360"/>
      </w:pPr>
      <w:rPr>
        <w:rFonts w:ascii="Wingdings" w:hAnsi="Wingdings" w:hint="default"/>
      </w:rPr>
    </w:lvl>
    <w:lvl w:ilvl="3" w:tplc="04050001" w:tentative="1">
      <w:start w:val="1"/>
      <w:numFmt w:val="bullet"/>
      <w:lvlText w:val=""/>
      <w:lvlJc w:val="left"/>
      <w:pPr>
        <w:ind w:left="3180" w:hanging="360"/>
      </w:pPr>
      <w:rPr>
        <w:rFonts w:ascii="Symbol" w:hAnsi="Symbol" w:hint="default"/>
      </w:rPr>
    </w:lvl>
    <w:lvl w:ilvl="4" w:tplc="04050003" w:tentative="1">
      <w:start w:val="1"/>
      <w:numFmt w:val="bullet"/>
      <w:lvlText w:val="o"/>
      <w:lvlJc w:val="left"/>
      <w:pPr>
        <w:ind w:left="3900" w:hanging="360"/>
      </w:pPr>
      <w:rPr>
        <w:rFonts w:ascii="Courier New" w:hAnsi="Courier New" w:cs="Courier New" w:hint="default"/>
      </w:rPr>
    </w:lvl>
    <w:lvl w:ilvl="5" w:tplc="04050005" w:tentative="1">
      <w:start w:val="1"/>
      <w:numFmt w:val="bullet"/>
      <w:lvlText w:val=""/>
      <w:lvlJc w:val="left"/>
      <w:pPr>
        <w:ind w:left="4620" w:hanging="360"/>
      </w:pPr>
      <w:rPr>
        <w:rFonts w:ascii="Wingdings" w:hAnsi="Wingdings" w:hint="default"/>
      </w:rPr>
    </w:lvl>
    <w:lvl w:ilvl="6" w:tplc="04050001" w:tentative="1">
      <w:start w:val="1"/>
      <w:numFmt w:val="bullet"/>
      <w:lvlText w:val=""/>
      <w:lvlJc w:val="left"/>
      <w:pPr>
        <w:ind w:left="5340" w:hanging="360"/>
      </w:pPr>
      <w:rPr>
        <w:rFonts w:ascii="Symbol" w:hAnsi="Symbol" w:hint="default"/>
      </w:rPr>
    </w:lvl>
    <w:lvl w:ilvl="7" w:tplc="04050003" w:tentative="1">
      <w:start w:val="1"/>
      <w:numFmt w:val="bullet"/>
      <w:lvlText w:val="o"/>
      <w:lvlJc w:val="left"/>
      <w:pPr>
        <w:ind w:left="6060" w:hanging="360"/>
      </w:pPr>
      <w:rPr>
        <w:rFonts w:ascii="Courier New" w:hAnsi="Courier New" w:cs="Courier New" w:hint="default"/>
      </w:rPr>
    </w:lvl>
    <w:lvl w:ilvl="8" w:tplc="04050005" w:tentative="1">
      <w:start w:val="1"/>
      <w:numFmt w:val="bullet"/>
      <w:lvlText w:val=""/>
      <w:lvlJc w:val="left"/>
      <w:pPr>
        <w:ind w:left="6780" w:hanging="360"/>
      </w:pPr>
      <w:rPr>
        <w:rFonts w:ascii="Wingdings" w:hAnsi="Wingdings" w:hint="default"/>
      </w:rPr>
    </w:lvl>
  </w:abstractNum>
  <w:abstractNum w:abstractNumId="16">
    <w:nsid w:val="671E2F51"/>
    <w:multiLevelType w:val="hybridMultilevel"/>
    <w:tmpl w:val="139EE2BC"/>
    <w:lvl w:ilvl="0" w:tplc="FFFFFFFF">
      <w:start w:val="1"/>
      <w:numFmt w:val="decimal"/>
      <w:lvlText w:val="%1."/>
      <w:lvlJc w:val="left"/>
      <w:pPr>
        <w:ind w:left="360" w:hanging="360"/>
      </w:pPr>
      <w:rPr>
        <w:b w:val="0"/>
        <w:bCs w:val="0"/>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nsid w:val="6DEA668E"/>
    <w:multiLevelType w:val="hybridMultilevel"/>
    <w:tmpl w:val="3E246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2F43F99"/>
    <w:multiLevelType w:val="hybridMultilevel"/>
    <w:tmpl w:val="AEC2BAC0"/>
    <w:lvl w:ilvl="0" w:tplc="FFFFFFFF">
      <w:start w:val="1"/>
      <w:numFmt w:val="decimal"/>
      <w:lvlText w:val="%1."/>
      <w:lvlJc w:val="left"/>
      <w:pPr>
        <w:ind w:left="1080" w:hanging="360"/>
      </w:pPr>
      <w:rPr>
        <w:b w:val="0"/>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nsid w:val="7C3B25CB"/>
    <w:multiLevelType w:val="hybridMultilevel"/>
    <w:tmpl w:val="1DE2BA6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num>
  <w:num w:numId="8">
    <w:abstractNumId w:val="5"/>
  </w:num>
  <w:num w:numId="9">
    <w:abstractNumId w:val="1"/>
  </w:num>
  <w:num w:numId="10">
    <w:abstractNumId w:val="19"/>
  </w:num>
  <w:num w:numId="11">
    <w:abstractNumId w:val="3"/>
  </w:num>
  <w:num w:numId="12">
    <w:abstractNumId w:val="4"/>
  </w:num>
  <w:num w:numId="13">
    <w:abstractNumId w:val="17"/>
  </w:num>
  <w:num w:numId="14">
    <w:abstractNumId w:val="9"/>
  </w:num>
  <w:num w:numId="15">
    <w:abstractNumId w:val="13"/>
  </w:num>
  <w:num w:numId="16">
    <w:abstractNumId w:val="8"/>
  </w:num>
  <w:num w:numId="17">
    <w:abstractNumId w:val="10"/>
  </w:num>
  <w:num w:numId="18">
    <w:abstractNumId w:val="0"/>
  </w:num>
  <w:num w:numId="19">
    <w:abstractNumId w:val="7"/>
  </w:num>
  <w:num w:numId="20">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savePreviewPicture/>
  <w:hdrShapeDefaults>
    <o:shapedefaults v:ext="edit" spidmax="5122"/>
  </w:hdrShapeDefaults>
  <w:footnotePr>
    <w:footnote w:id="-1"/>
    <w:footnote w:id="0"/>
  </w:footnotePr>
  <w:endnotePr>
    <w:endnote w:id="-1"/>
    <w:endnote w:id="0"/>
  </w:endnotePr>
  <w:compat/>
  <w:rsids>
    <w:rsidRoot w:val="00CD66C5"/>
    <w:rsid w:val="00001EAD"/>
    <w:rsid w:val="000023D9"/>
    <w:rsid w:val="00007B94"/>
    <w:rsid w:val="00014EDF"/>
    <w:rsid w:val="00020172"/>
    <w:rsid w:val="00021033"/>
    <w:rsid w:val="0002433E"/>
    <w:rsid w:val="00024F72"/>
    <w:rsid w:val="00032EC8"/>
    <w:rsid w:val="00034479"/>
    <w:rsid w:val="00036931"/>
    <w:rsid w:val="0003770A"/>
    <w:rsid w:val="00042631"/>
    <w:rsid w:val="00052986"/>
    <w:rsid w:val="00061632"/>
    <w:rsid w:val="00074989"/>
    <w:rsid w:val="000823E9"/>
    <w:rsid w:val="00092FC0"/>
    <w:rsid w:val="000960F1"/>
    <w:rsid w:val="000A09B3"/>
    <w:rsid w:val="000A1AB9"/>
    <w:rsid w:val="000B01F2"/>
    <w:rsid w:val="000B1420"/>
    <w:rsid w:val="000B21F9"/>
    <w:rsid w:val="000B3035"/>
    <w:rsid w:val="000B5E9D"/>
    <w:rsid w:val="000D19B8"/>
    <w:rsid w:val="000D3646"/>
    <w:rsid w:val="000D3A89"/>
    <w:rsid w:val="000D6B8A"/>
    <w:rsid w:val="000D7C2C"/>
    <w:rsid w:val="000E7755"/>
    <w:rsid w:val="000F00FB"/>
    <w:rsid w:val="000F19B8"/>
    <w:rsid w:val="000F5125"/>
    <w:rsid w:val="00101801"/>
    <w:rsid w:val="00120A12"/>
    <w:rsid w:val="00120F89"/>
    <w:rsid w:val="00124A38"/>
    <w:rsid w:val="00127FCF"/>
    <w:rsid w:val="001351F7"/>
    <w:rsid w:val="00141BE0"/>
    <w:rsid w:val="00145A66"/>
    <w:rsid w:val="0016624D"/>
    <w:rsid w:val="00166DE2"/>
    <w:rsid w:val="00174225"/>
    <w:rsid w:val="001858C4"/>
    <w:rsid w:val="00192811"/>
    <w:rsid w:val="00197D04"/>
    <w:rsid w:val="001B4FB6"/>
    <w:rsid w:val="001B755E"/>
    <w:rsid w:val="001C46F6"/>
    <w:rsid w:val="001D1F48"/>
    <w:rsid w:val="001D775C"/>
    <w:rsid w:val="001E0D27"/>
    <w:rsid w:val="001E2950"/>
    <w:rsid w:val="001E2E79"/>
    <w:rsid w:val="00204460"/>
    <w:rsid w:val="002113E2"/>
    <w:rsid w:val="00221958"/>
    <w:rsid w:val="00221B50"/>
    <w:rsid w:val="00235BDC"/>
    <w:rsid w:val="0024684B"/>
    <w:rsid w:val="0025068E"/>
    <w:rsid w:val="0027555B"/>
    <w:rsid w:val="00277E01"/>
    <w:rsid w:val="0029697F"/>
    <w:rsid w:val="002A26AA"/>
    <w:rsid w:val="002A3964"/>
    <w:rsid w:val="002A7D9E"/>
    <w:rsid w:val="002B7666"/>
    <w:rsid w:val="002C45C1"/>
    <w:rsid w:val="002C476A"/>
    <w:rsid w:val="002C4D82"/>
    <w:rsid w:val="002C5363"/>
    <w:rsid w:val="002D169A"/>
    <w:rsid w:val="002D255D"/>
    <w:rsid w:val="002D35E2"/>
    <w:rsid w:val="002D3E3B"/>
    <w:rsid w:val="002E249D"/>
    <w:rsid w:val="002E2D60"/>
    <w:rsid w:val="002E6328"/>
    <w:rsid w:val="002E65EF"/>
    <w:rsid w:val="002E7C31"/>
    <w:rsid w:val="00306A58"/>
    <w:rsid w:val="00313711"/>
    <w:rsid w:val="00315ED3"/>
    <w:rsid w:val="00327EA9"/>
    <w:rsid w:val="00332610"/>
    <w:rsid w:val="0034066E"/>
    <w:rsid w:val="0034398E"/>
    <w:rsid w:val="003524B3"/>
    <w:rsid w:val="0035767F"/>
    <w:rsid w:val="003630D1"/>
    <w:rsid w:val="00371A7B"/>
    <w:rsid w:val="00375BBE"/>
    <w:rsid w:val="00375F89"/>
    <w:rsid w:val="00385AFB"/>
    <w:rsid w:val="00387A21"/>
    <w:rsid w:val="003905C1"/>
    <w:rsid w:val="003945CC"/>
    <w:rsid w:val="00394CCC"/>
    <w:rsid w:val="00395EE2"/>
    <w:rsid w:val="003A0F57"/>
    <w:rsid w:val="003A5FD1"/>
    <w:rsid w:val="003B0E80"/>
    <w:rsid w:val="003C0D2F"/>
    <w:rsid w:val="003C35B6"/>
    <w:rsid w:val="003C487D"/>
    <w:rsid w:val="003C4CAD"/>
    <w:rsid w:val="003C4F48"/>
    <w:rsid w:val="003D2916"/>
    <w:rsid w:val="003D3C62"/>
    <w:rsid w:val="003E7248"/>
    <w:rsid w:val="003F1468"/>
    <w:rsid w:val="003F2969"/>
    <w:rsid w:val="003F50F8"/>
    <w:rsid w:val="003F5E15"/>
    <w:rsid w:val="00400A7F"/>
    <w:rsid w:val="00401531"/>
    <w:rsid w:val="00411381"/>
    <w:rsid w:val="0041299A"/>
    <w:rsid w:val="00422240"/>
    <w:rsid w:val="004234F5"/>
    <w:rsid w:val="00432BD2"/>
    <w:rsid w:val="00444AF8"/>
    <w:rsid w:val="004545A1"/>
    <w:rsid w:val="00464FA3"/>
    <w:rsid w:val="00466887"/>
    <w:rsid w:val="0047341F"/>
    <w:rsid w:val="00475202"/>
    <w:rsid w:val="004A2D8D"/>
    <w:rsid w:val="004A4108"/>
    <w:rsid w:val="004A488F"/>
    <w:rsid w:val="004B18C3"/>
    <w:rsid w:val="004B51C0"/>
    <w:rsid w:val="004B7A08"/>
    <w:rsid w:val="004C0091"/>
    <w:rsid w:val="004C1E4D"/>
    <w:rsid w:val="004C6922"/>
    <w:rsid w:val="004C6E13"/>
    <w:rsid w:val="004D0F60"/>
    <w:rsid w:val="004E0A07"/>
    <w:rsid w:val="004E30A7"/>
    <w:rsid w:val="004E7551"/>
    <w:rsid w:val="004F1D43"/>
    <w:rsid w:val="00500ADD"/>
    <w:rsid w:val="005065C8"/>
    <w:rsid w:val="0051232D"/>
    <w:rsid w:val="00513BF1"/>
    <w:rsid w:val="00522296"/>
    <w:rsid w:val="00524E4F"/>
    <w:rsid w:val="00534EEA"/>
    <w:rsid w:val="00535869"/>
    <w:rsid w:val="005402EE"/>
    <w:rsid w:val="005441EB"/>
    <w:rsid w:val="00544DEB"/>
    <w:rsid w:val="00566A8E"/>
    <w:rsid w:val="00574E61"/>
    <w:rsid w:val="0058733F"/>
    <w:rsid w:val="00591953"/>
    <w:rsid w:val="00593278"/>
    <w:rsid w:val="005A473A"/>
    <w:rsid w:val="005A6069"/>
    <w:rsid w:val="005B3EA8"/>
    <w:rsid w:val="005B740E"/>
    <w:rsid w:val="005C73E5"/>
    <w:rsid w:val="005D4343"/>
    <w:rsid w:val="005D7AB4"/>
    <w:rsid w:val="005E281D"/>
    <w:rsid w:val="005E44F5"/>
    <w:rsid w:val="006051BE"/>
    <w:rsid w:val="006073C5"/>
    <w:rsid w:val="006149AB"/>
    <w:rsid w:val="006262E5"/>
    <w:rsid w:val="0062641F"/>
    <w:rsid w:val="006320AC"/>
    <w:rsid w:val="0064089F"/>
    <w:rsid w:val="0064097D"/>
    <w:rsid w:val="0064622D"/>
    <w:rsid w:val="00647CFE"/>
    <w:rsid w:val="00653819"/>
    <w:rsid w:val="0065477F"/>
    <w:rsid w:val="00664CA3"/>
    <w:rsid w:val="00665ED8"/>
    <w:rsid w:val="006836A1"/>
    <w:rsid w:val="00685638"/>
    <w:rsid w:val="0068720F"/>
    <w:rsid w:val="0069183D"/>
    <w:rsid w:val="00692E17"/>
    <w:rsid w:val="00693305"/>
    <w:rsid w:val="00693B94"/>
    <w:rsid w:val="006A3897"/>
    <w:rsid w:val="006A5D79"/>
    <w:rsid w:val="006C3FAA"/>
    <w:rsid w:val="006C6D42"/>
    <w:rsid w:val="006C6D82"/>
    <w:rsid w:val="006C7700"/>
    <w:rsid w:val="006D4AF5"/>
    <w:rsid w:val="006D76E0"/>
    <w:rsid w:val="006D7BBE"/>
    <w:rsid w:val="006F0A37"/>
    <w:rsid w:val="006F1E7A"/>
    <w:rsid w:val="006F39AE"/>
    <w:rsid w:val="006F4FDD"/>
    <w:rsid w:val="006F689E"/>
    <w:rsid w:val="00702CFA"/>
    <w:rsid w:val="00704E77"/>
    <w:rsid w:val="007068CF"/>
    <w:rsid w:val="0071004E"/>
    <w:rsid w:val="00712D83"/>
    <w:rsid w:val="0072133B"/>
    <w:rsid w:val="00723AF5"/>
    <w:rsid w:val="007251A6"/>
    <w:rsid w:val="00725FFC"/>
    <w:rsid w:val="00727395"/>
    <w:rsid w:val="00730DB6"/>
    <w:rsid w:val="00730E87"/>
    <w:rsid w:val="007453BB"/>
    <w:rsid w:val="00746D3E"/>
    <w:rsid w:val="0076245F"/>
    <w:rsid w:val="00763738"/>
    <w:rsid w:val="007638E1"/>
    <w:rsid w:val="007645E0"/>
    <w:rsid w:val="007777AF"/>
    <w:rsid w:val="0078265F"/>
    <w:rsid w:val="00782E65"/>
    <w:rsid w:val="0079378F"/>
    <w:rsid w:val="007938FD"/>
    <w:rsid w:val="00796189"/>
    <w:rsid w:val="007B22B3"/>
    <w:rsid w:val="007B57A1"/>
    <w:rsid w:val="007D08B6"/>
    <w:rsid w:val="007D0BF6"/>
    <w:rsid w:val="007D4923"/>
    <w:rsid w:val="007F012C"/>
    <w:rsid w:val="007F3B51"/>
    <w:rsid w:val="007F5B78"/>
    <w:rsid w:val="007F62A1"/>
    <w:rsid w:val="00805E21"/>
    <w:rsid w:val="00811ADD"/>
    <w:rsid w:val="00812FE9"/>
    <w:rsid w:val="00827AC2"/>
    <w:rsid w:val="00830A14"/>
    <w:rsid w:val="008323AF"/>
    <w:rsid w:val="00840129"/>
    <w:rsid w:val="00840202"/>
    <w:rsid w:val="008538B2"/>
    <w:rsid w:val="00856A4C"/>
    <w:rsid w:val="00856A65"/>
    <w:rsid w:val="00866E27"/>
    <w:rsid w:val="00884444"/>
    <w:rsid w:val="008846C2"/>
    <w:rsid w:val="008A3B75"/>
    <w:rsid w:val="008B082E"/>
    <w:rsid w:val="008C16A9"/>
    <w:rsid w:val="008C4513"/>
    <w:rsid w:val="008C50E0"/>
    <w:rsid w:val="008C6A53"/>
    <w:rsid w:val="008D5A3E"/>
    <w:rsid w:val="008E0289"/>
    <w:rsid w:val="008E0AA5"/>
    <w:rsid w:val="008E1A99"/>
    <w:rsid w:val="008E2092"/>
    <w:rsid w:val="008E26CB"/>
    <w:rsid w:val="008E6B8F"/>
    <w:rsid w:val="008E7AD8"/>
    <w:rsid w:val="008F1624"/>
    <w:rsid w:val="008F375E"/>
    <w:rsid w:val="00912B9C"/>
    <w:rsid w:val="00914111"/>
    <w:rsid w:val="00920A35"/>
    <w:rsid w:val="00921E43"/>
    <w:rsid w:val="00922B62"/>
    <w:rsid w:val="00923CD0"/>
    <w:rsid w:val="009310ED"/>
    <w:rsid w:val="00934B57"/>
    <w:rsid w:val="0093647E"/>
    <w:rsid w:val="00943231"/>
    <w:rsid w:val="00945B3C"/>
    <w:rsid w:val="0094689E"/>
    <w:rsid w:val="0095092A"/>
    <w:rsid w:val="00950F6C"/>
    <w:rsid w:val="009547EA"/>
    <w:rsid w:val="00955CA7"/>
    <w:rsid w:val="00963AB9"/>
    <w:rsid w:val="009839A7"/>
    <w:rsid w:val="0098444E"/>
    <w:rsid w:val="00987894"/>
    <w:rsid w:val="00997E58"/>
    <w:rsid w:val="009C5225"/>
    <w:rsid w:val="009D1DC4"/>
    <w:rsid w:val="009D61F0"/>
    <w:rsid w:val="009D6827"/>
    <w:rsid w:val="009F1F51"/>
    <w:rsid w:val="009F26D5"/>
    <w:rsid w:val="009F2F83"/>
    <w:rsid w:val="00A01849"/>
    <w:rsid w:val="00A077A1"/>
    <w:rsid w:val="00A102BD"/>
    <w:rsid w:val="00A12248"/>
    <w:rsid w:val="00A20FD7"/>
    <w:rsid w:val="00A32042"/>
    <w:rsid w:val="00A35A42"/>
    <w:rsid w:val="00A43F6E"/>
    <w:rsid w:val="00A4533C"/>
    <w:rsid w:val="00A459B2"/>
    <w:rsid w:val="00A50DBC"/>
    <w:rsid w:val="00A546D6"/>
    <w:rsid w:val="00A568A0"/>
    <w:rsid w:val="00A679C7"/>
    <w:rsid w:val="00A71BDA"/>
    <w:rsid w:val="00A811E0"/>
    <w:rsid w:val="00A83881"/>
    <w:rsid w:val="00A914EF"/>
    <w:rsid w:val="00A93FFF"/>
    <w:rsid w:val="00A9596A"/>
    <w:rsid w:val="00AA1C3F"/>
    <w:rsid w:val="00AA2F57"/>
    <w:rsid w:val="00AA39A2"/>
    <w:rsid w:val="00AA7206"/>
    <w:rsid w:val="00AB2F5A"/>
    <w:rsid w:val="00AC48CE"/>
    <w:rsid w:val="00AC544E"/>
    <w:rsid w:val="00AC5471"/>
    <w:rsid w:val="00AD7889"/>
    <w:rsid w:val="00AE69E6"/>
    <w:rsid w:val="00AF245C"/>
    <w:rsid w:val="00AF4446"/>
    <w:rsid w:val="00AF5934"/>
    <w:rsid w:val="00AF6B40"/>
    <w:rsid w:val="00AF7372"/>
    <w:rsid w:val="00B01B08"/>
    <w:rsid w:val="00B07C8D"/>
    <w:rsid w:val="00B12D12"/>
    <w:rsid w:val="00B21AC8"/>
    <w:rsid w:val="00B31AE7"/>
    <w:rsid w:val="00B55B7B"/>
    <w:rsid w:val="00B57466"/>
    <w:rsid w:val="00B67707"/>
    <w:rsid w:val="00B708D1"/>
    <w:rsid w:val="00B70F2F"/>
    <w:rsid w:val="00B83F30"/>
    <w:rsid w:val="00B904EC"/>
    <w:rsid w:val="00B93C2E"/>
    <w:rsid w:val="00B951C6"/>
    <w:rsid w:val="00BA07B1"/>
    <w:rsid w:val="00BA7478"/>
    <w:rsid w:val="00BB072A"/>
    <w:rsid w:val="00BB1EA3"/>
    <w:rsid w:val="00BB20ED"/>
    <w:rsid w:val="00BC4E05"/>
    <w:rsid w:val="00BD6171"/>
    <w:rsid w:val="00BD6E0A"/>
    <w:rsid w:val="00BD7936"/>
    <w:rsid w:val="00BD7ACD"/>
    <w:rsid w:val="00BE2BBC"/>
    <w:rsid w:val="00BE72C2"/>
    <w:rsid w:val="00BF3C32"/>
    <w:rsid w:val="00C03BC3"/>
    <w:rsid w:val="00C04DAA"/>
    <w:rsid w:val="00C04F63"/>
    <w:rsid w:val="00C17B12"/>
    <w:rsid w:val="00C20E2B"/>
    <w:rsid w:val="00C216CF"/>
    <w:rsid w:val="00C22210"/>
    <w:rsid w:val="00C30C25"/>
    <w:rsid w:val="00C32ABE"/>
    <w:rsid w:val="00C36AE1"/>
    <w:rsid w:val="00C41830"/>
    <w:rsid w:val="00C45DC5"/>
    <w:rsid w:val="00C472A2"/>
    <w:rsid w:val="00C57A68"/>
    <w:rsid w:val="00C64F19"/>
    <w:rsid w:val="00C72F31"/>
    <w:rsid w:val="00C74CC0"/>
    <w:rsid w:val="00C75970"/>
    <w:rsid w:val="00C8553D"/>
    <w:rsid w:val="00CA2162"/>
    <w:rsid w:val="00CA68C1"/>
    <w:rsid w:val="00CA7924"/>
    <w:rsid w:val="00CB09F1"/>
    <w:rsid w:val="00CB74EE"/>
    <w:rsid w:val="00CC0607"/>
    <w:rsid w:val="00CC2F40"/>
    <w:rsid w:val="00CC6AA0"/>
    <w:rsid w:val="00CC7CDC"/>
    <w:rsid w:val="00CD0486"/>
    <w:rsid w:val="00CD66C5"/>
    <w:rsid w:val="00CE415C"/>
    <w:rsid w:val="00D117A3"/>
    <w:rsid w:val="00D133B7"/>
    <w:rsid w:val="00D1677A"/>
    <w:rsid w:val="00D179D8"/>
    <w:rsid w:val="00D26ADF"/>
    <w:rsid w:val="00D27B95"/>
    <w:rsid w:val="00D35B9A"/>
    <w:rsid w:val="00D446F7"/>
    <w:rsid w:val="00D45C13"/>
    <w:rsid w:val="00D53A16"/>
    <w:rsid w:val="00D56102"/>
    <w:rsid w:val="00D70C13"/>
    <w:rsid w:val="00D72E0E"/>
    <w:rsid w:val="00D8378B"/>
    <w:rsid w:val="00D842F6"/>
    <w:rsid w:val="00D85EEE"/>
    <w:rsid w:val="00D9079D"/>
    <w:rsid w:val="00D91F40"/>
    <w:rsid w:val="00D96F2E"/>
    <w:rsid w:val="00D978B6"/>
    <w:rsid w:val="00DB0226"/>
    <w:rsid w:val="00DB5BCB"/>
    <w:rsid w:val="00DB7A58"/>
    <w:rsid w:val="00DB7E8D"/>
    <w:rsid w:val="00DC0700"/>
    <w:rsid w:val="00DC1CB5"/>
    <w:rsid w:val="00DD0002"/>
    <w:rsid w:val="00DD10C4"/>
    <w:rsid w:val="00DD341F"/>
    <w:rsid w:val="00DD692C"/>
    <w:rsid w:val="00DE29DB"/>
    <w:rsid w:val="00DE354C"/>
    <w:rsid w:val="00DF3525"/>
    <w:rsid w:val="00DF4A65"/>
    <w:rsid w:val="00E02813"/>
    <w:rsid w:val="00E0719D"/>
    <w:rsid w:val="00E17109"/>
    <w:rsid w:val="00E17B19"/>
    <w:rsid w:val="00E2053C"/>
    <w:rsid w:val="00E2135D"/>
    <w:rsid w:val="00E22A19"/>
    <w:rsid w:val="00E251C1"/>
    <w:rsid w:val="00E27CC6"/>
    <w:rsid w:val="00E35D0E"/>
    <w:rsid w:val="00E37415"/>
    <w:rsid w:val="00E45CFD"/>
    <w:rsid w:val="00E47CB3"/>
    <w:rsid w:val="00E504FA"/>
    <w:rsid w:val="00E50D60"/>
    <w:rsid w:val="00E53172"/>
    <w:rsid w:val="00E67A94"/>
    <w:rsid w:val="00E7512D"/>
    <w:rsid w:val="00E75134"/>
    <w:rsid w:val="00E875E3"/>
    <w:rsid w:val="00E97017"/>
    <w:rsid w:val="00EA2697"/>
    <w:rsid w:val="00EA3710"/>
    <w:rsid w:val="00EB48AA"/>
    <w:rsid w:val="00ED165D"/>
    <w:rsid w:val="00ED64B7"/>
    <w:rsid w:val="00EF1EEB"/>
    <w:rsid w:val="00EF4041"/>
    <w:rsid w:val="00F06378"/>
    <w:rsid w:val="00F13B21"/>
    <w:rsid w:val="00F14453"/>
    <w:rsid w:val="00F14C16"/>
    <w:rsid w:val="00F2186F"/>
    <w:rsid w:val="00F2524B"/>
    <w:rsid w:val="00F26CA2"/>
    <w:rsid w:val="00F27111"/>
    <w:rsid w:val="00F32F22"/>
    <w:rsid w:val="00F42EEC"/>
    <w:rsid w:val="00F46DE9"/>
    <w:rsid w:val="00F519DE"/>
    <w:rsid w:val="00F53B9F"/>
    <w:rsid w:val="00F63391"/>
    <w:rsid w:val="00F73AAF"/>
    <w:rsid w:val="00F7455F"/>
    <w:rsid w:val="00F76CF8"/>
    <w:rsid w:val="00F84023"/>
    <w:rsid w:val="00F918B6"/>
    <w:rsid w:val="00FA6656"/>
    <w:rsid w:val="00FB1C91"/>
    <w:rsid w:val="00FB1CD5"/>
    <w:rsid w:val="00FB1F40"/>
    <w:rsid w:val="00FB229B"/>
    <w:rsid w:val="00FB3D96"/>
    <w:rsid w:val="00FB50A6"/>
    <w:rsid w:val="00FD0568"/>
    <w:rsid w:val="00FD1C72"/>
    <w:rsid w:val="00FE0E83"/>
    <w:rsid w:val="00FE2E7E"/>
    <w:rsid w:val="00FE3629"/>
    <w:rsid w:val="00FF5EF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66C5"/>
    <w:pPr>
      <w:spacing w:after="200" w:line="276" w:lineRule="auto"/>
    </w:pPr>
    <w:rPr>
      <w:sz w:val="22"/>
      <w:szCs w:val="22"/>
      <w:lang w:eastAsia="en-US"/>
    </w:rPr>
  </w:style>
  <w:style w:type="paragraph" w:styleId="Nadpis1">
    <w:name w:val="heading 1"/>
    <w:basedOn w:val="Normln"/>
    <w:next w:val="Normln"/>
    <w:link w:val="Nadpis1Char"/>
    <w:autoRedefine/>
    <w:uiPriority w:val="9"/>
    <w:qFormat/>
    <w:rsid w:val="00FB1F40"/>
    <w:pPr>
      <w:keepNext/>
      <w:pBdr>
        <w:top w:val="single" w:sz="4" w:space="1" w:color="auto"/>
        <w:left w:val="single" w:sz="4" w:space="4" w:color="auto"/>
        <w:bottom w:val="single" w:sz="4" w:space="1" w:color="auto"/>
        <w:right w:val="single" w:sz="4" w:space="4" w:color="auto"/>
      </w:pBdr>
      <w:shd w:val="clear" w:color="auto" w:fill="C6D9F1"/>
      <w:spacing w:after="0" w:line="240" w:lineRule="auto"/>
      <w:jc w:val="center"/>
      <w:outlineLvl w:val="0"/>
    </w:pPr>
    <w:rPr>
      <w:rFonts w:eastAsia="Times New Roman"/>
      <w:b/>
      <w:bCs/>
      <w:kern w:val="32"/>
      <w:sz w:val="32"/>
      <w:szCs w:val="32"/>
    </w:rPr>
  </w:style>
  <w:style w:type="paragraph" w:styleId="Nadpis2">
    <w:name w:val="heading 2"/>
    <w:basedOn w:val="Normln"/>
    <w:next w:val="Normln"/>
    <w:link w:val="Nadpis2Char"/>
    <w:uiPriority w:val="9"/>
    <w:unhideWhenUsed/>
    <w:qFormat/>
    <w:rsid w:val="002A3964"/>
    <w:pPr>
      <w:keepNext/>
      <w:spacing w:before="240" w:after="60"/>
      <w:outlineLvl w:val="1"/>
    </w:pPr>
    <w:rPr>
      <w:rFonts w:eastAsia="Times New Roman"/>
      <w:b/>
      <w:bCs/>
      <w:iCs/>
      <w:sz w:val="28"/>
      <w:szCs w:val="28"/>
    </w:rPr>
  </w:style>
  <w:style w:type="paragraph" w:styleId="Nadpis3">
    <w:name w:val="heading 3"/>
    <w:basedOn w:val="Normln"/>
    <w:next w:val="Normln"/>
    <w:link w:val="Nadpis3Char"/>
    <w:uiPriority w:val="9"/>
    <w:unhideWhenUsed/>
    <w:qFormat/>
    <w:rsid w:val="003C4F48"/>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66C5"/>
    <w:pPr>
      <w:tabs>
        <w:tab w:val="center" w:pos="4536"/>
        <w:tab w:val="right" w:pos="9072"/>
      </w:tabs>
    </w:pPr>
    <w:rPr>
      <w:sz w:val="20"/>
      <w:szCs w:val="20"/>
    </w:rPr>
  </w:style>
  <w:style w:type="character" w:customStyle="1" w:styleId="ZhlavChar">
    <w:name w:val="Záhlaví Char"/>
    <w:link w:val="Zhlav"/>
    <w:uiPriority w:val="99"/>
    <w:rsid w:val="00CD66C5"/>
    <w:rPr>
      <w:rFonts w:ascii="Calibri" w:eastAsia="Calibri" w:hAnsi="Calibri" w:cs="Times New Roman"/>
    </w:rPr>
  </w:style>
  <w:style w:type="paragraph" w:styleId="Textpoznpodarou">
    <w:name w:val="footnote text"/>
    <w:aliases w:val="Schriftart: 9 pt,Schriftart: 10 pt,Schriftart: 8 pt, Char,Char,Text pozn. pod čarou1,Char Char Char1,Char Char1,Footnote Text Char1,Text poznámky pod čiarou 007,Footnote Char,Fußnote Char,FSR footnote Char,lábléc Char,Plonk"/>
    <w:basedOn w:val="Normln"/>
    <w:link w:val="TextpoznpodarouChar"/>
    <w:uiPriority w:val="99"/>
    <w:unhideWhenUsed/>
    <w:rsid w:val="00CD66C5"/>
    <w:rPr>
      <w:sz w:val="20"/>
      <w:szCs w:val="20"/>
    </w:rPr>
  </w:style>
  <w:style w:type="character" w:customStyle="1" w:styleId="TextpoznpodarouChar">
    <w:name w:val="Text pozn. pod čarou Char"/>
    <w:aliases w:val="Schriftart: 9 pt Char1,Schriftart: 10 pt Char1,Schriftart: 8 pt Char1, Char Char,Char Char,Text pozn. pod čarou1 Char,Char Char Char1 Char,Char Char1 Char,Footnote Text Char1 Char,Text poznámky pod čiarou 007 Char,Plonk Char"/>
    <w:link w:val="Textpoznpodarou"/>
    <w:uiPriority w:val="99"/>
    <w:rsid w:val="00CD66C5"/>
    <w:rPr>
      <w:rFonts w:ascii="Calibri" w:eastAsia="Calibri" w:hAnsi="Calibri" w:cs="Times New Roman"/>
      <w:sz w:val="20"/>
      <w:szCs w:val="20"/>
    </w:rPr>
  </w:style>
  <w:style w:type="character" w:styleId="Znakapoznpodarou">
    <w:name w:val="footnote reference"/>
    <w:aliases w:val="BVI fnr,SUPERS,Footnote symbol,(Footnote Reference),Footnote,Voetnootverwijzing,Times 10 Point,Exposant 3 Point,Footnote reference number,note TESI,Odwołanie przypisu,Footnote Reference Number,Footnote Reference_LVL6,BVI fn, BVI f"/>
    <w:uiPriority w:val="99"/>
    <w:unhideWhenUsed/>
    <w:rsid w:val="00CD66C5"/>
    <w:rPr>
      <w:vertAlign w:val="superscript"/>
    </w:rPr>
  </w:style>
  <w:style w:type="character" w:customStyle="1" w:styleId="at71">
    <w:name w:val="a__t71"/>
    <w:rsid w:val="00CD66C5"/>
    <w:rPr>
      <w:i/>
      <w:iCs/>
    </w:rPr>
  </w:style>
  <w:style w:type="character" w:customStyle="1" w:styleId="at81">
    <w:name w:val="a__t81"/>
    <w:rsid w:val="00CD66C5"/>
    <w:rPr>
      <w:b/>
      <w:bCs/>
      <w:i/>
      <w:iCs/>
    </w:rPr>
  </w:style>
  <w:style w:type="character" w:styleId="Hypertextovodkaz">
    <w:name w:val="Hyperlink"/>
    <w:uiPriority w:val="99"/>
    <w:unhideWhenUsed/>
    <w:rsid w:val="00CD66C5"/>
    <w:rPr>
      <w:color w:val="15669F"/>
      <w:u w:val="single"/>
    </w:rPr>
  </w:style>
  <w:style w:type="paragraph" w:customStyle="1" w:styleId="astandardp2">
    <w:name w:val="a_standard_p2"/>
    <w:basedOn w:val="Normln"/>
    <w:rsid w:val="00CD66C5"/>
    <w:pPr>
      <w:spacing w:before="120" w:after="240" w:line="240" w:lineRule="auto"/>
      <w:jc w:val="both"/>
    </w:pPr>
    <w:rPr>
      <w:rFonts w:ascii="Times New Roman" w:eastAsia="Times New Roman" w:hAnsi="Times New Roman"/>
      <w:sz w:val="24"/>
      <w:szCs w:val="24"/>
      <w:lang w:eastAsia="cs-CZ"/>
    </w:rPr>
  </w:style>
  <w:style w:type="paragraph" w:styleId="Prosttext">
    <w:name w:val="Plain Text"/>
    <w:basedOn w:val="Normln"/>
    <w:link w:val="ProsttextChar"/>
    <w:unhideWhenUsed/>
    <w:rsid w:val="00CD66C5"/>
    <w:pPr>
      <w:spacing w:after="0" w:line="240" w:lineRule="auto"/>
    </w:pPr>
    <w:rPr>
      <w:rFonts w:ascii="Consolas" w:eastAsia="Times New Roman" w:hAnsi="Consolas"/>
      <w:sz w:val="21"/>
      <w:szCs w:val="21"/>
      <w:lang w:eastAsia="cs-CZ"/>
    </w:rPr>
  </w:style>
  <w:style w:type="character" w:customStyle="1" w:styleId="ProsttextChar">
    <w:name w:val="Prostý text Char"/>
    <w:link w:val="Prosttext"/>
    <w:rsid w:val="00CD66C5"/>
    <w:rPr>
      <w:rFonts w:ascii="Consolas" w:eastAsia="Times New Roman" w:hAnsi="Consolas" w:cs="Times New Roman"/>
      <w:sz w:val="21"/>
      <w:szCs w:val="21"/>
      <w:lang w:eastAsia="cs-CZ"/>
    </w:rPr>
  </w:style>
  <w:style w:type="paragraph" w:styleId="Odstavecseseznamem">
    <w:name w:val="List Paragraph"/>
    <w:basedOn w:val="Normln"/>
    <w:uiPriority w:val="34"/>
    <w:qFormat/>
    <w:rsid w:val="00CD66C5"/>
    <w:pPr>
      <w:ind w:left="708"/>
    </w:pPr>
  </w:style>
  <w:style w:type="paragraph" w:customStyle="1" w:styleId="Point0">
    <w:name w:val="Point 0"/>
    <w:basedOn w:val="Normln"/>
    <w:uiPriority w:val="99"/>
    <w:rsid w:val="00C8553D"/>
    <w:pPr>
      <w:spacing w:before="120" w:after="120" w:line="240" w:lineRule="auto"/>
      <w:ind w:left="850" w:hanging="850"/>
      <w:jc w:val="both"/>
    </w:pPr>
    <w:rPr>
      <w:rFonts w:ascii="Times New Roman" w:eastAsia="Times New Roman" w:hAnsi="Times New Roman"/>
      <w:sz w:val="24"/>
      <w:szCs w:val="24"/>
      <w:lang w:eastAsia="cs-CZ"/>
    </w:rPr>
  </w:style>
  <w:style w:type="paragraph" w:customStyle="1" w:styleId="CM1">
    <w:name w:val="CM1"/>
    <w:basedOn w:val="Normln"/>
    <w:next w:val="Normln"/>
    <w:uiPriority w:val="99"/>
    <w:rsid w:val="00C8553D"/>
    <w:pPr>
      <w:autoSpaceDE w:val="0"/>
      <w:autoSpaceDN w:val="0"/>
      <w:adjustRightInd w:val="0"/>
      <w:spacing w:after="0" w:line="240" w:lineRule="auto"/>
    </w:pPr>
    <w:rPr>
      <w:rFonts w:ascii="EUAlbertina" w:hAnsi="EUAlbertina"/>
      <w:sz w:val="24"/>
      <w:szCs w:val="24"/>
      <w:lang w:eastAsia="cs-CZ"/>
    </w:rPr>
  </w:style>
  <w:style w:type="paragraph" w:customStyle="1" w:styleId="CM3">
    <w:name w:val="CM3"/>
    <w:basedOn w:val="Normln"/>
    <w:next w:val="Normln"/>
    <w:uiPriority w:val="99"/>
    <w:rsid w:val="00C8553D"/>
    <w:pPr>
      <w:autoSpaceDE w:val="0"/>
      <w:autoSpaceDN w:val="0"/>
      <w:adjustRightInd w:val="0"/>
      <w:spacing w:after="0" w:line="240" w:lineRule="auto"/>
    </w:pPr>
    <w:rPr>
      <w:rFonts w:ascii="EUAlbertina" w:hAnsi="EUAlbertina"/>
      <w:sz w:val="24"/>
      <w:szCs w:val="24"/>
      <w:lang w:eastAsia="cs-CZ"/>
    </w:rPr>
  </w:style>
  <w:style w:type="paragraph" w:customStyle="1" w:styleId="Default">
    <w:name w:val="Default"/>
    <w:rsid w:val="00C8553D"/>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C8553D"/>
    <w:rPr>
      <w:rFonts w:cs="Times New Roman"/>
      <w:color w:val="auto"/>
    </w:rPr>
  </w:style>
  <w:style w:type="character" w:customStyle="1" w:styleId="hps">
    <w:name w:val="hps"/>
    <w:basedOn w:val="Standardnpsmoodstavce"/>
    <w:rsid w:val="008C4513"/>
  </w:style>
  <w:style w:type="character" w:styleId="Sledovanodkaz">
    <w:name w:val="FollowedHyperlink"/>
    <w:uiPriority w:val="99"/>
    <w:semiHidden/>
    <w:unhideWhenUsed/>
    <w:rsid w:val="00805E21"/>
    <w:rPr>
      <w:color w:val="800080"/>
      <w:u w:val="single"/>
    </w:rPr>
  </w:style>
  <w:style w:type="character" w:customStyle="1" w:styleId="TextpoznpodarouChar1">
    <w:name w:val="Text pozn. pod čarou Char1"/>
    <w:aliases w:val="Schriftart: 9 pt Char,Schriftart: 10 pt Char,Schriftart: 8 pt Char"/>
    <w:locked/>
    <w:rsid w:val="003C35B6"/>
    <w:rPr>
      <w:rFonts w:ascii="Times New Roman" w:eastAsia="Times New Roman" w:hAnsi="Times New Roman" w:cs="Times New Roman"/>
      <w:sz w:val="20"/>
      <w:szCs w:val="20"/>
      <w:lang w:val="en-GB" w:eastAsia="en-GB"/>
    </w:rPr>
  </w:style>
  <w:style w:type="paragraph" w:customStyle="1" w:styleId="a3520normal">
    <w:name w:val="a___35__20_normal"/>
    <w:basedOn w:val="Normln"/>
    <w:rsid w:val="00727395"/>
    <w:pPr>
      <w:spacing w:after="120" w:line="240" w:lineRule="auto"/>
      <w:jc w:val="both"/>
    </w:pPr>
    <w:rPr>
      <w:rFonts w:ascii="Times New Roman" w:eastAsia="Times New Roman" w:hAnsi="Times New Roman"/>
      <w:sz w:val="24"/>
      <w:szCs w:val="24"/>
      <w:lang w:eastAsia="cs-CZ"/>
    </w:rPr>
  </w:style>
  <w:style w:type="character" w:customStyle="1" w:styleId="at6">
    <w:name w:val="a__t6"/>
    <w:basedOn w:val="Standardnpsmoodstavce"/>
    <w:rsid w:val="00727395"/>
  </w:style>
  <w:style w:type="paragraph" w:styleId="Zpat">
    <w:name w:val="footer"/>
    <w:basedOn w:val="Normln"/>
    <w:link w:val="ZpatChar"/>
    <w:uiPriority w:val="99"/>
    <w:unhideWhenUsed/>
    <w:rsid w:val="008538B2"/>
    <w:pPr>
      <w:tabs>
        <w:tab w:val="center" w:pos="4536"/>
        <w:tab w:val="right" w:pos="9072"/>
      </w:tabs>
    </w:pPr>
  </w:style>
  <w:style w:type="character" w:customStyle="1" w:styleId="ZpatChar">
    <w:name w:val="Zápatí Char"/>
    <w:link w:val="Zpat"/>
    <w:uiPriority w:val="99"/>
    <w:rsid w:val="008538B2"/>
    <w:rPr>
      <w:sz w:val="22"/>
      <w:szCs w:val="22"/>
      <w:lang w:eastAsia="en-US"/>
    </w:rPr>
  </w:style>
  <w:style w:type="paragraph" w:styleId="Textbubliny">
    <w:name w:val="Balloon Text"/>
    <w:basedOn w:val="Normln"/>
    <w:link w:val="TextbublinyChar"/>
    <w:uiPriority w:val="99"/>
    <w:semiHidden/>
    <w:unhideWhenUsed/>
    <w:rsid w:val="008538B2"/>
    <w:pPr>
      <w:spacing w:after="0" w:line="240" w:lineRule="auto"/>
    </w:pPr>
    <w:rPr>
      <w:rFonts w:ascii="Tahoma" w:hAnsi="Tahoma"/>
      <w:sz w:val="16"/>
      <w:szCs w:val="16"/>
    </w:rPr>
  </w:style>
  <w:style w:type="character" w:customStyle="1" w:styleId="TextbublinyChar">
    <w:name w:val="Text bubliny Char"/>
    <w:link w:val="Textbubliny"/>
    <w:uiPriority w:val="99"/>
    <w:semiHidden/>
    <w:rsid w:val="008538B2"/>
    <w:rPr>
      <w:rFonts w:ascii="Tahoma" w:hAnsi="Tahoma" w:cs="Tahoma"/>
      <w:sz w:val="16"/>
      <w:szCs w:val="16"/>
      <w:lang w:eastAsia="en-US"/>
    </w:rPr>
  </w:style>
  <w:style w:type="paragraph" w:styleId="Normlnweb">
    <w:name w:val="Normal (Web)"/>
    <w:basedOn w:val="Normln"/>
    <w:uiPriority w:val="99"/>
    <w:unhideWhenUsed/>
    <w:rsid w:val="008538B2"/>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8538B2"/>
    <w:rPr>
      <w:b/>
      <w:bCs/>
    </w:rPr>
  </w:style>
  <w:style w:type="character" w:customStyle="1" w:styleId="Nadpis1Char">
    <w:name w:val="Nadpis 1 Char"/>
    <w:link w:val="Nadpis1"/>
    <w:uiPriority w:val="9"/>
    <w:rsid w:val="00FB1F40"/>
    <w:rPr>
      <w:rFonts w:eastAsia="Times New Roman"/>
      <w:b/>
      <w:bCs/>
      <w:kern w:val="32"/>
      <w:sz w:val="32"/>
      <w:szCs w:val="32"/>
      <w:shd w:val="clear" w:color="auto" w:fill="C6D9F1"/>
      <w:lang w:eastAsia="en-US"/>
    </w:rPr>
  </w:style>
  <w:style w:type="character" w:customStyle="1" w:styleId="Nadpis2Char">
    <w:name w:val="Nadpis 2 Char"/>
    <w:link w:val="Nadpis2"/>
    <w:uiPriority w:val="9"/>
    <w:rsid w:val="002A3964"/>
    <w:rPr>
      <w:rFonts w:ascii="Calibri" w:eastAsia="Times New Roman" w:hAnsi="Calibri" w:cs="Times New Roman"/>
      <w:b/>
      <w:bCs/>
      <w:iCs/>
      <w:sz w:val="28"/>
      <w:szCs w:val="28"/>
      <w:lang w:eastAsia="en-US"/>
    </w:rPr>
  </w:style>
  <w:style w:type="paragraph" w:styleId="Nadpisobsahu">
    <w:name w:val="TOC Heading"/>
    <w:basedOn w:val="Nadpis1"/>
    <w:next w:val="Normln"/>
    <w:uiPriority w:val="39"/>
    <w:unhideWhenUsed/>
    <w:qFormat/>
    <w:rsid w:val="002A3964"/>
    <w:pPr>
      <w:keepLines/>
      <w:spacing w:before="480"/>
      <w:outlineLvl w:val="9"/>
    </w:pPr>
    <w:rPr>
      <w:rFonts w:ascii="Cambria" w:hAnsi="Cambria"/>
      <w:color w:val="365F91"/>
      <w:kern w:val="0"/>
      <w:sz w:val="28"/>
      <w:szCs w:val="28"/>
    </w:rPr>
  </w:style>
  <w:style w:type="paragraph" w:styleId="Obsah1">
    <w:name w:val="toc 1"/>
    <w:basedOn w:val="Normln"/>
    <w:next w:val="Normln"/>
    <w:autoRedefine/>
    <w:uiPriority w:val="39"/>
    <w:unhideWhenUsed/>
    <w:qFormat/>
    <w:rsid w:val="00387A21"/>
    <w:pPr>
      <w:tabs>
        <w:tab w:val="right" w:leader="dot" w:pos="9062"/>
      </w:tabs>
    </w:pPr>
    <w:rPr>
      <w:b/>
      <w:noProof/>
    </w:rPr>
  </w:style>
  <w:style w:type="paragraph" w:styleId="Obsah2">
    <w:name w:val="toc 2"/>
    <w:basedOn w:val="Normln"/>
    <w:next w:val="Normln"/>
    <w:autoRedefine/>
    <w:uiPriority w:val="39"/>
    <w:unhideWhenUsed/>
    <w:qFormat/>
    <w:rsid w:val="002A3964"/>
    <w:pPr>
      <w:ind w:left="220"/>
    </w:pPr>
  </w:style>
  <w:style w:type="paragraph" w:styleId="Obsah3">
    <w:name w:val="toc 3"/>
    <w:basedOn w:val="Normln"/>
    <w:next w:val="Normln"/>
    <w:autoRedefine/>
    <w:uiPriority w:val="39"/>
    <w:semiHidden/>
    <w:unhideWhenUsed/>
    <w:qFormat/>
    <w:rsid w:val="00BD6171"/>
    <w:pPr>
      <w:spacing w:after="100"/>
      <w:ind w:left="440"/>
    </w:pPr>
    <w:rPr>
      <w:rFonts w:eastAsia="Times New Roman"/>
    </w:rPr>
  </w:style>
  <w:style w:type="paragraph" w:customStyle="1" w:styleId="OdstavecCOPS">
    <w:name w:val="Odstavec COPS"/>
    <w:basedOn w:val="Normln"/>
    <w:rsid w:val="002C476A"/>
    <w:pPr>
      <w:spacing w:before="80" w:after="160" w:line="240" w:lineRule="auto"/>
    </w:pPr>
    <w:rPr>
      <w:rFonts w:ascii="Times New Roman" w:eastAsia="Times New Roman" w:hAnsi="Times New Roman"/>
      <w:bCs/>
      <w:sz w:val="24"/>
      <w:szCs w:val="24"/>
      <w:lang w:eastAsia="cs-CZ"/>
    </w:rPr>
  </w:style>
  <w:style w:type="character" w:styleId="Odkaznakoment">
    <w:name w:val="annotation reference"/>
    <w:uiPriority w:val="99"/>
    <w:semiHidden/>
    <w:unhideWhenUsed/>
    <w:rsid w:val="003C487D"/>
    <w:rPr>
      <w:sz w:val="16"/>
      <w:szCs w:val="16"/>
    </w:rPr>
  </w:style>
  <w:style w:type="paragraph" w:styleId="Textkomente">
    <w:name w:val="annotation text"/>
    <w:basedOn w:val="Normln"/>
    <w:link w:val="TextkomenteChar"/>
    <w:uiPriority w:val="99"/>
    <w:unhideWhenUsed/>
    <w:rsid w:val="003C487D"/>
    <w:rPr>
      <w:sz w:val="20"/>
      <w:szCs w:val="20"/>
    </w:rPr>
  </w:style>
  <w:style w:type="character" w:customStyle="1" w:styleId="TextkomenteChar">
    <w:name w:val="Text komentáře Char"/>
    <w:link w:val="Textkomente"/>
    <w:uiPriority w:val="99"/>
    <w:rsid w:val="003C487D"/>
    <w:rPr>
      <w:lang w:eastAsia="en-US"/>
    </w:rPr>
  </w:style>
  <w:style w:type="paragraph" w:styleId="Pedmtkomente">
    <w:name w:val="annotation subject"/>
    <w:basedOn w:val="Textkomente"/>
    <w:next w:val="Textkomente"/>
    <w:link w:val="PedmtkomenteChar"/>
    <w:uiPriority w:val="99"/>
    <w:semiHidden/>
    <w:unhideWhenUsed/>
    <w:rsid w:val="003C487D"/>
    <w:rPr>
      <w:b/>
      <w:bCs/>
    </w:rPr>
  </w:style>
  <w:style w:type="character" w:customStyle="1" w:styleId="PedmtkomenteChar">
    <w:name w:val="Předmět komentáře Char"/>
    <w:link w:val="Pedmtkomente"/>
    <w:uiPriority w:val="99"/>
    <w:semiHidden/>
    <w:rsid w:val="003C487D"/>
    <w:rPr>
      <w:b/>
      <w:bCs/>
      <w:lang w:eastAsia="en-US"/>
    </w:rPr>
  </w:style>
  <w:style w:type="paragraph" w:customStyle="1" w:styleId="EntEmet">
    <w:name w:val="EntEmet"/>
    <w:basedOn w:val="Normln"/>
    <w:rsid w:val="00A12248"/>
    <w:pPr>
      <w:tabs>
        <w:tab w:val="left" w:pos="284"/>
        <w:tab w:val="left" w:pos="567"/>
        <w:tab w:val="left" w:pos="851"/>
        <w:tab w:val="left" w:pos="1134"/>
        <w:tab w:val="left" w:pos="1418"/>
      </w:tabs>
      <w:spacing w:before="40" w:after="0" w:line="240" w:lineRule="auto"/>
    </w:pPr>
    <w:rPr>
      <w:rFonts w:ascii="Times New Roman" w:eastAsia="Times New Roman" w:hAnsi="Times New Roman"/>
      <w:sz w:val="24"/>
      <w:szCs w:val="20"/>
      <w:lang w:val="en-GB" w:eastAsia="fr-BE"/>
    </w:rPr>
  </w:style>
  <w:style w:type="character" w:customStyle="1" w:styleId="Nadpis3Char">
    <w:name w:val="Nadpis 3 Char"/>
    <w:link w:val="Nadpis3"/>
    <w:uiPriority w:val="9"/>
    <w:rsid w:val="003C4F48"/>
    <w:rPr>
      <w:rFonts w:ascii="Cambria" w:eastAsia="Times New Roman" w:hAnsi="Cambria" w:cs="Times New Roman"/>
      <w:b/>
      <w:bCs/>
      <w:sz w:val="26"/>
      <w:szCs w:val="26"/>
      <w:lang w:eastAsia="en-US"/>
    </w:rPr>
  </w:style>
  <w:style w:type="paragraph" w:customStyle="1" w:styleId="Barevnseznamzvraznn11">
    <w:name w:val="Barevný seznam – zvýraznění 11"/>
    <w:basedOn w:val="Normln"/>
    <w:uiPriority w:val="34"/>
    <w:qFormat/>
    <w:rsid w:val="002E65EF"/>
    <w:pPr>
      <w:spacing w:after="0" w:line="240" w:lineRule="auto"/>
      <w:ind w:left="720"/>
    </w:pPr>
    <w:rPr>
      <w:rFonts w:ascii="Times New Roman" w:hAnsi="Times New Roman"/>
      <w:sz w:val="24"/>
      <w:szCs w:val="24"/>
      <w:lang w:eastAsia="cs-CZ"/>
    </w:rPr>
  </w:style>
  <w:style w:type="paragraph" w:customStyle="1" w:styleId="Text3">
    <w:name w:val="Text 3"/>
    <w:basedOn w:val="Normln"/>
    <w:rsid w:val="00BB1EA3"/>
    <w:pPr>
      <w:spacing w:before="120" w:after="120" w:line="240" w:lineRule="auto"/>
      <w:ind w:left="850"/>
      <w:jc w:val="both"/>
    </w:pPr>
    <w:rPr>
      <w:rFonts w:ascii="Times New Roman" w:eastAsia="Times New Roman" w:hAnsi="Times New Roman"/>
      <w:sz w:val="24"/>
      <w:szCs w:val="20"/>
      <w:lang w:val="en-GB" w:eastAsia="zh-CN"/>
    </w:rPr>
  </w:style>
  <w:style w:type="paragraph" w:styleId="Zkladntext2">
    <w:name w:val="Body Text 2"/>
    <w:basedOn w:val="Normln"/>
    <w:link w:val="Zkladntext2Char"/>
    <w:rsid w:val="00BB1EA3"/>
    <w:pPr>
      <w:spacing w:after="0" w:line="240" w:lineRule="auto"/>
      <w:jc w:val="both"/>
    </w:pPr>
    <w:rPr>
      <w:rFonts w:ascii="Times New Roman" w:eastAsia="Times New Roman" w:hAnsi="Times New Roman"/>
      <w:color w:val="800000"/>
      <w:sz w:val="24"/>
      <w:szCs w:val="24"/>
    </w:rPr>
  </w:style>
  <w:style w:type="character" w:customStyle="1" w:styleId="Zkladntext2Char">
    <w:name w:val="Základní text 2 Char"/>
    <w:link w:val="Zkladntext2"/>
    <w:rsid w:val="00BB1EA3"/>
    <w:rPr>
      <w:rFonts w:ascii="Times New Roman" w:eastAsia="Times New Roman" w:hAnsi="Times New Roman"/>
      <w:color w:val="800000"/>
      <w:sz w:val="24"/>
      <w:szCs w:val="24"/>
    </w:rPr>
  </w:style>
  <w:style w:type="paragraph" w:customStyle="1" w:styleId="EntRefer">
    <w:name w:val="EntRefer"/>
    <w:basedOn w:val="Normln"/>
    <w:rsid w:val="00BB1EA3"/>
    <w:pPr>
      <w:spacing w:after="0" w:line="240" w:lineRule="auto"/>
    </w:pPr>
    <w:rPr>
      <w:rFonts w:ascii="Times New Roman" w:eastAsia="Times New Roman" w:hAnsi="Times New Roman"/>
      <w:b/>
      <w:sz w:val="24"/>
      <w:szCs w:val="20"/>
      <w:lang w:val="en-GB" w:eastAsia="fr-BE"/>
    </w:rPr>
  </w:style>
  <w:style w:type="paragraph" w:customStyle="1" w:styleId="a3420chapeaup5">
    <w:name w:val="a__34__20_chapeau_p5"/>
    <w:basedOn w:val="Normln"/>
    <w:rsid w:val="00BB1EA3"/>
    <w:pPr>
      <w:spacing w:before="600" w:after="240" w:line="360" w:lineRule="auto"/>
      <w:jc w:val="both"/>
    </w:pPr>
    <w:rPr>
      <w:rFonts w:ascii="Times New Roman" w:eastAsia="Times New Roman" w:hAnsi="Times New Roman"/>
      <w:b/>
      <w:bCs/>
      <w:i/>
      <w:iCs/>
      <w:sz w:val="24"/>
      <w:szCs w:val="24"/>
      <w:lang w:eastAsia="cs-CZ"/>
    </w:rPr>
  </w:style>
  <w:style w:type="paragraph" w:customStyle="1" w:styleId="Bullet0">
    <w:name w:val="Bullet 0"/>
    <w:basedOn w:val="Normln"/>
    <w:rsid w:val="00034479"/>
    <w:pPr>
      <w:numPr>
        <w:numId w:val="1"/>
      </w:numPr>
      <w:spacing w:before="120" w:after="120" w:line="240" w:lineRule="auto"/>
      <w:jc w:val="both"/>
    </w:pPr>
    <w:rPr>
      <w:rFonts w:ascii="Times New Roman" w:eastAsia="SimSun" w:hAnsi="Times New Roman"/>
      <w:snapToGrid w:val="0"/>
      <w:sz w:val="24"/>
      <w:szCs w:val="24"/>
      <w:lang w:eastAsia="zh-CN"/>
    </w:rPr>
  </w:style>
  <w:style w:type="character" w:customStyle="1" w:styleId="at1">
    <w:name w:val="a__t1"/>
    <w:basedOn w:val="Standardnpsmoodstavce"/>
    <w:rsid w:val="005D4343"/>
  </w:style>
  <w:style w:type="paragraph" w:customStyle="1" w:styleId="astandard3520normal">
    <w:name w:val="a_standard__35__20_normal"/>
    <w:basedOn w:val="Normln"/>
    <w:rsid w:val="005D434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tal">
    <w:name w:val="tal"/>
    <w:basedOn w:val="Normln"/>
    <w:rsid w:val="00BE2BBC"/>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Char3CharCharCharCarCharCharCharCar">
    <w:name w:val="Char3 Char Char Char Car Char Char Char Car"/>
    <w:basedOn w:val="Normln"/>
    <w:rsid w:val="008F1624"/>
    <w:pPr>
      <w:spacing w:after="160" w:line="240" w:lineRule="exact"/>
    </w:pPr>
    <w:rPr>
      <w:rFonts w:ascii="Tahoma" w:eastAsia="Times New Roman" w:hAnsi="Tahoma" w:cs="Tahoma"/>
      <w:sz w:val="20"/>
      <w:szCs w:val="20"/>
      <w:lang w:val="en-US"/>
    </w:rPr>
  </w:style>
  <w:style w:type="paragraph" w:styleId="Revize">
    <w:name w:val="Revision"/>
    <w:hidden/>
    <w:uiPriority w:val="71"/>
    <w:rsid w:val="00A546D6"/>
    <w:rPr>
      <w:sz w:val="22"/>
      <w:szCs w:val="22"/>
      <w:lang w:eastAsia="en-US"/>
    </w:rPr>
  </w:style>
  <w:style w:type="character" w:customStyle="1" w:styleId="apple-converted-space">
    <w:name w:val="apple-converted-space"/>
    <w:basedOn w:val="Standardnpsmoodstavce"/>
    <w:rsid w:val="00CA7924"/>
  </w:style>
  <w:style w:type="paragraph" w:customStyle="1" w:styleId="intro">
    <w:name w:val="intro"/>
    <w:basedOn w:val="Normln"/>
    <w:rsid w:val="00D70C13"/>
    <w:pPr>
      <w:spacing w:before="100" w:beforeAutospacing="1" w:after="100" w:afterAutospacing="1" w:line="240" w:lineRule="auto"/>
    </w:pPr>
    <w:rPr>
      <w:rFonts w:ascii="Times New Roman" w:eastAsia="Times New Roman" w:hAnsi="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66C5"/>
    <w:pPr>
      <w:spacing w:after="200" w:line="276" w:lineRule="auto"/>
    </w:pPr>
    <w:rPr>
      <w:sz w:val="22"/>
      <w:szCs w:val="22"/>
      <w:lang w:eastAsia="en-US"/>
    </w:rPr>
  </w:style>
  <w:style w:type="paragraph" w:styleId="Nadpis1">
    <w:name w:val="heading 1"/>
    <w:basedOn w:val="Normln"/>
    <w:next w:val="Normln"/>
    <w:link w:val="Nadpis1Char"/>
    <w:autoRedefine/>
    <w:uiPriority w:val="9"/>
    <w:qFormat/>
    <w:rsid w:val="00FB1F40"/>
    <w:pPr>
      <w:keepNext/>
      <w:pBdr>
        <w:top w:val="single" w:sz="4" w:space="1" w:color="auto"/>
        <w:left w:val="single" w:sz="4" w:space="4" w:color="auto"/>
        <w:bottom w:val="single" w:sz="4" w:space="1" w:color="auto"/>
        <w:right w:val="single" w:sz="4" w:space="4" w:color="auto"/>
      </w:pBdr>
      <w:shd w:val="clear" w:color="auto" w:fill="C6D9F1"/>
      <w:spacing w:after="0" w:line="240" w:lineRule="auto"/>
      <w:jc w:val="center"/>
      <w:outlineLvl w:val="0"/>
    </w:pPr>
    <w:rPr>
      <w:rFonts w:eastAsia="Times New Roman"/>
      <w:b/>
      <w:bCs/>
      <w:kern w:val="32"/>
      <w:sz w:val="32"/>
      <w:szCs w:val="32"/>
    </w:rPr>
  </w:style>
  <w:style w:type="paragraph" w:styleId="Nadpis2">
    <w:name w:val="heading 2"/>
    <w:basedOn w:val="Normln"/>
    <w:next w:val="Normln"/>
    <w:link w:val="Nadpis2Char"/>
    <w:uiPriority w:val="9"/>
    <w:unhideWhenUsed/>
    <w:qFormat/>
    <w:rsid w:val="002A3964"/>
    <w:pPr>
      <w:keepNext/>
      <w:spacing w:before="240" w:after="60"/>
      <w:outlineLvl w:val="1"/>
    </w:pPr>
    <w:rPr>
      <w:rFonts w:eastAsia="Times New Roman"/>
      <w:b/>
      <w:bCs/>
      <w:iCs/>
      <w:sz w:val="28"/>
      <w:szCs w:val="28"/>
    </w:rPr>
  </w:style>
  <w:style w:type="paragraph" w:styleId="Nadpis3">
    <w:name w:val="heading 3"/>
    <w:basedOn w:val="Normln"/>
    <w:next w:val="Normln"/>
    <w:link w:val="Nadpis3Char"/>
    <w:uiPriority w:val="9"/>
    <w:unhideWhenUsed/>
    <w:qFormat/>
    <w:rsid w:val="003C4F48"/>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66C5"/>
    <w:pPr>
      <w:tabs>
        <w:tab w:val="center" w:pos="4536"/>
        <w:tab w:val="right" w:pos="9072"/>
      </w:tabs>
    </w:pPr>
    <w:rPr>
      <w:sz w:val="20"/>
      <w:szCs w:val="20"/>
    </w:rPr>
  </w:style>
  <w:style w:type="character" w:customStyle="1" w:styleId="ZhlavChar">
    <w:name w:val="Záhlaví Char"/>
    <w:link w:val="Zhlav"/>
    <w:uiPriority w:val="99"/>
    <w:rsid w:val="00CD66C5"/>
    <w:rPr>
      <w:rFonts w:ascii="Calibri" w:eastAsia="Calibri" w:hAnsi="Calibri" w:cs="Times New Roman"/>
    </w:rPr>
  </w:style>
  <w:style w:type="paragraph" w:styleId="Textpoznpodarou">
    <w:name w:val="footnote text"/>
    <w:aliases w:val="Schriftart: 9 pt,Schriftart: 10 pt,Schriftart: 8 pt, Char,Char,Text pozn. pod čarou1,Char Char Char1,Char Char1,Footnote Text Char1,Text poznámky pod čiarou 007,Footnote Char,Fußnote Char,FSR footnote Char,lábléc Char,Plonk"/>
    <w:basedOn w:val="Normln"/>
    <w:link w:val="TextpoznpodarouChar"/>
    <w:uiPriority w:val="99"/>
    <w:unhideWhenUsed/>
    <w:rsid w:val="00CD66C5"/>
    <w:rPr>
      <w:sz w:val="20"/>
      <w:szCs w:val="20"/>
    </w:rPr>
  </w:style>
  <w:style w:type="character" w:customStyle="1" w:styleId="TextpoznpodarouChar">
    <w:name w:val="Text pozn. pod čarou Char"/>
    <w:aliases w:val="Schriftart: 9 pt Char1,Schriftart: 10 pt Char1,Schriftart: 8 pt Char1, Char Char,Char Char,Text pozn. pod čarou1 Char,Char Char Char1 Char,Char Char1 Char,Footnote Text Char1 Char,Text poznámky pod čiarou 007 Char,Plonk Char"/>
    <w:link w:val="Textpoznpodarou"/>
    <w:uiPriority w:val="99"/>
    <w:rsid w:val="00CD66C5"/>
    <w:rPr>
      <w:rFonts w:ascii="Calibri" w:eastAsia="Calibri" w:hAnsi="Calibri" w:cs="Times New Roman"/>
      <w:sz w:val="20"/>
      <w:szCs w:val="20"/>
    </w:rPr>
  </w:style>
  <w:style w:type="character" w:styleId="Znakapoznpodarou">
    <w:name w:val="footnote reference"/>
    <w:aliases w:val="BVI fnr,SUPERS,Footnote symbol,(Footnote Reference),Footnote,Voetnootverwijzing,Times 10 Point,Exposant 3 Point,Footnote reference number,note TESI,Odwołanie przypisu,Footnote Reference Number,Footnote Reference_LVL6,BVI fn, BVI f"/>
    <w:uiPriority w:val="99"/>
    <w:unhideWhenUsed/>
    <w:rsid w:val="00CD66C5"/>
    <w:rPr>
      <w:vertAlign w:val="superscript"/>
    </w:rPr>
  </w:style>
  <w:style w:type="character" w:customStyle="1" w:styleId="at71">
    <w:name w:val="a__t71"/>
    <w:rsid w:val="00CD66C5"/>
    <w:rPr>
      <w:i/>
      <w:iCs/>
    </w:rPr>
  </w:style>
  <w:style w:type="character" w:customStyle="1" w:styleId="at81">
    <w:name w:val="a__t81"/>
    <w:rsid w:val="00CD66C5"/>
    <w:rPr>
      <w:b/>
      <w:bCs/>
      <w:i/>
      <w:iCs/>
    </w:rPr>
  </w:style>
  <w:style w:type="character" w:styleId="Hypertextovodkaz">
    <w:name w:val="Hyperlink"/>
    <w:uiPriority w:val="99"/>
    <w:unhideWhenUsed/>
    <w:rsid w:val="00CD66C5"/>
    <w:rPr>
      <w:color w:val="15669F"/>
      <w:u w:val="single"/>
    </w:rPr>
  </w:style>
  <w:style w:type="paragraph" w:customStyle="1" w:styleId="astandardp2">
    <w:name w:val="a_standard_p2"/>
    <w:basedOn w:val="Normln"/>
    <w:rsid w:val="00CD66C5"/>
    <w:pPr>
      <w:spacing w:before="120" w:after="240" w:line="240" w:lineRule="auto"/>
      <w:jc w:val="both"/>
    </w:pPr>
    <w:rPr>
      <w:rFonts w:ascii="Times New Roman" w:eastAsia="Times New Roman" w:hAnsi="Times New Roman"/>
      <w:sz w:val="24"/>
      <w:szCs w:val="24"/>
      <w:lang w:eastAsia="cs-CZ"/>
    </w:rPr>
  </w:style>
  <w:style w:type="paragraph" w:styleId="Prosttext">
    <w:name w:val="Plain Text"/>
    <w:basedOn w:val="Normln"/>
    <w:link w:val="ProsttextChar"/>
    <w:unhideWhenUsed/>
    <w:rsid w:val="00CD66C5"/>
    <w:pPr>
      <w:spacing w:after="0" w:line="240" w:lineRule="auto"/>
    </w:pPr>
    <w:rPr>
      <w:rFonts w:ascii="Consolas" w:eastAsia="Times New Roman" w:hAnsi="Consolas"/>
      <w:sz w:val="21"/>
      <w:szCs w:val="21"/>
      <w:lang w:eastAsia="cs-CZ"/>
    </w:rPr>
  </w:style>
  <w:style w:type="character" w:customStyle="1" w:styleId="ProsttextChar">
    <w:name w:val="Prostý text Char"/>
    <w:link w:val="Prosttext"/>
    <w:rsid w:val="00CD66C5"/>
    <w:rPr>
      <w:rFonts w:ascii="Consolas" w:eastAsia="Times New Roman" w:hAnsi="Consolas" w:cs="Times New Roman"/>
      <w:sz w:val="21"/>
      <w:szCs w:val="21"/>
      <w:lang w:eastAsia="cs-CZ"/>
    </w:rPr>
  </w:style>
  <w:style w:type="paragraph" w:styleId="Odstavecseseznamem">
    <w:name w:val="List Paragraph"/>
    <w:basedOn w:val="Normln"/>
    <w:uiPriority w:val="34"/>
    <w:qFormat/>
    <w:rsid w:val="00CD66C5"/>
    <w:pPr>
      <w:ind w:left="708"/>
    </w:pPr>
  </w:style>
  <w:style w:type="paragraph" w:customStyle="1" w:styleId="Point0">
    <w:name w:val="Point 0"/>
    <w:basedOn w:val="Normln"/>
    <w:uiPriority w:val="99"/>
    <w:rsid w:val="00C8553D"/>
    <w:pPr>
      <w:spacing w:before="120" w:after="120" w:line="240" w:lineRule="auto"/>
      <w:ind w:left="850" w:hanging="850"/>
      <w:jc w:val="both"/>
    </w:pPr>
    <w:rPr>
      <w:rFonts w:ascii="Times New Roman" w:eastAsia="Times New Roman" w:hAnsi="Times New Roman"/>
      <w:sz w:val="24"/>
      <w:szCs w:val="24"/>
      <w:lang w:eastAsia="cs-CZ"/>
    </w:rPr>
  </w:style>
  <w:style w:type="paragraph" w:customStyle="1" w:styleId="CM1">
    <w:name w:val="CM1"/>
    <w:basedOn w:val="Normln"/>
    <w:next w:val="Normln"/>
    <w:uiPriority w:val="99"/>
    <w:rsid w:val="00C8553D"/>
    <w:pPr>
      <w:autoSpaceDE w:val="0"/>
      <w:autoSpaceDN w:val="0"/>
      <w:adjustRightInd w:val="0"/>
      <w:spacing w:after="0" w:line="240" w:lineRule="auto"/>
    </w:pPr>
    <w:rPr>
      <w:rFonts w:ascii="EUAlbertina" w:hAnsi="EUAlbertina"/>
      <w:sz w:val="24"/>
      <w:szCs w:val="24"/>
      <w:lang w:eastAsia="cs-CZ"/>
    </w:rPr>
  </w:style>
  <w:style w:type="paragraph" w:customStyle="1" w:styleId="CM3">
    <w:name w:val="CM3"/>
    <w:basedOn w:val="Normln"/>
    <w:next w:val="Normln"/>
    <w:uiPriority w:val="99"/>
    <w:rsid w:val="00C8553D"/>
    <w:pPr>
      <w:autoSpaceDE w:val="0"/>
      <w:autoSpaceDN w:val="0"/>
      <w:adjustRightInd w:val="0"/>
      <w:spacing w:after="0" w:line="240" w:lineRule="auto"/>
    </w:pPr>
    <w:rPr>
      <w:rFonts w:ascii="EUAlbertina" w:hAnsi="EUAlbertina"/>
      <w:sz w:val="24"/>
      <w:szCs w:val="24"/>
      <w:lang w:eastAsia="cs-CZ"/>
    </w:rPr>
  </w:style>
  <w:style w:type="paragraph" w:customStyle="1" w:styleId="Default">
    <w:name w:val="Default"/>
    <w:rsid w:val="00C8553D"/>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C8553D"/>
    <w:rPr>
      <w:rFonts w:cs="Times New Roman"/>
      <w:color w:val="auto"/>
    </w:rPr>
  </w:style>
  <w:style w:type="character" w:customStyle="1" w:styleId="hps">
    <w:name w:val="hps"/>
    <w:basedOn w:val="Standardnpsmoodstavce"/>
    <w:rsid w:val="008C4513"/>
  </w:style>
  <w:style w:type="character" w:styleId="Sledovanodkaz">
    <w:name w:val="FollowedHyperlink"/>
    <w:uiPriority w:val="99"/>
    <w:semiHidden/>
    <w:unhideWhenUsed/>
    <w:rsid w:val="00805E21"/>
    <w:rPr>
      <w:color w:val="800080"/>
      <w:u w:val="single"/>
    </w:rPr>
  </w:style>
  <w:style w:type="character" w:customStyle="1" w:styleId="TextpoznpodarouChar1">
    <w:name w:val="Text pozn. pod čarou Char1"/>
    <w:aliases w:val="Schriftart: 9 pt Char,Schriftart: 10 pt Char,Schriftart: 8 pt Char"/>
    <w:locked/>
    <w:rsid w:val="003C35B6"/>
    <w:rPr>
      <w:rFonts w:ascii="Times New Roman" w:eastAsia="Times New Roman" w:hAnsi="Times New Roman" w:cs="Times New Roman"/>
      <w:sz w:val="20"/>
      <w:szCs w:val="20"/>
      <w:lang w:val="en-GB" w:eastAsia="en-GB"/>
    </w:rPr>
  </w:style>
  <w:style w:type="paragraph" w:customStyle="1" w:styleId="a3520normal">
    <w:name w:val="a___35__20_normal"/>
    <w:basedOn w:val="Normln"/>
    <w:rsid w:val="00727395"/>
    <w:pPr>
      <w:spacing w:after="120" w:line="240" w:lineRule="auto"/>
      <w:jc w:val="both"/>
    </w:pPr>
    <w:rPr>
      <w:rFonts w:ascii="Times New Roman" w:eastAsia="Times New Roman" w:hAnsi="Times New Roman"/>
      <w:sz w:val="24"/>
      <w:szCs w:val="24"/>
      <w:lang w:eastAsia="cs-CZ"/>
    </w:rPr>
  </w:style>
  <w:style w:type="character" w:customStyle="1" w:styleId="at6">
    <w:name w:val="a__t6"/>
    <w:basedOn w:val="Standardnpsmoodstavce"/>
    <w:rsid w:val="00727395"/>
  </w:style>
  <w:style w:type="paragraph" w:styleId="Zpat">
    <w:name w:val="footer"/>
    <w:basedOn w:val="Normln"/>
    <w:link w:val="ZpatChar"/>
    <w:uiPriority w:val="99"/>
    <w:unhideWhenUsed/>
    <w:rsid w:val="008538B2"/>
    <w:pPr>
      <w:tabs>
        <w:tab w:val="center" w:pos="4536"/>
        <w:tab w:val="right" w:pos="9072"/>
      </w:tabs>
    </w:pPr>
  </w:style>
  <w:style w:type="character" w:customStyle="1" w:styleId="ZpatChar">
    <w:name w:val="Zápatí Char"/>
    <w:link w:val="Zpat"/>
    <w:uiPriority w:val="99"/>
    <w:rsid w:val="008538B2"/>
    <w:rPr>
      <w:sz w:val="22"/>
      <w:szCs w:val="22"/>
      <w:lang w:eastAsia="en-US"/>
    </w:rPr>
  </w:style>
  <w:style w:type="paragraph" w:styleId="Textbubliny">
    <w:name w:val="Balloon Text"/>
    <w:basedOn w:val="Normln"/>
    <w:link w:val="TextbublinyChar"/>
    <w:uiPriority w:val="99"/>
    <w:semiHidden/>
    <w:unhideWhenUsed/>
    <w:rsid w:val="008538B2"/>
    <w:pPr>
      <w:spacing w:after="0" w:line="240" w:lineRule="auto"/>
    </w:pPr>
    <w:rPr>
      <w:rFonts w:ascii="Tahoma" w:hAnsi="Tahoma"/>
      <w:sz w:val="16"/>
      <w:szCs w:val="16"/>
    </w:rPr>
  </w:style>
  <w:style w:type="character" w:customStyle="1" w:styleId="TextbublinyChar">
    <w:name w:val="Text bubliny Char"/>
    <w:link w:val="Textbubliny"/>
    <w:uiPriority w:val="99"/>
    <w:semiHidden/>
    <w:rsid w:val="008538B2"/>
    <w:rPr>
      <w:rFonts w:ascii="Tahoma" w:hAnsi="Tahoma" w:cs="Tahoma"/>
      <w:sz w:val="16"/>
      <w:szCs w:val="16"/>
      <w:lang w:eastAsia="en-US"/>
    </w:rPr>
  </w:style>
  <w:style w:type="paragraph" w:styleId="Normlnweb">
    <w:name w:val="Normal (Web)"/>
    <w:basedOn w:val="Normln"/>
    <w:uiPriority w:val="99"/>
    <w:unhideWhenUsed/>
    <w:rsid w:val="008538B2"/>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8538B2"/>
    <w:rPr>
      <w:b/>
      <w:bCs/>
    </w:rPr>
  </w:style>
  <w:style w:type="character" w:customStyle="1" w:styleId="Nadpis1Char">
    <w:name w:val="Nadpis 1 Char"/>
    <w:link w:val="Nadpis1"/>
    <w:uiPriority w:val="9"/>
    <w:rsid w:val="00FB1F40"/>
    <w:rPr>
      <w:rFonts w:eastAsia="Times New Roman"/>
      <w:b/>
      <w:bCs/>
      <w:kern w:val="32"/>
      <w:sz w:val="32"/>
      <w:szCs w:val="32"/>
      <w:shd w:val="clear" w:color="auto" w:fill="C6D9F1"/>
      <w:lang w:eastAsia="en-US"/>
    </w:rPr>
  </w:style>
  <w:style w:type="character" w:customStyle="1" w:styleId="Nadpis2Char">
    <w:name w:val="Nadpis 2 Char"/>
    <w:link w:val="Nadpis2"/>
    <w:uiPriority w:val="9"/>
    <w:rsid w:val="002A3964"/>
    <w:rPr>
      <w:rFonts w:ascii="Calibri" w:eastAsia="Times New Roman" w:hAnsi="Calibri" w:cs="Times New Roman"/>
      <w:b/>
      <w:bCs/>
      <w:iCs/>
      <w:sz w:val="28"/>
      <w:szCs w:val="28"/>
      <w:lang w:eastAsia="en-US"/>
    </w:rPr>
  </w:style>
  <w:style w:type="paragraph" w:styleId="Nadpisobsahu">
    <w:name w:val="TOC Heading"/>
    <w:basedOn w:val="Nadpis1"/>
    <w:next w:val="Normln"/>
    <w:uiPriority w:val="39"/>
    <w:unhideWhenUsed/>
    <w:qFormat/>
    <w:rsid w:val="002A3964"/>
    <w:pPr>
      <w:keepLines/>
      <w:spacing w:before="480"/>
      <w:outlineLvl w:val="9"/>
    </w:pPr>
    <w:rPr>
      <w:rFonts w:ascii="Cambria" w:hAnsi="Cambria"/>
      <w:color w:val="365F91"/>
      <w:kern w:val="0"/>
      <w:sz w:val="28"/>
      <w:szCs w:val="28"/>
    </w:rPr>
  </w:style>
  <w:style w:type="paragraph" w:styleId="Obsah1">
    <w:name w:val="toc 1"/>
    <w:basedOn w:val="Normln"/>
    <w:next w:val="Normln"/>
    <w:autoRedefine/>
    <w:uiPriority w:val="39"/>
    <w:unhideWhenUsed/>
    <w:qFormat/>
    <w:rsid w:val="00387A21"/>
    <w:pPr>
      <w:tabs>
        <w:tab w:val="right" w:leader="dot" w:pos="9062"/>
      </w:tabs>
    </w:pPr>
    <w:rPr>
      <w:b/>
      <w:noProof/>
    </w:rPr>
  </w:style>
  <w:style w:type="paragraph" w:styleId="Obsah2">
    <w:name w:val="toc 2"/>
    <w:basedOn w:val="Normln"/>
    <w:next w:val="Normln"/>
    <w:autoRedefine/>
    <w:uiPriority w:val="39"/>
    <w:unhideWhenUsed/>
    <w:qFormat/>
    <w:rsid w:val="002A3964"/>
    <w:pPr>
      <w:ind w:left="220"/>
    </w:pPr>
  </w:style>
  <w:style w:type="paragraph" w:styleId="Obsah3">
    <w:name w:val="toc 3"/>
    <w:basedOn w:val="Normln"/>
    <w:next w:val="Normln"/>
    <w:autoRedefine/>
    <w:uiPriority w:val="39"/>
    <w:semiHidden/>
    <w:unhideWhenUsed/>
    <w:qFormat/>
    <w:rsid w:val="00BD6171"/>
    <w:pPr>
      <w:spacing w:after="100"/>
      <w:ind w:left="440"/>
    </w:pPr>
    <w:rPr>
      <w:rFonts w:eastAsia="Times New Roman"/>
    </w:rPr>
  </w:style>
  <w:style w:type="paragraph" w:customStyle="1" w:styleId="OdstavecCOPS">
    <w:name w:val="Odstavec COPS"/>
    <w:basedOn w:val="Normln"/>
    <w:rsid w:val="002C476A"/>
    <w:pPr>
      <w:spacing w:before="80" w:after="160" w:line="240" w:lineRule="auto"/>
    </w:pPr>
    <w:rPr>
      <w:rFonts w:ascii="Times New Roman" w:eastAsia="Times New Roman" w:hAnsi="Times New Roman"/>
      <w:bCs/>
      <w:sz w:val="24"/>
      <w:szCs w:val="24"/>
      <w:lang w:eastAsia="cs-CZ"/>
    </w:rPr>
  </w:style>
  <w:style w:type="character" w:styleId="Odkaznakoment">
    <w:name w:val="annotation reference"/>
    <w:uiPriority w:val="99"/>
    <w:semiHidden/>
    <w:unhideWhenUsed/>
    <w:rsid w:val="003C487D"/>
    <w:rPr>
      <w:sz w:val="16"/>
      <w:szCs w:val="16"/>
    </w:rPr>
  </w:style>
  <w:style w:type="paragraph" w:styleId="Textkomente">
    <w:name w:val="annotation text"/>
    <w:basedOn w:val="Normln"/>
    <w:link w:val="TextkomenteChar"/>
    <w:uiPriority w:val="99"/>
    <w:unhideWhenUsed/>
    <w:rsid w:val="003C487D"/>
    <w:rPr>
      <w:sz w:val="20"/>
      <w:szCs w:val="20"/>
    </w:rPr>
  </w:style>
  <w:style w:type="character" w:customStyle="1" w:styleId="TextkomenteChar">
    <w:name w:val="Text komentáře Char"/>
    <w:link w:val="Textkomente"/>
    <w:uiPriority w:val="99"/>
    <w:rsid w:val="003C487D"/>
    <w:rPr>
      <w:lang w:eastAsia="en-US"/>
    </w:rPr>
  </w:style>
  <w:style w:type="paragraph" w:styleId="Pedmtkomente">
    <w:name w:val="annotation subject"/>
    <w:basedOn w:val="Textkomente"/>
    <w:next w:val="Textkomente"/>
    <w:link w:val="PedmtkomenteChar"/>
    <w:uiPriority w:val="99"/>
    <w:semiHidden/>
    <w:unhideWhenUsed/>
    <w:rsid w:val="003C487D"/>
    <w:rPr>
      <w:b/>
      <w:bCs/>
    </w:rPr>
  </w:style>
  <w:style w:type="character" w:customStyle="1" w:styleId="PedmtkomenteChar">
    <w:name w:val="Předmět komentáře Char"/>
    <w:link w:val="Pedmtkomente"/>
    <w:uiPriority w:val="99"/>
    <w:semiHidden/>
    <w:rsid w:val="003C487D"/>
    <w:rPr>
      <w:b/>
      <w:bCs/>
      <w:lang w:eastAsia="en-US"/>
    </w:rPr>
  </w:style>
  <w:style w:type="paragraph" w:customStyle="1" w:styleId="EntEmet">
    <w:name w:val="EntEmet"/>
    <w:basedOn w:val="Normln"/>
    <w:rsid w:val="00A12248"/>
    <w:pPr>
      <w:tabs>
        <w:tab w:val="left" w:pos="284"/>
        <w:tab w:val="left" w:pos="567"/>
        <w:tab w:val="left" w:pos="851"/>
        <w:tab w:val="left" w:pos="1134"/>
        <w:tab w:val="left" w:pos="1418"/>
      </w:tabs>
      <w:spacing w:before="40" w:after="0" w:line="240" w:lineRule="auto"/>
    </w:pPr>
    <w:rPr>
      <w:rFonts w:ascii="Times New Roman" w:eastAsia="Times New Roman" w:hAnsi="Times New Roman"/>
      <w:sz w:val="24"/>
      <w:szCs w:val="20"/>
      <w:lang w:val="en-GB" w:eastAsia="fr-BE"/>
    </w:rPr>
  </w:style>
  <w:style w:type="character" w:customStyle="1" w:styleId="Nadpis3Char">
    <w:name w:val="Nadpis 3 Char"/>
    <w:link w:val="Nadpis3"/>
    <w:uiPriority w:val="9"/>
    <w:rsid w:val="003C4F48"/>
    <w:rPr>
      <w:rFonts w:ascii="Cambria" w:eastAsia="Times New Roman" w:hAnsi="Cambria" w:cs="Times New Roman"/>
      <w:b/>
      <w:bCs/>
      <w:sz w:val="26"/>
      <w:szCs w:val="26"/>
      <w:lang w:eastAsia="en-US"/>
    </w:rPr>
  </w:style>
  <w:style w:type="paragraph" w:customStyle="1" w:styleId="Barevnseznamzvraznn11">
    <w:name w:val="Barevný seznam – zvýraznění 11"/>
    <w:basedOn w:val="Normln"/>
    <w:uiPriority w:val="34"/>
    <w:qFormat/>
    <w:rsid w:val="002E65EF"/>
    <w:pPr>
      <w:spacing w:after="0" w:line="240" w:lineRule="auto"/>
      <w:ind w:left="720"/>
    </w:pPr>
    <w:rPr>
      <w:rFonts w:ascii="Times New Roman" w:hAnsi="Times New Roman"/>
      <w:sz w:val="24"/>
      <w:szCs w:val="24"/>
      <w:lang w:eastAsia="cs-CZ"/>
    </w:rPr>
  </w:style>
  <w:style w:type="paragraph" w:customStyle="1" w:styleId="Text3">
    <w:name w:val="Text 3"/>
    <w:basedOn w:val="Normln"/>
    <w:rsid w:val="00BB1EA3"/>
    <w:pPr>
      <w:spacing w:before="120" w:after="120" w:line="240" w:lineRule="auto"/>
      <w:ind w:left="850"/>
      <w:jc w:val="both"/>
    </w:pPr>
    <w:rPr>
      <w:rFonts w:ascii="Times New Roman" w:eastAsia="Times New Roman" w:hAnsi="Times New Roman"/>
      <w:sz w:val="24"/>
      <w:szCs w:val="20"/>
      <w:lang w:val="en-GB" w:eastAsia="zh-CN"/>
    </w:rPr>
  </w:style>
  <w:style w:type="paragraph" w:styleId="Zkladntext2">
    <w:name w:val="Body Text 2"/>
    <w:basedOn w:val="Normln"/>
    <w:link w:val="Zkladntext2Char"/>
    <w:rsid w:val="00BB1EA3"/>
    <w:pPr>
      <w:spacing w:after="0" w:line="240" w:lineRule="auto"/>
      <w:jc w:val="both"/>
    </w:pPr>
    <w:rPr>
      <w:rFonts w:ascii="Times New Roman" w:eastAsia="Times New Roman" w:hAnsi="Times New Roman"/>
      <w:color w:val="800000"/>
      <w:sz w:val="24"/>
      <w:szCs w:val="24"/>
    </w:rPr>
  </w:style>
  <w:style w:type="character" w:customStyle="1" w:styleId="Zkladntext2Char">
    <w:name w:val="Základní text 2 Char"/>
    <w:link w:val="Zkladntext2"/>
    <w:rsid w:val="00BB1EA3"/>
    <w:rPr>
      <w:rFonts w:ascii="Times New Roman" w:eastAsia="Times New Roman" w:hAnsi="Times New Roman"/>
      <w:color w:val="800000"/>
      <w:sz w:val="24"/>
      <w:szCs w:val="24"/>
    </w:rPr>
  </w:style>
  <w:style w:type="paragraph" w:customStyle="1" w:styleId="EntRefer">
    <w:name w:val="EntRefer"/>
    <w:basedOn w:val="Normln"/>
    <w:rsid w:val="00BB1EA3"/>
    <w:pPr>
      <w:spacing w:after="0" w:line="240" w:lineRule="auto"/>
    </w:pPr>
    <w:rPr>
      <w:rFonts w:ascii="Times New Roman" w:eastAsia="Times New Roman" w:hAnsi="Times New Roman"/>
      <w:b/>
      <w:sz w:val="24"/>
      <w:szCs w:val="20"/>
      <w:lang w:val="en-GB" w:eastAsia="fr-BE"/>
    </w:rPr>
  </w:style>
  <w:style w:type="paragraph" w:customStyle="1" w:styleId="a3420chapeaup5">
    <w:name w:val="a__34__20_chapeau_p5"/>
    <w:basedOn w:val="Normln"/>
    <w:rsid w:val="00BB1EA3"/>
    <w:pPr>
      <w:spacing w:before="600" w:after="240" w:line="360" w:lineRule="auto"/>
      <w:jc w:val="both"/>
    </w:pPr>
    <w:rPr>
      <w:rFonts w:ascii="Times New Roman" w:eastAsia="Times New Roman" w:hAnsi="Times New Roman"/>
      <w:b/>
      <w:bCs/>
      <w:i/>
      <w:iCs/>
      <w:sz w:val="24"/>
      <w:szCs w:val="24"/>
      <w:lang w:eastAsia="cs-CZ"/>
    </w:rPr>
  </w:style>
  <w:style w:type="paragraph" w:customStyle="1" w:styleId="Bullet0">
    <w:name w:val="Bullet 0"/>
    <w:basedOn w:val="Normln"/>
    <w:rsid w:val="00034479"/>
    <w:pPr>
      <w:numPr>
        <w:numId w:val="1"/>
      </w:numPr>
      <w:spacing w:before="120" w:after="120" w:line="240" w:lineRule="auto"/>
      <w:jc w:val="both"/>
    </w:pPr>
    <w:rPr>
      <w:rFonts w:ascii="Times New Roman" w:eastAsia="SimSun" w:hAnsi="Times New Roman"/>
      <w:snapToGrid w:val="0"/>
      <w:sz w:val="24"/>
      <w:szCs w:val="24"/>
      <w:lang w:eastAsia="zh-CN"/>
    </w:rPr>
  </w:style>
  <w:style w:type="character" w:customStyle="1" w:styleId="at1">
    <w:name w:val="a__t1"/>
    <w:basedOn w:val="Standardnpsmoodstavce"/>
    <w:rsid w:val="005D4343"/>
  </w:style>
  <w:style w:type="paragraph" w:customStyle="1" w:styleId="astandard3520normal">
    <w:name w:val="a_standard__35__20_normal"/>
    <w:basedOn w:val="Normln"/>
    <w:rsid w:val="005D434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tal">
    <w:name w:val="tal"/>
    <w:basedOn w:val="Normln"/>
    <w:rsid w:val="00BE2BBC"/>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Char3CharCharCharCarCharCharCharCar">
    <w:name w:val="Char3 Char Char Char Car Char Char Char Car"/>
    <w:basedOn w:val="Normln"/>
    <w:rsid w:val="008F1624"/>
    <w:pPr>
      <w:spacing w:after="160" w:line="240" w:lineRule="exact"/>
    </w:pPr>
    <w:rPr>
      <w:rFonts w:ascii="Tahoma" w:eastAsia="Times New Roman" w:hAnsi="Tahoma" w:cs="Tahoma"/>
      <w:sz w:val="20"/>
      <w:szCs w:val="20"/>
      <w:lang w:val="en-US"/>
    </w:rPr>
  </w:style>
  <w:style w:type="paragraph" w:styleId="Revize">
    <w:name w:val="Revision"/>
    <w:hidden/>
    <w:uiPriority w:val="71"/>
    <w:rsid w:val="00A546D6"/>
    <w:rPr>
      <w:sz w:val="22"/>
      <w:szCs w:val="22"/>
      <w:lang w:eastAsia="en-US"/>
    </w:rPr>
  </w:style>
  <w:style w:type="character" w:customStyle="1" w:styleId="apple-converted-space">
    <w:name w:val="apple-converted-space"/>
    <w:basedOn w:val="Standardnpsmoodstavce"/>
    <w:rsid w:val="00CA7924"/>
  </w:style>
  <w:style w:type="paragraph" w:customStyle="1" w:styleId="intro">
    <w:name w:val="intro"/>
    <w:basedOn w:val="Normln"/>
    <w:rsid w:val="00D70C13"/>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230626072">
      <w:bodyDiv w:val="1"/>
      <w:marLeft w:val="0"/>
      <w:marRight w:val="0"/>
      <w:marTop w:val="0"/>
      <w:marBottom w:val="0"/>
      <w:divBdr>
        <w:top w:val="none" w:sz="0" w:space="0" w:color="auto"/>
        <w:left w:val="none" w:sz="0" w:space="0" w:color="auto"/>
        <w:bottom w:val="none" w:sz="0" w:space="0" w:color="auto"/>
        <w:right w:val="none" w:sz="0" w:space="0" w:color="auto"/>
      </w:divBdr>
      <w:divsChild>
        <w:div w:id="1301300339">
          <w:marLeft w:val="0"/>
          <w:marRight w:val="0"/>
          <w:marTop w:val="0"/>
          <w:marBottom w:val="0"/>
          <w:divBdr>
            <w:top w:val="none" w:sz="0" w:space="0" w:color="auto"/>
            <w:left w:val="none" w:sz="0" w:space="0" w:color="auto"/>
            <w:bottom w:val="none" w:sz="0" w:space="0" w:color="auto"/>
            <w:right w:val="none" w:sz="0" w:space="0" w:color="auto"/>
          </w:divBdr>
          <w:divsChild>
            <w:div w:id="11354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8823">
      <w:bodyDiv w:val="1"/>
      <w:marLeft w:val="0"/>
      <w:marRight w:val="0"/>
      <w:marTop w:val="0"/>
      <w:marBottom w:val="0"/>
      <w:divBdr>
        <w:top w:val="none" w:sz="0" w:space="0" w:color="auto"/>
        <w:left w:val="none" w:sz="0" w:space="0" w:color="auto"/>
        <w:bottom w:val="none" w:sz="0" w:space="0" w:color="auto"/>
        <w:right w:val="none" w:sz="0" w:space="0" w:color="auto"/>
      </w:divBdr>
      <w:divsChild>
        <w:div w:id="713119297">
          <w:marLeft w:val="864"/>
          <w:marRight w:val="0"/>
          <w:marTop w:val="96"/>
          <w:marBottom w:val="0"/>
          <w:divBdr>
            <w:top w:val="none" w:sz="0" w:space="0" w:color="auto"/>
            <w:left w:val="none" w:sz="0" w:space="0" w:color="auto"/>
            <w:bottom w:val="none" w:sz="0" w:space="0" w:color="auto"/>
            <w:right w:val="none" w:sz="0" w:space="0" w:color="auto"/>
          </w:divBdr>
        </w:div>
      </w:divsChild>
    </w:div>
    <w:div w:id="354885167">
      <w:bodyDiv w:val="1"/>
      <w:marLeft w:val="0"/>
      <w:marRight w:val="0"/>
      <w:marTop w:val="0"/>
      <w:marBottom w:val="0"/>
      <w:divBdr>
        <w:top w:val="none" w:sz="0" w:space="0" w:color="auto"/>
        <w:left w:val="none" w:sz="0" w:space="0" w:color="auto"/>
        <w:bottom w:val="none" w:sz="0" w:space="0" w:color="auto"/>
        <w:right w:val="none" w:sz="0" w:space="0" w:color="auto"/>
      </w:divBdr>
      <w:divsChild>
        <w:div w:id="1781338664">
          <w:marLeft w:val="1166"/>
          <w:marRight w:val="0"/>
          <w:marTop w:val="86"/>
          <w:marBottom w:val="120"/>
          <w:divBdr>
            <w:top w:val="none" w:sz="0" w:space="0" w:color="auto"/>
            <w:left w:val="none" w:sz="0" w:space="0" w:color="auto"/>
            <w:bottom w:val="none" w:sz="0" w:space="0" w:color="auto"/>
            <w:right w:val="none" w:sz="0" w:space="0" w:color="auto"/>
          </w:divBdr>
        </w:div>
      </w:divsChild>
    </w:div>
    <w:div w:id="381754868">
      <w:bodyDiv w:val="1"/>
      <w:marLeft w:val="0"/>
      <w:marRight w:val="0"/>
      <w:marTop w:val="0"/>
      <w:marBottom w:val="0"/>
      <w:divBdr>
        <w:top w:val="none" w:sz="0" w:space="0" w:color="auto"/>
        <w:left w:val="none" w:sz="0" w:space="0" w:color="auto"/>
        <w:bottom w:val="none" w:sz="0" w:space="0" w:color="auto"/>
        <w:right w:val="none" w:sz="0" w:space="0" w:color="auto"/>
      </w:divBdr>
    </w:div>
    <w:div w:id="415438065">
      <w:bodyDiv w:val="1"/>
      <w:marLeft w:val="0"/>
      <w:marRight w:val="0"/>
      <w:marTop w:val="0"/>
      <w:marBottom w:val="0"/>
      <w:divBdr>
        <w:top w:val="none" w:sz="0" w:space="0" w:color="auto"/>
        <w:left w:val="none" w:sz="0" w:space="0" w:color="auto"/>
        <w:bottom w:val="none" w:sz="0" w:space="0" w:color="auto"/>
        <w:right w:val="none" w:sz="0" w:space="0" w:color="auto"/>
      </w:divBdr>
    </w:div>
    <w:div w:id="532693495">
      <w:bodyDiv w:val="1"/>
      <w:marLeft w:val="0"/>
      <w:marRight w:val="0"/>
      <w:marTop w:val="0"/>
      <w:marBottom w:val="0"/>
      <w:divBdr>
        <w:top w:val="none" w:sz="0" w:space="0" w:color="auto"/>
        <w:left w:val="none" w:sz="0" w:space="0" w:color="auto"/>
        <w:bottom w:val="none" w:sz="0" w:space="0" w:color="auto"/>
        <w:right w:val="none" w:sz="0" w:space="0" w:color="auto"/>
      </w:divBdr>
    </w:div>
    <w:div w:id="637687898">
      <w:bodyDiv w:val="1"/>
      <w:marLeft w:val="0"/>
      <w:marRight w:val="0"/>
      <w:marTop w:val="0"/>
      <w:marBottom w:val="0"/>
      <w:divBdr>
        <w:top w:val="none" w:sz="0" w:space="0" w:color="auto"/>
        <w:left w:val="none" w:sz="0" w:space="0" w:color="auto"/>
        <w:bottom w:val="none" w:sz="0" w:space="0" w:color="auto"/>
        <w:right w:val="none" w:sz="0" w:space="0" w:color="auto"/>
      </w:divBdr>
    </w:div>
    <w:div w:id="646516397">
      <w:bodyDiv w:val="1"/>
      <w:marLeft w:val="0"/>
      <w:marRight w:val="0"/>
      <w:marTop w:val="0"/>
      <w:marBottom w:val="0"/>
      <w:divBdr>
        <w:top w:val="none" w:sz="0" w:space="0" w:color="auto"/>
        <w:left w:val="none" w:sz="0" w:space="0" w:color="auto"/>
        <w:bottom w:val="none" w:sz="0" w:space="0" w:color="auto"/>
        <w:right w:val="none" w:sz="0" w:space="0" w:color="auto"/>
      </w:divBdr>
    </w:div>
    <w:div w:id="691687274">
      <w:bodyDiv w:val="1"/>
      <w:marLeft w:val="0"/>
      <w:marRight w:val="0"/>
      <w:marTop w:val="0"/>
      <w:marBottom w:val="0"/>
      <w:divBdr>
        <w:top w:val="none" w:sz="0" w:space="0" w:color="auto"/>
        <w:left w:val="none" w:sz="0" w:space="0" w:color="auto"/>
        <w:bottom w:val="none" w:sz="0" w:space="0" w:color="auto"/>
        <w:right w:val="none" w:sz="0" w:space="0" w:color="auto"/>
      </w:divBdr>
      <w:divsChild>
        <w:div w:id="392895244">
          <w:marLeft w:val="0"/>
          <w:marRight w:val="0"/>
          <w:marTop w:val="0"/>
          <w:marBottom w:val="0"/>
          <w:divBdr>
            <w:top w:val="none" w:sz="0" w:space="0" w:color="auto"/>
            <w:left w:val="none" w:sz="0" w:space="0" w:color="auto"/>
            <w:bottom w:val="none" w:sz="0" w:space="0" w:color="auto"/>
            <w:right w:val="none" w:sz="0" w:space="0" w:color="auto"/>
          </w:divBdr>
          <w:divsChild>
            <w:div w:id="1760249828">
              <w:marLeft w:val="0"/>
              <w:marRight w:val="0"/>
              <w:marTop w:val="0"/>
              <w:marBottom w:val="0"/>
              <w:divBdr>
                <w:top w:val="none" w:sz="0" w:space="0" w:color="auto"/>
                <w:left w:val="none" w:sz="0" w:space="0" w:color="auto"/>
                <w:bottom w:val="none" w:sz="0" w:space="0" w:color="auto"/>
                <w:right w:val="none" w:sz="0" w:space="0" w:color="auto"/>
              </w:divBdr>
              <w:divsChild>
                <w:div w:id="996566403">
                  <w:marLeft w:val="0"/>
                  <w:marRight w:val="0"/>
                  <w:marTop w:val="0"/>
                  <w:marBottom w:val="0"/>
                  <w:divBdr>
                    <w:top w:val="none" w:sz="0" w:space="0" w:color="auto"/>
                    <w:left w:val="none" w:sz="0" w:space="0" w:color="auto"/>
                    <w:bottom w:val="none" w:sz="0" w:space="0" w:color="auto"/>
                    <w:right w:val="none" w:sz="0" w:space="0" w:color="auto"/>
                  </w:divBdr>
                  <w:divsChild>
                    <w:div w:id="1604149827">
                      <w:marLeft w:val="0"/>
                      <w:marRight w:val="0"/>
                      <w:marTop w:val="0"/>
                      <w:marBottom w:val="0"/>
                      <w:divBdr>
                        <w:top w:val="none" w:sz="0" w:space="0" w:color="auto"/>
                        <w:left w:val="none" w:sz="0" w:space="0" w:color="auto"/>
                        <w:bottom w:val="none" w:sz="0" w:space="0" w:color="auto"/>
                        <w:right w:val="none" w:sz="0" w:space="0" w:color="auto"/>
                      </w:divBdr>
                      <w:divsChild>
                        <w:div w:id="39020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8715">
      <w:bodyDiv w:val="1"/>
      <w:marLeft w:val="0"/>
      <w:marRight w:val="0"/>
      <w:marTop w:val="0"/>
      <w:marBottom w:val="0"/>
      <w:divBdr>
        <w:top w:val="none" w:sz="0" w:space="0" w:color="auto"/>
        <w:left w:val="none" w:sz="0" w:space="0" w:color="auto"/>
        <w:bottom w:val="none" w:sz="0" w:space="0" w:color="auto"/>
        <w:right w:val="none" w:sz="0" w:space="0" w:color="auto"/>
      </w:divBdr>
    </w:div>
    <w:div w:id="1069379845">
      <w:bodyDiv w:val="1"/>
      <w:marLeft w:val="0"/>
      <w:marRight w:val="0"/>
      <w:marTop w:val="0"/>
      <w:marBottom w:val="0"/>
      <w:divBdr>
        <w:top w:val="none" w:sz="0" w:space="0" w:color="auto"/>
        <w:left w:val="none" w:sz="0" w:space="0" w:color="auto"/>
        <w:bottom w:val="none" w:sz="0" w:space="0" w:color="auto"/>
        <w:right w:val="none" w:sz="0" w:space="0" w:color="auto"/>
      </w:divBdr>
    </w:div>
    <w:div w:id="1103646200">
      <w:bodyDiv w:val="1"/>
      <w:marLeft w:val="0"/>
      <w:marRight w:val="0"/>
      <w:marTop w:val="0"/>
      <w:marBottom w:val="0"/>
      <w:divBdr>
        <w:top w:val="none" w:sz="0" w:space="0" w:color="auto"/>
        <w:left w:val="none" w:sz="0" w:space="0" w:color="auto"/>
        <w:bottom w:val="none" w:sz="0" w:space="0" w:color="auto"/>
        <w:right w:val="none" w:sz="0" w:space="0" w:color="auto"/>
      </w:divBdr>
      <w:divsChild>
        <w:div w:id="1096095230">
          <w:marLeft w:val="0"/>
          <w:marRight w:val="0"/>
          <w:marTop w:val="0"/>
          <w:marBottom w:val="0"/>
          <w:divBdr>
            <w:top w:val="none" w:sz="0" w:space="0" w:color="auto"/>
            <w:left w:val="none" w:sz="0" w:space="0" w:color="auto"/>
            <w:bottom w:val="none" w:sz="0" w:space="0" w:color="auto"/>
            <w:right w:val="none" w:sz="0" w:space="0" w:color="auto"/>
          </w:divBdr>
          <w:divsChild>
            <w:div w:id="582957065">
              <w:marLeft w:val="0"/>
              <w:marRight w:val="0"/>
              <w:marTop w:val="0"/>
              <w:marBottom w:val="0"/>
              <w:divBdr>
                <w:top w:val="none" w:sz="0" w:space="0" w:color="auto"/>
                <w:left w:val="none" w:sz="0" w:space="0" w:color="auto"/>
                <w:bottom w:val="none" w:sz="0" w:space="0" w:color="auto"/>
                <w:right w:val="none" w:sz="0" w:space="0" w:color="auto"/>
              </w:divBdr>
              <w:divsChild>
                <w:div w:id="474643178">
                  <w:marLeft w:val="0"/>
                  <w:marRight w:val="0"/>
                  <w:marTop w:val="0"/>
                  <w:marBottom w:val="0"/>
                  <w:divBdr>
                    <w:top w:val="none" w:sz="0" w:space="0" w:color="auto"/>
                    <w:left w:val="none" w:sz="0" w:space="0" w:color="auto"/>
                    <w:bottom w:val="none" w:sz="0" w:space="0" w:color="auto"/>
                    <w:right w:val="none" w:sz="0" w:space="0" w:color="auto"/>
                  </w:divBdr>
                  <w:divsChild>
                    <w:div w:id="2049258584">
                      <w:marLeft w:val="0"/>
                      <w:marRight w:val="0"/>
                      <w:marTop w:val="0"/>
                      <w:marBottom w:val="0"/>
                      <w:divBdr>
                        <w:top w:val="none" w:sz="0" w:space="0" w:color="auto"/>
                        <w:left w:val="none" w:sz="0" w:space="0" w:color="auto"/>
                        <w:bottom w:val="none" w:sz="0" w:space="0" w:color="auto"/>
                        <w:right w:val="none" w:sz="0" w:space="0" w:color="auto"/>
                      </w:divBdr>
                      <w:divsChild>
                        <w:div w:id="986014917">
                          <w:marLeft w:val="0"/>
                          <w:marRight w:val="0"/>
                          <w:marTop w:val="0"/>
                          <w:marBottom w:val="0"/>
                          <w:divBdr>
                            <w:top w:val="none" w:sz="0" w:space="0" w:color="auto"/>
                            <w:left w:val="none" w:sz="0" w:space="0" w:color="auto"/>
                            <w:bottom w:val="none" w:sz="0" w:space="0" w:color="auto"/>
                            <w:right w:val="none" w:sz="0" w:space="0" w:color="auto"/>
                          </w:divBdr>
                          <w:divsChild>
                            <w:div w:id="1164474918">
                              <w:marLeft w:val="0"/>
                              <w:marRight w:val="0"/>
                              <w:marTop w:val="0"/>
                              <w:marBottom w:val="0"/>
                              <w:divBdr>
                                <w:top w:val="none" w:sz="0" w:space="0" w:color="auto"/>
                                <w:left w:val="none" w:sz="0" w:space="0" w:color="auto"/>
                                <w:bottom w:val="none" w:sz="0" w:space="0" w:color="auto"/>
                                <w:right w:val="none" w:sz="0" w:space="0" w:color="auto"/>
                              </w:divBdr>
                              <w:divsChild>
                                <w:div w:id="9281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444559">
      <w:bodyDiv w:val="1"/>
      <w:marLeft w:val="0"/>
      <w:marRight w:val="0"/>
      <w:marTop w:val="0"/>
      <w:marBottom w:val="0"/>
      <w:divBdr>
        <w:top w:val="none" w:sz="0" w:space="0" w:color="auto"/>
        <w:left w:val="none" w:sz="0" w:space="0" w:color="auto"/>
        <w:bottom w:val="none" w:sz="0" w:space="0" w:color="auto"/>
        <w:right w:val="none" w:sz="0" w:space="0" w:color="auto"/>
      </w:divBdr>
      <w:divsChild>
        <w:div w:id="833643582">
          <w:marLeft w:val="1166"/>
          <w:marRight w:val="0"/>
          <w:marTop w:val="106"/>
          <w:marBottom w:val="0"/>
          <w:divBdr>
            <w:top w:val="none" w:sz="0" w:space="0" w:color="auto"/>
            <w:left w:val="none" w:sz="0" w:space="0" w:color="auto"/>
            <w:bottom w:val="none" w:sz="0" w:space="0" w:color="auto"/>
            <w:right w:val="none" w:sz="0" w:space="0" w:color="auto"/>
          </w:divBdr>
        </w:div>
        <w:div w:id="1425959183">
          <w:marLeft w:val="1166"/>
          <w:marRight w:val="0"/>
          <w:marTop w:val="106"/>
          <w:marBottom w:val="0"/>
          <w:divBdr>
            <w:top w:val="none" w:sz="0" w:space="0" w:color="auto"/>
            <w:left w:val="none" w:sz="0" w:space="0" w:color="auto"/>
            <w:bottom w:val="none" w:sz="0" w:space="0" w:color="auto"/>
            <w:right w:val="none" w:sz="0" w:space="0" w:color="auto"/>
          </w:divBdr>
        </w:div>
        <w:div w:id="74784365">
          <w:marLeft w:val="1166"/>
          <w:marRight w:val="0"/>
          <w:marTop w:val="106"/>
          <w:marBottom w:val="0"/>
          <w:divBdr>
            <w:top w:val="none" w:sz="0" w:space="0" w:color="auto"/>
            <w:left w:val="none" w:sz="0" w:space="0" w:color="auto"/>
            <w:bottom w:val="none" w:sz="0" w:space="0" w:color="auto"/>
            <w:right w:val="none" w:sz="0" w:space="0" w:color="auto"/>
          </w:divBdr>
        </w:div>
      </w:divsChild>
    </w:div>
    <w:div w:id="1386638071">
      <w:bodyDiv w:val="1"/>
      <w:marLeft w:val="0"/>
      <w:marRight w:val="0"/>
      <w:marTop w:val="0"/>
      <w:marBottom w:val="0"/>
      <w:divBdr>
        <w:top w:val="none" w:sz="0" w:space="0" w:color="auto"/>
        <w:left w:val="none" w:sz="0" w:space="0" w:color="auto"/>
        <w:bottom w:val="none" w:sz="0" w:space="0" w:color="auto"/>
        <w:right w:val="none" w:sz="0" w:space="0" w:color="auto"/>
      </w:divBdr>
    </w:div>
    <w:div w:id="1582250207">
      <w:bodyDiv w:val="1"/>
      <w:marLeft w:val="0"/>
      <w:marRight w:val="0"/>
      <w:marTop w:val="0"/>
      <w:marBottom w:val="0"/>
      <w:divBdr>
        <w:top w:val="none" w:sz="0" w:space="0" w:color="auto"/>
        <w:left w:val="none" w:sz="0" w:space="0" w:color="auto"/>
        <w:bottom w:val="none" w:sz="0" w:space="0" w:color="auto"/>
        <w:right w:val="none" w:sz="0" w:space="0" w:color="auto"/>
      </w:divBdr>
      <w:divsChild>
        <w:div w:id="1912429120">
          <w:marLeft w:val="1166"/>
          <w:marRight w:val="0"/>
          <w:marTop w:val="86"/>
          <w:marBottom w:val="120"/>
          <w:divBdr>
            <w:top w:val="none" w:sz="0" w:space="0" w:color="auto"/>
            <w:left w:val="none" w:sz="0" w:space="0" w:color="auto"/>
            <w:bottom w:val="none" w:sz="0" w:space="0" w:color="auto"/>
            <w:right w:val="none" w:sz="0" w:space="0" w:color="auto"/>
          </w:divBdr>
        </w:div>
      </w:divsChild>
    </w:div>
    <w:div w:id="1726640540">
      <w:bodyDiv w:val="1"/>
      <w:marLeft w:val="0"/>
      <w:marRight w:val="0"/>
      <w:marTop w:val="0"/>
      <w:marBottom w:val="0"/>
      <w:divBdr>
        <w:top w:val="none" w:sz="0" w:space="0" w:color="auto"/>
        <w:left w:val="none" w:sz="0" w:space="0" w:color="auto"/>
        <w:bottom w:val="none" w:sz="0" w:space="0" w:color="auto"/>
        <w:right w:val="none" w:sz="0" w:space="0" w:color="auto"/>
      </w:divBdr>
      <w:divsChild>
        <w:div w:id="676271765">
          <w:marLeft w:val="0"/>
          <w:marRight w:val="0"/>
          <w:marTop w:val="0"/>
          <w:marBottom w:val="0"/>
          <w:divBdr>
            <w:top w:val="none" w:sz="0" w:space="0" w:color="auto"/>
            <w:left w:val="single" w:sz="12" w:space="0" w:color="003399"/>
            <w:bottom w:val="none" w:sz="0" w:space="0" w:color="auto"/>
            <w:right w:val="single" w:sz="12" w:space="0" w:color="003399"/>
          </w:divBdr>
          <w:divsChild>
            <w:div w:id="2092578027">
              <w:marLeft w:val="0"/>
              <w:marRight w:val="0"/>
              <w:marTop w:val="45"/>
              <w:marBottom w:val="0"/>
              <w:divBdr>
                <w:top w:val="none" w:sz="0" w:space="0" w:color="auto"/>
                <w:left w:val="none" w:sz="0" w:space="0" w:color="auto"/>
                <w:bottom w:val="none" w:sz="0" w:space="0" w:color="auto"/>
                <w:right w:val="none" w:sz="0" w:space="0" w:color="auto"/>
              </w:divBdr>
              <w:divsChild>
                <w:div w:id="87703656">
                  <w:marLeft w:val="0"/>
                  <w:marRight w:val="0"/>
                  <w:marTop w:val="0"/>
                  <w:marBottom w:val="0"/>
                  <w:divBdr>
                    <w:top w:val="none" w:sz="0" w:space="0" w:color="auto"/>
                    <w:left w:val="none" w:sz="0" w:space="0" w:color="auto"/>
                    <w:bottom w:val="none" w:sz="0" w:space="0" w:color="auto"/>
                    <w:right w:val="none" w:sz="0" w:space="0" w:color="auto"/>
                  </w:divBdr>
                  <w:divsChild>
                    <w:div w:id="441188519">
                      <w:marLeft w:val="0"/>
                      <w:marRight w:val="0"/>
                      <w:marTop w:val="0"/>
                      <w:marBottom w:val="0"/>
                      <w:divBdr>
                        <w:top w:val="none" w:sz="0" w:space="0" w:color="auto"/>
                        <w:left w:val="none" w:sz="0" w:space="0" w:color="auto"/>
                        <w:bottom w:val="none" w:sz="0" w:space="0" w:color="auto"/>
                        <w:right w:val="none" w:sz="0" w:space="0" w:color="auto"/>
                      </w:divBdr>
                      <w:divsChild>
                        <w:div w:id="1621109176">
                          <w:marLeft w:val="120"/>
                          <w:marRight w:val="120"/>
                          <w:marTop w:val="0"/>
                          <w:marBottom w:val="120"/>
                          <w:divBdr>
                            <w:top w:val="none" w:sz="0" w:space="0" w:color="auto"/>
                            <w:left w:val="none" w:sz="0" w:space="0" w:color="auto"/>
                            <w:bottom w:val="none" w:sz="0" w:space="0" w:color="auto"/>
                            <w:right w:val="none" w:sz="0" w:space="0" w:color="auto"/>
                          </w:divBdr>
                          <w:divsChild>
                            <w:div w:id="1035422598">
                              <w:marLeft w:val="300"/>
                              <w:marRight w:val="300"/>
                              <w:marTop w:val="0"/>
                              <w:marBottom w:val="0"/>
                              <w:divBdr>
                                <w:top w:val="none" w:sz="0" w:space="0" w:color="auto"/>
                                <w:left w:val="none" w:sz="0" w:space="0" w:color="auto"/>
                                <w:bottom w:val="none" w:sz="0" w:space="0" w:color="auto"/>
                                <w:right w:val="none" w:sz="0" w:space="0" w:color="auto"/>
                              </w:divBdr>
                              <w:divsChild>
                                <w:div w:id="15081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917913">
      <w:bodyDiv w:val="1"/>
      <w:marLeft w:val="0"/>
      <w:marRight w:val="0"/>
      <w:marTop w:val="0"/>
      <w:marBottom w:val="0"/>
      <w:divBdr>
        <w:top w:val="none" w:sz="0" w:space="0" w:color="auto"/>
        <w:left w:val="none" w:sz="0" w:space="0" w:color="auto"/>
        <w:bottom w:val="none" w:sz="0" w:space="0" w:color="auto"/>
        <w:right w:val="none" w:sz="0" w:space="0" w:color="auto"/>
      </w:divBdr>
      <w:divsChild>
        <w:div w:id="1598247851">
          <w:marLeft w:val="0"/>
          <w:marRight w:val="0"/>
          <w:marTop w:val="0"/>
          <w:marBottom w:val="0"/>
          <w:divBdr>
            <w:top w:val="none" w:sz="0" w:space="0" w:color="auto"/>
            <w:left w:val="none" w:sz="0" w:space="0" w:color="auto"/>
            <w:bottom w:val="none" w:sz="0" w:space="0" w:color="auto"/>
            <w:right w:val="none" w:sz="0" w:space="0" w:color="auto"/>
          </w:divBdr>
          <w:divsChild>
            <w:div w:id="22488109">
              <w:marLeft w:val="0"/>
              <w:marRight w:val="0"/>
              <w:marTop w:val="0"/>
              <w:marBottom w:val="0"/>
              <w:divBdr>
                <w:top w:val="none" w:sz="0" w:space="0" w:color="auto"/>
                <w:left w:val="none" w:sz="0" w:space="0" w:color="auto"/>
                <w:bottom w:val="none" w:sz="0" w:space="0" w:color="auto"/>
                <w:right w:val="none" w:sz="0" w:space="0" w:color="auto"/>
              </w:divBdr>
              <w:divsChild>
                <w:div w:id="1157068625">
                  <w:marLeft w:val="0"/>
                  <w:marRight w:val="0"/>
                  <w:marTop w:val="0"/>
                  <w:marBottom w:val="0"/>
                  <w:divBdr>
                    <w:top w:val="none" w:sz="0" w:space="0" w:color="auto"/>
                    <w:left w:val="none" w:sz="0" w:space="0" w:color="auto"/>
                    <w:bottom w:val="none" w:sz="0" w:space="0" w:color="auto"/>
                    <w:right w:val="none" w:sz="0" w:space="0" w:color="auto"/>
                  </w:divBdr>
                  <w:divsChild>
                    <w:div w:id="1812941277">
                      <w:marLeft w:val="0"/>
                      <w:marRight w:val="0"/>
                      <w:marTop w:val="0"/>
                      <w:marBottom w:val="0"/>
                      <w:divBdr>
                        <w:top w:val="none" w:sz="0" w:space="0" w:color="auto"/>
                        <w:left w:val="none" w:sz="0" w:space="0" w:color="auto"/>
                        <w:bottom w:val="none" w:sz="0" w:space="0" w:color="auto"/>
                        <w:right w:val="none" w:sz="0" w:space="0" w:color="auto"/>
                      </w:divBdr>
                      <w:divsChild>
                        <w:div w:id="2299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984669">
      <w:bodyDiv w:val="1"/>
      <w:marLeft w:val="0"/>
      <w:marRight w:val="0"/>
      <w:marTop w:val="0"/>
      <w:marBottom w:val="0"/>
      <w:divBdr>
        <w:top w:val="none" w:sz="0" w:space="0" w:color="auto"/>
        <w:left w:val="none" w:sz="0" w:space="0" w:color="auto"/>
        <w:bottom w:val="none" w:sz="0" w:space="0" w:color="auto"/>
        <w:right w:val="none" w:sz="0" w:space="0" w:color="auto"/>
      </w:divBdr>
      <w:divsChild>
        <w:div w:id="1901477493">
          <w:marLeft w:val="547"/>
          <w:marRight w:val="0"/>
          <w:marTop w:val="115"/>
          <w:marBottom w:val="0"/>
          <w:divBdr>
            <w:top w:val="none" w:sz="0" w:space="0" w:color="auto"/>
            <w:left w:val="none" w:sz="0" w:space="0" w:color="auto"/>
            <w:bottom w:val="none" w:sz="0" w:space="0" w:color="auto"/>
            <w:right w:val="none" w:sz="0" w:space="0" w:color="auto"/>
          </w:divBdr>
        </w:div>
        <w:div w:id="755786178">
          <w:marLeft w:val="547"/>
          <w:marRight w:val="0"/>
          <w:marTop w:val="115"/>
          <w:marBottom w:val="0"/>
          <w:divBdr>
            <w:top w:val="none" w:sz="0" w:space="0" w:color="auto"/>
            <w:left w:val="none" w:sz="0" w:space="0" w:color="auto"/>
            <w:bottom w:val="none" w:sz="0" w:space="0" w:color="auto"/>
            <w:right w:val="none" w:sz="0" w:space="0" w:color="auto"/>
          </w:divBdr>
        </w:div>
      </w:divsChild>
    </w:div>
    <w:div w:id="1838839370">
      <w:bodyDiv w:val="1"/>
      <w:marLeft w:val="0"/>
      <w:marRight w:val="0"/>
      <w:marTop w:val="0"/>
      <w:marBottom w:val="0"/>
      <w:divBdr>
        <w:top w:val="none" w:sz="0" w:space="0" w:color="auto"/>
        <w:left w:val="none" w:sz="0" w:space="0" w:color="auto"/>
        <w:bottom w:val="none" w:sz="0" w:space="0" w:color="auto"/>
        <w:right w:val="none" w:sz="0" w:space="0" w:color="auto"/>
      </w:divBdr>
    </w:div>
    <w:div w:id="2086341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F5C14-1A0E-40E5-87AD-58C5D0422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9259</Words>
  <Characters>54633</Characters>
  <Application>Microsoft Office Word</Application>
  <DocSecurity>0</DocSecurity>
  <Lines>455</Lines>
  <Paragraphs>127</Paragraphs>
  <ScaleCrop>false</ScaleCrop>
  <HeadingPairs>
    <vt:vector size="4" baseType="variant">
      <vt:variant>
        <vt:lpstr>Název</vt:lpstr>
      </vt:variant>
      <vt:variant>
        <vt:i4>1</vt:i4>
      </vt:variant>
      <vt:variant>
        <vt:lpstr>Nadpisy</vt:lpstr>
      </vt:variant>
      <vt:variant>
        <vt:i4>35</vt:i4>
      </vt:variant>
    </vt:vector>
  </HeadingPairs>
  <TitlesOfParts>
    <vt:vector size="36" baseType="lpstr">
      <vt:lpstr/>
      <vt:lpstr/>
      <vt:lpstr>Politický kontext</vt:lpstr>
      <vt:lpstr>    Důvěryhodná Evropa</vt:lpstr>
      <vt:lpstr>    Rostoucí Evropa</vt:lpstr>
      <vt:lpstr>    Otevřená Evropa</vt:lpstr>
      <vt:lpstr>Nový program pro vzdělávání, odbornou přípravu, mládež a sport Erasmus+</vt:lpstr>
      <vt:lpstr>Vzdělávání a odborná příprava</vt:lpstr>
      <vt:lpstr>    1. Podpora účinného vedení  škol</vt:lpstr>
      <vt:lpstr>A.	V souladu s vnitrostátními podmínkami a s náležitým zohledněním zásady rovnos</vt:lpstr>
      <vt:lpstr>B.	Zatraktivnit vedení v oblasti vzdělávání tím, že:</vt:lpstr>
      <vt:lpstr/>
      <vt:lpstr>C.	V případě potřeby prosazovat inovativní přístupy k účinnému vedení v oblasti </vt:lpstr>
      <vt:lpstr>    </vt:lpstr>
      <vt:lpstr>    Hlavní výzvy závěrů Rady doporučujeme zohlednit především v těchto strategických</vt:lpstr>
      <vt:lpstr>    </vt:lpstr>
      <vt:lpstr>    Implementace Strategie vzdělávací politiky ČR do roku 2020, a to zejména pokud j</vt:lpstr>
      <vt:lpstr>    Návrh kariérního systému pedagogických pracovníků, a to zejména v případě výkonu</vt:lpstr>
      <vt:lpstr>    Příprava nového dlouhodobého záměru vzdělávání a rozvoje vzdělávací soustavy ČR</vt:lpstr>
      <vt:lpstr>    2. Globální rozměr evropského vysokoškolského vzdělávání, otevřené vzdělávací zd</vt:lpstr>
      <vt:lpstr>    Hlavní výzvy závěrů Rady doporučujeme zohlednit především v těchto strategických</vt:lpstr>
      <vt:lpstr>    </vt:lpstr>
      <vt:lpstr>    Implementace Strategie vzdělávací politiky ČR do roku 2020, a to zejména pokud j</vt:lpstr>
      <vt:lpstr>    Příprava nového Dlouhodobého záměru pro oblast vysokých škol</vt:lpstr>
      <vt:lpstr>    Rámec rozvoje vzdělávací činnosti vysokých škol v ČR do roku 2020 </vt:lpstr>
      <vt:lpstr>Mládež</vt:lpstr>
      <vt:lpstr>Aby v oblasti prevence:</vt:lpstr>
      <vt:lpstr>Aby v oblasti vzdělávání, odborné přípravy a neformálního učení:</vt:lpstr>
      <vt:lpstr>Aby v oblasti přechodu z procesu vzdělávání do zaměstnání:</vt:lpstr>
      <vt:lpstr>    Hlavní výzvy závěrů Rady doporučujeme zohlednit především v těchto strategických</vt:lpstr>
      <vt:lpstr>    </vt:lpstr>
      <vt:lpstr>Sport</vt:lpstr>
      <vt:lpstr>    Hlavní výzvy doporučení Rady doporučujeme zohlednit především v těchto strategic</vt:lpstr>
      <vt:lpstr>    </vt:lpstr>
      <vt:lpstr>    Hlavní výzvy závěrů Rady doporučujeme zohlednit především v těchto strategických</vt:lpstr>
      <vt:lpstr>    </vt:lpstr>
    </vt:vector>
  </TitlesOfParts>
  <Company>Ministerstvo školství, mládeže a tělovýchovy</Company>
  <LinksUpToDate>false</LinksUpToDate>
  <CharactersWithSpaces>63765</CharactersWithSpaces>
  <SharedDoc>false</SharedDoc>
  <HLinks>
    <vt:vector size="102" baseType="variant">
      <vt:variant>
        <vt:i4>589855</vt:i4>
      </vt:variant>
      <vt:variant>
        <vt:i4>54</vt:i4>
      </vt:variant>
      <vt:variant>
        <vt:i4>0</vt:i4>
      </vt:variant>
      <vt:variant>
        <vt:i4>5</vt:i4>
      </vt:variant>
      <vt:variant>
        <vt:lpwstr>http://www.eu2013.ie/news/news-items/20130108irishpresidencypolicyprogramme/</vt:lpwstr>
      </vt:variant>
      <vt:variant>
        <vt:lpwstr/>
      </vt:variant>
      <vt:variant>
        <vt:i4>2162786</vt:i4>
      </vt:variant>
      <vt:variant>
        <vt:i4>51</vt:i4>
      </vt:variant>
      <vt:variant>
        <vt:i4>0</vt:i4>
      </vt:variant>
      <vt:variant>
        <vt:i4>5</vt:i4>
      </vt:variant>
      <vt:variant>
        <vt:lpwstr>http://www.eu2013.ie/media/eupresidency/content/documents/EU-Pres_Prog_A4.pdf</vt:lpwstr>
      </vt:variant>
      <vt:variant>
        <vt:lpwstr/>
      </vt:variant>
      <vt:variant>
        <vt:i4>589855</vt:i4>
      </vt:variant>
      <vt:variant>
        <vt:i4>48</vt:i4>
      </vt:variant>
      <vt:variant>
        <vt:i4>0</vt:i4>
      </vt:variant>
      <vt:variant>
        <vt:i4>5</vt:i4>
      </vt:variant>
      <vt:variant>
        <vt:lpwstr>http://www.eu2013.ie/news/news-items/20130108irishpresidencypolicyprogramme/</vt:lpwstr>
      </vt:variant>
      <vt:variant>
        <vt:lpwstr/>
      </vt:variant>
      <vt:variant>
        <vt:i4>1572913</vt:i4>
      </vt:variant>
      <vt:variant>
        <vt:i4>44</vt:i4>
      </vt:variant>
      <vt:variant>
        <vt:i4>0</vt:i4>
      </vt:variant>
      <vt:variant>
        <vt:i4>5</vt:i4>
      </vt:variant>
      <vt:variant>
        <vt:lpwstr/>
      </vt:variant>
      <vt:variant>
        <vt:lpwstr>_Toc330379566</vt:lpwstr>
      </vt:variant>
      <vt:variant>
        <vt:i4>1572913</vt:i4>
      </vt:variant>
      <vt:variant>
        <vt:i4>38</vt:i4>
      </vt:variant>
      <vt:variant>
        <vt:i4>0</vt:i4>
      </vt:variant>
      <vt:variant>
        <vt:i4>5</vt:i4>
      </vt:variant>
      <vt:variant>
        <vt:lpwstr/>
      </vt:variant>
      <vt:variant>
        <vt:lpwstr>_Toc330379564</vt:lpwstr>
      </vt:variant>
      <vt:variant>
        <vt:i4>1769521</vt:i4>
      </vt:variant>
      <vt:variant>
        <vt:i4>32</vt:i4>
      </vt:variant>
      <vt:variant>
        <vt:i4>0</vt:i4>
      </vt:variant>
      <vt:variant>
        <vt:i4>5</vt:i4>
      </vt:variant>
      <vt:variant>
        <vt:lpwstr/>
      </vt:variant>
      <vt:variant>
        <vt:lpwstr>_Toc330379559</vt:lpwstr>
      </vt:variant>
      <vt:variant>
        <vt:i4>1769521</vt:i4>
      </vt:variant>
      <vt:variant>
        <vt:i4>26</vt:i4>
      </vt:variant>
      <vt:variant>
        <vt:i4>0</vt:i4>
      </vt:variant>
      <vt:variant>
        <vt:i4>5</vt:i4>
      </vt:variant>
      <vt:variant>
        <vt:lpwstr/>
      </vt:variant>
      <vt:variant>
        <vt:lpwstr>_Toc330379557</vt:lpwstr>
      </vt:variant>
      <vt:variant>
        <vt:i4>1769521</vt:i4>
      </vt:variant>
      <vt:variant>
        <vt:i4>20</vt:i4>
      </vt:variant>
      <vt:variant>
        <vt:i4>0</vt:i4>
      </vt:variant>
      <vt:variant>
        <vt:i4>5</vt:i4>
      </vt:variant>
      <vt:variant>
        <vt:lpwstr/>
      </vt:variant>
      <vt:variant>
        <vt:lpwstr>_Toc330379556</vt:lpwstr>
      </vt:variant>
      <vt:variant>
        <vt:i4>1769521</vt:i4>
      </vt:variant>
      <vt:variant>
        <vt:i4>14</vt:i4>
      </vt:variant>
      <vt:variant>
        <vt:i4>0</vt:i4>
      </vt:variant>
      <vt:variant>
        <vt:i4>5</vt:i4>
      </vt:variant>
      <vt:variant>
        <vt:lpwstr/>
      </vt:variant>
      <vt:variant>
        <vt:lpwstr>_Toc330379555</vt:lpwstr>
      </vt:variant>
      <vt:variant>
        <vt:i4>1769521</vt:i4>
      </vt:variant>
      <vt:variant>
        <vt:i4>8</vt:i4>
      </vt:variant>
      <vt:variant>
        <vt:i4>0</vt:i4>
      </vt:variant>
      <vt:variant>
        <vt:i4>5</vt:i4>
      </vt:variant>
      <vt:variant>
        <vt:lpwstr/>
      </vt:variant>
      <vt:variant>
        <vt:lpwstr>_Toc330379554</vt:lpwstr>
      </vt:variant>
      <vt:variant>
        <vt:i4>1769521</vt:i4>
      </vt:variant>
      <vt:variant>
        <vt:i4>2</vt:i4>
      </vt:variant>
      <vt:variant>
        <vt:i4>0</vt:i4>
      </vt:variant>
      <vt:variant>
        <vt:i4>5</vt:i4>
      </vt:variant>
      <vt:variant>
        <vt:lpwstr/>
      </vt:variant>
      <vt:variant>
        <vt:lpwstr>_Toc330379553</vt:lpwstr>
      </vt:variant>
      <vt:variant>
        <vt:i4>4390941</vt:i4>
      </vt:variant>
      <vt:variant>
        <vt:i4>15</vt:i4>
      </vt:variant>
      <vt:variant>
        <vt:i4>0</vt:i4>
      </vt:variant>
      <vt:variant>
        <vt:i4>5</vt:i4>
      </vt:variant>
      <vt:variant>
        <vt:lpwstr>http://eur-lex.europa.eu/LexUriServ/LexUriServ.do?uri=OJ:C:2013:168:0002:0004:CS:PDF</vt:lpwstr>
      </vt:variant>
      <vt:variant>
        <vt:lpwstr/>
      </vt:variant>
      <vt:variant>
        <vt:i4>4456476</vt:i4>
      </vt:variant>
      <vt:variant>
        <vt:i4>12</vt:i4>
      </vt:variant>
      <vt:variant>
        <vt:i4>0</vt:i4>
      </vt:variant>
      <vt:variant>
        <vt:i4>5</vt:i4>
      </vt:variant>
      <vt:variant>
        <vt:lpwstr>http://eur-lex.europa.eu/LexUriServ/LexUriServ.do?uri=OJ:C:2013:064:0005:0008:CS:PDF</vt:lpwstr>
      </vt:variant>
      <vt:variant>
        <vt:lpwstr/>
      </vt:variant>
      <vt:variant>
        <vt:i4>7864351</vt:i4>
      </vt:variant>
      <vt:variant>
        <vt:i4>9</vt:i4>
      </vt:variant>
      <vt:variant>
        <vt:i4>0</vt:i4>
      </vt:variant>
      <vt:variant>
        <vt:i4>5</vt:i4>
      </vt:variant>
      <vt:variant>
        <vt:lpwstr>http://ec.europa.eu/education/news/rethinking/com669_cs.pdf</vt:lpwstr>
      </vt:variant>
      <vt:variant>
        <vt:lpwstr/>
      </vt:variant>
      <vt:variant>
        <vt:i4>4456554</vt:i4>
      </vt:variant>
      <vt:variant>
        <vt:i4>6</vt:i4>
      </vt:variant>
      <vt:variant>
        <vt:i4>0</vt:i4>
      </vt:variant>
      <vt:variant>
        <vt:i4>5</vt:i4>
      </vt:variant>
      <vt:variant>
        <vt:lpwstr>http://ec.europa.eu/education/erasmus-for-all/doc/legal_cs.pdf</vt:lpwstr>
      </vt:variant>
      <vt:variant>
        <vt:lpwstr/>
      </vt:variant>
      <vt:variant>
        <vt:i4>3080195</vt:i4>
      </vt:variant>
      <vt:variant>
        <vt:i4>3</vt:i4>
      </vt:variant>
      <vt:variant>
        <vt:i4>0</vt:i4>
      </vt:variant>
      <vt:variant>
        <vt:i4>5</vt:i4>
      </vt:variant>
      <vt:variant>
        <vt:lpwstr>http://ec.europa.eu/education/erasmus-for-all/doc/com_cs.pdf</vt:lpwstr>
      </vt:variant>
      <vt:variant>
        <vt:lpwstr/>
      </vt:variant>
      <vt:variant>
        <vt:i4>3997737</vt:i4>
      </vt:variant>
      <vt:variant>
        <vt:i4>0</vt:i4>
      </vt:variant>
      <vt:variant>
        <vt:i4>0</vt:i4>
      </vt:variant>
      <vt:variant>
        <vt:i4>5</vt:i4>
      </vt:variant>
      <vt:variant>
        <vt:lpwstr>http://register.consilium.europa.eu/pdf/en/13/st10/st10331.en13.pdf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vanekv</dc:creator>
  <cp:lastModifiedBy>kundeliusovap</cp:lastModifiedBy>
  <cp:revision>2</cp:revision>
  <cp:lastPrinted>2014-02-07T15:03:00Z</cp:lastPrinted>
  <dcterms:created xsi:type="dcterms:W3CDTF">2014-04-23T12:52:00Z</dcterms:created>
  <dcterms:modified xsi:type="dcterms:W3CDTF">2014-04-23T12:52:00Z</dcterms:modified>
</cp:coreProperties>
</file>