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vanish/>
          <w:highlight w:val="yellow"/>
        </w:rPr>
        <w:id w:val="-1935043033"/>
        <w:docPartObj>
          <w:docPartGallery w:val="Cover Pages"/>
          <w:docPartUnique/>
        </w:docPartObj>
      </w:sdtPr>
      <w:sdtEndPr/>
      <w:sdtContent>
        <w:p w:rsidR="00946869" w:rsidRDefault="00946869" w:rsidP="00457CF9">
          <w:pPr>
            <w:tabs>
              <w:tab w:val="left" w:pos="8789"/>
            </w:tabs>
          </w:pPr>
          <w:r>
            <w:rPr>
              <w:noProof/>
              <w:lang w:eastAsia="cs-CZ"/>
            </w:rPr>
            <mc:AlternateContent>
              <mc:Choice Requires="wps">
                <w:drawing>
                  <wp:anchor distT="0" distB="0" distL="114300" distR="114300" simplePos="0" relativeHeight="251661312" behindDoc="0" locked="0" layoutInCell="0" allowOverlap="1" wp14:anchorId="50A9C017" wp14:editId="1B3B1D35">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804025" cy="1252220"/>
                    <wp:effectExtent l="0" t="0" r="15875" b="24130"/>
                    <wp:wrapNone/>
                    <wp:docPr id="362" name="Obdélní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4025" cy="1252220"/>
                            </a:xfrm>
                            <a:prstGeom prst="rect">
                              <a:avLst/>
                            </a:prstGeom>
                            <a:solidFill>
                              <a:srgbClr val="FE2626">
                                <a:alpha val="75000"/>
                              </a:srgbClr>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Název"/>
                                  <w:id w:val="870034543"/>
                                  <w:dataBinding w:prefixMappings="xmlns:ns0='http://schemas.openxmlformats.org/package/2006/metadata/core-properties' xmlns:ns1='http://purl.org/dc/elements/1.1/'" w:xpath="/ns0:coreProperties[1]/ns1:title[1]" w:storeItemID="{6C3C8BC8-F283-45AE-878A-BAB7291924A1}"/>
                                  <w:text/>
                                </w:sdtPr>
                                <w:sdtEndPr/>
                                <w:sdtContent>
                                  <w:p w:rsidR="00622DB0" w:rsidRDefault="00622DB0">
                                    <w:pPr>
                                      <w:pStyle w:val="Bezmezer"/>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 xml:space="preserve">Národní program </w:t>
                                    </w:r>
                                    <w:proofErr w:type="gramStart"/>
                                    <w:r>
                                      <w:rPr>
                                        <w:rFonts w:asciiTheme="majorHAnsi" w:eastAsiaTheme="majorEastAsia" w:hAnsiTheme="majorHAnsi" w:cstheme="majorBidi"/>
                                        <w:color w:val="FFFFFF" w:themeColor="background1"/>
                                        <w:sz w:val="72"/>
                                        <w:szCs w:val="72"/>
                                      </w:rPr>
                                      <w:t>reforem     České</w:t>
                                    </w:r>
                                    <w:proofErr w:type="gramEnd"/>
                                    <w:r>
                                      <w:rPr>
                                        <w:rFonts w:asciiTheme="majorHAnsi" w:eastAsiaTheme="majorEastAsia" w:hAnsiTheme="majorHAnsi" w:cstheme="majorBidi"/>
                                        <w:color w:val="FFFFFF" w:themeColor="background1"/>
                                        <w:sz w:val="72"/>
                                        <w:szCs w:val="72"/>
                                      </w:rPr>
                                      <w:t xml:space="preserve"> republiky</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Obdélník 16" o:spid="_x0000_s1026" style="position:absolute;left:0;text-align:left;margin-left:0;margin-top:0;width:535.75pt;height:98.6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" o:allowincell="f" fillcolor="#fe2626" strokecolor="white [3212]" strokeweight="1pt">
                    <v:fill opacity="49087f"/>
                    <v:textbox style="mso-fit-shape-to-text:t" inset="14.4pt,,14.4pt">
                      <w:txbxContent>
                        <w:sdt>
                          <w:sdtPr>
                            <w:rPr>
                              <w:rFonts w:asciiTheme="majorHAnsi" w:eastAsiaTheme="majorEastAsia" w:hAnsiTheme="majorHAnsi" w:cstheme="majorBidi"/>
                              <w:color w:val="FFFFFF" w:themeColor="background1"/>
                              <w:sz w:val="72"/>
                              <w:szCs w:val="72"/>
                            </w:rPr>
                            <w:alias w:val="Název"/>
                            <w:id w:val="870034543"/>
                            <w:dataBinding w:prefixMappings="xmlns:ns0='http://schemas.openxmlformats.org/package/2006/metadata/core-properties' xmlns:ns1='http://purl.org/dc/elements/1.1/'" w:xpath="/ns0:coreProperties[1]/ns1:title[1]" w:storeItemID="{6C3C8BC8-F283-45AE-878A-BAB7291924A1}"/>
                            <w:text/>
                          </w:sdtPr>
                          <w:sdtContent>
                            <w:p w:rsidR="00622DB0" w:rsidRDefault="00622DB0">
                              <w:pPr>
                                <w:pStyle w:val="Bezmezer"/>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 xml:space="preserve">Národní program </w:t>
                              </w:r>
                              <w:proofErr w:type="gramStart"/>
                              <w:r>
                                <w:rPr>
                                  <w:rFonts w:asciiTheme="majorHAnsi" w:eastAsiaTheme="majorEastAsia" w:hAnsiTheme="majorHAnsi" w:cstheme="majorBidi"/>
                                  <w:color w:val="FFFFFF" w:themeColor="background1"/>
                                  <w:sz w:val="72"/>
                                  <w:szCs w:val="72"/>
                                </w:rPr>
                                <w:t>reforem     České</w:t>
                              </w:r>
                              <w:proofErr w:type="gramEnd"/>
                              <w:r>
                                <w:rPr>
                                  <w:rFonts w:asciiTheme="majorHAnsi" w:eastAsiaTheme="majorEastAsia" w:hAnsiTheme="majorHAnsi" w:cstheme="majorBidi"/>
                                  <w:color w:val="FFFFFF" w:themeColor="background1"/>
                                  <w:sz w:val="72"/>
                                  <w:szCs w:val="72"/>
                                </w:rPr>
                                <w:t xml:space="preserve"> republiky</w:t>
                              </w:r>
                            </w:p>
                          </w:sdtContent>
                        </w:sdt>
                      </w:txbxContent>
                    </v:textbox>
                    <w10:wrap anchorx="page" anchory="page"/>
                  </v:rect>
                </w:pict>
              </mc:Fallback>
            </mc:AlternateContent>
          </w:r>
          <w:r>
            <w:rPr>
              <w:noProof/>
              <w:lang w:eastAsia="cs-CZ"/>
            </w:rPr>
            <mc:AlternateContent>
              <mc:Choice Requires="wpg">
                <w:drawing>
                  <wp:anchor distT="0" distB="0" distL="114300" distR="114300" simplePos="0" relativeHeight="251659264" behindDoc="0" locked="0" layoutInCell="0" allowOverlap="1" wp14:anchorId="45DC2E7B" wp14:editId="2AEFEF50">
                    <wp:simplePos x="0" y="0"/>
                    <wp:positionH relativeFrom="page">
                      <wp:align>right</wp:align>
                    </wp:positionH>
                    <wp:positionV relativeFrom="page">
                      <wp:align>top</wp:align>
                    </wp:positionV>
                    <wp:extent cx="3118485" cy="10058400"/>
                    <wp:effectExtent l="0" t="0" r="5080" b="0"/>
                    <wp:wrapNone/>
                    <wp:docPr id="363" name="Skupin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8485" cy="10058400"/>
                              <a:chOff x="7329" y="0"/>
                              <a:chExt cx="4911" cy="15840"/>
                            </a:xfrm>
                          </wpg:grpSpPr>
                          <wpg:grpSp>
                            <wpg:cNvPr id="364" name="Group 364"/>
                            <wpg:cNvGrpSpPr>
                              <a:grpSpLocks/>
                            </wpg:cNvGrpSpPr>
                            <wpg:grpSpPr bwMode="auto">
                              <a:xfrm>
                                <a:off x="7344" y="0"/>
                                <a:ext cx="4895" cy="15840"/>
                                <a:chOff x="7560" y="0"/>
                                <a:chExt cx="4699" cy="15840"/>
                              </a:xfrm>
                            </wpg:grpSpPr>
                            <wps:wsp>
                              <wps:cNvPr id="365" name="Rectangle 365"/>
                              <wps:cNvSpPr>
                                <a:spLocks noChangeArrowheads="1"/>
                              </wps:cNvSpPr>
                              <wps:spPr bwMode="auto">
                                <a:xfrm>
                                  <a:off x="7754" y="0"/>
                                  <a:ext cx="4505" cy="15840"/>
                                </a:xfrm>
                                <a:prstGeom prst="rect">
                                  <a:avLst/>
                                </a:prstGeom>
                                <a:solidFill>
                                  <a:srgbClr val="0070C0">
                                    <a:alpha val="79000"/>
                                  </a:srgb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rgbClr val="336699">
                                      <a:alpha val="80000"/>
                                    </a:srgb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Rok"/>
                                    <w:id w:val="-547844026"/>
                                    <w:dataBinding w:prefixMappings="xmlns:ns0='http://schemas.microsoft.com/office/2006/coverPageProps'" w:xpath="/ns0:CoverPageProperties[1]/ns0:PublishDate[1]" w:storeItemID="{55AF091B-3C7A-41E3-B477-F2FDAA23CFDA}"/>
                                    <w:date w:fullDate="2014-01-01T00:00:00Z">
                                      <w:dateFormat w:val="yyyy"/>
                                      <w:lid w:val="cs-CZ"/>
                                      <w:storeMappedDataAs w:val="dateTime"/>
                                      <w:calendar w:val="gregorian"/>
                                    </w:date>
                                  </w:sdtPr>
                                  <w:sdtEndPr/>
                                  <w:sdtContent>
                                    <w:p w:rsidR="00622DB0" w:rsidRDefault="00622DB0">
                                      <w:pPr>
                                        <w:pStyle w:val="Bezmezer"/>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or"/>
                                    <w:id w:val="-1772924102"/>
                                    <w:dataBinding w:prefixMappings="xmlns:ns0='http://schemas.openxmlformats.org/package/2006/metadata/core-properties' xmlns:ns1='http://purl.org/dc/elements/1.1/'" w:xpath="/ns0:coreProperties[1]/ns1:creator[1]" w:storeItemID="{6C3C8BC8-F283-45AE-878A-BAB7291924A1}"/>
                                    <w:text/>
                                  </w:sdtPr>
                                  <w:sdtEndPr/>
                                  <w:sdtContent>
                                    <w:p w:rsidR="00622DB0" w:rsidRDefault="00622DB0">
                                      <w:pPr>
                                        <w:pStyle w:val="Bezmezer"/>
                                        <w:spacing w:line="360" w:lineRule="auto"/>
                                        <w:rPr>
                                          <w:color w:val="FFFFFF" w:themeColor="background1"/>
                                        </w:rPr>
                                      </w:pPr>
                                      <w:r>
                                        <w:rPr>
                                          <w:color w:val="FFFFFF" w:themeColor="background1"/>
                                        </w:rPr>
                                        <w:t>Úřad vlády České republiky</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Skupina 14" o:spid="_x0000_s1027" style="position:absolute;left:0;text-align:left;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" o:allowincell="f">
                    <v:group id="Group 364" o:spid="_x0000_s1028" style="position:absolute;left:7344;width:4895;height:15840" coordorigin="7560" coordsize="4699,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4;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UgR8QA&#10;AADcAAAADwAAAGRycy9kb3ducmV2LnhtbESPQWvCQBSE7wX/w/KEXopubKlIdBUJlHgqbRS8PrLP&#10;ZDH7NuyuJv33bqHQ4zAz3zCb3Wg7cScfjGMFi3kGgrh22nCj4HT8mK1AhIissXNMCn4owG47edpg&#10;rt3A33SvYiMShEOOCtoY+1zKULdkMcxdT5y8i/MWY5K+kdrjkOC2k69ZtpQWDaeFFnsqWqqv1c0q&#10;2A/nT1kXoey+jK4yX5Qv5loq9Twd92sQkcb4H/5rH7SCt+U7/J5JR0B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1IEfEAAAA3AAAAA8AAAAAAAAAAAAAAAAAmAIAAGRycy9k&#10;b3ducmV2LnhtbFBLBQYAAAAABAAEAPUAAACJAwAAAAA=&#10;" fillcolor="#0070c0" stroked="f" strokecolor="#d8d8d8">
                        <v:fill opacity="51657f"/>
                      </v:rect>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UeWcMA&#10;AADcAAAADwAAAGRycy9kb3ducmV2LnhtbESPzWrCQBSF9wXfYbhCd3WiQgjRUURUbBeFajbuLplr&#10;EpK5E2bGmL59p1Do8nB+Ps56O5pODOR8Y1nBfJaAIC6tbrhSUFyPbxkIH5A1dpZJwTd52G4mL2vM&#10;tX3yFw2XUIk4wj5HBXUIfS6lL2sy6Ge2J47e3TqDIUpXSe3wGcdNJxdJkkqDDUdCjT3tayrby8NE&#10;7vKTR3dPiyw7tcO7/ijkrT0o9ToddysQgcbwH/5rn7WCZZrC75l4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UeWcMAAADcAAAADwAAAAAAAAAAAAAAAACYAgAAZHJzL2Rv&#10;d25yZXYueG1sUEsFBgAAAAAEAAQA9QAAAIgDAAAAAA==&#10;" fillcolor="#369" stroked="f" strokecolor="white" strokeweight="1pt">
                        <v:fill r:id="rId10"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Rok"/>
                              <w:id w:val="-547844026"/>
                              <w:dataBinding w:prefixMappings="xmlns:ns0='http://schemas.microsoft.com/office/2006/coverPageProps'" w:xpath="/ns0:CoverPageProperties[1]/ns0:PublishDate[1]" w:storeItemID="{55AF091B-3C7A-41E3-B477-F2FDAA23CFDA}"/>
                              <w:date w:fullDate="2014-01-01T00:00:00Z">
                                <w:dateFormat w:val="yyyy"/>
                                <w:lid w:val="cs-CZ"/>
                                <w:storeMappedDataAs w:val="dateTime"/>
                                <w:calendar w:val="gregorian"/>
                              </w:date>
                            </w:sdtPr>
                            <w:sdtContent>
                              <w:p w:rsidR="00622DB0" w:rsidRDefault="00622DB0">
                                <w:pPr>
                                  <w:pStyle w:val="Bezmezer"/>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2014</w:t>
                                </w:r>
                              </w:p>
                            </w:sdtContent>
                          </w:sdt>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color w:val="FFFFFF" w:themeColor="background1"/>
                              </w:rPr>
                              <w:alias w:val="Autor"/>
                              <w:id w:val="-1772924102"/>
                              <w:dataBinding w:prefixMappings="xmlns:ns0='http://schemas.openxmlformats.org/package/2006/metadata/core-properties' xmlns:ns1='http://purl.org/dc/elements/1.1/'" w:xpath="/ns0:coreProperties[1]/ns1:creator[1]" w:storeItemID="{6C3C8BC8-F283-45AE-878A-BAB7291924A1}"/>
                              <w:text/>
                            </w:sdtPr>
                            <w:sdtContent>
                              <w:p w:rsidR="00622DB0" w:rsidRDefault="00622DB0">
                                <w:pPr>
                                  <w:pStyle w:val="Bezmezer"/>
                                  <w:spacing w:line="360" w:lineRule="auto"/>
                                  <w:rPr>
                                    <w:color w:val="FFFFFF" w:themeColor="background1"/>
                                  </w:rPr>
                                </w:pPr>
                                <w:r>
                                  <w:rPr>
                                    <w:color w:val="FFFFFF" w:themeColor="background1"/>
                                  </w:rPr>
                                  <w:t>Úřad vlády České republiky</w:t>
                                </w:r>
                              </w:p>
                            </w:sdtContent>
                          </w:sdt>
                        </w:txbxContent>
                      </v:textbox>
                    </v:rect>
                    <w10:wrap anchorx="page" anchory="page"/>
                  </v:group>
                </w:pict>
              </mc:Fallback>
            </mc:AlternateContent>
          </w:r>
        </w:p>
        <w:p w:rsidR="00946869" w:rsidRDefault="00946869">
          <w:r>
            <w:rPr>
              <w:noProof/>
              <w:lang w:eastAsia="cs-CZ"/>
            </w:rPr>
            <w:drawing>
              <wp:anchor distT="0" distB="0" distL="114300" distR="114300" simplePos="0" relativeHeight="251663360" behindDoc="1" locked="0" layoutInCell="1" allowOverlap="1" wp14:anchorId="51BCA69B" wp14:editId="4D505A48">
                <wp:simplePos x="0" y="0"/>
                <wp:positionH relativeFrom="column">
                  <wp:posOffset>-196767</wp:posOffset>
                </wp:positionH>
                <wp:positionV relativeFrom="paragraph">
                  <wp:posOffset>3899535</wp:posOffset>
                </wp:positionV>
                <wp:extent cx="4196165" cy="5429250"/>
                <wp:effectExtent l="0" t="0" r="0" b="0"/>
                <wp:wrapNone/>
                <wp:docPr id="8" name="Bild 2" descr="podtisk l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podtisk lv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6165" cy="542925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sdtContent>
    </w:sdt>
    <w:p w:rsidR="00E54029" w:rsidRDefault="009C3A9D" w:rsidP="00D26121">
      <w:pPr>
        <w:pStyle w:val="Nadpis1"/>
        <w:ind w:left="720"/>
      </w:pPr>
      <w:bookmarkStart w:id="0" w:name="_Toc385339471"/>
      <w:r w:rsidRPr="009C3A9D">
        <w:lastRenderedPageBreak/>
        <w:t>Obsah</w:t>
      </w:r>
      <w:bookmarkEnd w:id="0"/>
    </w:p>
    <w:sdt>
      <w:sdtPr>
        <w:rPr>
          <w:b/>
          <w:bCs/>
          <w:vanish/>
          <w:highlight w:val="yellow"/>
        </w:rPr>
        <w:id w:val="1848138857"/>
        <w:docPartObj>
          <w:docPartGallery w:val="Table of Contents"/>
          <w:docPartUnique/>
        </w:docPartObj>
      </w:sdtPr>
      <w:sdtEndPr>
        <w:rPr>
          <w:b w:val="0"/>
          <w:bCs w:val="0"/>
        </w:rPr>
      </w:sdtEndPr>
      <w:sdtContent>
        <w:p w:rsidR="00DA21F5" w:rsidRDefault="00E54029">
          <w:pPr>
            <w:pStyle w:val="Obsah1"/>
            <w:tabs>
              <w:tab w:val="right" w:leader="dot" w:pos="9062"/>
            </w:tabs>
            <w:rPr>
              <w:noProof/>
              <w:sz w:val="22"/>
              <w:lang w:eastAsia="cs-CZ"/>
            </w:rPr>
          </w:pPr>
          <w:r>
            <w:fldChar w:fldCharType="begin"/>
          </w:r>
          <w:r>
            <w:instrText xml:space="preserve"> TOC \o "1-3" \h \z \u </w:instrText>
          </w:r>
          <w:r>
            <w:fldChar w:fldCharType="separate"/>
          </w:r>
          <w:hyperlink w:anchor="_Toc385339471" w:history="1">
            <w:r w:rsidR="00DA21F5" w:rsidRPr="00A47126">
              <w:rPr>
                <w:rStyle w:val="Hypertextovodkaz"/>
                <w:noProof/>
              </w:rPr>
              <w:t>Obsah</w:t>
            </w:r>
            <w:r w:rsidR="00DA21F5">
              <w:rPr>
                <w:noProof/>
                <w:webHidden/>
              </w:rPr>
              <w:tab/>
            </w:r>
            <w:r w:rsidR="00DA21F5">
              <w:rPr>
                <w:noProof/>
                <w:webHidden/>
              </w:rPr>
              <w:fldChar w:fldCharType="begin"/>
            </w:r>
            <w:r w:rsidR="00DA21F5">
              <w:rPr>
                <w:noProof/>
                <w:webHidden/>
              </w:rPr>
              <w:instrText xml:space="preserve"> PAGEREF _Toc385339471 \h </w:instrText>
            </w:r>
            <w:r w:rsidR="00DA21F5">
              <w:rPr>
                <w:noProof/>
                <w:webHidden/>
              </w:rPr>
            </w:r>
            <w:r w:rsidR="00DA21F5">
              <w:rPr>
                <w:noProof/>
                <w:webHidden/>
              </w:rPr>
              <w:fldChar w:fldCharType="separate"/>
            </w:r>
            <w:r w:rsidR="001439D0">
              <w:rPr>
                <w:noProof/>
                <w:webHidden/>
              </w:rPr>
              <w:t>1</w:t>
            </w:r>
            <w:r w:rsidR="00DA21F5">
              <w:rPr>
                <w:noProof/>
                <w:webHidden/>
              </w:rPr>
              <w:fldChar w:fldCharType="end"/>
            </w:r>
          </w:hyperlink>
        </w:p>
        <w:p w:rsidR="00DA21F5" w:rsidRDefault="009E60BF">
          <w:pPr>
            <w:pStyle w:val="Obsah1"/>
            <w:tabs>
              <w:tab w:val="left" w:pos="420"/>
              <w:tab w:val="right" w:leader="dot" w:pos="9062"/>
            </w:tabs>
            <w:rPr>
              <w:noProof/>
              <w:sz w:val="22"/>
              <w:lang w:eastAsia="cs-CZ"/>
            </w:rPr>
          </w:pPr>
          <w:hyperlink w:anchor="_Toc385339472" w:history="1">
            <w:r w:rsidR="00DA21F5" w:rsidRPr="00A47126">
              <w:rPr>
                <w:rStyle w:val="Hypertextovodkaz"/>
                <w:noProof/>
              </w:rPr>
              <w:t>1.</w:t>
            </w:r>
            <w:r w:rsidR="00DA21F5">
              <w:rPr>
                <w:noProof/>
                <w:sz w:val="22"/>
                <w:lang w:eastAsia="cs-CZ"/>
              </w:rPr>
              <w:tab/>
            </w:r>
            <w:r w:rsidR="00DA21F5" w:rsidRPr="00A47126">
              <w:rPr>
                <w:rStyle w:val="Hypertextovodkaz"/>
                <w:noProof/>
              </w:rPr>
              <w:t>Úvod</w:t>
            </w:r>
            <w:r w:rsidR="00DA21F5">
              <w:rPr>
                <w:noProof/>
                <w:webHidden/>
              </w:rPr>
              <w:tab/>
            </w:r>
            <w:r w:rsidR="00DA21F5">
              <w:rPr>
                <w:noProof/>
                <w:webHidden/>
              </w:rPr>
              <w:fldChar w:fldCharType="begin"/>
            </w:r>
            <w:r w:rsidR="00DA21F5">
              <w:rPr>
                <w:noProof/>
                <w:webHidden/>
              </w:rPr>
              <w:instrText xml:space="preserve"> PAGEREF _Toc385339472 \h </w:instrText>
            </w:r>
            <w:r w:rsidR="00DA21F5">
              <w:rPr>
                <w:noProof/>
                <w:webHidden/>
              </w:rPr>
            </w:r>
            <w:r w:rsidR="00DA21F5">
              <w:rPr>
                <w:noProof/>
                <w:webHidden/>
              </w:rPr>
              <w:fldChar w:fldCharType="separate"/>
            </w:r>
            <w:r w:rsidR="001439D0">
              <w:rPr>
                <w:noProof/>
                <w:webHidden/>
              </w:rPr>
              <w:t>3</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73" w:history="1">
            <w:r w:rsidR="00DA21F5" w:rsidRPr="00A47126">
              <w:rPr>
                <w:rStyle w:val="Hypertextovodkaz"/>
                <w:noProof/>
              </w:rPr>
              <w:t>1.1.</w:t>
            </w:r>
            <w:r w:rsidR="00DA21F5">
              <w:rPr>
                <w:noProof/>
                <w:sz w:val="22"/>
                <w:lang w:eastAsia="cs-CZ"/>
              </w:rPr>
              <w:tab/>
            </w:r>
            <w:r w:rsidR="00DA21F5" w:rsidRPr="00A47126">
              <w:rPr>
                <w:rStyle w:val="Hypertextovodkaz"/>
                <w:noProof/>
              </w:rPr>
              <w:t>Úvod</w:t>
            </w:r>
            <w:r w:rsidR="00DA21F5">
              <w:rPr>
                <w:noProof/>
                <w:webHidden/>
              </w:rPr>
              <w:tab/>
            </w:r>
            <w:r w:rsidR="00DA21F5">
              <w:rPr>
                <w:noProof/>
                <w:webHidden/>
              </w:rPr>
              <w:fldChar w:fldCharType="begin"/>
            </w:r>
            <w:r w:rsidR="00DA21F5">
              <w:rPr>
                <w:noProof/>
                <w:webHidden/>
              </w:rPr>
              <w:instrText xml:space="preserve"> PAGEREF _Toc385339473 \h </w:instrText>
            </w:r>
            <w:r w:rsidR="00DA21F5">
              <w:rPr>
                <w:noProof/>
                <w:webHidden/>
              </w:rPr>
            </w:r>
            <w:r w:rsidR="00DA21F5">
              <w:rPr>
                <w:noProof/>
                <w:webHidden/>
              </w:rPr>
              <w:fldChar w:fldCharType="separate"/>
            </w:r>
            <w:r w:rsidR="001439D0">
              <w:rPr>
                <w:noProof/>
                <w:webHidden/>
              </w:rPr>
              <w:t>3</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74" w:history="1">
            <w:r w:rsidR="00DA21F5" w:rsidRPr="00A47126">
              <w:rPr>
                <w:rStyle w:val="Hypertextovodkaz"/>
                <w:noProof/>
              </w:rPr>
              <w:t>1.2.</w:t>
            </w:r>
            <w:r w:rsidR="00DA21F5">
              <w:rPr>
                <w:noProof/>
                <w:sz w:val="22"/>
                <w:lang w:eastAsia="cs-CZ"/>
              </w:rPr>
              <w:tab/>
            </w:r>
            <w:r w:rsidR="00DA21F5" w:rsidRPr="00A47126">
              <w:rPr>
                <w:rStyle w:val="Hypertextovodkaz"/>
                <w:noProof/>
              </w:rPr>
              <w:t>Proces přípravy</w:t>
            </w:r>
            <w:r w:rsidR="00DA21F5">
              <w:rPr>
                <w:noProof/>
                <w:webHidden/>
              </w:rPr>
              <w:tab/>
            </w:r>
            <w:r w:rsidR="00DA21F5">
              <w:rPr>
                <w:noProof/>
                <w:webHidden/>
              </w:rPr>
              <w:fldChar w:fldCharType="begin"/>
            </w:r>
            <w:r w:rsidR="00DA21F5">
              <w:rPr>
                <w:noProof/>
                <w:webHidden/>
              </w:rPr>
              <w:instrText xml:space="preserve"> PAGEREF _Toc385339474 \h </w:instrText>
            </w:r>
            <w:r w:rsidR="00DA21F5">
              <w:rPr>
                <w:noProof/>
                <w:webHidden/>
              </w:rPr>
            </w:r>
            <w:r w:rsidR="00DA21F5">
              <w:rPr>
                <w:noProof/>
                <w:webHidden/>
              </w:rPr>
              <w:fldChar w:fldCharType="separate"/>
            </w:r>
            <w:r w:rsidR="001439D0">
              <w:rPr>
                <w:noProof/>
                <w:webHidden/>
              </w:rPr>
              <w:t>3</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75" w:history="1">
            <w:r w:rsidR="00DA21F5" w:rsidRPr="00A47126">
              <w:rPr>
                <w:rStyle w:val="Hypertextovodkaz"/>
                <w:noProof/>
              </w:rPr>
              <w:t>1.3.</w:t>
            </w:r>
            <w:r w:rsidR="00DA21F5">
              <w:rPr>
                <w:noProof/>
                <w:sz w:val="22"/>
                <w:lang w:eastAsia="cs-CZ"/>
              </w:rPr>
              <w:tab/>
            </w:r>
            <w:r w:rsidR="00DA21F5" w:rsidRPr="00A47126">
              <w:rPr>
                <w:rStyle w:val="Hypertextovodkaz"/>
                <w:noProof/>
              </w:rPr>
              <w:t>Struktura dokumentu</w:t>
            </w:r>
            <w:r w:rsidR="00DA21F5">
              <w:rPr>
                <w:noProof/>
                <w:webHidden/>
              </w:rPr>
              <w:tab/>
            </w:r>
            <w:r w:rsidR="00DA21F5">
              <w:rPr>
                <w:noProof/>
                <w:webHidden/>
              </w:rPr>
              <w:fldChar w:fldCharType="begin"/>
            </w:r>
            <w:r w:rsidR="00DA21F5">
              <w:rPr>
                <w:noProof/>
                <w:webHidden/>
              </w:rPr>
              <w:instrText xml:space="preserve"> PAGEREF _Toc385339475 \h </w:instrText>
            </w:r>
            <w:r w:rsidR="00DA21F5">
              <w:rPr>
                <w:noProof/>
                <w:webHidden/>
              </w:rPr>
            </w:r>
            <w:r w:rsidR="00DA21F5">
              <w:rPr>
                <w:noProof/>
                <w:webHidden/>
              </w:rPr>
              <w:fldChar w:fldCharType="separate"/>
            </w:r>
            <w:r w:rsidR="001439D0">
              <w:rPr>
                <w:noProof/>
                <w:webHidden/>
              </w:rPr>
              <w:t>4</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76" w:history="1">
            <w:r w:rsidR="00DA21F5" w:rsidRPr="00A47126">
              <w:rPr>
                <w:rStyle w:val="Hypertextovodkaz"/>
                <w:noProof/>
              </w:rPr>
              <w:t>1.4.</w:t>
            </w:r>
            <w:r w:rsidR="00DA21F5">
              <w:rPr>
                <w:noProof/>
                <w:sz w:val="22"/>
                <w:lang w:eastAsia="cs-CZ"/>
              </w:rPr>
              <w:tab/>
            </w:r>
            <w:r w:rsidR="00DA21F5" w:rsidRPr="00A47126">
              <w:rPr>
                <w:rStyle w:val="Hypertextovodkaz"/>
                <w:noProof/>
              </w:rPr>
              <w:t>Dopady a realizace reformních opatření</w:t>
            </w:r>
            <w:r w:rsidR="00DA21F5">
              <w:rPr>
                <w:noProof/>
                <w:webHidden/>
              </w:rPr>
              <w:tab/>
            </w:r>
            <w:r w:rsidR="00DA21F5">
              <w:rPr>
                <w:noProof/>
                <w:webHidden/>
              </w:rPr>
              <w:fldChar w:fldCharType="begin"/>
            </w:r>
            <w:r w:rsidR="00DA21F5">
              <w:rPr>
                <w:noProof/>
                <w:webHidden/>
              </w:rPr>
              <w:instrText xml:space="preserve"> PAGEREF _Toc385339476 \h </w:instrText>
            </w:r>
            <w:r w:rsidR="00DA21F5">
              <w:rPr>
                <w:noProof/>
                <w:webHidden/>
              </w:rPr>
            </w:r>
            <w:r w:rsidR="00DA21F5">
              <w:rPr>
                <w:noProof/>
                <w:webHidden/>
              </w:rPr>
              <w:fldChar w:fldCharType="separate"/>
            </w:r>
            <w:r w:rsidR="001439D0">
              <w:rPr>
                <w:noProof/>
                <w:webHidden/>
              </w:rPr>
              <w:t>4</w:t>
            </w:r>
            <w:r w:rsidR="00DA21F5">
              <w:rPr>
                <w:noProof/>
                <w:webHidden/>
              </w:rPr>
              <w:fldChar w:fldCharType="end"/>
            </w:r>
          </w:hyperlink>
        </w:p>
        <w:p w:rsidR="00DA21F5" w:rsidRDefault="009E60BF">
          <w:pPr>
            <w:pStyle w:val="Obsah1"/>
            <w:tabs>
              <w:tab w:val="left" w:pos="420"/>
              <w:tab w:val="right" w:leader="dot" w:pos="9062"/>
            </w:tabs>
            <w:rPr>
              <w:noProof/>
              <w:sz w:val="22"/>
              <w:lang w:eastAsia="cs-CZ"/>
            </w:rPr>
          </w:pPr>
          <w:hyperlink w:anchor="_Toc385339477" w:history="1">
            <w:r w:rsidR="00DA21F5" w:rsidRPr="00A47126">
              <w:rPr>
                <w:rStyle w:val="Hypertextovodkaz"/>
                <w:noProof/>
              </w:rPr>
              <w:t>2.</w:t>
            </w:r>
            <w:r w:rsidR="00DA21F5">
              <w:rPr>
                <w:noProof/>
                <w:sz w:val="22"/>
                <w:lang w:eastAsia="cs-CZ"/>
              </w:rPr>
              <w:tab/>
            </w:r>
            <w:r w:rsidR="00DA21F5" w:rsidRPr="00A47126">
              <w:rPr>
                <w:rStyle w:val="Hypertextovodkaz"/>
                <w:noProof/>
              </w:rPr>
              <w:t>Aktuální makroekonomická predikce České republiky</w:t>
            </w:r>
            <w:r w:rsidR="00DA21F5">
              <w:rPr>
                <w:noProof/>
                <w:webHidden/>
              </w:rPr>
              <w:tab/>
            </w:r>
            <w:r w:rsidR="00DA21F5">
              <w:rPr>
                <w:noProof/>
                <w:webHidden/>
              </w:rPr>
              <w:fldChar w:fldCharType="begin"/>
            </w:r>
            <w:r w:rsidR="00DA21F5">
              <w:rPr>
                <w:noProof/>
                <w:webHidden/>
              </w:rPr>
              <w:instrText xml:space="preserve"> PAGEREF _Toc385339477 \h </w:instrText>
            </w:r>
            <w:r w:rsidR="00DA21F5">
              <w:rPr>
                <w:noProof/>
                <w:webHidden/>
              </w:rPr>
            </w:r>
            <w:r w:rsidR="00DA21F5">
              <w:rPr>
                <w:noProof/>
                <w:webHidden/>
              </w:rPr>
              <w:fldChar w:fldCharType="separate"/>
            </w:r>
            <w:r w:rsidR="001439D0">
              <w:rPr>
                <w:noProof/>
                <w:webHidden/>
              </w:rPr>
              <w:t>6</w:t>
            </w:r>
            <w:r w:rsidR="00DA21F5">
              <w:rPr>
                <w:noProof/>
                <w:webHidden/>
              </w:rPr>
              <w:fldChar w:fldCharType="end"/>
            </w:r>
          </w:hyperlink>
        </w:p>
        <w:p w:rsidR="00DA21F5" w:rsidRDefault="009E60BF">
          <w:pPr>
            <w:pStyle w:val="Obsah1"/>
            <w:tabs>
              <w:tab w:val="left" w:pos="420"/>
              <w:tab w:val="right" w:leader="dot" w:pos="9062"/>
            </w:tabs>
            <w:rPr>
              <w:noProof/>
              <w:sz w:val="22"/>
              <w:lang w:eastAsia="cs-CZ"/>
            </w:rPr>
          </w:pPr>
          <w:hyperlink w:anchor="_Toc385339478" w:history="1">
            <w:r w:rsidR="00DA21F5" w:rsidRPr="00A47126">
              <w:rPr>
                <w:rStyle w:val="Hypertextovodkaz"/>
                <w:noProof/>
              </w:rPr>
              <w:t>3.</w:t>
            </w:r>
            <w:r w:rsidR="00DA21F5">
              <w:rPr>
                <w:noProof/>
                <w:sz w:val="22"/>
                <w:lang w:eastAsia="cs-CZ"/>
              </w:rPr>
              <w:tab/>
            </w:r>
            <w:r w:rsidR="00DA21F5" w:rsidRPr="00A47126">
              <w:rPr>
                <w:rStyle w:val="Hypertextovodkaz"/>
                <w:noProof/>
              </w:rPr>
              <w:t>Implementace doporučení Rady</w:t>
            </w:r>
            <w:r w:rsidR="00DA21F5">
              <w:rPr>
                <w:noProof/>
                <w:webHidden/>
              </w:rPr>
              <w:tab/>
            </w:r>
            <w:r w:rsidR="00DA21F5">
              <w:rPr>
                <w:noProof/>
                <w:webHidden/>
              </w:rPr>
              <w:fldChar w:fldCharType="begin"/>
            </w:r>
            <w:r w:rsidR="00DA21F5">
              <w:rPr>
                <w:noProof/>
                <w:webHidden/>
              </w:rPr>
              <w:instrText xml:space="preserve"> PAGEREF _Toc385339478 \h </w:instrText>
            </w:r>
            <w:r w:rsidR="00DA21F5">
              <w:rPr>
                <w:noProof/>
                <w:webHidden/>
              </w:rPr>
            </w:r>
            <w:r w:rsidR="00DA21F5">
              <w:rPr>
                <w:noProof/>
                <w:webHidden/>
              </w:rPr>
              <w:fldChar w:fldCharType="separate"/>
            </w:r>
            <w:r w:rsidR="001439D0">
              <w:rPr>
                <w:noProof/>
                <w:webHidden/>
              </w:rPr>
              <w:t>7</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79" w:history="1">
            <w:r w:rsidR="00DA21F5" w:rsidRPr="00A47126">
              <w:rPr>
                <w:rStyle w:val="Hypertextovodkaz"/>
                <w:noProof/>
              </w:rPr>
              <w:t>3.1.</w:t>
            </w:r>
            <w:r w:rsidR="00DA21F5">
              <w:rPr>
                <w:noProof/>
                <w:sz w:val="22"/>
                <w:lang w:eastAsia="cs-CZ"/>
              </w:rPr>
              <w:tab/>
            </w:r>
            <w:r w:rsidR="00DA21F5" w:rsidRPr="00A47126">
              <w:rPr>
                <w:rStyle w:val="Hypertextovodkaz"/>
                <w:noProof/>
              </w:rPr>
              <w:t>Fiskální politika a rozpočtová strategie</w:t>
            </w:r>
            <w:r w:rsidR="00DA21F5">
              <w:rPr>
                <w:noProof/>
                <w:webHidden/>
              </w:rPr>
              <w:tab/>
            </w:r>
            <w:r w:rsidR="00DA21F5">
              <w:rPr>
                <w:noProof/>
                <w:webHidden/>
              </w:rPr>
              <w:fldChar w:fldCharType="begin"/>
            </w:r>
            <w:r w:rsidR="00DA21F5">
              <w:rPr>
                <w:noProof/>
                <w:webHidden/>
              </w:rPr>
              <w:instrText xml:space="preserve"> PAGEREF _Toc385339479 \h </w:instrText>
            </w:r>
            <w:r w:rsidR="00DA21F5">
              <w:rPr>
                <w:noProof/>
                <w:webHidden/>
              </w:rPr>
            </w:r>
            <w:r w:rsidR="00DA21F5">
              <w:rPr>
                <w:noProof/>
                <w:webHidden/>
              </w:rPr>
              <w:fldChar w:fldCharType="separate"/>
            </w:r>
            <w:r w:rsidR="001439D0">
              <w:rPr>
                <w:noProof/>
                <w:webHidden/>
              </w:rPr>
              <w:t>7</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80" w:history="1">
            <w:r w:rsidR="00DA21F5" w:rsidRPr="00A47126">
              <w:rPr>
                <w:rStyle w:val="Hypertextovodkaz"/>
                <w:noProof/>
              </w:rPr>
              <w:t>3.1.1.</w:t>
            </w:r>
            <w:r w:rsidR="00DA21F5">
              <w:rPr>
                <w:noProof/>
                <w:sz w:val="22"/>
                <w:lang w:eastAsia="cs-CZ"/>
              </w:rPr>
              <w:tab/>
            </w:r>
            <w:r w:rsidR="00DA21F5" w:rsidRPr="00A47126">
              <w:rPr>
                <w:rStyle w:val="Hypertextovodkaz"/>
                <w:noProof/>
              </w:rPr>
              <w:t>Fiskální pakt</w:t>
            </w:r>
            <w:r w:rsidR="00DA21F5">
              <w:rPr>
                <w:noProof/>
                <w:webHidden/>
              </w:rPr>
              <w:tab/>
            </w:r>
            <w:r w:rsidR="00DA21F5">
              <w:rPr>
                <w:noProof/>
                <w:webHidden/>
              </w:rPr>
              <w:fldChar w:fldCharType="begin"/>
            </w:r>
            <w:r w:rsidR="00DA21F5">
              <w:rPr>
                <w:noProof/>
                <w:webHidden/>
              </w:rPr>
              <w:instrText xml:space="preserve"> PAGEREF _Toc385339480 \h </w:instrText>
            </w:r>
            <w:r w:rsidR="00DA21F5">
              <w:rPr>
                <w:noProof/>
                <w:webHidden/>
              </w:rPr>
            </w:r>
            <w:r w:rsidR="00DA21F5">
              <w:rPr>
                <w:noProof/>
                <w:webHidden/>
              </w:rPr>
              <w:fldChar w:fldCharType="separate"/>
            </w:r>
            <w:r w:rsidR="001439D0">
              <w:rPr>
                <w:noProof/>
                <w:webHidden/>
              </w:rPr>
              <w:t>7</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81" w:history="1">
            <w:r w:rsidR="00DA21F5" w:rsidRPr="00A47126">
              <w:rPr>
                <w:rStyle w:val="Hypertextovodkaz"/>
                <w:noProof/>
              </w:rPr>
              <w:t>3.1.2.</w:t>
            </w:r>
            <w:r w:rsidR="00DA21F5">
              <w:rPr>
                <w:noProof/>
                <w:sz w:val="22"/>
                <w:lang w:eastAsia="cs-CZ"/>
              </w:rPr>
              <w:tab/>
            </w:r>
            <w:r w:rsidR="00DA21F5" w:rsidRPr="00A47126">
              <w:rPr>
                <w:rStyle w:val="Hypertextovodkaz"/>
                <w:noProof/>
              </w:rPr>
              <w:t>Ukončení postupu při nadměrném schodku</w:t>
            </w:r>
            <w:r w:rsidR="00DA21F5">
              <w:rPr>
                <w:noProof/>
                <w:webHidden/>
              </w:rPr>
              <w:tab/>
            </w:r>
            <w:r w:rsidR="00DA21F5">
              <w:rPr>
                <w:noProof/>
                <w:webHidden/>
              </w:rPr>
              <w:fldChar w:fldCharType="begin"/>
            </w:r>
            <w:r w:rsidR="00DA21F5">
              <w:rPr>
                <w:noProof/>
                <w:webHidden/>
              </w:rPr>
              <w:instrText xml:space="preserve"> PAGEREF _Toc385339481 \h </w:instrText>
            </w:r>
            <w:r w:rsidR="00DA21F5">
              <w:rPr>
                <w:noProof/>
                <w:webHidden/>
              </w:rPr>
            </w:r>
            <w:r w:rsidR="00DA21F5">
              <w:rPr>
                <w:noProof/>
                <w:webHidden/>
              </w:rPr>
              <w:fldChar w:fldCharType="separate"/>
            </w:r>
            <w:r w:rsidR="001439D0">
              <w:rPr>
                <w:noProof/>
                <w:webHidden/>
              </w:rPr>
              <w:t>7</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82" w:history="1">
            <w:r w:rsidR="00DA21F5" w:rsidRPr="00A47126">
              <w:rPr>
                <w:rStyle w:val="Hypertextovodkaz"/>
                <w:noProof/>
              </w:rPr>
              <w:t>3.1.3.</w:t>
            </w:r>
            <w:r w:rsidR="00DA21F5">
              <w:rPr>
                <w:noProof/>
                <w:sz w:val="22"/>
                <w:lang w:eastAsia="cs-CZ"/>
              </w:rPr>
              <w:tab/>
            </w:r>
            <w:r w:rsidR="00DA21F5" w:rsidRPr="00A47126">
              <w:rPr>
                <w:rStyle w:val="Hypertextovodkaz"/>
                <w:noProof/>
              </w:rPr>
              <w:t>Rozpočtová strategie 2014 až 2017</w:t>
            </w:r>
            <w:r w:rsidR="00DA21F5">
              <w:rPr>
                <w:noProof/>
                <w:webHidden/>
              </w:rPr>
              <w:tab/>
            </w:r>
            <w:r w:rsidR="00DA21F5">
              <w:rPr>
                <w:noProof/>
                <w:webHidden/>
              </w:rPr>
              <w:fldChar w:fldCharType="begin"/>
            </w:r>
            <w:r w:rsidR="00DA21F5">
              <w:rPr>
                <w:noProof/>
                <w:webHidden/>
              </w:rPr>
              <w:instrText xml:space="preserve"> PAGEREF _Toc385339482 \h </w:instrText>
            </w:r>
            <w:r w:rsidR="00DA21F5">
              <w:rPr>
                <w:noProof/>
                <w:webHidden/>
              </w:rPr>
            </w:r>
            <w:r w:rsidR="00DA21F5">
              <w:rPr>
                <w:noProof/>
                <w:webHidden/>
              </w:rPr>
              <w:fldChar w:fldCharType="separate"/>
            </w:r>
            <w:r w:rsidR="001439D0">
              <w:rPr>
                <w:noProof/>
                <w:webHidden/>
              </w:rPr>
              <w:t>8</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83" w:history="1">
            <w:r w:rsidR="00DA21F5" w:rsidRPr="00A47126">
              <w:rPr>
                <w:rStyle w:val="Hypertextovodkaz"/>
                <w:noProof/>
              </w:rPr>
              <w:t>3.1.4.</w:t>
            </w:r>
            <w:r w:rsidR="00DA21F5">
              <w:rPr>
                <w:noProof/>
                <w:sz w:val="22"/>
                <w:lang w:eastAsia="cs-CZ"/>
              </w:rPr>
              <w:tab/>
            </w:r>
            <w:r w:rsidR="00DA21F5" w:rsidRPr="00A47126">
              <w:rPr>
                <w:rStyle w:val="Hypertextovodkaz"/>
                <w:noProof/>
              </w:rPr>
              <w:t>Čerpání evropských fondů v programovém období 2007-2013</w:t>
            </w:r>
            <w:r w:rsidR="00DA21F5">
              <w:rPr>
                <w:noProof/>
                <w:webHidden/>
              </w:rPr>
              <w:tab/>
            </w:r>
            <w:r w:rsidR="00DA21F5">
              <w:rPr>
                <w:noProof/>
                <w:webHidden/>
              </w:rPr>
              <w:fldChar w:fldCharType="begin"/>
            </w:r>
            <w:r w:rsidR="00DA21F5">
              <w:rPr>
                <w:noProof/>
                <w:webHidden/>
              </w:rPr>
              <w:instrText xml:space="preserve"> PAGEREF _Toc385339483 \h </w:instrText>
            </w:r>
            <w:r w:rsidR="00DA21F5">
              <w:rPr>
                <w:noProof/>
                <w:webHidden/>
              </w:rPr>
            </w:r>
            <w:r w:rsidR="00DA21F5">
              <w:rPr>
                <w:noProof/>
                <w:webHidden/>
              </w:rPr>
              <w:fldChar w:fldCharType="separate"/>
            </w:r>
            <w:r w:rsidR="001439D0">
              <w:rPr>
                <w:noProof/>
                <w:webHidden/>
              </w:rPr>
              <w:t>8</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84" w:history="1">
            <w:r w:rsidR="00DA21F5" w:rsidRPr="00A47126">
              <w:rPr>
                <w:rStyle w:val="Hypertextovodkaz"/>
                <w:noProof/>
              </w:rPr>
              <w:t>3.2.</w:t>
            </w:r>
            <w:r w:rsidR="00DA21F5">
              <w:rPr>
                <w:noProof/>
                <w:sz w:val="22"/>
                <w:lang w:eastAsia="cs-CZ"/>
              </w:rPr>
              <w:tab/>
            </w:r>
            <w:r w:rsidR="00DA21F5" w:rsidRPr="00A47126">
              <w:rPr>
                <w:rStyle w:val="Hypertextovodkaz"/>
                <w:noProof/>
              </w:rPr>
              <w:t>Daňová politika</w:t>
            </w:r>
            <w:r w:rsidR="00DA21F5">
              <w:rPr>
                <w:noProof/>
                <w:webHidden/>
              </w:rPr>
              <w:tab/>
            </w:r>
            <w:r w:rsidR="00DA21F5">
              <w:rPr>
                <w:noProof/>
                <w:webHidden/>
              </w:rPr>
              <w:fldChar w:fldCharType="begin"/>
            </w:r>
            <w:r w:rsidR="00DA21F5">
              <w:rPr>
                <w:noProof/>
                <w:webHidden/>
              </w:rPr>
              <w:instrText xml:space="preserve"> PAGEREF _Toc385339484 \h </w:instrText>
            </w:r>
            <w:r w:rsidR="00DA21F5">
              <w:rPr>
                <w:noProof/>
                <w:webHidden/>
              </w:rPr>
            </w:r>
            <w:r w:rsidR="00DA21F5">
              <w:rPr>
                <w:noProof/>
                <w:webHidden/>
              </w:rPr>
              <w:fldChar w:fldCharType="separate"/>
            </w:r>
            <w:r w:rsidR="001439D0">
              <w:rPr>
                <w:noProof/>
                <w:webHidden/>
              </w:rPr>
              <w:t>9</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85" w:history="1">
            <w:r w:rsidR="00DA21F5" w:rsidRPr="00A47126">
              <w:rPr>
                <w:rStyle w:val="Hypertextovodkaz"/>
                <w:noProof/>
              </w:rPr>
              <w:t>3.2.1.</w:t>
            </w:r>
            <w:r w:rsidR="00DA21F5">
              <w:rPr>
                <w:noProof/>
                <w:sz w:val="22"/>
                <w:lang w:eastAsia="cs-CZ"/>
              </w:rPr>
              <w:tab/>
            </w:r>
            <w:r w:rsidR="00DA21F5" w:rsidRPr="00A47126">
              <w:rPr>
                <w:rStyle w:val="Hypertextovodkaz"/>
                <w:noProof/>
              </w:rPr>
              <w:t>Změny v daňovém systému</w:t>
            </w:r>
            <w:r w:rsidR="00DA21F5">
              <w:rPr>
                <w:noProof/>
                <w:webHidden/>
              </w:rPr>
              <w:tab/>
            </w:r>
            <w:r w:rsidR="00DA21F5">
              <w:rPr>
                <w:noProof/>
                <w:webHidden/>
              </w:rPr>
              <w:fldChar w:fldCharType="begin"/>
            </w:r>
            <w:r w:rsidR="00DA21F5">
              <w:rPr>
                <w:noProof/>
                <w:webHidden/>
              </w:rPr>
              <w:instrText xml:space="preserve"> PAGEREF _Toc385339485 \h </w:instrText>
            </w:r>
            <w:r w:rsidR="00DA21F5">
              <w:rPr>
                <w:noProof/>
                <w:webHidden/>
              </w:rPr>
            </w:r>
            <w:r w:rsidR="00DA21F5">
              <w:rPr>
                <w:noProof/>
                <w:webHidden/>
              </w:rPr>
              <w:fldChar w:fldCharType="separate"/>
            </w:r>
            <w:r w:rsidR="001439D0">
              <w:rPr>
                <w:noProof/>
                <w:webHidden/>
              </w:rPr>
              <w:t>9</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86" w:history="1">
            <w:r w:rsidR="00DA21F5" w:rsidRPr="00A47126">
              <w:rPr>
                <w:rStyle w:val="Hypertextovodkaz"/>
                <w:noProof/>
              </w:rPr>
              <w:t>3.2.2.</w:t>
            </w:r>
            <w:r w:rsidR="00DA21F5">
              <w:rPr>
                <w:noProof/>
                <w:sz w:val="22"/>
                <w:lang w:eastAsia="cs-CZ"/>
              </w:rPr>
              <w:tab/>
            </w:r>
            <w:r w:rsidR="00DA21F5" w:rsidRPr="00A47126">
              <w:rPr>
                <w:rStyle w:val="Hypertextovodkaz"/>
                <w:noProof/>
              </w:rPr>
              <w:t>Omezení paušálních nákladů OSVČ</w:t>
            </w:r>
            <w:r w:rsidR="00DA21F5">
              <w:rPr>
                <w:noProof/>
                <w:webHidden/>
              </w:rPr>
              <w:tab/>
            </w:r>
            <w:r w:rsidR="00DA21F5">
              <w:rPr>
                <w:noProof/>
                <w:webHidden/>
              </w:rPr>
              <w:fldChar w:fldCharType="begin"/>
            </w:r>
            <w:r w:rsidR="00DA21F5">
              <w:rPr>
                <w:noProof/>
                <w:webHidden/>
              </w:rPr>
              <w:instrText xml:space="preserve"> PAGEREF _Toc385339486 \h </w:instrText>
            </w:r>
            <w:r w:rsidR="00DA21F5">
              <w:rPr>
                <w:noProof/>
                <w:webHidden/>
              </w:rPr>
            </w:r>
            <w:r w:rsidR="00DA21F5">
              <w:rPr>
                <w:noProof/>
                <w:webHidden/>
              </w:rPr>
              <w:fldChar w:fldCharType="separate"/>
            </w:r>
            <w:r w:rsidR="001439D0">
              <w:rPr>
                <w:noProof/>
                <w:webHidden/>
              </w:rPr>
              <w:t>10</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87" w:history="1">
            <w:r w:rsidR="00DA21F5" w:rsidRPr="00A47126">
              <w:rPr>
                <w:rStyle w:val="Hypertextovodkaz"/>
                <w:noProof/>
              </w:rPr>
              <w:t>3.2.3.</w:t>
            </w:r>
            <w:r w:rsidR="00DA21F5">
              <w:rPr>
                <w:noProof/>
                <w:sz w:val="22"/>
                <w:lang w:eastAsia="cs-CZ"/>
              </w:rPr>
              <w:tab/>
            </w:r>
            <w:r w:rsidR="00DA21F5" w:rsidRPr="00A47126">
              <w:rPr>
                <w:rStyle w:val="Hypertextovodkaz"/>
                <w:noProof/>
              </w:rPr>
              <w:t>Zlepšení výběru daní a boj proti daňovým únikům</w:t>
            </w:r>
            <w:r w:rsidR="00DA21F5">
              <w:rPr>
                <w:noProof/>
                <w:webHidden/>
              </w:rPr>
              <w:tab/>
            </w:r>
            <w:r w:rsidR="00DA21F5">
              <w:rPr>
                <w:noProof/>
                <w:webHidden/>
              </w:rPr>
              <w:fldChar w:fldCharType="begin"/>
            </w:r>
            <w:r w:rsidR="00DA21F5">
              <w:rPr>
                <w:noProof/>
                <w:webHidden/>
              </w:rPr>
              <w:instrText xml:space="preserve"> PAGEREF _Toc385339487 \h </w:instrText>
            </w:r>
            <w:r w:rsidR="00DA21F5">
              <w:rPr>
                <w:noProof/>
                <w:webHidden/>
              </w:rPr>
            </w:r>
            <w:r w:rsidR="00DA21F5">
              <w:rPr>
                <w:noProof/>
                <w:webHidden/>
              </w:rPr>
              <w:fldChar w:fldCharType="separate"/>
            </w:r>
            <w:r w:rsidR="001439D0">
              <w:rPr>
                <w:noProof/>
                <w:webHidden/>
              </w:rPr>
              <w:t>10</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88" w:history="1">
            <w:r w:rsidR="00DA21F5" w:rsidRPr="00A47126">
              <w:rPr>
                <w:rStyle w:val="Hypertextovodkaz"/>
                <w:noProof/>
              </w:rPr>
              <w:t>3.3.</w:t>
            </w:r>
            <w:r w:rsidR="00DA21F5">
              <w:rPr>
                <w:noProof/>
                <w:sz w:val="22"/>
                <w:lang w:eastAsia="cs-CZ"/>
              </w:rPr>
              <w:tab/>
            </w:r>
            <w:r w:rsidR="00DA21F5" w:rsidRPr="00A47126">
              <w:rPr>
                <w:rStyle w:val="Hypertextovodkaz"/>
                <w:noProof/>
              </w:rPr>
              <w:t>Dlouhodobá udržitelnost veřejných financí</w:t>
            </w:r>
            <w:r w:rsidR="00DA21F5">
              <w:rPr>
                <w:noProof/>
                <w:webHidden/>
              </w:rPr>
              <w:tab/>
            </w:r>
            <w:r w:rsidR="00DA21F5">
              <w:rPr>
                <w:noProof/>
                <w:webHidden/>
              </w:rPr>
              <w:fldChar w:fldCharType="begin"/>
            </w:r>
            <w:r w:rsidR="00DA21F5">
              <w:rPr>
                <w:noProof/>
                <w:webHidden/>
              </w:rPr>
              <w:instrText xml:space="preserve"> PAGEREF _Toc385339488 \h </w:instrText>
            </w:r>
            <w:r w:rsidR="00DA21F5">
              <w:rPr>
                <w:noProof/>
                <w:webHidden/>
              </w:rPr>
            </w:r>
            <w:r w:rsidR="00DA21F5">
              <w:rPr>
                <w:noProof/>
                <w:webHidden/>
              </w:rPr>
              <w:fldChar w:fldCharType="separate"/>
            </w:r>
            <w:r w:rsidR="001439D0">
              <w:rPr>
                <w:noProof/>
                <w:webHidden/>
              </w:rPr>
              <w:t>11</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89" w:history="1">
            <w:r w:rsidR="00DA21F5" w:rsidRPr="00A47126">
              <w:rPr>
                <w:rStyle w:val="Hypertextovodkaz"/>
                <w:noProof/>
              </w:rPr>
              <w:t>3.3.1.</w:t>
            </w:r>
            <w:r w:rsidR="00DA21F5">
              <w:rPr>
                <w:noProof/>
                <w:sz w:val="22"/>
                <w:lang w:eastAsia="cs-CZ"/>
              </w:rPr>
              <w:tab/>
            </w:r>
            <w:r w:rsidR="00DA21F5" w:rsidRPr="00A47126">
              <w:rPr>
                <w:rStyle w:val="Hypertextovodkaz"/>
                <w:noProof/>
              </w:rPr>
              <w:t>Udržitelný systém důchodového pojištění</w:t>
            </w:r>
            <w:r w:rsidR="00DA21F5">
              <w:rPr>
                <w:noProof/>
                <w:webHidden/>
              </w:rPr>
              <w:tab/>
            </w:r>
            <w:r w:rsidR="00DA21F5">
              <w:rPr>
                <w:noProof/>
                <w:webHidden/>
              </w:rPr>
              <w:fldChar w:fldCharType="begin"/>
            </w:r>
            <w:r w:rsidR="00DA21F5">
              <w:rPr>
                <w:noProof/>
                <w:webHidden/>
              </w:rPr>
              <w:instrText xml:space="preserve"> PAGEREF _Toc385339489 \h </w:instrText>
            </w:r>
            <w:r w:rsidR="00DA21F5">
              <w:rPr>
                <w:noProof/>
                <w:webHidden/>
              </w:rPr>
            </w:r>
            <w:r w:rsidR="00DA21F5">
              <w:rPr>
                <w:noProof/>
                <w:webHidden/>
              </w:rPr>
              <w:fldChar w:fldCharType="separate"/>
            </w:r>
            <w:r w:rsidR="001439D0">
              <w:rPr>
                <w:noProof/>
                <w:webHidden/>
              </w:rPr>
              <w:t>11</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90" w:history="1">
            <w:r w:rsidR="00DA21F5" w:rsidRPr="00A47126">
              <w:rPr>
                <w:rStyle w:val="Hypertextovodkaz"/>
                <w:noProof/>
              </w:rPr>
              <w:t>3.3.2.</w:t>
            </w:r>
            <w:r w:rsidR="00DA21F5">
              <w:rPr>
                <w:noProof/>
                <w:sz w:val="22"/>
                <w:lang w:eastAsia="cs-CZ"/>
              </w:rPr>
              <w:tab/>
            </w:r>
            <w:r w:rsidR="00DA21F5" w:rsidRPr="00A47126">
              <w:rPr>
                <w:rStyle w:val="Hypertextovodkaz"/>
                <w:noProof/>
              </w:rPr>
              <w:t>Zaměstnatelnost starších pracovníků</w:t>
            </w:r>
            <w:r w:rsidR="00DA21F5">
              <w:rPr>
                <w:noProof/>
                <w:webHidden/>
              </w:rPr>
              <w:tab/>
            </w:r>
            <w:r w:rsidR="00DA21F5">
              <w:rPr>
                <w:noProof/>
                <w:webHidden/>
              </w:rPr>
              <w:fldChar w:fldCharType="begin"/>
            </w:r>
            <w:r w:rsidR="00DA21F5">
              <w:rPr>
                <w:noProof/>
                <w:webHidden/>
              </w:rPr>
              <w:instrText xml:space="preserve"> PAGEREF _Toc385339490 \h </w:instrText>
            </w:r>
            <w:r w:rsidR="00DA21F5">
              <w:rPr>
                <w:noProof/>
                <w:webHidden/>
              </w:rPr>
            </w:r>
            <w:r w:rsidR="00DA21F5">
              <w:rPr>
                <w:noProof/>
                <w:webHidden/>
              </w:rPr>
              <w:fldChar w:fldCharType="separate"/>
            </w:r>
            <w:r w:rsidR="001439D0">
              <w:rPr>
                <w:noProof/>
                <w:webHidden/>
              </w:rPr>
              <w:t>12</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91" w:history="1">
            <w:r w:rsidR="00DA21F5" w:rsidRPr="00A47126">
              <w:rPr>
                <w:rStyle w:val="Hypertextovodkaz"/>
                <w:noProof/>
              </w:rPr>
              <w:t>3.3.3.</w:t>
            </w:r>
            <w:r w:rsidR="00DA21F5">
              <w:rPr>
                <w:noProof/>
                <w:sz w:val="22"/>
                <w:lang w:eastAsia="cs-CZ"/>
              </w:rPr>
              <w:tab/>
            </w:r>
            <w:r w:rsidR="00DA21F5" w:rsidRPr="00A47126">
              <w:rPr>
                <w:rStyle w:val="Hypertextovodkaz"/>
                <w:noProof/>
              </w:rPr>
              <w:t>Předdůchody</w:t>
            </w:r>
            <w:r w:rsidR="00DA21F5">
              <w:rPr>
                <w:noProof/>
                <w:webHidden/>
              </w:rPr>
              <w:tab/>
            </w:r>
            <w:r w:rsidR="00DA21F5">
              <w:rPr>
                <w:noProof/>
                <w:webHidden/>
              </w:rPr>
              <w:fldChar w:fldCharType="begin"/>
            </w:r>
            <w:r w:rsidR="00DA21F5">
              <w:rPr>
                <w:noProof/>
                <w:webHidden/>
              </w:rPr>
              <w:instrText xml:space="preserve"> PAGEREF _Toc385339491 \h </w:instrText>
            </w:r>
            <w:r w:rsidR="00DA21F5">
              <w:rPr>
                <w:noProof/>
                <w:webHidden/>
              </w:rPr>
            </w:r>
            <w:r w:rsidR="00DA21F5">
              <w:rPr>
                <w:noProof/>
                <w:webHidden/>
              </w:rPr>
              <w:fldChar w:fldCharType="separate"/>
            </w:r>
            <w:r w:rsidR="001439D0">
              <w:rPr>
                <w:noProof/>
                <w:webHidden/>
              </w:rPr>
              <w:t>13</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92" w:history="1">
            <w:r w:rsidR="00DA21F5" w:rsidRPr="00A47126">
              <w:rPr>
                <w:rStyle w:val="Hypertextovodkaz"/>
                <w:noProof/>
              </w:rPr>
              <w:t>3.3.4.</w:t>
            </w:r>
            <w:r w:rsidR="00DA21F5">
              <w:rPr>
                <w:noProof/>
                <w:sz w:val="22"/>
                <w:lang w:eastAsia="cs-CZ"/>
              </w:rPr>
              <w:tab/>
            </w:r>
            <w:r w:rsidR="00DA21F5" w:rsidRPr="00A47126">
              <w:rPr>
                <w:rStyle w:val="Hypertextovodkaz"/>
                <w:noProof/>
              </w:rPr>
              <w:t>Kvalitní a efektivní zdravotní péče</w:t>
            </w:r>
            <w:r w:rsidR="00DA21F5">
              <w:rPr>
                <w:noProof/>
                <w:webHidden/>
              </w:rPr>
              <w:tab/>
            </w:r>
            <w:r w:rsidR="00DA21F5">
              <w:rPr>
                <w:noProof/>
                <w:webHidden/>
              </w:rPr>
              <w:fldChar w:fldCharType="begin"/>
            </w:r>
            <w:r w:rsidR="00DA21F5">
              <w:rPr>
                <w:noProof/>
                <w:webHidden/>
              </w:rPr>
              <w:instrText xml:space="preserve"> PAGEREF _Toc385339492 \h </w:instrText>
            </w:r>
            <w:r w:rsidR="00DA21F5">
              <w:rPr>
                <w:noProof/>
                <w:webHidden/>
              </w:rPr>
            </w:r>
            <w:r w:rsidR="00DA21F5">
              <w:rPr>
                <w:noProof/>
                <w:webHidden/>
              </w:rPr>
              <w:fldChar w:fldCharType="separate"/>
            </w:r>
            <w:r w:rsidR="001439D0">
              <w:rPr>
                <w:noProof/>
                <w:webHidden/>
              </w:rPr>
              <w:t>13</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93" w:history="1">
            <w:r w:rsidR="00DA21F5" w:rsidRPr="00A47126">
              <w:rPr>
                <w:rStyle w:val="Hypertextovodkaz"/>
                <w:noProof/>
              </w:rPr>
              <w:t>3.4.</w:t>
            </w:r>
            <w:r w:rsidR="00DA21F5">
              <w:rPr>
                <w:noProof/>
                <w:sz w:val="22"/>
                <w:lang w:eastAsia="cs-CZ"/>
              </w:rPr>
              <w:tab/>
            </w:r>
            <w:r w:rsidR="00DA21F5" w:rsidRPr="00A47126">
              <w:rPr>
                <w:rStyle w:val="Hypertextovodkaz"/>
                <w:noProof/>
              </w:rPr>
              <w:t>Veřejné služby zaměstnanosti a zlepšování služeb péče o děti</w:t>
            </w:r>
            <w:r w:rsidR="00DA21F5">
              <w:rPr>
                <w:noProof/>
                <w:webHidden/>
              </w:rPr>
              <w:tab/>
            </w:r>
            <w:r w:rsidR="00DA21F5">
              <w:rPr>
                <w:noProof/>
                <w:webHidden/>
              </w:rPr>
              <w:fldChar w:fldCharType="begin"/>
            </w:r>
            <w:r w:rsidR="00DA21F5">
              <w:rPr>
                <w:noProof/>
                <w:webHidden/>
              </w:rPr>
              <w:instrText xml:space="preserve"> PAGEREF _Toc385339493 \h </w:instrText>
            </w:r>
            <w:r w:rsidR="00DA21F5">
              <w:rPr>
                <w:noProof/>
                <w:webHidden/>
              </w:rPr>
            </w:r>
            <w:r w:rsidR="00DA21F5">
              <w:rPr>
                <w:noProof/>
                <w:webHidden/>
              </w:rPr>
              <w:fldChar w:fldCharType="separate"/>
            </w:r>
            <w:r w:rsidR="001439D0">
              <w:rPr>
                <w:noProof/>
                <w:webHidden/>
              </w:rPr>
              <w:t>14</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94" w:history="1">
            <w:r w:rsidR="00DA21F5" w:rsidRPr="00A47126">
              <w:rPr>
                <w:rStyle w:val="Hypertextovodkaz"/>
                <w:noProof/>
              </w:rPr>
              <w:t>3.4.1.</w:t>
            </w:r>
            <w:r w:rsidR="00DA21F5">
              <w:rPr>
                <w:noProof/>
                <w:sz w:val="22"/>
                <w:lang w:eastAsia="cs-CZ"/>
              </w:rPr>
              <w:tab/>
            </w:r>
            <w:r w:rsidR="00DA21F5" w:rsidRPr="00A47126">
              <w:rPr>
                <w:rStyle w:val="Hypertextovodkaz"/>
                <w:noProof/>
              </w:rPr>
              <w:t>Posílení veřejných služeb zaměstnanosti</w:t>
            </w:r>
            <w:r w:rsidR="00DA21F5">
              <w:rPr>
                <w:noProof/>
                <w:webHidden/>
              </w:rPr>
              <w:tab/>
            </w:r>
            <w:r w:rsidR="00DA21F5">
              <w:rPr>
                <w:noProof/>
                <w:webHidden/>
              </w:rPr>
              <w:fldChar w:fldCharType="begin"/>
            </w:r>
            <w:r w:rsidR="00DA21F5">
              <w:rPr>
                <w:noProof/>
                <w:webHidden/>
              </w:rPr>
              <w:instrText xml:space="preserve"> PAGEREF _Toc385339494 \h </w:instrText>
            </w:r>
            <w:r w:rsidR="00DA21F5">
              <w:rPr>
                <w:noProof/>
                <w:webHidden/>
              </w:rPr>
            </w:r>
            <w:r w:rsidR="00DA21F5">
              <w:rPr>
                <w:noProof/>
                <w:webHidden/>
              </w:rPr>
              <w:fldChar w:fldCharType="separate"/>
            </w:r>
            <w:r w:rsidR="001439D0">
              <w:rPr>
                <w:noProof/>
                <w:webHidden/>
              </w:rPr>
              <w:t>14</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95" w:history="1">
            <w:r w:rsidR="00DA21F5" w:rsidRPr="00A47126">
              <w:rPr>
                <w:rStyle w:val="Hypertextovodkaz"/>
                <w:noProof/>
              </w:rPr>
              <w:t>3.4.2.</w:t>
            </w:r>
            <w:r w:rsidR="00DA21F5">
              <w:rPr>
                <w:noProof/>
                <w:sz w:val="22"/>
                <w:lang w:eastAsia="cs-CZ"/>
              </w:rPr>
              <w:tab/>
            </w:r>
            <w:r w:rsidR="00DA21F5" w:rsidRPr="00A47126">
              <w:rPr>
                <w:rStyle w:val="Hypertextovodkaz"/>
                <w:noProof/>
              </w:rPr>
              <w:t>Rozvoj služeb péče o děti</w:t>
            </w:r>
            <w:r w:rsidR="00DA21F5">
              <w:rPr>
                <w:noProof/>
                <w:webHidden/>
              </w:rPr>
              <w:tab/>
            </w:r>
            <w:r w:rsidR="00DA21F5">
              <w:rPr>
                <w:noProof/>
                <w:webHidden/>
              </w:rPr>
              <w:fldChar w:fldCharType="begin"/>
            </w:r>
            <w:r w:rsidR="00DA21F5">
              <w:rPr>
                <w:noProof/>
                <w:webHidden/>
              </w:rPr>
              <w:instrText xml:space="preserve"> PAGEREF _Toc385339495 \h </w:instrText>
            </w:r>
            <w:r w:rsidR="00DA21F5">
              <w:rPr>
                <w:noProof/>
                <w:webHidden/>
              </w:rPr>
            </w:r>
            <w:r w:rsidR="00DA21F5">
              <w:rPr>
                <w:noProof/>
                <w:webHidden/>
              </w:rPr>
              <w:fldChar w:fldCharType="separate"/>
            </w:r>
            <w:r w:rsidR="001439D0">
              <w:rPr>
                <w:noProof/>
                <w:webHidden/>
              </w:rPr>
              <w:t>15</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496" w:history="1">
            <w:r w:rsidR="00DA21F5" w:rsidRPr="00A47126">
              <w:rPr>
                <w:rStyle w:val="Hypertextovodkaz"/>
                <w:noProof/>
              </w:rPr>
              <w:t>3.5.</w:t>
            </w:r>
            <w:r w:rsidR="00DA21F5">
              <w:rPr>
                <w:noProof/>
                <w:sz w:val="22"/>
                <w:lang w:eastAsia="cs-CZ"/>
              </w:rPr>
              <w:tab/>
            </w:r>
            <w:r w:rsidR="00DA21F5" w:rsidRPr="00A47126">
              <w:rPr>
                <w:rStyle w:val="Hypertextovodkaz"/>
                <w:noProof/>
              </w:rPr>
              <w:t>Kvalita veřejné správy, boj proti korupci, administrace fondů EU a provádění veřejných zakázek</w:t>
            </w:r>
            <w:r w:rsidR="00DA21F5">
              <w:rPr>
                <w:noProof/>
                <w:webHidden/>
              </w:rPr>
              <w:tab/>
            </w:r>
            <w:r w:rsidR="00DA21F5">
              <w:rPr>
                <w:noProof/>
                <w:webHidden/>
              </w:rPr>
              <w:fldChar w:fldCharType="begin"/>
            </w:r>
            <w:r w:rsidR="00DA21F5">
              <w:rPr>
                <w:noProof/>
                <w:webHidden/>
              </w:rPr>
              <w:instrText xml:space="preserve"> PAGEREF _Toc385339496 \h </w:instrText>
            </w:r>
            <w:r w:rsidR="00DA21F5">
              <w:rPr>
                <w:noProof/>
                <w:webHidden/>
              </w:rPr>
            </w:r>
            <w:r w:rsidR="00DA21F5">
              <w:rPr>
                <w:noProof/>
                <w:webHidden/>
              </w:rPr>
              <w:fldChar w:fldCharType="separate"/>
            </w:r>
            <w:r w:rsidR="001439D0">
              <w:rPr>
                <w:noProof/>
                <w:webHidden/>
              </w:rPr>
              <w:t>16</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97" w:history="1">
            <w:r w:rsidR="00DA21F5" w:rsidRPr="00A47126">
              <w:rPr>
                <w:rStyle w:val="Hypertextovodkaz"/>
                <w:noProof/>
              </w:rPr>
              <w:t>3.5.1.</w:t>
            </w:r>
            <w:r w:rsidR="00DA21F5">
              <w:rPr>
                <w:noProof/>
                <w:sz w:val="22"/>
                <w:lang w:eastAsia="cs-CZ"/>
              </w:rPr>
              <w:tab/>
            </w:r>
            <w:r w:rsidR="00DA21F5" w:rsidRPr="00A47126">
              <w:rPr>
                <w:rStyle w:val="Hypertextovodkaz"/>
                <w:noProof/>
              </w:rPr>
              <w:t>Kvalitní a transparentní státní správa</w:t>
            </w:r>
            <w:r w:rsidR="00DA21F5">
              <w:rPr>
                <w:noProof/>
                <w:webHidden/>
              </w:rPr>
              <w:tab/>
            </w:r>
            <w:r w:rsidR="00DA21F5">
              <w:rPr>
                <w:noProof/>
                <w:webHidden/>
              </w:rPr>
              <w:fldChar w:fldCharType="begin"/>
            </w:r>
            <w:r w:rsidR="00DA21F5">
              <w:rPr>
                <w:noProof/>
                <w:webHidden/>
              </w:rPr>
              <w:instrText xml:space="preserve"> PAGEREF _Toc385339497 \h </w:instrText>
            </w:r>
            <w:r w:rsidR="00DA21F5">
              <w:rPr>
                <w:noProof/>
                <w:webHidden/>
              </w:rPr>
            </w:r>
            <w:r w:rsidR="00DA21F5">
              <w:rPr>
                <w:noProof/>
                <w:webHidden/>
              </w:rPr>
              <w:fldChar w:fldCharType="separate"/>
            </w:r>
            <w:r w:rsidR="001439D0">
              <w:rPr>
                <w:noProof/>
                <w:webHidden/>
              </w:rPr>
              <w:t>16</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98" w:history="1">
            <w:r w:rsidR="00DA21F5" w:rsidRPr="00A47126">
              <w:rPr>
                <w:rStyle w:val="Hypertextovodkaz"/>
                <w:noProof/>
              </w:rPr>
              <w:t>3.5.2.</w:t>
            </w:r>
            <w:r w:rsidR="00DA21F5">
              <w:rPr>
                <w:noProof/>
                <w:sz w:val="22"/>
                <w:lang w:eastAsia="cs-CZ"/>
              </w:rPr>
              <w:tab/>
            </w:r>
            <w:r w:rsidR="00DA21F5" w:rsidRPr="00A47126">
              <w:rPr>
                <w:rStyle w:val="Hypertextovodkaz"/>
                <w:noProof/>
              </w:rPr>
              <w:t>Boj proti korupci</w:t>
            </w:r>
            <w:r w:rsidR="00DA21F5">
              <w:rPr>
                <w:noProof/>
                <w:webHidden/>
              </w:rPr>
              <w:tab/>
            </w:r>
            <w:r w:rsidR="00DA21F5">
              <w:rPr>
                <w:noProof/>
                <w:webHidden/>
              </w:rPr>
              <w:fldChar w:fldCharType="begin"/>
            </w:r>
            <w:r w:rsidR="00DA21F5">
              <w:rPr>
                <w:noProof/>
                <w:webHidden/>
              </w:rPr>
              <w:instrText xml:space="preserve"> PAGEREF _Toc385339498 \h </w:instrText>
            </w:r>
            <w:r w:rsidR="00DA21F5">
              <w:rPr>
                <w:noProof/>
                <w:webHidden/>
              </w:rPr>
            </w:r>
            <w:r w:rsidR="00DA21F5">
              <w:rPr>
                <w:noProof/>
                <w:webHidden/>
              </w:rPr>
              <w:fldChar w:fldCharType="separate"/>
            </w:r>
            <w:r w:rsidR="001439D0">
              <w:rPr>
                <w:noProof/>
                <w:webHidden/>
              </w:rPr>
              <w:t>17</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499" w:history="1">
            <w:r w:rsidR="00DA21F5" w:rsidRPr="00A47126">
              <w:rPr>
                <w:rStyle w:val="Hypertextovodkaz"/>
                <w:noProof/>
              </w:rPr>
              <w:t>3.5.3.</w:t>
            </w:r>
            <w:r w:rsidR="00DA21F5">
              <w:rPr>
                <w:noProof/>
                <w:sz w:val="22"/>
                <w:lang w:eastAsia="cs-CZ"/>
              </w:rPr>
              <w:tab/>
            </w:r>
            <w:r w:rsidR="00DA21F5" w:rsidRPr="00A47126">
              <w:rPr>
                <w:rStyle w:val="Hypertextovodkaz"/>
                <w:noProof/>
              </w:rPr>
              <w:t>Správa prostředků z fondů EU s ohledem na programové období 2014-2020</w:t>
            </w:r>
            <w:r w:rsidR="00DA21F5">
              <w:rPr>
                <w:noProof/>
                <w:webHidden/>
              </w:rPr>
              <w:tab/>
            </w:r>
            <w:r w:rsidR="00DA21F5">
              <w:rPr>
                <w:noProof/>
                <w:webHidden/>
              </w:rPr>
              <w:fldChar w:fldCharType="begin"/>
            </w:r>
            <w:r w:rsidR="00DA21F5">
              <w:rPr>
                <w:noProof/>
                <w:webHidden/>
              </w:rPr>
              <w:instrText xml:space="preserve"> PAGEREF _Toc385339499 \h </w:instrText>
            </w:r>
            <w:r w:rsidR="00DA21F5">
              <w:rPr>
                <w:noProof/>
                <w:webHidden/>
              </w:rPr>
            </w:r>
            <w:r w:rsidR="00DA21F5">
              <w:rPr>
                <w:noProof/>
                <w:webHidden/>
              </w:rPr>
              <w:fldChar w:fldCharType="separate"/>
            </w:r>
            <w:r w:rsidR="001439D0">
              <w:rPr>
                <w:noProof/>
                <w:webHidden/>
              </w:rPr>
              <w:t>17</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00" w:history="1">
            <w:r w:rsidR="00DA21F5" w:rsidRPr="00A47126">
              <w:rPr>
                <w:rStyle w:val="Hypertextovodkaz"/>
                <w:noProof/>
              </w:rPr>
              <w:t>3.5.4.</w:t>
            </w:r>
            <w:r w:rsidR="00DA21F5">
              <w:rPr>
                <w:noProof/>
                <w:sz w:val="22"/>
                <w:lang w:eastAsia="cs-CZ"/>
              </w:rPr>
              <w:tab/>
            </w:r>
            <w:r w:rsidR="00DA21F5" w:rsidRPr="00A47126">
              <w:rPr>
                <w:rStyle w:val="Hypertextovodkaz"/>
                <w:noProof/>
              </w:rPr>
              <w:t>Zadávání veřejných zakázek</w:t>
            </w:r>
            <w:r w:rsidR="00DA21F5">
              <w:rPr>
                <w:noProof/>
                <w:webHidden/>
              </w:rPr>
              <w:tab/>
            </w:r>
            <w:r w:rsidR="00DA21F5">
              <w:rPr>
                <w:noProof/>
                <w:webHidden/>
              </w:rPr>
              <w:fldChar w:fldCharType="begin"/>
            </w:r>
            <w:r w:rsidR="00DA21F5">
              <w:rPr>
                <w:noProof/>
                <w:webHidden/>
              </w:rPr>
              <w:instrText xml:space="preserve"> PAGEREF _Toc385339500 \h </w:instrText>
            </w:r>
            <w:r w:rsidR="00DA21F5">
              <w:rPr>
                <w:noProof/>
                <w:webHidden/>
              </w:rPr>
            </w:r>
            <w:r w:rsidR="00DA21F5">
              <w:rPr>
                <w:noProof/>
                <w:webHidden/>
              </w:rPr>
              <w:fldChar w:fldCharType="separate"/>
            </w:r>
            <w:r w:rsidR="001439D0">
              <w:rPr>
                <w:noProof/>
                <w:webHidden/>
              </w:rPr>
              <w:t>18</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501" w:history="1">
            <w:r w:rsidR="00DA21F5" w:rsidRPr="00A47126">
              <w:rPr>
                <w:rStyle w:val="Hypertextovodkaz"/>
                <w:noProof/>
              </w:rPr>
              <w:t>3.6.</w:t>
            </w:r>
            <w:r w:rsidR="00DA21F5">
              <w:rPr>
                <w:noProof/>
                <w:sz w:val="22"/>
                <w:lang w:eastAsia="cs-CZ"/>
              </w:rPr>
              <w:tab/>
            </w:r>
            <w:r w:rsidR="00DA21F5" w:rsidRPr="00A47126">
              <w:rPr>
                <w:rStyle w:val="Hypertextovodkaz"/>
                <w:noProof/>
              </w:rPr>
              <w:t>Kvalita vzdělávání a financování výzkumných institucí</w:t>
            </w:r>
            <w:r w:rsidR="00DA21F5">
              <w:rPr>
                <w:noProof/>
                <w:webHidden/>
              </w:rPr>
              <w:tab/>
            </w:r>
            <w:r w:rsidR="00DA21F5">
              <w:rPr>
                <w:noProof/>
                <w:webHidden/>
              </w:rPr>
              <w:fldChar w:fldCharType="begin"/>
            </w:r>
            <w:r w:rsidR="00DA21F5">
              <w:rPr>
                <w:noProof/>
                <w:webHidden/>
              </w:rPr>
              <w:instrText xml:space="preserve"> PAGEREF _Toc385339501 \h </w:instrText>
            </w:r>
            <w:r w:rsidR="00DA21F5">
              <w:rPr>
                <w:noProof/>
                <w:webHidden/>
              </w:rPr>
            </w:r>
            <w:r w:rsidR="00DA21F5">
              <w:rPr>
                <w:noProof/>
                <w:webHidden/>
              </w:rPr>
              <w:fldChar w:fldCharType="separate"/>
            </w:r>
            <w:r w:rsidR="001439D0">
              <w:rPr>
                <w:noProof/>
                <w:webHidden/>
              </w:rPr>
              <w:t>18</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02" w:history="1">
            <w:r w:rsidR="00DA21F5" w:rsidRPr="00A47126">
              <w:rPr>
                <w:rStyle w:val="Hypertextovodkaz"/>
                <w:noProof/>
              </w:rPr>
              <w:t>3.6.1.</w:t>
            </w:r>
            <w:r w:rsidR="00DA21F5">
              <w:rPr>
                <w:noProof/>
                <w:sz w:val="22"/>
                <w:lang w:eastAsia="cs-CZ"/>
              </w:rPr>
              <w:tab/>
            </w:r>
            <w:r w:rsidR="00DA21F5" w:rsidRPr="00A47126">
              <w:rPr>
                <w:rStyle w:val="Hypertextovodkaz"/>
                <w:noProof/>
              </w:rPr>
              <w:t>Hodnocení vzdělávání na základních školách</w:t>
            </w:r>
            <w:r w:rsidR="00DA21F5">
              <w:rPr>
                <w:noProof/>
                <w:webHidden/>
              </w:rPr>
              <w:tab/>
            </w:r>
            <w:r w:rsidR="00DA21F5">
              <w:rPr>
                <w:noProof/>
                <w:webHidden/>
              </w:rPr>
              <w:fldChar w:fldCharType="begin"/>
            </w:r>
            <w:r w:rsidR="00DA21F5">
              <w:rPr>
                <w:noProof/>
                <w:webHidden/>
              </w:rPr>
              <w:instrText xml:space="preserve"> PAGEREF _Toc385339502 \h </w:instrText>
            </w:r>
            <w:r w:rsidR="00DA21F5">
              <w:rPr>
                <w:noProof/>
                <w:webHidden/>
              </w:rPr>
            </w:r>
            <w:r w:rsidR="00DA21F5">
              <w:rPr>
                <w:noProof/>
                <w:webHidden/>
              </w:rPr>
              <w:fldChar w:fldCharType="separate"/>
            </w:r>
            <w:r w:rsidR="001439D0">
              <w:rPr>
                <w:noProof/>
                <w:webHidden/>
              </w:rPr>
              <w:t>18</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03" w:history="1">
            <w:r w:rsidR="00DA21F5" w:rsidRPr="00A47126">
              <w:rPr>
                <w:rStyle w:val="Hypertextovodkaz"/>
                <w:noProof/>
              </w:rPr>
              <w:t>3.6.2.</w:t>
            </w:r>
            <w:r w:rsidR="00DA21F5">
              <w:rPr>
                <w:noProof/>
                <w:sz w:val="22"/>
                <w:lang w:eastAsia="cs-CZ"/>
              </w:rPr>
              <w:tab/>
            </w:r>
            <w:r w:rsidR="00DA21F5" w:rsidRPr="00A47126">
              <w:rPr>
                <w:rStyle w:val="Hypertextovodkaz"/>
                <w:noProof/>
              </w:rPr>
              <w:t>Akreditace vysokých škol</w:t>
            </w:r>
            <w:r w:rsidR="00DA21F5">
              <w:rPr>
                <w:noProof/>
                <w:webHidden/>
              </w:rPr>
              <w:tab/>
            </w:r>
            <w:r w:rsidR="00DA21F5">
              <w:rPr>
                <w:noProof/>
                <w:webHidden/>
              </w:rPr>
              <w:fldChar w:fldCharType="begin"/>
            </w:r>
            <w:r w:rsidR="00DA21F5">
              <w:rPr>
                <w:noProof/>
                <w:webHidden/>
              </w:rPr>
              <w:instrText xml:space="preserve"> PAGEREF _Toc385339503 \h </w:instrText>
            </w:r>
            <w:r w:rsidR="00DA21F5">
              <w:rPr>
                <w:noProof/>
                <w:webHidden/>
              </w:rPr>
            </w:r>
            <w:r w:rsidR="00DA21F5">
              <w:rPr>
                <w:noProof/>
                <w:webHidden/>
              </w:rPr>
              <w:fldChar w:fldCharType="separate"/>
            </w:r>
            <w:r w:rsidR="001439D0">
              <w:rPr>
                <w:noProof/>
                <w:webHidden/>
              </w:rPr>
              <w:t>19</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04" w:history="1">
            <w:r w:rsidR="00DA21F5" w:rsidRPr="00A47126">
              <w:rPr>
                <w:rStyle w:val="Hypertextovodkaz"/>
                <w:noProof/>
              </w:rPr>
              <w:t>3.6.3.</w:t>
            </w:r>
            <w:r w:rsidR="00DA21F5">
              <w:rPr>
                <w:noProof/>
                <w:sz w:val="22"/>
                <w:lang w:eastAsia="cs-CZ"/>
              </w:rPr>
              <w:tab/>
            </w:r>
            <w:r w:rsidR="00DA21F5" w:rsidRPr="00A47126">
              <w:rPr>
                <w:rStyle w:val="Hypertextovodkaz"/>
                <w:noProof/>
              </w:rPr>
              <w:t>Financování výzkumných organizací</w:t>
            </w:r>
            <w:r w:rsidR="00DA21F5">
              <w:rPr>
                <w:noProof/>
                <w:webHidden/>
              </w:rPr>
              <w:tab/>
            </w:r>
            <w:r w:rsidR="00DA21F5">
              <w:rPr>
                <w:noProof/>
                <w:webHidden/>
              </w:rPr>
              <w:fldChar w:fldCharType="begin"/>
            </w:r>
            <w:r w:rsidR="00DA21F5">
              <w:rPr>
                <w:noProof/>
                <w:webHidden/>
              </w:rPr>
              <w:instrText xml:space="preserve"> PAGEREF _Toc385339504 \h </w:instrText>
            </w:r>
            <w:r w:rsidR="00DA21F5">
              <w:rPr>
                <w:noProof/>
                <w:webHidden/>
              </w:rPr>
            </w:r>
            <w:r w:rsidR="00DA21F5">
              <w:rPr>
                <w:noProof/>
                <w:webHidden/>
              </w:rPr>
              <w:fldChar w:fldCharType="separate"/>
            </w:r>
            <w:r w:rsidR="001439D0">
              <w:rPr>
                <w:noProof/>
                <w:webHidden/>
              </w:rPr>
              <w:t>19</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505" w:history="1">
            <w:r w:rsidR="00DA21F5" w:rsidRPr="00A47126">
              <w:rPr>
                <w:rStyle w:val="Hypertextovodkaz"/>
                <w:noProof/>
              </w:rPr>
              <w:t>3.7.</w:t>
            </w:r>
            <w:r w:rsidR="00DA21F5">
              <w:rPr>
                <w:noProof/>
                <w:sz w:val="22"/>
                <w:lang w:eastAsia="cs-CZ"/>
              </w:rPr>
              <w:tab/>
            </w:r>
            <w:r w:rsidR="00DA21F5" w:rsidRPr="00A47126">
              <w:rPr>
                <w:rStyle w:val="Hypertextovodkaz"/>
                <w:noProof/>
              </w:rPr>
              <w:t>Regulované profese a energetická náročnost</w:t>
            </w:r>
            <w:r w:rsidR="00DA21F5">
              <w:rPr>
                <w:noProof/>
                <w:webHidden/>
              </w:rPr>
              <w:tab/>
            </w:r>
            <w:r w:rsidR="00DA21F5">
              <w:rPr>
                <w:noProof/>
                <w:webHidden/>
              </w:rPr>
              <w:fldChar w:fldCharType="begin"/>
            </w:r>
            <w:r w:rsidR="00DA21F5">
              <w:rPr>
                <w:noProof/>
                <w:webHidden/>
              </w:rPr>
              <w:instrText xml:space="preserve"> PAGEREF _Toc385339505 \h </w:instrText>
            </w:r>
            <w:r w:rsidR="00DA21F5">
              <w:rPr>
                <w:noProof/>
                <w:webHidden/>
              </w:rPr>
            </w:r>
            <w:r w:rsidR="00DA21F5">
              <w:rPr>
                <w:noProof/>
                <w:webHidden/>
              </w:rPr>
              <w:fldChar w:fldCharType="separate"/>
            </w:r>
            <w:r w:rsidR="001439D0">
              <w:rPr>
                <w:noProof/>
                <w:webHidden/>
              </w:rPr>
              <w:t>20</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06" w:history="1">
            <w:r w:rsidR="00DA21F5" w:rsidRPr="00A47126">
              <w:rPr>
                <w:rStyle w:val="Hypertextovodkaz"/>
                <w:noProof/>
              </w:rPr>
              <w:t>3.7.1.</w:t>
            </w:r>
            <w:r w:rsidR="00DA21F5">
              <w:rPr>
                <w:noProof/>
                <w:sz w:val="22"/>
                <w:lang w:eastAsia="cs-CZ"/>
              </w:rPr>
              <w:tab/>
            </w:r>
            <w:r w:rsidR="00DA21F5" w:rsidRPr="00A47126">
              <w:rPr>
                <w:rStyle w:val="Hypertextovodkaz"/>
                <w:noProof/>
              </w:rPr>
              <w:t>Snižování počtu regulovaných profesí</w:t>
            </w:r>
            <w:r w:rsidR="00DA21F5">
              <w:rPr>
                <w:noProof/>
                <w:webHidden/>
              </w:rPr>
              <w:tab/>
            </w:r>
            <w:r w:rsidR="00DA21F5">
              <w:rPr>
                <w:noProof/>
                <w:webHidden/>
              </w:rPr>
              <w:fldChar w:fldCharType="begin"/>
            </w:r>
            <w:r w:rsidR="00DA21F5">
              <w:rPr>
                <w:noProof/>
                <w:webHidden/>
              </w:rPr>
              <w:instrText xml:space="preserve"> PAGEREF _Toc385339506 \h </w:instrText>
            </w:r>
            <w:r w:rsidR="00DA21F5">
              <w:rPr>
                <w:noProof/>
                <w:webHidden/>
              </w:rPr>
            </w:r>
            <w:r w:rsidR="00DA21F5">
              <w:rPr>
                <w:noProof/>
                <w:webHidden/>
              </w:rPr>
              <w:fldChar w:fldCharType="separate"/>
            </w:r>
            <w:r w:rsidR="001439D0">
              <w:rPr>
                <w:noProof/>
                <w:webHidden/>
              </w:rPr>
              <w:t>20</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07" w:history="1">
            <w:r w:rsidR="00DA21F5" w:rsidRPr="00A47126">
              <w:rPr>
                <w:rStyle w:val="Hypertextovodkaz"/>
                <w:noProof/>
              </w:rPr>
              <w:t>3.7.2.</w:t>
            </w:r>
            <w:r w:rsidR="00DA21F5">
              <w:rPr>
                <w:noProof/>
                <w:sz w:val="22"/>
                <w:lang w:eastAsia="cs-CZ"/>
              </w:rPr>
              <w:tab/>
            </w:r>
            <w:r w:rsidR="00DA21F5" w:rsidRPr="00A47126">
              <w:rPr>
                <w:rStyle w:val="Hypertextovodkaz"/>
                <w:noProof/>
              </w:rPr>
              <w:t>Zvyšování energetické účinnosti</w:t>
            </w:r>
            <w:r w:rsidR="00DA21F5">
              <w:rPr>
                <w:noProof/>
                <w:webHidden/>
              </w:rPr>
              <w:tab/>
            </w:r>
            <w:r w:rsidR="00DA21F5">
              <w:rPr>
                <w:noProof/>
                <w:webHidden/>
              </w:rPr>
              <w:fldChar w:fldCharType="begin"/>
            </w:r>
            <w:r w:rsidR="00DA21F5">
              <w:rPr>
                <w:noProof/>
                <w:webHidden/>
              </w:rPr>
              <w:instrText xml:space="preserve"> PAGEREF _Toc385339507 \h </w:instrText>
            </w:r>
            <w:r w:rsidR="00DA21F5">
              <w:rPr>
                <w:noProof/>
                <w:webHidden/>
              </w:rPr>
            </w:r>
            <w:r w:rsidR="00DA21F5">
              <w:rPr>
                <w:noProof/>
                <w:webHidden/>
              </w:rPr>
              <w:fldChar w:fldCharType="separate"/>
            </w:r>
            <w:r w:rsidR="001439D0">
              <w:rPr>
                <w:noProof/>
                <w:webHidden/>
              </w:rPr>
              <w:t>20</w:t>
            </w:r>
            <w:r w:rsidR="00DA21F5">
              <w:rPr>
                <w:noProof/>
                <w:webHidden/>
              </w:rPr>
              <w:fldChar w:fldCharType="end"/>
            </w:r>
          </w:hyperlink>
        </w:p>
        <w:p w:rsidR="00DA21F5" w:rsidRDefault="009E60BF">
          <w:pPr>
            <w:pStyle w:val="Obsah1"/>
            <w:tabs>
              <w:tab w:val="left" w:pos="420"/>
              <w:tab w:val="right" w:leader="dot" w:pos="9062"/>
            </w:tabs>
            <w:rPr>
              <w:noProof/>
              <w:sz w:val="22"/>
              <w:lang w:eastAsia="cs-CZ"/>
            </w:rPr>
          </w:pPr>
          <w:hyperlink w:anchor="_Toc385339508" w:history="1">
            <w:r w:rsidR="00DA21F5" w:rsidRPr="00A47126">
              <w:rPr>
                <w:rStyle w:val="Hypertextovodkaz"/>
                <w:noProof/>
              </w:rPr>
              <w:t>4.</w:t>
            </w:r>
            <w:r w:rsidR="00DA21F5">
              <w:rPr>
                <w:noProof/>
                <w:sz w:val="22"/>
                <w:lang w:eastAsia="cs-CZ"/>
              </w:rPr>
              <w:tab/>
            </w:r>
            <w:r w:rsidR="00DA21F5" w:rsidRPr="00A47126">
              <w:rPr>
                <w:rStyle w:val="Hypertextovodkaz"/>
                <w:noProof/>
              </w:rPr>
              <w:t>Plnění národních cílů Strategie Evropa 2020</w:t>
            </w:r>
            <w:r w:rsidR="00DA21F5">
              <w:rPr>
                <w:noProof/>
                <w:webHidden/>
              </w:rPr>
              <w:tab/>
            </w:r>
            <w:r w:rsidR="00DA21F5">
              <w:rPr>
                <w:noProof/>
                <w:webHidden/>
              </w:rPr>
              <w:fldChar w:fldCharType="begin"/>
            </w:r>
            <w:r w:rsidR="00DA21F5">
              <w:rPr>
                <w:noProof/>
                <w:webHidden/>
              </w:rPr>
              <w:instrText xml:space="preserve"> PAGEREF _Toc385339508 \h </w:instrText>
            </w:r>
            <w:r w:rsidR="00DA21F5">
              <w:rPr>
                <w:noProof/>
                <w:webHidden/>
              </w:rPr>
            </w:r>
            <w:r w:rsidR="00DA21F5">
              <w:rPr>
                <w:noProof/>
                <w:webHidden/>
              </w:rPr>
              <w:fldChar w:fldCharType="separate"/>
            </w:r>
            <w:r w:rsidR="001439D0">
              <w:rPr>
                <w:noProof/>
                <w:webHidden/>
              </w:rPr>
              <w:t>23</w:t>
            </w:r>
            <w:r w:rsidR="00DA21F5">
              <w:rPr>
                <w:noProof/>
                <w:webHidden/>
              </w:rPr>
              <w:fldChar w:fldCharType="end"/>
            </w:r>
          </w:hyperlink>
        </w:p>
        <w:p w:rsidR="00DA21F5" w:rsidRDefault="009E60BF">
          <w:pPr>
            <w:pStyle w:val="Obsah3"/>
            <w:tabs>
              <w:tab w:val="right" w:leader="dot" w:pos="9062"/>
            </w:tabs>
            <w:rPr>
              <w:noProof/>
              <w:sz w:val="22"/>
              <w:lang w:eastAsia="cs-CZ"/>
            </w:rPr>
          </w:pPr>
          <w:hyperlink w:anchor="_Toc385339509" w:history="1">
            <w:r w:rsidR="00DA21F5" w:rsidRPr="00A47126">
              <w:rPr>
                <w:rStyle w:val="Hypertextovodkaz"/>
                <w:noProof/>
              </w:rPr>
              <w:t>Zaměstnanost</w:t>
            </w:r>
            <w:r w:rsidR="00DA21F5">
              <w:rPr>
                <w:noProof/>
                <w:webHidden/>
              </w:rPr>
              <w:tab/>
            </w:r>
            <w:r w:rsidR="00DA21F5">
              <w:rPr>
                <w:noProof/>
                <w:webHidden/>
              </w:rPr>
              <w:fldChar w:fldCharType="begin"/>
            </w:r>
            <w:r w:rsidR="00DA21F5">
              <w:rPr>
                <w:noProof/>
                <w:webHidden/>
              </w:rPr>
              <w:instrText xml:space="preserve"> PAGEREF _Toc385339509 \h </w:instrText>
            </w:r>
            <w:r w:rsidR="00DA21F5">
              <w:rPr>
                <w:noProof/>
                <w:webHidden/>
              </w:rPr>
            </w:r>
            <w:r w:rsidR="00DA21F5">
              <w:rPr>
                <w:noProof/>
                <w:webHidden/>
              </w:rPr>
              <w:fldChar w:fldCharType="separate"/>
            </w:r>
            <w:r w:rsidR="001439D0">
              <w:rPr>
                <w:noProof/>
                <w:webHidden/>
              </w:rPr>
              <w:t>23</w:t>
            </w:r>
            <w:r w:rsidR="00DA21F5">
              <w:rPr>
                <w:noProof/>
                <w:webHidden/>
              </w:rPr>
              <w:fldChar w:fldCharType="end"/>
            </w:r>
          </w:hyperlink>
        </w:p>
        <w:p w:rsidR="00DA21F5" w:rsidRDefault="009E60BF">
          <w:pPr>
            <w:pStyle w:val="Obsah3"/>
            <w:tabs>
              <w:tab w:val="right" w:leader="dot" w:pos="9062"/>
            </w:tabs>
            <w:rPr>
              <w:noProof/>
              <w:sz w:val="22"/>
              <w:lang w:eastAsia="cs-CZ"/>
            </w:rPr>
          </w:pPr>
          <w:hyperlink w:anchor="_Toc385339510" w:history="1">
            <w:r w:rsidR="00DA21F5" w:rsidRPr="00A47126">
              <w:rPr>
                <w:rStyle w:val="Hypertextovodkaz"/>
                <w:noProof/>
              </w:rPr>
              <w:t>Boj proti chudobě a sociálnímu vyloučení</w:t>
            </w:r>
            <w:r w:rsidR="00DA21F5">
              <w:rPr>
                <w:noProof/>
                <w:webHidden/>
              </w:rPr>
              <w:tab/>
            </w:r>
            <w:r w:rsidR="00DA21F5">
              <w:rPr>
                <w:noProof/>
                <w:webHidden/>
              </w:rPr>
              <w:fldChar w:fldCharType="begin"/>
            </w:r>
            <w:r w:rsidR="00DA21F5">
              <w:rPr>
                <w:noProof/>
                <w:webHidden/>
              </w:rPr>
              <w:instrText xml:space="preserve"> PAGEREF _Toc385339510 \h </w:instrText>
            </w:r>
            <w:r w:rsidR="00DA21F5">
              <w:rPr>
                <w:noProof/>
                <w:webHidden/>
              </w:rPr>
            </w:r>
            <w:r w:rsidR="00DA21F5">
              <w:rPr>
                <w:noProof/>
                <w:webHidden/>
              </w:rPr>
              <w:fldChar w:fldCharType="separate"/>
            </w:r>
            <w:r w:rsidR="001439D0">
              <w:rPr>
                <w:noProof/>
                <w:webHidden/>
              </w:rPr>
              <w:t>24</w:t>
            </w:r>
            <w:r w:rsidR="00DA21F5">
              <w:rPr>
                <w:noProof/>
                <w:webHidden/>
              </w:rPr>
              <w:fldChar w:fldCharType="end"/>
            </w:r>
          </w:hyperlink>
        </w:p>
        <w:p w:rsidR="00DA21F5" w:rsidRDefault="009E60BF">
          <w:pPr>
            <w:pStyle w:val="Obsah3"/>
            <w:tabs>
              <w:tab w:val="right" w:leader="dot" w:pos="9062"/>
            </w:tabs>
            <w:rPr>
              <w:noProof/>
              <w:sz w:val="22"/>
              <w:lang w:eastAsia="cs-CZ"/>
            </w:rPr>
          </w:pPr>
          <w:hyperlink w:anchor="_Toc385339511" w:history="1">
            <w:r w:rsidR="00DA21F5" w:rsidRPr="00A47126">
              <w:rPr>
                <w:rStyle w:val="Hypertextovodkaz"/>
                <w:noProof/>
              </w:rPr>
              <w:t>Vzdělávání</w:t>
            </w:r>
            <w:r w:rsidR="00DA21F5">
              <w:rPr>
                <w:noProof/>
                <w:webHidden/>
              </w:rPr>
              <w:tab/>
            </w:r>
            <w:r w:rsidR="00DA21F5">
              <w:rPr>
                <w:noProof/>
                <w:webHidden/>
              </w:rPr>
              <w:fldChar w:fldCharType="begin"/>
            </w:r>
            <w:r w:rsidR="00DA21F5">
              <w:rPr>
                <w:noProof/>
                <w:webHidden/>
              </w:rPr>
              <w:instrText xml:space="preserve"> PAGEREF _Toc385339511 \h </w:instrText>
            </w:r>
            <w:r w:rsidR="00DA21F5">
              <w:rPr>
                <w:noProof/>
                <w:webHidden/>
              </w:rPr>
            </w:r>
            <w:r w:rsidR="00DA21F5">
              <w:rPr>
                <w:noProof/>
                <w:webHidden/>
              </w:rPr>
              <w:fldChar w:fldCharType="separate"/>
            </w:r>
            <w:r w:rsidR="001439D0">
              <w:rPr>
                <w:noProof/>
                <w:webHidden/>
              </w:rPr>
              <w:t>25</w:t>
            </w:r>
            <w:r w:rsidR="00DA21F5">
              <w:rPr>
                <w:noProof/>
                <w:webHidden/>
              </w:rPr>
              <w:fldChar w:fldCharType="end"/>
            </w:r>
          </w:hyperlink>
        </w:p>
        <w:p w:rsidR="00DA21F5" w:rsidRDefault="009E60BF">
          <w:pPr>
            <w:pStyle w:val="Obsah3"/>
            <w:tabs>
              <w:tab w:val="right" w:leader="dot" w:pos="9062"/>
            </w:tabs>
            <w:rPr>
              <w:noProof/>
              <w:sz w:val="22"/>
              <w:lang w:eastAsia="cs-CZ"/>
            </w:rPr>
          </w:pPr>
          <w:hyperlink w:anchor="_Toc385339512" w:history="1">
            <w:r w:rsidR="00DA21F5" w:rsidRPr="00A47126">
              <w:rPr>
                <w:rStyle w:val="Hypertextovodkaz"/>
                <w:noProof/>
              </w:rPr>
              <w:t>Zlepšování podnikatelského prostředí</w:t>
            </w:r>
            <w:r w:rsidR="00DA21F5">
              <w:rPr>
                <w:noProof/>
                <w:webHidden/>
              </w:rPr>
              <w:tab/>
            </w:r>
            <w:r w:rsidR="00DA21F5">
              <w:rPr>
                <w:noProof/>
                <w:webHidden/>
              </w:rPr>
              <w:fldChar w:fldCharType="begin"/>
            </w:r>
            <w:r w:rsidR="00DA21F5">
              <w:rPr>
                <w:noProof/>
                <w:webHidden/>
              </w:rPr>
              <w:instrText xml:space="preserve"> PAGEREF _Toc385339512 \h </w:instrText>
            </w:r>
            <w:r w:rsidR="00DA21F5">
              <w:rPr>
                <w:noProof/>
                <w:webHidden/>
              </w:rPr>
            </w:r>
            <w:r w:rsidR="00DA21F5">
              <w:rPr>
                <w:noProof/>
                <w:webHidden/>
              </w:rPr>
              <w:fldChar w:fldCharType="separate"/>
            </w:r>
            <w:r w:rsidR="001439D0">
              <w:rPr>
                <w:noProof/>
                <w:webHidden/>
              </w:rPr>
              <w:t>26</w:t>
            </w:r>
            <w:r w:rsidR="00DA21F5">
              <w:rPr>
                <w:noProof/>
                <w:webHidden/>
              </w:rPr>
              <w:fldChar w:fldCharType="end"/>
            </w:r>
          </w:hyperlink>
        </w:p>
        <w:p w:rsidR="00DA21F5" w:rsidRDefault="009E60BF">
          <w:pPr>
            <w:pStyle w:val="Obsah3"/>
            <w:tabs>
              <w:tab w:val="right" w:leader="dot" w:pos="9062"/>
            </w:tabs>
            <w:rPr>
              <w:noProof/>
              <w:sz w:val="22"/>
              <w:lang w:eastAsia="cs-CZ"/>
            </w:rPr>
          </w:pPr>
          <w:hyperlink w:anchor="_Toc385339513" w:history="1">
            <w:r w:rsidR="00DA21F5" w:rsidRPr="00A47126">
              <w:rPr>
                <w:rStyle w:val="Hypertextovodkaz"/>
                <w:noProof/>
              </w:rPr>
              <w:t>Výzkum, vývoj a inovace</w:t>
            </w:r>
            <w:r w:rsidR="00DA21F5">
              <w:rPr>
                <w:noProof/>
                <w:webHidden/>
              </w:rPr>
              <w:tab/>
            </w:r>
            <w:r w:rsidR="00DA21F5">
              <w:rPr>
                <w:noProof/>
                <w:webHidden/>
              </w:rPr>
              <w:fldChar w:fldCharType="begin"/>
            </w:r>
            <w:r w:rsidR="00DA21F5">
              <w:rPr>
                <w:noProof/>
                <w:webHidden/>
              </w:rPr>
              <w:instrText xml:space="preserve"> PAGEREF _Toc385339513 \h </w:instrText>
            </w:r>
            <w:r w:rsidR="00DA21F5">
              <w:rPr>
                <w:noProof/>
                <w:webHidden/>
              </w:rPr>
            </w:r>
            <w:r w:rsidR="00DA21F5">
              <w:rPr>
                <w:noProof/>
                <w:webHidden/>
              </w:rPr>
              <w:fldChar w:fldCharType="separate"/>
            </w:r>
            <w:r w:rsidR="001439D0">
              <w:rPr>
                <w:noProof/>
                <w:webHidden/>
              </w:rPr>
              <w:t>26</w:t>
            </w:r>
            <w:r w:rsidR="00DA21F5">
              <w:rPr>
                <w:noProof/>
                <w:webHidden/>
              </w:rPr>
              <w:fldChar w:fldCharType="end"/>
            </w:r>
          </w:hyperlink>
        </w:p>
        <w:p w:rsidR="00DA21F5" w:rsidRDefault="009E60BF">
          <w:pPr>
            <w:pStyle w:val="Obsah1"/>
            <w:tabs>
              <w:tab w:val="right" w:leader="dot" w:pos="9062"/>
            </w:tabs>
            <w:rPr>
              <w:noProof/>
              <w:sz w:val="22"/>
              <w:lang w:eastAsia="cs-CZ"/>
            </w:rPr>
          </w:pPr>
          <w:hyperlink w:anchor="_Toc385339514" w:history="1">
            <w:r w:rsidR="00DA21F5" w:rsidRPr="00A47126">
              <w:rPr>
                <w:rStyle w:val="Hypertextovodkaz"/>
                <w:noProof/>
              </w:rPr>
              <w:t>Reformní opatření vlády</w:t>
            </w:r>
            <w:r w:rsidR="00DA21F5">
              <w:rPr>
                <w:noProof/>
                <w:webHidden/>
              </w:rPr>
              <w:tab/>
            </w:r>
            <w:r w:rsidR="00DA21F5">
              <w:rPr>
                <w:noProof/>
                <w:webHidden/>
              </w:rPr>
              <w:fldChar w:fldCharType="begin"/>
            </w:r>
            <w:r w:rsidR="00DA21F5">
              <w:rPr>
                <w:noProof/>
                <w:webHidden/>
              </w:rPr>
              <w:instrText xml:space="preserve"> PAGEREF _Toc385339514 \h </w:instrText>
            </w:r>
            <w:r w:rsidR="00DA21F5">
              <w:rPr>
                <w:noProof/>
                <w:webHidden/>
              </w:rPr>
            </w:r>
            <w:r w:rsidR="00DA21F5">
              <w:rPr>
                <w:noProof/>
                <w:webHidden/>
              </w:rPr>
              <w:fldChar w:fldCharType="separate"/>
            </w:r>
            <w:r w:rsidR="001439D0">
              <w:rPr>
                <w:noProof/>
                <w:webHidden/>
              </w:rPr>
              <w:t>28</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515" w:history="1">
            <w:r w:rsidR="00DA21F5" w:rsidRPr="00A47126">
              <w:rPr>
                <w:rStyle w:val="Hypertextovodkaz"/>
                <w:noProof/>
              </w:rPr>
              <w:t>4.1.</w:t>
            </w:r>
            <w:r w:rsidR="00DA21F5">
              <w:rPr>
                <w:noProof/>
                <w:sz w:val="22"/>
                <w:lang w:eastAsia="cs-CZ"/>
              </w:rPr>
              <w:tab/>
            </w:r>
            <w:r w:rsidR="00DA21F5" w:rsidRPr="00A47126">
              <w:rPr>
                <w:rStyle w:val="Hypertextovodkaz"/>
                <w:noProof/>
              </w:rPr>
              <w:t>Transparentní veřejné finance a efektivní instituce</w:t>
            </w:r>
            <w:r w:rsidR="00DA21F5">
              <w:rPr>
                <w:noProof/>
                <w:webHidden/>
              </w:rPr>
              <w:tab/>
            </w:r>
            <w:r w:rsidR="00DA21F5">
              <w:rPr>
                <w:noProof/>
                <w:webHidden/>
              </w:rPr>
              <w:fldChar w:fldCharType="begin"/>
            </w:r>
            <w:r w:rsidR="00DA21F5">
              <w:rPr>
                <w:noProof/>
                <w:webHidden/>
              </w:rPr>
              <w:instrText xml:space="preserve"> PAGEREF _Toc385339515 \h </w:instrText>
            </w:r>
            <w:r w:rsidR="00DA21F5">
              <w:rPr>
                <w:noProof/>
                <w:webHidden/>
              </w:rPr>
            </w:r>
            <w:r w:rsidR="00DA21F5">
              <w:rPr>
                <w:noProof/>
                <w:webHidden/>
              </w:rPr>
              <w:fldChar w:fldCharType="separate"/>
            </w:r>
            <w:r w:rsidR="001439D0">
              <w:rPr>
                <w:noProof/>
                <w:webHidden/>
              </w:rPr>
              <w:t>28</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16" w:history="1">
            <w:r w:rsidR="00DA21F5" w:rsidRPr="00A47126">
              <w:rPr>
                <w:rStyle w:val="Hypertextovodkaz"/>
                <w:noProof/>
              </w:rPr>
              <w:t>4.1.1.</w:t>
            </w:r>
            <w:r w:rsidR="00DA21F5">
              <w:rPr>
                <w:noProof/>
                <w:sz w:val="22"/>
                <w:lang w:eastAsia="cs-CZ"/>
              </w:rPr>
              <w:tab/>
            </w:r>
            <w:r w:rsidR="00DA21F5" w:rsidRPr="00A47126">
              <w:rPr>
                <w:rStyle w:val="Hypertextovodkaz"/>
                <w:noProof/>
              </w:rPr>
              <w:t>Transparentní veřejné finance</w:t>
            </w:r>
            <w:r w:rsidR="00DA21F5">
              <w:rPr>
                <w:noProof/>
                <w:webHidden/>
              </w:rPr>
              <w:tab/>
            </w:r>
            <w:r w:rsidR="00DA21F5">
              <w:rPr>
                <w:noProof/>
                <w:webHidden/>
              </w:rPr>
              <w:fldChar w:fldCharType="begin"/>
            </w:r>
            <w:r w:rsidR="00DA21F5">
              <w:rPr>
                <w:noProof/>
                <w:webHidden/>
              </w:rPr>
              <w:instrText xml:space="preserve"> PAGEREF _Toc385339516 \h </w:instrText>
            </w:r>
            <w:r w:rsidR="00DA21F5">
              <w:rPr>
                <w:noProof/>
                <w:webHidden/>
              </w:rPr>
            </w:r>
            <w:r w:rsidR="00DA21F5">
              <w:rPr>
                <w:noProof/>
                <w:webHidden/>
              </w:rPr>
              <w:fldChar w:fldCharType="separate"/>
            </w:r>
            <w:r w:rsidR="001439D0">
              <w:rPr>
                <w:noProof/>
                <w:webHidden/>
              </w:rPr>
              <w:t>28</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17" w:history="1">
            <w:r w:rsidR="00DA21F5" w:rsidRPr="00A47126">
              <w:rPr>
                <w:rStyle w:val="Hypertextovodkaz"/>
                <w:noProof/>
              </w:rPr>
              <w:t>4.1.2.</w:t>
            </w:r>
            <w:r w:rsidR="00DA21F5">
              <w:rPr>
                <w:noProof/>
                <w:sz w:val="22"/>
                <w:lang w:eastAsia="cs-CZ"/>
              </w:rPr>
              <w:tab/>
            </w:r>
            <w:r w:rsidR="00DA21F5" w:rsidRPr="00A47126">
              <w:rPr>
                <w:rStyle w:val="Hypertextovodkaz"/>
                <w:noProof/>
              </w:rPr>
              <w:t>Efektivní veřejná správa a kvalitní legislativní prostředí</w:t>
            </w:r>
            <w:r w:rsidR="00DA21F5">
              <w:rPr>
                <w:noProof/>
                <w:webHidden/>
              </w:rPr>
              <w:tab/>
            </w:r>
            <w:r w:rsidR="00DA21F5">
              <w:rPr>
                <w:noProof/>
                <w:webHidden/>
              </w:rPr>
              <w:fldChar w:fldCharType="begin"/>
            </w:r>
            <w:r w:rsidR="00DA21F5">
              <w:rPr>
                <w:noProof/>
                <w:webHidden/>
              </w:rPr>
              <w:instrText xml:space="preserve"> PAGEREF _Toc385339517 \h </w:instrText>
            </w:r>
            <w:r w:rsidR="00DA21F5">
              <w:rPr>
                <w:noProof/>
                <w:webHidden/>
              </w:rPr>
            </w:r>
            <w:r w:rsidR="00DA21F5">
              <w:rPr>
                <w:noProof/>
                <w:webHidden/>
              </w:rPr>
              <w:fldChar w:fldCharType="separate"/>
            </w:r>
            <w:r w:rsidR="001439D0">
              <w:rPr>
                <w:noProof/>
                <w:webHidden/>
              </w:rPr>
              <w:t>28</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518" w:history="1">
            <w:r w:rsidR="00DA21F5" w:rsidRPr="00A47126">
              <w:rPr>
                <w:rStyle w:val="Hypertextovodkaz"/>
                <w:noProof/>
              </w:rPr>
              <w:t>4.2.</w:t>
            </w:r>
            <w:r w:rsidR="00DA21F5">
              <w:rPr>
                <w:noProof/>
                <w:sz w:val="22"/>
                <w:lang w:eastAsia="cs-CZ"/>
              </w:rPr>
              <w:tab/>
            </w:r>
            <w:r w:rsidR="00DA21F5" w:rsidRPr="00A47126">
              <w:rPr>
                <w:rStyle w:val="Hypertextovodkaz"/>
                <w:noProof/>
              </w:rPr>
              <w:t>Atraktivní podnikatelské prostředí a rozvoj infrastruktury pro český průmysl</w:t>
            </w:r>
            <w:r w:rsidR="00DA21F5">
              <w:rPr>
                <w:noProof/>
                <w:webHidden/>
              </w:rPr>
              <w:tab/>
            </w:r>
            <w:r w:rsidR="00DA21F5">
              <w:rPr>
                <w:noProof/>
                <w:webHidden/>
              </w:rPr>
              <w:fldChar w:fldCharType="begin"/>
            </w:r>
            <w:r w:rsidR="00DA21F5">
              <w:rPr>
                <w:noProof/>
                <w:webHidden/>
              </w:rPr>
              <w:instrText xml:space="preserve"> PAGEREF _Toc385339518 \h </w:instrText>
            </w:r>
            <w:r w:rsidR="00DA21F5">
              <w:rPr>
                <w:noProof/>
                <w:webHidden/>
              </w:rPr>
            </w:r>
            <w:r w:rsidR="00DA21F5">
              <w:rPr>
                <w:noProof/>
                <w:webHidden/>
              </w:rPr>
              <w:fldChar w:fldCharType="separate"/>
            </w:r>
            <w:r w:rsidR="001439D0">
              <w:rPr>
                <w:noProof/>
                <w:webHidden/>
              </w:rPr>
              <w:t>29</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19" w:history="1">
            <w:r w:rsidR="00DA21F5" w:rsidRPr="00A47126">
              <w:rPr>
                <w:rStyle w:val="Hypertextovodkaz"/>
                <w:noProof/>
              </w:rPr>
              <w:t>4.2.1.</w:t>
            </w:r>
            <w:r w:rsidR="00DA21F5">
              <w:rPr>
                <w:noProof/>
                <w:sz w:val="22"/>
                <w:lang w:eastAsia="cs-CZ"/>
              </w:rPr>
              <w:tab/>
            </w:r>
            <w:r w:rsidR="00DA21F5" w:rsidRPr="00A47126">
              <w:rPr>
                <w:rStyle w:val="Hypertextovodkaz"/>
                <w:noProof/>
              </w:rPr>
              <w:t>Zlepšování podnikatelského prostředí, rozvoj služeb pro podnikání</w:t>
            </w:r>
            <w:r w:rsidR="00DA21F5">
              <w:rPr>
                <w:noProof/>
                <w:webHidden/>
              </w:rPr>
              <w:tab/>
            </w:r>
            <w:r w:rsidR="00DA21F5">
              <w:rPr>
                <w:noProof/>
                <w:webHidden/>
              </w:rPr>
              <w:fldChar w:fldCharType="begin"/>
            </w:r>
            <w:r w:rsidR="00DA21F5">
              <w:rPr>
                <w:noProof/>
                <w:webHidden/>
              </w:rPr>
              <w:instrText xml:space="preserve"> PAGEREF _Toc385339519 \h </w:instrText>
            </w:r>
            <w:r w:rsidR="00DA21F5">
              <w:rPr>
                <w:noProof/>
                <w:webHidden/>
              </w:rPr>
            </w:r>
            <w:r w:rsidR="00DA21F5">
              <w:rPr>
                <w:noProof/>
                <w:webHidden/>
              </w:rPr>
              <w:fldChar w:fldCharType="separate"/>
            </w:r>
            <w:r w:rsidR="001439D0">
              <w:rPr>
                <w:noProof/>
                <w:webHidden/>
              </w:rPr>
              <w:t>29</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0" w:history="1">
            <w:r w:rsidR="00DA21F5" w:rsidRPr="00A47126">
              <w:rPr>
                <w:rStyle w:val="Hypertextovodkaz"/>
                <w:noProof/>
              </w:rPr>
              <w:t>4.2.2.</w:t>
            </w:r>
            <w:r w:rsidR="00DA21F5">
              <w:rPr>
                <w:noProof/>
                <w:sz w:val="22"/>
                <w:lang w:eastAsia="cs-CZ"/>
              </w:rPr>
              <w:tab/>
            </w:r>
            <w:r w:rsidR="00DA21F5" w:rsidRPr="00A47126">
              <w:rPr>
                <w:rStyle w:val="Hypertextovodkaz"/>
                <w:noProof/>
              </w:rPr>
              <w:t>Průmyslová politika</w:t>
            </w:r>
            <w:r w:rsidR="00DA21F5">
              <w:rPr>
                <w:noProof/>
                <w:webHidden/>
              </w:rPr>
              <w:tab/>
            </w:r>
            <w:r w:rsidR="00DA21F5">
              <w:rPr>
                <w:noProof/>
                <w:webHidden/>
              </w:rPr>
              <w:fldChar w:fldCharType="begin"/>
            </w:r>
            <w:r w:rsidR="00DA21F5">
              <w:rPr>
                <w:noProof/>
                <w:webHidden/>
              </w:rPr>
              <w:instrText xml:space="preserve"> PAGEREF _Toc385339520 \h </w:instrText>
            </w:r>
            <w:r w:rsidR="00DA21F5">
              <w:rPr>
                <w:noProof/>
                <w:webHidden/>
              </w:rPr>
            </w:r>
            <w:r w:rsidR="00DA21F5">
              <w:rPr>
                <w:noProof/>
                <w:webHidden/>
              </w:rPr>
              <w:fldChar w:fldCharType="separate"/>
            </w:r>
            <w:r w:rsidR="001439D0">
              <w:rPr>
                <w:noProof/>
                <w:webHidden/>
              </w:rPr>
              <w:t>30</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1" w:history="1">
            <w:r w:rsidR="00DA21F5" w:rsidRPr="00A47126">
              <w:rPr>
                <w:rStyle w:val="Hypertextovodkaz"/>
                <w:noProof/>
              </w:rPr>
              <w:t>4.2.3.</w:t>
            </w:r>
            <w:r w:rsidR="00DA21F5">
              <w:rPr>
                <w:noProof/>
                <w:sz w:val="22"/>
                <w:lang w:eastAsia="cs-CZ"/>
              </w:rPr>
              <w:tab/>
            </w:r>
            <w:r w:rsidR="00DA21F5" w:rsidRPr="00A47126">
              <w:rPr>
                <w:rStyle w:val="Hypertextovodkaz"/>
                <w:noProof/>
              </w:rPr>
              <w:t>Dopravní infrastruktura</w:t>
            </w:r>
            <w:r w:rsidR="00DA21F5">
              <w:rPr>
                <w:noProof/>
                <w:webHidden/>
              </w:rPr>
              <w:tab/>
            </w:r>
            <w:r w:rsidR="00DA21F5">
              <w:rPr>
                <w:noProof/>
                <w:webHidden/>
              </w:rPr>
              <w:fldChar w:fldCharType="begin"/>
            </w:r>
            <w:r w:rsidR="00DA21F5">
              <w:rPr>
                <w:noProof/>
                <w:webHidden/>
              </w:rPr>
              <w:instrText xml:space="preserve"> PAGEREF _Toc385339521 \h </w:instrText>
            </w:r>
            <w:r w:rsidR="00DA21F5">
              <w:rPr>
                <w:noProof/>
                <w:webHidden/>
              </w:rPr>
            </w:r>
            <w:r w:rsidR="00DA21F5">
              <w:rPr>
                <w:noProof/>
                <w:webHidden/>
              </w:rPr>
              <w:fldChar w:fldCharType="separate"/>
            </w:r>
            <w:r w:rsidR="001439D0">
              <w:rPr>
                <w:noProof/>
                <w:webHidden/>
              </w:rPr>
              <w:t>31</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2" w:history="1">
            <w:r w:rsidR="00DA21F5" w:rsidRPr="00A47126">
              <w:rPr>
                <w:rStyle w:val="Hypertextovodkaz"/>
                <w:noProof/>
              </w:rPr>
              <w:t>4.2.4.</w:t>
            </w:r>
            <w:r w:rsidR="00DA21F5">
              <w:rPr>
                <w:noProof/>
                <w:sz w:val="22"/>
                <w:lang w:eastAsia="cs-CZ"/>
              </w:rPr>
              <w:tab/>
            </w:r>
            <w:r w:rsidR="00DA21F5" w:rsidRPr="00A47126">
              <w:rPr>
                <w:rStyle w:val="Hypertextovodkaz"/>
                <w:noProof/>
              </w:rPr>
              <w:t>Digitální infrastruktura</w:t>
            </w:r>
            <w:r w:rsidR="00DA21F5">
              <w:rPr>
                <w:noProof/>
                <w:webHidden/>
              </w:rPr>
              <w:tab/>
            </w:r>
            <w:r w:rsidR="00DA21F5">
              <w:rPr>
                <w:noProof/>
                <w:webHidden/>
              </w:rPr>
              <w:fldChar w:fldCharType="begin"/>
            </w:r>
            <w:r w:rsidR="00DA21F5">
              <w:rPr>
                <w:noProof/>
                <w:webHidden/>
              </w:rPr>
              <w:instrText xml:space="preserve"> PAGEREF _Toc385339522 \h </w:instrText>
            </w:r>
            <w:r w:rsidR="00DA21F5">
              <w:rPr>
                <w:noProof/>
                <w:webHidden/>
              </w:rPr>
            </w:r>
            <w:r w:rsidR="00DA21F5">
              <w:rPr>
                <w:noProof/>
                <w:webHidden/>
              </w:rPr>
              <w:fldChar w:fldCharType="separate"/>
            </w:r>
            <w:r w:rsidR="001439D0">
              <w:rPr>
                <w:noProof/>
                <w:webHidden/>
              </w:rPr>
              <w:t>32</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3" w:history="1">
            <w:r w:rsidR="00DA21F5" w:rsidRPr="00A47126">
              <w:rPr>
                <w:rStyle w:val="Hypertextovodkaz"/>
                <w:noProof/>
              </w:rPr>
              <w:t>4.2.5.</w:t>
            </w:r>
            <w:r w:rsidR="00DA21F5">
              <w:rPr>
                <w:noProof/>
                <w:sz w:val="22"/>
                <w:lang w:eastAsia="cs-CZ"/>
              </w:rPr>
              <w:tab/>
            </w:r>
            <w:r w:rsidR="00DA21F5" w:rsidRPr="00A47126">
              <w:rPr>
                <w:rStyle w:val="Hypertextovodkaz"/>
                <w:noProof/>
              </w:rPr>
              <w:t>Energetika a ochrana klimatu</w:t>
            </w:r>
            <w:r w:rsidR="00DA21F5">
              <w:rPr>
                <w:noProof/>
                <w:webHidden/>
              </w:rPr>
              <w:tab/>
            </w:r>
            <w:r w:rsidR="00DA21F5">
              <w:rPr>
                <w:noProof/>
                <w:webHidden/>
              </w:rPr>
              <w:fldChar w:fldCharType="begin"/>
            </w:r>
            <w:r w:rsidR="00DA21F5">
              <w:rPr>
                <w:noProof/>
                <w:webHidden/>
              </w:rPr>
              <w:instrText xml:space="preserve"> PAGEREF _Toc385339523 \h </w:instrText>
            </w:r>
            <w:r w:rsidR="00DA21F5">
              <w:rPr>
                <w:noProof/>
                <w:webHidden/>
              </w:rPr>
            </w:r>
            <w:r w:rsidR="00DA21F5">
              <w:rPr>
                <w:noProof/>
                <w:webHidden/>
              </w:rPr>
              <w:fldChar w:fldCharType="separate"/>
            </w:r>
            <w:r w:rsidR="001439D0">
              <w:rPr>
                <w:noProof/>
                <w:webHidden/>
              </w:rPr>
              <w:t>33</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4" w:history="1">
            <w:r w:rsidR="00DA21F5" w:rsidRPr="00A47126">
              <w:rPr>
                <w:rStyle w:val="Hypertextovodkaz"/>
                <w:noProof/>
              </w:rPr>
              <w:t>4.2.6.</w:t>
            </w:r>
            <w:r w:rsidR="00DA21F5">
              <w:rPr>
                <w:noProof/>
                <w:sz w:val="22"/>
                <w:lang w:eastAsia="cs-CZ"/>
              </w:rPr>
              <w:tab/>
            </w:r>
            <w:r w:rsidR="00DA21F5" w:rsidRPr="00A47126">
              <w:rPr>
                <w:rStyle w:val="Hypertextovodkaz"/>
                <w:noProof/>
              </w:rPr>
              <w:t>Environmentální politika</w:t>
            </w:r>
            <w:r w:rsidR="00DA21F5">
              <w:rPr>
                <w:noProof/>
                <w:webHidden/>
              </w:rPr>
              <w:tab/>
            </w:r>
            <w:r w:rsidR="00DA21F5">
              <w:rPr>
                <w:noProof/>
                <w:webHidden/>
              </w:rPr>
              <w:fldChar w:fldCharType="begin"/>
            </w:r>
            <w:r w:rsidR="00DA21F5">
              <w:rPr>
                <w:noProof/>
                <w:webHidden/>
              </w:rPr>
              <w:instrText xml:space="preserve"> PAGEREF _Toc385339524 \h </w:instrText>
            </w:r>
            <w:r w:rsidR="00DA21F5">
              <w:rPr>
                <w:noProof/>
                <w:webHidden/>
              </w:rPr>
            </w:r>
            <w:r w:rsidR="00DA21F5">
              <w:rPr>
                <w:noProof/>
                <w:webHidden/>
              </w:rPr>
              <w:fldChar w:fldCharType="separate"/>
            </w:r>
            <w:r w:rsidR="001439D0">
              <w:rPr>
                <w:noProof/>
                <w:webHidden/>
              </w:rPr>
              <w:t>35</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5" w:history="1">
            <w:r w:rsidR="00DA21F5" w:rsidRPr="00A47126">
              <w:rPr>
                <w:rStyle w:val="Hypertextovodkaz"/>
                <w:noProof/>
              </w:rPr>
              <w:t>4.2.7.</w:t>
            </w:r>
            <w:r w:rsidR="00DA21F5">
              <w:rPr>
                <w:noProof/>
                <w:sz w:val="22"/>
                <w:lang w:eastAsia="cs-CZ"/>
              </w:rPr>
              <w:tab/>
            </w:r>
            <w:r w:rsidR="00DA21F5" w:rsidRPr="00A47126">
              <w:rPr>
                <w:rStyle w:val="Hypertextovodkaz"/>
                <w:noProof/>
              </w:rPr>
              <w:t>Zemědělská politika</w:t>
            </w:r>
            <w:r w:rsidR="00DA21F5">
              <w:rPr>
                <w:noProof/>
                <w:webHidden/>
              </w:rPr>
              <w:tab/>
            </w:r>
            <w:r w:rsidR="00DA21F5">
              <w:rPr>
                <w:noProof/>
                <w:webHidden/>
              </w:rPr>
              <w:fldChar w:fldCharType="begin"/>
            </w:r>
            <w:r w:rsidR="00DA21F5">
              <w:rPr>
                <w:noProof/>
                <w:webHidden/>
              </w:rPr>
              <w:instrText xml:space="preserve"> PAGEREF _Toc385339525 \h </w:instrText>
            </w:r>
            <w:r w:rsidR="00DA21F5">
              <w:rPr>
                <w:noProof/>
                <w:webHidden/>
              </w:rPr>
            </w:r>
            <w:r w:rsidR="00DA21F5">
              <w:rPr>
                <w:noProof/>
                <w:webHidden/>
              </w:rPr>
              <w:fldChar w:fldCharType="separate"/>
            </w:r>
            <w:r w:rsidR="001439D0">
              <w:rPr>
                <w:noProof/>
                <w:webHidden/>
              </w:rPr>
              <w:t>36</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526" w:history="1">
            <w:r w:rsidR="00DA21F5" w:rsidRPr="00A47126">
              <w:rPr>
                <w:rStyle w:val="Hypertextovodkaz"/>
                <w:noProof/>
              </w:rPr>
              <w:t>4.3.</w:t>
            </w:r>
            <w:r w:rsidR="00DA21F5">
              <w:rPr>
                <w:noProof/>
                <w:sz w:val="22"/>
                <w:lang w:eastAsia="cs-CZ"/>
              </w:rPr>
              <w:tab/>
            </w:r>
            <w:r w:rsidR="00DA21F5" w:rsidRPr="00A47126">
              <w:rPr>
                <w:rStyle w:val="Hypertextovodkaz"/>
                <w:noProof/>
              </w:rPr>
              <w:t>Fungující trh práce, vzdělávací systém a sociální začleňování</w:t>
            </w:r>
            <w:r w:rsidR="00DA21F5">
              <w:rPr>
                <w:noProof/>
                <w:webHidden/>
              </w:rPr>
              <w:tab/>
            </w:r>
            <w:r w:rsidR="00DA21F5">
              <w:rPr>
                <w:noProof/>
                <w:webHidden/>
              </w:rPr>
              <w:fldChar w:fldCharType="begin"/>
            </w:r>
            <w:r w:rsidR="00DA21F5">
              <w:rPr>
                <w:noProof/>
                <w:webHidden/>
              </w:rPr>
              <w:instrText xml:space="preserve"> PAGEREF _Toc385339526 \h </w:instrText>
            </w:r>
            <w:r w:rsidR="00DA21F5">
              <w:rPr>
                <w:noProof/>
                <w:webHidden/>
              </w:rPr>
            </w:r>
            <w:r w:rsidR="00DA21F5">
              <w:rPr>
                <w:noProof/>
                <w:webHidden/>
              </w:rPr>
              <w:fldChar w:fldCharType="separate"/>
            </w:r>
            <w:r w:rsidR="001439D0">
              <w:rPr>
                <w:noProof/>
                <w:webHidden/>
              </w:rPr>
              <w:t>37</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7" w:history="1">
            <w:r w:rsidR="00DA21F5" w:rsidRPr="00A47126">
              <w:rPr>
                <w:rStyle w:val="Hypertextovodkaz"/>
                <w:noProof/>
              </w:rPr>
              <w:t>4.3.1.</w:t>
            </w:r>
            <w:r w:rsidR="00DA21F5">
              <w:rPr>
                <w:noProof/>
                <w:sz w:val="22"/>
                <w:lang w:eastAsia="cs-CZ"/>
              </w:rPr>
              <w:tab/>
            </w:r>
            <w:r w:rsidR="00DA21F5" w:rsidRPr="00A47126">
              <w:rPr>
                <w:rStyle w:val="Hypertextovodkaz"/>
                <w:noProof/>
              </w:rPr>
              <w:t>Rozvoj trhu práce a aktivní politika zaměstnanosti, zvyšování produktivity práce</w:t>
            </w:r>
            <w:r w:rsidR="00DA21F5">
              <w:rPr>
                <w:noProof/>
                <w:webHidden/>
              </w:rPr>
              <w:tab/>
            </w:r>
            <w:r w:rsidR="00DA21F5">
              <w:rPr>
                <w:noProof/>
                <w:webHidden/>
              </w:rPr>
              <w:fldChar w:fldCharType="begin"/>
            </w:r>
            <w:r w:rsidR="00DA21F5">
              <w:rPr>
                <w:noProof/>
                <w:webHidden/>
              </w:rPr>
              <w:instrText xml:space="preserve"> PAGEREF _Toc385339527 \h </w:instrText>
            </w:r>
            <w:r w:rsidR="00DA21F5">
              <w:rPr>
                <w:noProof/>
                <w:webHidden/>
              </w:rPr>
            </w:r>
            <w:r w:rsidR="00DA21F5">
              <w:rPr>
                <w:noProof/>
                <w:webHidden/>
              </w:rPr>
              <w:fldChar w:fldCharType="separate"/>
            </w:r>
            <w:r w:rsidR="001439D0">
              <w:rPr>
                <w:noProof/>
                <w:webHidden/>
              </w:rPr>
              <w:t>37</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8" w:history="1">
            <w:r w:rsidR="00DA21F5" w:rsidRPr="00A47126">
              <w:rPr>
                <w:rStyle w:val="Hypertextovodkaz"/>
                <w:noProof/>
              </w:rPr>
              <w:t>4.3.2.</w:t>
            </w:r>
            <w:r w:rsidR="00DA21F5">
              <w:rPr>
                <w:noProof/>
                <w:sz w:val="22"/>
                <w:lang w:eastAsia="cs-CZ"/>
              </w:rPr>
              <w:tab/>
            </w:r>
            <w:r w:rsidR="00DA21F5" w:rsidRPr="00A47126">
              <w:rPr>
                <w:rStyle w:val="Hypertextovodkaz"/>
                <w:noProof/>
              </w:rPr>
              <w:t>Kvalitní a dostupná zdravotní péče</w:t>
            </w:r>
            <w:r w:rsidR="00DA21F5">
              <w:rPr>
                <w:noProof/>
                <w:webHidden/>
              </w:rPr>
              <w:tab/>
            </w:r>
            <w:r w:rsidR="00DA21F5">
              <w:rPr>
                <w:noProof/>
                <w:webHidden/>
              </w:rPr>
              <w:fldChar w:fldCharType="begin"/>
            </w:r>
            <w:r w:rsidR="00DA21F5">
              <w:rPr>
                <w:noProof/>
                <w:webHidden/>
              </w:rPr>
              <w:instrText xml:space="preserve"> PAGEREF _Toc385339528 \h </w:instrText>
            </w:r>
            <w:r w:rsidR="00DA21F5">
              <w:rPr>
                <w:noProof/>
                <w:webHidden/>
              </w:rPr>
            </w:r>
            <w:r w:rsidR="00DA21F5">
              <w:rPr>
                <w:noProof/>
                <w:webHidden/>
              </w:rPr>
              <w:fldChar w:fldCharType="separate"/>
            </w:r>
            <w:r w:rsidR="001439D0">
              <w:rPr>
                <w:noProof/>
                <w:webHidden/>
              </w:rPr>
              <w:t>38</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29" w:history="1">
            <w:r w:rsidR="00DA21F5" w:rsidRPr="00A47126">
              <w:rPr>
                <w:rStyle w:val="Hypertextovodkaz"/>
                <w:noProof/>
              </w:rPr>
              <w:t>4.3.3.</w:t>
            </w:r>
            <w:r w:rsidR="00DA21F5">
              <w:rPr>
                <w:noProof/>
                <w:sz w:val="22"/>
                <w:lang w:eastAsia="cs-CZ"/>
              </w:rPr>
              <w:tab/>
            </w:r>
            <w:r w:rsidR="00DA21F5" w:rsidRPr="00A47126">
              <w:rPr>
                <w:rStyle w:val="Hypertextovodkaz"/>
                <w:noProof/>
              </w:rPr>
              <w:t>Sociální začleňování a boj s chudobou</w:t>
            </w:r>
            <w:r w:rsidR="00DA21F5">
              <w:rPr>
                <w:noProof/>
                <w:webHidden/>
              </w:rPr>
              <w:tab/>
            </w:r>
            <w:r w:rsidR="00DA21F5">
              <w:rPr>
                <w:noProof/>
                <w:webHidden/>
              </w:rPr>
              <w:fldChar w:fldCharType="begin"/>
            </w:r>
            <w:r w:rsidR="00DA21F5">
              <w:rPr>
                <w:noProof/>
                <w:webHidden/>
              </w:rPr>
              <w:instrText xml:space="preserve"> PAGEREF _Toc385339529 \h </w:instrText>
            </w:r>
            <w:r w:rsidR="00DA21F5">
              <w:rPr>
                <w:noProof/>
                <w:webHidden/>
              </w:rPr>
            </w:r>
            <w:r w:rsidR="00DA21F5">
              <w:rPr>
                <w:noProof/>
                <w:webHidden/>
              </w:rPr>
              <w:fldChar w:fldCharType="separate"/>
            </w:r>
            <w:r w:rsidR="001439D0">
              <w:rPr>
                <w:noProof/>
                <w:webHidden/>
              </w:rPr>
              <w:t>39</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30" w:history="1">
            <w:r w:rsidR="00DA21F5" w:rsidRPr="00A47126">
              <w:rPr>
                <w:rStyle w:val="Hypertextovodkaz"/>
                <w:noProof/>
              </w:rPr>
              <w:t>4.3.4.</w:t>
            </w:r>
            <w:r w:rsidR="00DA21F5">
              <w:rPr>
                <w:noProof/>
                <w:sz w:val="22"/>
                <w:lang w:eastAsia="cs-CZ"/>
              </w:rPr>
              <w:tab/>
            </w:r>
            <w:r w:rsidR="00DA21F5" w:rsidRPr="00A47126">
              <w:rPr>
                <w:rStyle w:val="Hypertextovodkaz"/>
                <w:noProof/>
              </w:rPr>
              <w:t>Slučitelnost rodinného a pracovního života a problematika genderové rovnosti</w:t>
            </w:r>
            <w:r w:rsidR="00DA21F5">
              <w:rPr>
                <w:noProof/>
                <w:webHidden/>
              </w:rPr>
              <w:tab/>
            </w:r>
            <w:r w:rsidR="00DA21F5">
              <w:rPr>
                <w:noProof/>
                <w:webHidden/>
              </w:rPr>
              <w:fldChar w:fldCharType="begin"/>
            </w:r>
            <w:r w:rsidR="00DA21F5">
              <w:rPr>
                <w:noProof/>
                <w:webHidden/>
              </w:rPr>
              <w:instrText xml:space="preserve"> PAGEREF _Toc385339530 \h </w:instrText>
            </w:r>
            <w:r w:rsidR="00DA21F5">
              <w:rPr>
                <w:noProof/>
                <w:webHidden/>
              </w:rPr>
            </w:r>
            <w:r w:rsidR="00DA21F5">
              <w:rPr>
                <w:noProof/>
                <w:webHidden/>
              </w:rPr>
              <w:fldChar w:fldCharType="separate"/>
            </w:r>
            <w:r w:rsidR="001439D0">
              <w:rPr>
                <w:noProof/>
                <w:webHidden/>
              </w:rPr>
              <w:t>41</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31" w:history="1">
            <w:r w:rsidR="00DA21F5" w:rsidRPr="00A47126">
              <w:rPr>
                <w:rStyle w:val="Hypertextovodkaz"/>
                <w:noProof/>
              </w:rPr>
              <w:t>4.3.5.</w:t>
            </w:r>
            <w:r w:rsidR="00DA21F5">
              <w:rPr>
                <w:noProof/>
                <w:sz w:val="22"/>
                <w:lang w:eastAsia="cs-CZ"/>
              </w:rPr>
              <w:tab/>
            </w:r>
            <w:r w:rsidR="00DA21F5" w:rsidRPr="00A47126">
              <w:rPr>
                <w:rStyle w:val="Hypertextovodkaz"/>
                <w:noProof/>
              </w:rPr>
              <w:t>Kvalitní a inkluzivní vzdělávání</w:t>
            </w:r>
            <w:r w:rsidR="00DA21F5">
              <w:rPr>
                <w:noProof/>
                <w:webHidden/>
              </w:rPr>
              <w:tab/>
            </w:r>
            <w:r w:rsidR="00DA21F5">
              <w:rPr>
                <w:noProof/>
                <w:webHidden/>
              </w:rPr>
              <w:fldChar w:fldCharType="begin"/>
            </w:r>
            <w:r w:rsidR="00DA21F5">
              <w:rPr>
                <w:noProof/>
                <w:webHidden/>
              </w:rPr>
              <w:instrText xml:space="preserve"> PAGEREF _Toc385339531 \h </w:instrText>
            </w:r>
            <w:r w:rsidR="00DA21F5">
              <w:rPr>
                <w:noProof/>
                <w:webHidden/>
              </w:rPr>
            </w:r>
            <w:r w:rsidR="00DA21F5">
              <w:rPr>
                <w:noProof/>
                <w:webHidden/>
              </w:rPr>
              <w:fldChar w:fldCharType="separate"/>
            </w:r>
            <w:r w:rsidR="001439D0">
              <w:rPr>
                <w:noProof/>
                <w:webHidden/>
              </w:rPr>
              <w:t>42</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32" w:history="1">
            <w:r w:rsidR="00DA21F5" w:rsidRPr="00A47126">
              <w:rPr>
                <w:rStyle w:val="Hypertextovodkaz"/>
                <w:noProof/>
              </w:rPr>
              <w:t>4.3.6.</w:t>
            </w:r>
            <w:r w:rsidR="00DA21F5">
              <w:rPr>
                <w:noProof/>
                <w:sz w:val="22"/>
                <w:lang w:eastAsia="cs-CZ"/>
              </w:rPr>
              <w:tab/>
            </w:r>
            <w:r w:rsidR="00DA21F5" w:rsidRPr="00A47126">
              <w:rPr>
                <w:rStyle w:val="Hypertextovodkaz"/>
                <w:noProof/>
              </w:rPr>
              <w:t>Podpora příchodu kvalifikovaných pracovníků ze zahraničí</w:t>
            </w:r>
            <w:r w:rsidR="00DA21F5">
              <w:rPr>
                <w:noProof/>
                <w:webHidden/>
              </w:rPr>
              <w:tab/>
            </w:r>
            <w:r w:rsidR="00DA21F5">
              <w:rPr>
                <w:noProof/>
                <w:webHidden/>
              </w:rPr>
              <w:fldChar w:fldCharType="begin"/>
            </w:r>
            <w:r w:rsidR="00DA21F5">
              <w:rPr>
                <w:noProof/>
                <w:webHidden/>
              </w:rPr>
              <w:instrText xml:space="preserve"> PAGEREF _Toc385339532 \h </w:instrText>
            </w:r>
            <w:r w:rsidR="00DA21F5">
              <w:rPr>
                <w:noProof/>
                <w:webHidden/>
              </w:rPr>
            </w:r>
            <w:r w:rsidR="00DA21F5">
              <w:rPr>
                <w:noProof/>
                <w:webHidden/>
              </w:rPr>
              <w:fldChar w:fldCharType="separate"/>
            </w:r>
            <w:r w:rsidR="001439D0">
              <w:rPr>
                <w:noProof/>
                <w:webHidden/>
              </w:rPr>
              <w:t>43</w:t>
            </w:r>
            <w:r w:rsidR="00DA21F5">
              <w:rPr>
                <w:noProof/>
                <w:webHidden/>
              </w:rPr>
              <w:fldChar w:fldCharType="end"/>
            </w:r>
          </w:hyperlink>
        </w:p>
        <w:p w:rsidR="00DA21F5" w:rsidRDefault="009E60BF">
          <w:pPr>
            <w:pStyle w:val="Obsah2"/>
            <w:tabs>
              <w:tab w:val="left" w:pos="880"/>
              <w:tab w:val="right" w:leader="dot" w:pos="9062"/>
            </w:tabs>
            <w:rPr>
              <w:noProof/>
              <w:sz w:val="22"/>
              <w:lang w:eastAsia="cs-CZ"/>
            </w:rPr>
          </w:pPr>
          <w:hyperlink w:anchor="_Toc385339533" w:history="1">
            <w:r w:rsidR="00DA21F5" w:rsidRPr="00A47126">
              <w:rPr>
                <w:rStyle w:val="Hypertextovodkaz"/>
                <w:noProof/>
              </w:rPr>
              <w:t>4.4.</w:t>
            </w:r>
            <w:r w:rsidR="00DA21F5">
              <w:rPr>
                <w:noProof/>
                <w:sz w:val="22"/>
                <w:lang w:eastAsia="cs-CZ"/>
              </w:rPr>
              <w:tab/>
            </w:r>
            <w:r w:rsidR="00DA21F5" w:rsidRPr="00A47126">
              <w:rPr>
                <w:rStyle w:val="Hypertextovodkaz"/>
                <w:noProof/>
              </w:rPr>
              <w:t>Růst založený na výzkumu a inovacích</w:t>
            </w:r>
            <w:r w:rsidR="00DA21F5">
              <w:rPr>
                <w:noProof/>
                <w:webHidden/>
              </w:rPr>
              <w:tab/>
            </w:r>
            <w:r w:rsidR="00DA21F5">
              <w:rPr>
                <w:noProof/>
                <w:webHidden/>
              </w:rPr>
              <w:fldChar w:fldCharType="begin"/>
            </w:r>
            <w:r w:rsidR="00DA21F5">
              <w:rPr>
                <w:noProof/>
                <w:webHidden/>
              </w:rPr>
              <w:instrText xml:space="preserve"> PAGEREF _Toc385339533 \h </w:instrText>
            </w:r>
            <w:r w:rsidR="00DA21F5">
              <w:rPr>
                <w:noProof/>
                <w:webHidden/>
              </w:rPr>
            </w:r>
            <w:r w:rsidR="00DA21F5">
              <w:rPr>
                <w:noProof/>
                <w:webHidden/>
              </w:rPr>
              <w:fldChar w:fldCharType="separate"/>
            </w:r>
            <w:r w:rsidR="001439D0">
              <w:rPr>
                <w:noProof/>
                <w:webHidden/>
              </w:rPr>
              <w:t>44</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34" w:history="1">
            <w:r w:rsidR="00DA21F5" w:rsidRPr="00A47126">
              <w:rPr>
                <w:rStyle w:val="Hypertextovodkaz"/>
                <w:noProof/>
              </w:rPr>
              <w:t>4.4.1.</w:t>
            </w:r>
            <w:r w:rsidR="00DA21F5">
              <w:rPr>
                <w:noProof/>
                <w:sz w:val="22"/>
                <w:lang w:eastAsia="cs-CZ"/>
              </w:rPr>
              <w:tab/>
            </w:r>
            <w:r w:rsidR="00DA21F5" w:rsidRPr="00A47126">
              <w:rPr>
                <w:rStyle w:val="Hypertextovodkaz"/>
                <w:noProof/>
              </w:rPr>
              <w:t>Rozvoj podmínek pro excelentní výzkum</w:t>
            </w:r>
            <w:r w:rsidR="00DA21F5">
              <w:rPr>
                <w:noProof/>
                <w:webHidden/>
              </w:rPr>
              <w:tab/>
            </w:r>
            <w:r w:rsidR="00DA21F5">
              <w:rPr>
                <w:noProof/>
                <w:webHidden/>
              </w:rPr>
              <w:fldChar w:fldCharType="begin"/>
            </w:r>
            <w:r w:rsidR="00DA21F5">
              <w:rPr>
                <w:noProof/>
                <w:webHidden/>
              </w:rPr>
              <w:instrText xml:space="preserve"> PAGEREF _Toc385339534 \h </w:instrText>
            </w:r>
            <w:r w:rsidR="00DA21F5">
              <w:rPr>
                <w:noProof/>
                <w:webHidden/>
              </w:rPr>
            </w:r>
            <w:r w:rsidR="00DA21F5">
              <w:rPr>
                <w:noProof/>
                <w:webHidden/>
              </w:rPr>
              <w:fldChar w:fldCharType="separate"/>
            </w:r>
            <w:r w:rsidR="001439D0">
              <w:rPr>
                <w:noProof/>
                <w:webHidden/>
              </w:rPr>
              <w:t>44</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35" w:history="1">
            <w:r w:rsidR="00DA21F5" w:rsidRPr="00A47126">
              <w:rPr>
                <w:rStyle w:val="Hypertextovodkaz"/>
                <w:noProof/>
              </w:rPr>
              <w:t>4.4.2.</w:t>
            </w:r>
            <w:r w:rsidR="00DA21F5">
              <w:rPr>
                <w:noProof/>
                <w:sz w:val="22"/>
                <w:lang w:eastAsia="cs-CZ"/>
              </w:rPr>
              <w:tab/>
            </w:r>
            <w:r w:rsidR="00DA21F5" w:rsidRPr="00A47126">
              <w:rPr>
                <w:rStyle w:val="Hypertextovodkaz"/>
                <w:noProof/>
              </w:rPr>
              <w:t>Rozvoj spolupráce mezi podnikovou sférou a výzkumnými organizacemi</w:t>
            </w:r>
            <w:r w:rsidR="00DA21F5">
              <w:rPr>
                <w:noProof/>
                <w:webHidden/>
              </w:rPr>
              <w:tab/>
            </w:r>
            <w:r w:rsidR="00DA21F5">
              <w:rPr>
                <w:noProof/>
                <w:webHidden/>
              </w:rPr>
              <w:fldChar w:fldCharType="begin"/>
            </w:r>
            <w:r w:rsidR="00DA21F5">
              <w:rPr>
                <w:noProof/>
                <w:webHidden/>
              </w:rPr>
              <w:instrText xml:space="preserve"> PAGEREF _Toc385339535 \h </w:instrText>
            </w:r>
            <w:r w:rsidR="00DA21F5">
              <w:rPr>
                <w:noProof/>
                <w:webHidden/>
              </w:rPr>
            </w:r>
            <w:r w:rsidR="00DA21F5">
              <w:rPr>
                <w:noProof/>
                <w:webHidden/>
              </w:rPr>
              <w:fldChar w:fldCharType="separate"/>
            </w:r>
            <w:r w:rsidR="001439D0">
              <w:rPr>
                <w:noProof/>
                <w:webHidden/>
              </w:rPr>
              <w:t>45</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36" w:history="1">
            <w:r w:rsidR="00DA21F5" w:rsidRPr="00A47126">
              <w:rPr>
                <w:rStyle w:val="Hypertextovodkaz"/>
                <w:noProof/>
              </w:rPr>
              <w:t>4.4.3.</w:t>
            </w:r>
            <w:r w:rsidR="00DA21F5">
              <w:rPr>
                <w:noProof/>
                <w:sz w:val="22"/>
                <w:lang w:eastAsia="cs-CZ"/>
              </w:rPr>
              <w:tab/>
            </w:r>
            <w:r w:rsidR="00DA21F5" w:rsidRPr="00A47126">
              <w:rPr>
                <w:rStyle w:val="Hypertextovodkaz"/>
                <w:noProof/>
              </w:rPr>
              <w:t>Inovační podnikání a rozvoj startupů</w:t>
            </w:r>
            <w:r w:rsidR="00DA21F5">
              <w:rPr>
                <w:noProof/>
                <w:webHidden/>
              </w:rPr>
              <w:tab/>
            </w:r>
            <w:r w:rsidR="00DA21F5">
              <w:rPr>
                <w:noProof/>
                <w:webHidden/>
              </w:rPr>
              <w:fldChar w:fldCharType="begin"/>
            </w:r>
            <w:r w:rsidR="00DA21F5">
              <w:rPr>
                <w:noProof/>
                <w:webHidden/>
              </w:rPr>
              <w:instrText xml:space="preserve"> PAGEREF _Toc385339536 \h </w:instrText>
            </w:r>
            <w:r w:rsidR="00DA21F5">
              <w:rPr>
                <w:noProof/>
                <w:webHidden/>
              </w:rPr>
            </w:r>
            <w:r w:rsidR="00DA21F5">
              <w:rPr>
                <w:noProof/>
                <w:webHidden/>
              </w:rPr>
              <w:fldChar w:fldCharType="separate"/>
            </w:r>
            <w:r w:rsidR="001439D0">
              <w:rPr>
                <w:noProof/>
                <w:webHidden/>
              </w:rPr>
              <w:t>47</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37" w:history="1">
            <w:r w:rsidR="00DA21F5" w:rsidRPr="00A47126">
              <w:rPr>
                <w:rStyle w:val="Hypertextovodkaz"/>
                <w:noProof/>
              </w:rPr>
              <w:t>4.4.4.</w:t>
            </w:r>
            <w:r w:rsidR="00DA21F5">
              <w:rPr>
                <w:noProof/>
                <w:sz w:val="22"/>
                <w:lang w:eastAsia="cs-CZ"/>
              </w:rPr>
              <w:tab/>
            </w:r>
            <w:r w:rsidR="00DA21F5" w:rsidRPr="00A47126">
              <w:rPr>
                <w:rStyle w:val="Hypertextovodkaz"/>
                <w:noProof/>
              </w:rPr>
              <w:t>Kosmické aktivity</w:t>
            </w:r>
            <w:r w:rsidR="00DA21F5">
              <w:rPr>
                <w:noProof/>
                <w:webHidden/>
              </w:rPr>
              <w:tab/>
            </w:r>
            <w:r w:rsidR="00DA21F5">
              <w:rPr>
                <w:noProof/>
                <w:webHidden/>
              </w:rPr>
              <w:fldChar w:fldCharType="begin"/>
            </w:r>
            <w:r w:rsidR="00DA21F5">
              <w:rPr>
                <w:noProof/>
                <w:webHidden/>
              </w:rPr>
              <w:instrText xml:space="preserve"> PAGEREF _Toc385339537 \h </w:instrText>
            </w:r>
            <w:r w:rsidR="00DA21F5">
              <w:rPr>
                <w:noProof/>
                <w:webHidden/>
              </w:rPr>
            </w:r>
            <w:r w:rsidR="00DA21F5">
              <w:rPr>
                <w:noProof/>
                <w:webHidden/>
              </w:rPr>
              <w:fldChar w:fldCharType="separate"/>
            </w:r>
            <w:r w:rsidR="001439D0">
              <w:rPr>
                <w:noProof/>
                <w:webHidden/>
              </w:rPr>
              <w:t>49</w:t>
            </w:r>
            <w:r w:rsidR="00DA21F5">
              <w:rPr>
                <w:noProof/>
                <w:webHidden/>
              </w:rPr>
              <w:fldChar w:fldCharType="end"/>
            </w:r>
          </w:hyperlink>
        </w:p>
        <w:p w:rsidR="00DA21F5" w:rsidRDefault="009E60BF">
          <w:pPr>
            <w:pStyle w:val="Obsah1"/>
            <w:tabs>
              <w:tab w:val="left" w:pos="420"/>
              <w:tab w:val="right" w:leader="dot" w:pos="9062"/>
            </w:tabs>
            <w:rPr>
              <w:noProof/>
              <w:sz w:val="22"/>
              <w:lang w:eastAsia="cs-CZ"/>
            </w:rPr>
          </w:pPr>
          <w:hyperlink w:anchor="_Toc385339538" w:history="1">
            <w:r w:rsidR="00DA21F5" w:rsidRPr="00A47126">
              <w:rPr>
                <w:rStyle w:val="Hypertextovodkaz"/>
                <w:noProof/>
              </w:rPr>
              <w:t>5.</w:t>
            </w:r>
            <w:r w:rsidR="00DA21F5">
              <w:rPr>
                <w:noProof/>
                <w:sz w:val="22"/>
                <w:lang w:eastAsia="cs-CZ"/>
              </w:rPr>
              <w:tab/>
            </w:r>
            <w:r w:rsidR="00DA21F5" w:rsidRPr="00A47126">
              <w:rPr>
                <w:rStyle w:val="Hypertextovodkaz"/>
                <w:noProof/>
              </w:rPr>
              <w:t>Implementace politiky soudržnosti a využití programů Evropských strukturálních a investičních fondů jako nástrojů uskutečňování priorit Strategie Evropa 2020</w:t>
            </w:r>
            <w:r w:rsidR="00DA21F5">
              <w:rPr>
                <w:noProof/>
                <w:webHidden/>
              </w:rPr>
              <w:tab/>
            </w:r>
            <w:r w:rsidR="00DA21F5">
              <w:rPr>
                <w:noProof/>
                <w:webHidden/>
              </w:rPr>
              <w:fldChar w:fldCharType="begin"/>
            </w:r>
            <w:r w:rsidR="00DA21F5">
              <w:rPr>
                <w:noProof/>
                <w:webHidden/>
              </w:rPr>
              <w:instrText xml:space="preserve"> PAGEREF _Toc385339538 \h </w:instrText>
            </w:r>
            <w:r w:rsidR="00DA21F5">
              <w:rPr>
                <w:noProof/>
                <w:webHidden/>
              </w:rPr>
            </w:r>
            <w:r w:rsidR="00DA21F5">
              <w:rPr>
                <w:noProof/>
                <w:webHidden/>
              </w:rPr>
              <w:fldChar w:fldCharType="separate"/>
            </w:r>
            <w:r w:rsidR="001439D0">
              <w:rPr>
                <w:noProof/>
                <w:webHidden/>
              </w:rPr>
              <w:t>50</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39" w:history="1">
            <w:r w:rsidR="00DA21F5" w:rsidRPr="00A47126">
              <w:rPr>
                <w:rStyle w:val="Hypertextovodkaz"/>
                <w:noProof/>
              </w:rPr>
              <w:t>5.1.1.</w:t>
            </w:r>
            <w:r w:rsidR="00DA21F5">
              <w:rPr>
                <w:noProof/>
                <w:sz w:val="22"/>
                <w:lang w:eastAsia="cs-CZ"/>
              </w:rPr>
              <w:tab/>
            </w:r>
            <w:r w:rsidR="00DA21F5" w:rsidRPr="00A47126">
              <w:rPr>
                <w:rStyle w:val="Hypertextovodkaz"/>
                <w:noProof/>
              </w:rPr>
              <w:t>Programové období 2007-2013</w:t>
            </w:r>
            <w:r w:rsidR="00DA21F5">
              <w:rPr>
                <w:noProof/>
                <w:webHidden/>
              </w:rPr>
              <w:tab/>
            </w:r>
            <w:r w:rsidR="00DA21F5">
              <w:rPr>
                <w:noProof/>
                <w:webHidden/>
              </w:rPr>
              <w:fldChar w:fldCharType="begin"/>
            </w:r>
            <w:r w:rsidR="00DA21F5">
              <w:rPr>
                <w:noProof/>
                <w:webHidden/>
              </w:rPr>
              <w:instrText xml:space="preserve"> PAGEREF _Toc385339539 \h </w:instrText>
            </w:r>
            <w:r w:rsidR="00DA21F5">
              <w:rPr>
                <w:noProof/>
                <w:webHidden/>
              </w:rPr>
            </w:r>
            <w:r w:rsidR="00DA21F5">
              <w:rPr>
                <w:noProof/>
                <w:webHidden/>
              </w:rPr>
              <w:fldChar w:fldCharType="separate"/>
            </w:r>
            <w:r w:rsidR="001439D0">
              <w:rPr>
                <w:noProof/>
                <w:webHidden/>
              </w:rPr>
              <w:t>50</w:t>
            </w:r>
            <w:r w:rsidR="00DA21F5">
              <w:rPr>
                <w:noProof/>
                <w:webHidden/>
              </w:rPr>
              <w:fldChar w:fldCharType="end"/>
            </w:r>
          </w:hyperlink>
        </w:p>
        <w:p w:rsidR="00DA21F5" w:rsidRDefault="009E60BF">
          <w:pPr>
            <w:pStyle w:val="Obsah3"/>
            <w:tabs>
              <w:tab w:val="left" w:pos="1320"/>
              <w:tab w:val="right" w:leader="dot" w:pos="9062"/>
            </w:tabs>
            <w:rPr>
              <w:noProof/>
              <w:sz w:val="22"/>
              <w:lang w:eastAsia="cs-CZ"/>
            </w:rPr>
          </w:pPr>
          <w:hyperlink w:anchor="_Toc385339540" w:history="1">
            <w:r w:rsidR="00DA21F5" w:rsidRPr="00A47126">
              <w:rPr>
                <w:rStyle w:val="Hypertextovodkaz"/>
                <w:noProof/>
              </w:rPr>
              <w:t>5.1.2.</w:t>
            </w:r>
            <w:r w:rsidR="00DA21F5">
              <w:rPr>
                <w:noProof/>
                <w:sz w:val="22"/>
                <w:lang w:eastAsia="cs-CZ"/>
              </w:rPr>
              <w:tab/>
            </w:r>
            <w:r w:rsidR="00DA21F5" w:rsidRPr="00A47126">
              <w:rPr>
                <w:rStyle w:val="Hypertextovodkaz"/>
                <w:noProof/>
              </w:rPr>
              <w:t>Programové období 2014-2020 a stav jeho přípravy</w:t>
            </w:r>
            <w:r w:rsidR="00DA21F5">
              <w:rPr>
                <w:noProof/>
                <w:webHidden/>
              </w:rPr>
              <w:tab/>
            </w:r>
            <w:r w:rsidR="00DA21F5">
              <w:rPr>
                <w:noProof/>
                <w:webHidden/>
              </w:rPr>
              <w:fldChar w:fldCharType="begin"/>
            </w:r>
            <w:r w:rsidR="00DA21F5">
              <w:rPr>
                <w:noProof/>
                <w:webHidden/>
              </w:rPr>
              <w:instrText xml:space="preserve"> PAGEREF _Toc385339540 \h </w:instrText>
            </w:r>
            <w:r w:rsidR="00DA21F5">
              <w:rPr>
                <w:noProof/>
                <w:webHidden/>
              </w:rPr>
            </w:r>
            <w:r w:rsidR="00DA21F5">
              <w:rPr>
                <w:noProof/>
                <w:webHidden/>
              </w:rPr>
              <w:fldChar w:fldCharType="separate"/>
            </w:r>
            <w:r w:rsidR="001439D0">
              <w:rPr>
                <w:noProof/>
                <w:webHidden/>
              </w:rPr>
              <w:t>50</w:t>
            </w:r>
            <w:r w:rsidR="00DA21F5">
              <w:rPr>
                <w:noProof/>
                <w:webHidden/>
              </w:rPr>
              <w:fldChar w:fldCharType="end"/>
            </w:r>
          </w:hyperlink>
        </w:p>
        <w:p w:rsidR="00DA21F5" w:rsidRDefault="009E60BF">
          <w:pPr>
            <w:pStyle w:val="Obsah1"/>
            <w:tabs>
              <w:tab w:val="right" w:leader="dot" w:pos="9062"/>
            </w:tabs>
            <w:rPr>
              <w:noProof/>
              <w:sz w:val="22"/>
              <w:lang w:eastAsia="cs-CZ"/>
            </w:rPr>
          </w:pPr>
          <w:hyperlink w:anchor="_Toc385339541" w:history="1">
            <w:r w:rsidR="00DA21F5" w:rsidRPr="00A47126">
              <w:rPr>
                <w:rStyle w:val="Hypertextovodkaz"/>
                <w:noProof/>
              </w:rPr>
              <w:t>Seznam příloh</w:t>
            </w:r>
            <w:r w:rsidR="00DA21F5">
              <w:rPr>
                <w:noProof/>
                <w:webHidden/>
              </w:rPr>
              <w:tab/>
            </w:r>
            <w:r w:rsidR="00DA21F5">
              <w:rPr>
                <w:noProof/>
                <w:webHidden/>
              </w:rPr>
              <w:fldChar w:fldCharType="begin"/>
            </w:r>
            <w:r w:rsidR="00DA21F5">
              <w:rPr>
                <w:noProof/>
                <w:webHidden/>
              </w:rPr>
              <w:instrText xml:space="preserve"> PAGEREF _Toc385339541 \h </w:instrText>
            </w:r>
            <w:r w:rsidR="00DA21F5">
              <w:rPr>
                <w:noProof/>
                <w:webHidden/>
              </w:rPr>
            </w:r>
            <w:r w:rsidR="00DA21F5">
              <w:rPr>
                <w:noProof/>
                <w:webHidden/>
              </w:rPr>
              <w:fldChar w:fldCharType="separate"/>
            </w:r>
            <w:r w:rsidR="001439D0">
              <w:rPr>
                <w:noProof/>
                <w:webHidden/>
              </w:rPr>
              <w:t>54</w:t>
            </w:r>
            <w:r w:rsidR="00DA21F5">
              <w:rPr>
                <w:noProof/>
                <w:webHidden/>
              </w:rPr>
              <w:fldChar w:fldCharType="end"/>
            </w:r>
          </w:hyperlink>
        </w:p>
        <w:p w:rsidR="00DA21F5" w:rsidRDefault="009E60BF">
          <w:pPr>
            <w:pStyle w:val="Obsah2"/>
            <w:tabs>
              <w:tab w:val="right" w:leader="dot" w:pos="9062"/>
            </w:tabs>
            <w:rPr>
              <w:noProof/>
              <w:sz w:val="22"/>
              <w:lang w:eastAsia="cs-CZ"/>
            </w:rPr>
          </w:pPr>
          <w:hyperlink w:anchor="_Toc385339542" w:history="1">
            <w:r w:rsidR="00DA21F5" w:rsidRPr="00A47126">
              <w:rPr>
                <w:rStyle w:val="Hypertextovodkaz"/>
                <w:noProof/>
              </w:rPr>
              <w:t>Příloha č. 1: Přehled strategických a koncepčních dokumentů vlád</w:t>
            </w:r>
            <w:r w:rsidR="00DA21F5">
              <w:rPr>
                <w:noProof/>
                <w:webHidden/>
              </w:rPr>
              <w:tab/>
            </w:r>
            <w:r w:rsidR="00DA21F5">
              <w:rPr>
                <w:noProof/>
                <w:webHidden/>
              </w:rPr>
              <w:fldChar w:fldCharType="begin"/>
            </w:r>
            <w:r w:rsidR="00DA21F5">
              <w:rPr>
                <w:noProof/>
                <w:webHidden/>
              </w:rPr>
              <w:instrText xml:space="preserve"> PAGEREF _Toc385339542 \h </w:instrText>
            </w:r>
            <w:r w:rsidR="00DA21F5">
              <w:rPr>
                <w:noProof/>
                <w:webHidden/>
              </w:rPr>
            </w:r>
            <w:r w:rsidR="00DA21F5">
              <w:rPr>
                <w:noProof/>
                <w:webHidden/>
              </w:rPr>
              <w:fldChar w:fldCharType="separate"/>
            </w:r>
            <w:r w:rsidR="001439D0">
              <w:rPr>
                <w:noProof/>
                <w:webHidden/>
              </w:rPr>
              <w:t>55</w:t>
            </w:r>
            <w:r w:rsidR="00DA21F5">
              <w:rPr>
                <w:noProof/>
                <w:webHidden/>
              </w:rPr>
              <w:fldChar w:fldCharType="end"/>
            </w:r>
          </w:hyperlink>
        </w:p>
        <w:p w:rsidR="00E54029" w:rsidRDefault="00E54029">
          <w:r>
            <w:rPr>
              <w:b/>
              <w:bCs/>
            </w:rPr>
            <w:fldChar w:fldCharType="end"/>
          </w:r>
        </w:p>
      </w:sdtContent>
    </w:sdt>
    <w:p w:rsidR="009C3A9D" w:rsidRDefault="00946869" w:rsidP="00E54029">
      <w:r>
        <w:br w:type="page"/>
      </w:r>
    </w:p>
    <w:p w:rsidR="00946869" w:rsidRDefault="00946869" w:rsidP="001202C4">
      <w:pPr>
        <w:pStyle w:val="Nadpis1"/>
        <w:numPr>
          <w:ilvl w:val="0"/>
          <w:numId w:val="4"/>
        </w:numPr>
      </w:pPr>
      <w:bookmarkStart w:id="1" w:name="_Toc385339472"/>
      <w:r>
        <w:lastRenderedPageBreak/>
        <w:t>Úvod</w:t>
      </w:r>
      <w:bookmarkEnd w:id="1"/>
    </w:p>
    <w:p w:rsidR="00E54029" w:rsidRPr="00E54029" w:rsidRDefault="00E54029" w:rsidP="00E54029">
      <w:pPr>
        <w:pStyle w:val="Nadpis2"/>
        <w:numPr>
          <w:ilvl w:val="1"/>
          <w:numId w:val="4"/>
        </w:numPr>
        <w:ind w:left="851" w:hanging="851"/>
      </w:pPr>
      <w:bookmarkStart w:id="2" w:name="_Toc385339473"/>
      <w:r w:rsidRPr="00E54029">
        <w:t>Úvod</w:t>
      </w:r>
      <w:bookmarkEnd w:id="2"/>
    </w:p>
    <w:p w:rsidR="00E54029" w:rsidRDefault="00C66E4E" w:rsidP="00E54029">
      <w:r w:rsidRPr="00C66E4E">
        <w:t xml:space="preserve">Národní program reforem ČR 2014 (NPR) představuje </w:t>
      </w:r>
      <w:r w:rsidR="00587F63" w:rsidRPr="00C66E4E">
        <w:t>koncepční dokument</w:t>
      </w:r>
      <w:r w:rsidRPr="00C66E4E">
        <w:t xml:space="preserve"> </w:t>
      </w:r>
      <w:r w:rsidR="008E3BA4" w:rsidRPr="00C66E4E">
        <w:t xml:space="preserve">národní </w:t>
      </w:r>
      <w:r w:rsidR="008B03E9">
        <w:t xml:space="preserve">hospodářské </w:t>
      </w:r>
      <w:r w:rsidR="008E3BA4" w:rsidRPr="00C66E4E">
        <w:t>politiky</w:t>
      </w:r>
      <w:r w:rsidRPr="00C66E4E">
        <w:t>, je</w:t>
      </w:r>
      <w:r w:rsidR="001148BE">
        <w:t>n</w:t>
      </w:r>
      <w:r w:rsidRPr="00C66E4E">
        <w:t>ž v</w:t>
      </w:r>
      <w:r w:rsidR="00300B5C">
        <w:t> </w:t>
      </w:r>
      <w:r w:rsidRPr="00C66E4E">
        <w:t xml:space="preserve">souladu s ekonomickými prioritami Evropské unie (EU) stanovuje plán klíčových opatření na podporu </w:t>
      </w:r>
      <w:r w:rsidR="008E3BA4" w:rsidRPr="00C66E4E">
        <w:t>ekonomického růstu v ČR</w:t>
      </w:r>
      <w:r w:rsidRPr="00C66E4E">
        <w:t xml:space="preserve"> při dodržování </w:t>
      </w:r>
      <w:r w:rsidR="00EF2492">
        <w:t>zodpovědné</w:t>
      </w:r>
      <w:r w:rsidRPr="00C66E4E">
        <w:t xml:space="preserve"> fiskální politiky. </w:t>
      </w:r>
      <w:r>
        <w:t>Opatření v něm obsažená</w:t>
      </w:r>
      <w:r w:rsidRPr="00C66E4E">
        <w:t xml:space="preserve"> reagují na současnou hospodářskou situaci a vycházejí z priorit definovaných vládou České republiky</w:t>
      </w:r>
      <w:r>
        <w:t xml:space="preserve"> (vláda).</w:t>
      </w:r>
      <w:r w:rsidR="00E54029">
        <w:t xml:space="preserve"> </w:t>
      </w:r>
    </w:p>
    <w:p w:rsidR="00C66E4E" w:rsidRDefault="00C66E4E" w:rsidP="00E54029">
      <w:r w:rsidRPr="00C66E4E">
        <w:t xml:space="preserve">ČR </w:t>
      </w:r>
      <w:r w:rsidR="008B03E9">
        <w:t xml:space="preserve">se </w:t>
      </w:r>
      <w:r w:rsidRPr="00C66E4E">
        <w:t>po zbrzdění hospodářského rozvoje v</w:t>
      </w:r>
      <w:r>
        <w:t> předchozích</w:t>
      </w:r>
      <w:r w:rsidRPr="00C66E4E">
        <w:t xml:space="preserve"> letech postupně vrací k ekonomickému růstu. Hospodářské oživení je však dosud křehké a pozvolné. Tempo růstu, stejně</w:t>
      </w:r>
      <w:r w:rsidR="008D19CE">
        <w:t xml:space="preserve"> jako jeho udržitelnost, zůstávají</w:t>
      </w:r>
      <w:r w:rsidRPr="00C66E4E">
        <w:t xml:space="preserve"> zatím nejisté. V tomto kontextu je hlavním cílem vlády podpořit oživování </w:t>
      </w:r>
      <w:r w:rsidR="008D19CE">
        <w:t>ekonomiky</w:t>
      </w:r>
      <w:r w:rsidRPr="00C66E4E">
        <w:t xml:space="preserve"> a zároveň zvyšovat potenciál dalšího růstu</w:t>
      </w:r>
      <w:r>
        <w:t>. Vláda</w:t>
      </w:r>
      <w:r w:rsidRPr="00C66E4E">
        <w:t xml:space="preserve"> zároveň usiluje o udržitelný rozvoj a provázání hospodářské politiky s</w:t>
      </w:r>
      <w:r w:rsidR="00300B5C">
        <w:t> </w:t>
      </w:r>
      <w:r w:rsidRPr="00C66E4E">
        <w:t xml:space="preserve">politikou sociální a environmentální.   </w:t>
      </w:r>
    </w:p>
    <w:p w:rsidR="00C66E4E" w:rsidRDefault="00C66E4E" w:rsidP="00E54029">
      <w:r>
        <w:t>Opatření reformního charakteru obsažená v NPR směřují k naplňování národních cílů stanovených v rámci Strategie Evropa 2020 a zároveň reflektují doporučení obsažená v Integrovaných hlavních směrech a</w:t>
      </w:r>
      <w:r w:rsidR="00300B5C">
        <w:t> </w:t>
      </w:r>
      <w:r>
        <w:t>jednotlivých vlajkových iniciativách EU. Reagují také na současnou hospodářskou a sociální situaci v </w:t>
      </w:r>
      <w:r w:rsidR="00E07D6F">
        <w:t>ČR</w:t>
      </w:r>
      <w:r>
        <w:t>. Vláda přitom věnuje hlavní pozornost implementaci doporučení Rady, která ČR obdržela v roce 2013.</w:t>
      </w:r>
    </w:p>
    <w:p w:rsidR="001853D2" w:rsidRDefault="001853D2" w:rsidP="00E54029">
      <w:r w:rsidRPr="001853D2">
        <w:t>Vzhledem k tomu, že NPR není legislativním, nýbrž koncepčním materiálem, je třeba na opatření v něm zmiňovaná pohlížet jako na politické cíle vlády. V materiálu se prolínají reformní linie jednotlivých sektorů státní politiky podporující zvyšování konkurenceschopnosti a prosperity ČR. Program je rámcově koncipován na období uskutečňování Strategie Evropa 2020 se zřetelem na to, aby významné změny probíhaly v nejbližším časovém období. S ohledem na roční periodicitu aktualizace národních programů reforem je hlavní pozornost směřována na opatření, která mohou být realizována či alespoň započata v</w:t>
      </w:r>
      <w:r w:rsidR="00300B5C">
        <w:t> </w:t>
      </w:r>
      <w:r w:rsidRPr="001853D2">
        <w:t>roce 2014.</w:t>
      </w:r>
    </w:p>
    <w:p w:rsidR="001853D2" w:rsidRDefault="001853D2" w:rsidP="00E54029">
      <w:r w:rsidRPr="001853D2">
        <w:t xml:space="preserve">NPR je současně provázán s dalšími strategickými dokumenty v oblasti hospodářství a udržitelného rozvoje. </w:t>
      </w:r>
      <w:r w:rsidR="00EF2492">
        <w:t>C</w:t>
      </w:r>
      <w:r w:rsidRPr="001853D2">
        <w:t xml:space="preserve">ílem tohoto programu </w:t>
      </w:r>
      <w:r w:rsidR="00EF2492">
        <w:t xml:space="preserve">není </w:t>
      </w:r>
      <w:r w:rsidRPr="001853D2">
        <w:t xml:space="preserve">tyto materiály nahrazovat, nýbrž je vůči nim komplementárním dokumentem shrnujícím priority napříč hospodářskou politikou ČR.  </w:t>
      </w:r>
    </w:p>
    <w:p w:rsidR="00780A82" w:rsidRDefault="001853D2" w:rsidP="00E54029">
      <w:r w:rsidRPr="001853D2">
        <w:t>Cílem vlády je zároveň efektivní využívání prostředků evropských fondů, přičemž důraz klade na přínosy politiky soudržnosti pro konkurenceschopnost a udržitelný růst. NPR je v tomto duchu synergický s</w:t>
      </w:r>
      <w:r w:rsidR="00300B5C">
        <w:t> </w:t>
      </w:r>
      <w:r w:rsidRPr="001853D2">
        <w:t>Dohodou o partnerství pro programové období 2014 až 2020, která stanovuje cíle a priority pro efektivní využívání Evropských strukturálních a investičních fondů.</w:t>
      </w:r>
      <w:r>
        <w:t xml:space="preserve"> </w:t>
      </w:r>
      <w:r w:rsidR="009546FC" w:rsidRPr="009546FC">
        <w:t>Dohoda je strategickým dokumentem, založeným na důsledné analýze současné sociální a ekonomické situace, ekonomických trendů a potřeb Č</w:t>
      </w:r>
      <w:r w:rsidR="00E07D6F">
        <w:t>R</w:t>
      </w:r>
      <w:r w:rsidR="009546FC" w:rsidRPr="009546FC">
        <w:t>, na jejichž základě jsou stanoveny priority pro financování v letech 2014–2020 při současném sledování naplňování společných cílů EU.</w:t>
      </w:r>
    </w:p>
    <w:p w:rsidR="004B5806" w:rsidRDefault="004B5806" w:rsidP="00E54029">
      <w:r>
        <w:t xml:space="preserve">V části makroekonomické a fiskální </w:t>
      </w:r>
      <w:r w:rsidR="00337FBA">
        <w:t xml:space="preserve">politiky </w:t>
      </w:r>
      <w:r>
        <w:t>je NPR doplňován Konvergenčním programem 2014, je</w:t>
      </w:r>
      <w:r w:rsidR="00EF2492">
        <w:t>n</w:t>
      </w:r>
      <w:r>
        <w:t xml:space="preserve">ž konkrétněji </w:t>
      </w:r>
      <w:r w:rsidRPr="004B5806">
        <w:t xml:space="preserve">specifikuje základní souhrnné fiskální údaje a </w:t>
      </w:r>
      <w:r>
        <w:t xml:space="preserve">podává detailnější výčet </w:t>
      </w:r>
      <w:r w:rsidRPr="004B5806">
        <w:t>nejvýznamnější</w:t>
      </w:r>
      <w:r>
        <w:t>ch připravovaných</w:t>
      </w:r>
      <w:r w:rsidRPr="004B5806">
        <w:t xml:space="preserve"> opatření s rozpočtovým dopadem formou střednědobé fiskální strategie vlády.</w:t>
      </w:r>
      <w:r>
        <w:t xml:space="preserve"> </w:t>
      </w:r>
    </w:p>
    <w:p w:rsidR="00E54029" w:rsidRPr="00E54029" w:rsidRDefault="00E54029" w:rsidP="00E54029">
      <w:pPr>
        <w:pStyle w:val="Nadpis2"/>
        <w:numPr>
          <w:ilvl w:val="1"/>
          <w:numId w:val="4"/>
        </w:numPr>
        <w:ind w:left="851" w:hanging="851"/>
      </w:pPr>
      <w:bookmarkStart w:id="3" w:name="_Toc385339474"/>
      <w:r w:rsidRPr="00E54029">
        <w:t>Proces přípravy</w:t>
      </w:r>
      <w:bookmarkEnd w:id="3"/>
    </w:p>
    <w:p w:rsidR="003A72F9" w:rsidRDefault="003A1086" w:rsidP="003A72F9">
      <w:r>
        <w:t xml:space="preserve">Vláda </w:t>
      </w:r>
      <w:r w:rsidR="00C34E62">
        <w:t xml:space="preserve">považuje </w:t>
      </w:r>
      <w:r>
        <w:t>aktivní di</w:t>
      </w:r>
      <w:r w:rsidR="00C34E62">
        <w:t xml:space="preserve">alog se </w:t>
      </w:r>
      <w:r w:rsidR="00300B5C">
        <w:t xml:space="preserve">zástupci parlamentní reprezentace a </w:t>
      </w:r>
      <w:r w:rsidR="00C34E62">
        <w:t>sociá</w:t>
      </w:r>
      <w:r w:rsidR="00300B5C">
        <w:t xml:space="preserve">lními a hospodářskými partnery </w:t>
      </w:r>
      <w:r w:rsidR="00C34E62">
        <w:t xml:space="preserve">za jeden ze základních prvků účinné spolupráce a společenského konsenzu nad hospodářským směřováním </w:t>
      </w:r>
      <w:r w:rsidR="00B37A15">
        <w:t>země</w:t>
      </w:r>
      <w:r w:rsidR="00C34E62">
        <w:t>. V tomto smyslu usiluje o maximální možné zapojení širokého spektra zainteresov</w:t>
      </w:r>
      <w:r w:rsidR="00C34E62">
        <w:t>a</w:t>
      </w:r>
      <w:r w:rsidR="00C34E62">
        <w:t xml:space="preserve">ných aktérů do přípravy všech důležitých strategických dokumentů. </w:t>
      </w:r>
      <w:r w:rsidR="00EF2492">
        <w:t>NPR</w:t>
      </w:r>
      <w:r w:rsidR="00C34E62">
        <w:t xml:space="preserve"> byl </w:t>
      </w:r>
      <w:r w:rsidR="003A72F9">
        <w:t xml:space="preserve">již od počátečních fází </w:t>
      </w:r>
      <w:r w:rsidR="00C34E62" w:rsidRPr="00C34E62">
        <w:t xml:space="preserve">připravován v úzké součinnosti </w:t>
      </w:r>
      <w:r w:rsidR="003A72F9">
        <w:t xml:space="preserve">všech zainteresovaných aktérů, aby vznikl dostatečně široký prostor </w:t>
      </w:r>
      <w:r w:rsidR="00067D26">
        <w:t xml:space="preserve">pro zainteresovanou </w:t>
      </w:r>
      <w:r w:rsidR="003A72F9">
        <w:t>veřejnost ovlivnit</w:t>
      </w:r>
      <w:r w:rsidR="003A72F9" w:rsidRPr="003A72F9">
        <w:t xml:space="preserve"> </w:t>
      </w:r>
      <w:r w:rsidR="00EF2492">
        <w:t xml:space="preserve">jeho </w:t>
      </w:r>
      <w:r w:rsidR="003A72F9" w:rsidRPr="003A72F9">
        <w:t>obsah.</w:t>
      </w:r>
    </w:p>
    <w:p w:rsidR="003A72F9" w:rsidRDefault="003A72F9" w:rsidP="003A72F9">
      <w:r>
        <w:lastRenderedPageBreak/>
        <w:t xml:space="preserve">V období </w:t>
      </w:r>
      <w:r w:rsidR="00067D26">
        <w:t>od února do dubna</w:t>
      </w:r>
      <w:r>
        <w:t xml:space="preserve"> 2014 proběhla řada </w:t>
      </w:r>
      <w:r w:rsidRPr="003A72F9">
        <w:t>intenzivní</w:t>
      </w:r>
      <w:r>
        <w:t>ch</w:t>
      </w:r>
      <w:r w:rsidRPr="003A72F9">
        <w:t xml:space="preserve"> </w:t>
      </w:r>
      <w:r>
        <w:t xml:space="preserve">formálních i neformálních diskuzí </w:t>
      </w:r>
      <w:r w:rsidRPr="003A72F9">
        <w:t>za účasti dotčených rezortů</w:t>
      </w:r>
      <w:r w:rsidR="00B37A15">
        <w:t>,</w:t>
      </w:r>
      <w:r>
        <w:t xml:space="preserve"> </w:t>
      </w:r>
      <w:r w:rsidRPr="003A72F9">
        <w:t>reprezentantů Parlamentu ČR, hospodářských a sociálních partnerů</w:t>
      </w:r>
      <w:r>
        <w:t xml:space="preserve"> </w:t>
      </w:r>
      <w:r w:rsidRPr="003A72F9">
        <w:t>(zvl. Českomora</w:t>
      </w:r>
      <w:r w:rsidRPr="003A72F9">
        <w:t>v</w:t>
      </w:r>
      <w:r w:rsidRPr="003A72F9">
        <w:t>ské konfederace odborových svazů, Asociace samostatných odborů, Svazu průmyslu a dopravy ČR, Hospodářské komory ČR, Konfederace zaměstnavatelských a podnikatelských svazů ČR), Asociace krajů ČR, Svazu měst a obcí ČR, vysokých škol, akademické sféry, členů</w:t>
      </w:r>
      <w:r>
        <w:t xml:space="preserve"> </w:t>
      </w:r>
      <w:r w:rsidRPr="003A72F9">
        <w:t xml:space="preserve">nevládních organizací, Zastoupení Evropské komise v Praze, expertů </w:t>
      </w:r>
      <w:r>
        <w:t xml:space="preserve">z řad </w:t>
      </w:r>
      <w:r w:rsidRPr="003A72F9">
        <w:t>odborné veřejnosti.</w:t>
      </w:r>
      <w:r>
        <w:t xml:space="preserve"> </w:t>
      </w:r>
    </w:p>
    <w:p w:rsidR="00FA7E91" w:rsidRDefault="003A72F9" w:rsidP="003A72F9">
      <w:r>
        <w:t>Jednotlivá ministerstva na počátku přípravy vypracoval</w:t>
      </w:r>
      <w:r w:rsidR="00C176EE">
        <w:t>a</w:t>
      </w:r>
      <w:r>
        <w:t xml:space="preserve"> tematické návrhy, jež byly podkladem pro </w:t>
      </w:r>
      <w:r w:rsidR="004C3FEF">
        <w:t xml:space="preserve">následující </w:t>
      </w:r>
      <w:r>
        <w:t xml:space="preserve">odborné diskuze. Na základě výsledků tohoto dialogu poté </w:t>
      </w:r>
      <w:r w:rsidR="0001303C">
        <w:t xml:space="preserve">vláda </w:t>
      </w:r>
      <w:r>
        <w:t>v souladu s</w:t>
      </w:r>
      <w:r w:rsidR="004C3FEF">
        <w:t>e svým</w:t>
      </w:r>
      <w:r w:rsidR="0001303C">
        <w:t xml:space="preserve"> P</w:t>
      </w:r>
      <w:r>
        <w:t xml:space="preserve">rogramovým prohlášením </w:t>
      </w:r>
      <w:r w:rsidR="0001303C">
        <w:t>připravila</w:t>
      </w:r>
      <w:r w:rsidR="00FA7E91">
        <w:t xml:space="preserve"> návrh dokumentu, jenž byl opětovně diskutován se všemi</w:t>
      </w:r>
      <w:r w:rsidR="004C3FEF">
        <w:t xml:space="preserve"> zainteresovaným aktéry. </w:t>
      </w:r>
      <w:r w:rsidR="00E07D6F">
        <w:t xml:space="preserve">NPR </w:t>
      </w:r>
      <w:r w:rsidR="00FA7E91">
        <w:t xml:space="preserve">byl před schválením vládou projednán příslušnými výbory Poslanecké sněmovny </w:t>
      </w:r>
      <w:r w:rsidR="004C3FEF">
        <w:t xml:space="preserve">Parlamentu ČR </w:t>
      </w:r>
      <w:r w:rsidR="00FA7E91">
        <w:t>a Senátu Parlamentu ČR</w:t>
      </w:r>
      <w:r w:rsidR="00E07D6F">
        <w:t xml:space="preserve"> a </w:t>
      </w:r>
      <w:r w:rsidR="0001303C">
        <w:t>byl</w:t>
      </w:r>
      <w:r w:rsidR="00FA7E91">
        <w:t xml:space="preserve"> také projednán Pracovním týmem Rady hospodářské a sociální </w:t>
      </w:r>
      <w:r w:rsidR="00C176EE">
        <w:t>dohody</w:t>
      </w:r>
      <w:r w:rsidR="00FA7E91">
        <w:t xml:space="preserve"> pro EU</w:t>
      </w:r>
      <w:r w:rsidR="00067D26">
        <w:t>. Z</w:t>
      </w:r>
      <w:r w:rsidR="00FA7E91">
        <w:t xml:space="preserve">ástupci sociálních partnerů </w:t>
      </w:r>
      <w:r w:rsidR="00067D26">
        <w:t xml:space="preserve">i zástupci </w:t>
      </w:r>
      <w:r w:rsidR="00067D26" w:rsidRPr="003A72F9">
        <w:t>Evropské komise v</w:t>
      </w:r>
      <w:r w:rsidR="00067D26">
        <w:t> </w:t>
      </w:r>
      <w:r w:rsidR="00067D26" w:rsidRPr="003A72F9">
        <w:t>Praze</w:t>
      </w:r>
      <w:r w:rsidR="00067D26">
        <w:t xml:space="preserve"> několikrát </w:t>
      </w:r>
      <w:r w:rsidR="00FA7E91">
        <w:t>ocenili inkluzivní</w:t>
      </w:r>
      <w:r w:rsidR="00067D26">
        <w:t xml:space="preserve"> a široce pojatý způsob přípravy </w:t>
      </w:r>
      <w:r w:rsidR="0001303C">
        <w:t>dokumentu</w:t>
      </w:r>
      <w:r w:rsidR="00E07D6F">
        <w:t xml:space="preserve"> a zároveň poukázali na nutnost důsledné kontroly jeho implementace</w:t>
      </w:r>
      <w:r w:rsidR="0001303C">
        <w:t>.</w:t>
      </w:r>
      <w:r w:rsidR="004C3FEF">
        <w:t xml:space="preserve"> </w:t>
      </w:r>
    </w:p>
    <w:p w:rsidR="00FA7E91" w:rsidRDefault="00FA7E91" w:rsidP="00FA7E91">
      <w:r>
        <w:t xml:space="preserve">Hlavní snahou </w:t>
      </w:r>
      <w:r w:rsidR="00067D26">
        <w:t xml:space="preserve">vlády bylo, aby </w:t>
      </w:r>
      <w:r w:rsidR="008D19CE">
        <w:t xml:space="preserve">byl </w:t>
      </w:r>
      <w:r w:rsidR="00067D26">
        <w:t>celý proces přípravy</w:t>
      </w:r>
      <w:r>
        <w:t xml:space="preserve"> co nejvíce </w:t>
      </w:r>
      <w:r w:rsidRPr="00FA7E91">
        <w:t>transparentní, otevřený a inklu</w:t>
      </w:r>
      <w:r w:rsidR="009E52B2">
        <w:t>z</w:t>
      </w:r>
      <w:r w:rsidRPr="00FA7E91">
        <w:t>ivní</w:t>
      </w:r>
      <w:r w:rsidR="0001303C">
        <w:t xml:space="preserve"> a výsledný dokument byl v maximální možné míře konsensuální</w:t>
      </w:r>
      <w:r>
        <w:t xml:space="preserve">. Řady věcných námětů vláda využila k dílčím úpravám a doplněním materiálu. Některé </w:t>
      </w:r>
      <w:r w:rsidR="0001303C">
        <w:t xml:space="preserve">další </w:t>
      </w:r>
      <w:r>
        <w:t>podstatné náměty, jež do textu nemohly být promítnuty, využila vláda jako pod</w:t>
      </w:r>
      <w:r w:rsidR="008D19CE">
        <w:t>n</w:t>
      </w:r>
      <w:r>
        <w:t xml:space="preserve">ěty pro rozpracování </w:t>
      </w:r>
      <w:r w:rsidR="0001303C">
        <w:t xml:space="preserve">dalších konkrétnějších opatření v rámci </w:t>
      </w:r>
      <w:r>
        <w:t xml:space="preserve">plnění </w:t>
      </w:r>
      <w:r w:rsidR="00953BC3">
        <w:t xml:space="preserve">svého </w:t>
      </w:r>
      <w:r>
        <w:t xml:space="preserve">hospodářského programu.  </w:t>
      </w:r>
      <w:r w:rsidR="0001303C">
        <w:t>Ve výsledku NPR zohledňuje řadu připomínek a námětů ze strany veřejnosti</w:t>
      </w:r>
      <w:r w:rsidR="00AE2388">
        <w:t>,</w:t>
      </w:r>
      <w:r w:rsidR="0001303C">
        <w:t xml:space="preserve"> a tvoří tak </w:t>
      </w:r>
      <w:r w:rsidR="00067D26">
        <w:t>konsen</w:t>
      </w:r>
      <w:r w:rsidR="00EF2492">
        <w:t>z</w:t>
      </w:r>
      <w:r w:rsidR="00067D26">
        <w:t xml:space="preserve">uální </w:t>
      </w:r>
      <w:r w:rsidR="0001303C">
        <w:t>soubor priorit odpovídajících kompetencím vlády, jež vyplývají z ústavního pořádku ČR. Jelikož se jedná o dokument schvalovaný na úrovni vlády, nemůže ze své podstaty obsahovat opatření, jejichž plnění náleží do působnosti jiných orgánů.</w:t>
      </w:r>
      <w:r w:rsidR="00067D26">
        <w:t xml:space="preserve"> </w:t>
      </w:r>
    </w:p>
    <w:p w:rsidR="00E54029" w:rsidRPr="00E54029" w:rsidRDefault="00AB61CA" w:rsidP="00E54029">
      <w:pPr>
        <w:pStyle w:val="Nadpis2"/>
        <w:numPr>
          <w:ilvl w:val="1"/>
          <w:numId w:val="4"/>
        </w:numPr>
        <w:ind w:left="851" w:hanging="851"/>
      </w:pPr>
      <w:bookmarkStart w:id="4" w:name="_Toc385339475"/>
      <w:r>
        <w:t>Struktura dokumentu</w:t>
      </w:r>
      <w:bookmarkEnd w:id="4"/>
      <w:r w:rsidR="00E54029" w:rsidRPr="00E54029">
        <w:t xml:space="preserve"> </w:t>
      </w:r>
    </w:p>
    <w:p w:rsidR="009F1228" w:rsidRDefault="00AB61CA" w:rsidP="00E54029">
      <w:r>
        <w:t xml:space="preserve">Struktura i </w:t>
      </w:r>
      <w:r w:rsidR="00E54029">
        <w:t xml:space="preserve">obsah </w:t>
      </w:r>
      <w:r>
        <w:t>NPR</w:t>
      </w:r>
      <w:r w:rsidR="00337FBA">
        <w:t xml:space="preserve"> odpovídají</w:t>
      </w:r>
      <w:r w:rsidR="00E54029">
        <w:t xml:space="preserve"> </w:t>
      </w:r>
      <w:r w:rsidR="00783D95">
        <w:t xml:space="preserve">vodítkům </w:t>
      </w:r>
      <w:r w:rsidR="00E54029">
        <w:t xml:space="preserve">Evropské komise, která ČR obdržela v říjnu roku 2013. </w:t>
      </w:r>
      <w:r>
        <w:t>Stěžejní pozornost je věnována implementaci doporučení Rady, jež vláda považuje za důležit</w:t>
      </w:r>
      <w:r w:rsidR="00E07D6F">
        <w:t>é pr</w:t>
      </w:r>
      <w:r w:rsidR="00B37A15">
        <w:t>o</w:t>
      </w:r>
      <w:r>
        <w:t xml:space="preserve"> naplňování cílů Strategie Evropa 2020 na národní úrovni. </w:t>
      </w:r>
      <w:r w:rsidR="00783D95" w:rsidRPr="00783D95">
        <w:t>Základní směry reformního úsilí vlády se dále zobrazují ve čtyřech tematických okruzích</w:t>
      </w:r>
      <w:r>
        <w:t>:</w:t>
      </w:r>
    </w:p>
    <w:p w:rsidR="00E54029" w:rsidRDefault="00E07D6F" w:rsidP="00AB61CA">
      <w:pPr>
        <w:pStyle w:val="Odstavecseseznamem"/>
        <w:numPr>
          <w:ilvl w:val="0"/>
          <w:numId w:val="16"/>
        </w:numPr>
      </w:pPr>
      <w:r>
        <w:t xml:space="preserve">Transparentní </w:t>
      </w:r>
      <w:r w:rsidR="00E54029">
        <w:t>veřejné finance a efektivní instituce;</w:t>
      </w:r>
    </w:p>
    <w:p w:rsidR="00E54029" w:rsidRDefault="00AB61CA" w:rsidP="00AB61CA">
      <w:pPr>
        <w:pStyle w:val="Odstavecseseznamem"/>
        <w:numPr>
          <w:ilvl w:val="0"/>
          <w:numId w:val="16"/>
        </w:numPr>
      </w:pPr>
      <w:r w:rsidRPr="00AB61CA">
        <w:t>Atraktivní podnikatelské prostředí a rozvoj infrastruktury pro český průmysl</w:t>
      </w:r>
      <w:r w:rsidR="00E54029">
        <w:t>;</w:t>
      </w:r>
    </w:p>
    <w:p w:rsidR="00E54029" w:rsidRDefault="00AB61CA" w:rsidP="00AB61CA">
      <w:pPr>
        <w:pStyle w:val="Odstavecseseznamem"/>
        <w:numPr>
          <w:ilvl w:val="0"/>
          <w:numId w:val="16"/>
        </w:numPr>
      </w:pPr>
      <w:r w:rsidRPr="00AB61CA">
        <w:t>Fungující trh práce, vzdělávací systém a sociální začleňování</w:t>
      </w:r>
      <w:r>
        <w:t>;</w:t>
      </w:r>
    </w:p>
    <w:p w:rsidR="00E54029" w:rsidRDefault="00E54029" w:rsidP="00AB61CA">
      <w:pPr>
        <w:pStyle w:val="Odstavecseseznamem"/>
        <w:numPr>
          <w:ilvl w:val="0"/>
          <w:numId w:val="16"/>
        </w:numPr>
      </w:pPr>
      <w:r>
        <w:t xml:space="preserve">Růst založený na </w:t>
      </w:r>
      <w:r w:rsidR="00AB61CA">
        <w:t xml:space="preserve">výzkumu a </w:t>
      </w:r>
      <w:r>
        <w:t>inovacích</w:t>
      </w:r>
      <w:r w:rsidR="00AB61CA">
        <w:t>.</w:t>
      </w:r>
    </w:p>
    <w:p w:rsidR="00AB61CA" w:rsidRDefault="00E72522" w:rsidP="00AB61CA">
      <w:r w:rsidRPr="00E72522">
        <w:t xml:space="preserve">Zastřešující osou reformního úsilí je konsolidace fungování státu jako základní podmínka dalšího hospodářského, sociálního i environmentálního rozvoje </w:t>
      </w:r>
      <w:r>
        <w:t xml:space="preserve">ČR. </w:t>
      </w:r>
      <w:r w:rsidR="0077152A">
        <w:t xml:space="preserve">Jelikož je </w:t>
      </w:r>
      <w:r w:rsidR="00780A82">
        <w:t xml:space="preserve">NPR </w:t>
      </w:r>
      <w:r w:rsidR="00337FBA">
        <w:t xml:space="preserve">také </w:t>
      </w:r>
      <w:r w:rsidR="0077152A">
        <w:t>jedním z východisek pro definování národních priorit politiky soudržnosti EU, obsahuje samostatnou kapitolu, jež se věnuje implementaci</w:t>
      </w:r>
      <w:r w:rsidR="00AB61CA">
        <w:t xml:space="preserve"> politiky soudržnosti a využití programů</w:t>
      </w:r>
      <w:r w:rsidR="0077152A">
        <w:t xml:space="preserve"> </w:t>
      </w:r>
      <w:r w:rsidR="00AB61CA">
        <w:t>Evropských strukturálních a investičních fondů jako</w:t>
      </w:r>
      <w:r w:rsidR="0077152A">
        <w:t xml:space="preserve"> </w:t>
      </w:r>
      <w:r w:rsidR="00AB61CA">
        <w:t>nástrojů uskutečňování priorit Strategie Evropa 2020</w:t>
      </w:r>
      <w:r w:rsidR="0077152A">
        <w:t xml:space="preserve">. </w:t>
      </w:r>
    </w:p>
    <w:p w:rsidR="00E54029" w:rsidRDefault="00E54029" w:rsidP="00E54029">
      <w:r>
        <w:t>Provádění Národního programu reforem a plnění cílů</w:t>
      </w:r>
      <w:r w:rsidR="00AB61CA">
        <w:t xml:space="preserve"> </w:t>
      </w:r>
      <w:r>
        <w:t>Strategie Evropa 2020 je pravidelně sledováno a</w:t>
      </w:r>
      <w:r w:rsidR="00204478">
        <w:t> </w:t>
      </w:r>
      <w:r>
        <w:t>monitorováno</w:t>
      </w:r>
      <w:r w:rsidR="00AB61CA">
        <w:t xml:space="preserve"> </w:t>
      </w:r>
      <w:r>
        <w:t>ve spolupráci s Evropskou komisí podle společně</w:t>
      </w:r>
      <w:r w:rsidR="00AB61CA">
        <w:t xml:space="preserve"> </w:t>
      </w:r>
      <w:r>
        <w:t xml:space="preserve">dohodnuté metodiky. </w:t>
      </w:r>
      <w:r w:rsidR="00337FBA">
        <w:t>NPR</w:t>
      </w:r>
      <w:r>
        <w:t xml:space="preserve"> bude</w:t>
      </w:r>
      <w:r w:rsidR="00337FBA">
        <w:t xml:space="preserve"> i nadále</w:t>
      </w:r>
      <w:r>
        <w:t xml:space="preserve"> každoročně</w:t>
      </w:r>
      <w:r w:rsidR="00AB61CA">
        <w:t xml:space="preserve"> </w:t>
      </w:r>
      <w:r>
        <w:t>aktualizován a vždy do konce dubna postupován</w:t>
      </w:r>
      <w:r w:rsidR="00AB61CA">
        <w:t xml:space="preserve"> </w:t>
      </w:r>
      <w:r>
        <w:t>Evropské komisi za účelem vyhodnocení makroekonomických</w:t>
      </w:r>
      <w:r w:rsidR="00AB61CA">
        <w:t xml:space="preserve"> </w:t>
      </w:r>
      <w:r>
        <w:t>a strukturálních opatř</w:t>
      </w:r>
      <w:r w:rsidR="00AB61CA">
        <w:t xml:space="preserve">ení a zpřesnění dalšího postupu </w:t>
      </w:r>
      <w:r>
        <w:t>k plnění dlouhodobých cílů.</w:t>
      </w:r>
    </w:p>
    <w:p w:rsidR="0001303C" w:rsidRPr="00E54029" w:rsidRDefault="0001303C" w:rsidP="0001303C">
      <w:pPr>
        <w:pStyle w:val="Nadpis2"/>
        <w:numPr>
          <w:ilvl w:val="1"/>
          <w:numId w:val="4"/>
        </w:numPr>
        <w:ind w:left="851" w:hanging="851"/>
      </w:pPr>
      <w:bookmarkStart w:id="5" w:name="_Toc385339476"/>
      <w:r>
        <w:t xml:space="preserve">Dopady </w:t>
      </w:r>
      <w:r w:rsidR="00067D26">
        <w:t xml:space="preserve">a realizace reformních </w:t>
      </w:r>
      <w:r>
        <w:t>opatření</w:t>
      </w:r>
      <w:bookmarkEnd w:id="5"/>
    </w:p>
    <w:p w:rsidR="002D6A39" w:rsidRDefault="00067D26" w:rsidP="002D6A39">
      <w:r>
        <w:t xml:space="preserve">Součástí výsledné podoby </w:t>
      </w:r>
      <w:r w:rsidR="009E52B2">
        <w:t xml:space="preserve">NPR </w:t>
      </w:r>
      <w:r>
        <w:t>jsou také přílohy obsahující d</w:t>
      </w:r>
      <w:r w:rsidRPr="00067D26">
        <w:t>opady jednotlivých reformních opatření a časový harmonogram</w:t>
      </w:r>
      <w:r>
        <w:t xml:space="preserve"> jejich plnění. Výčet </w:t>
      </w:r>
      <w:r w:rsidRPr="00067D26">
        <w:t>kvalitativních a kvantitativních dopadů</w:t>
      </w:r>
      <w:r>
        <w:t xml:space="preserve">, </w:t>
      </w:r>
      <w:r w:rsidR="00EF2492" w:rsidRPr="00EF2492">
        <w:t xml:space="preserve">včetně dopadů </w:t>
      </w:r>
      <w:r w:rsidR="009E52B2">
        <w:t>na veřejné rozpočty</w:t>
      </w:r>
      <w:r w:rsidR="0096059B">
        <w:t xml:space="preserve">, představuje indikativní politické cíle vlády. </w:t>
      </w:r>
      <w:r w:rsidR="0096059B" w:rsidRPr="00067D26">
        <w:t xml:space="preserve">Přesné dopady </w:t>
      </w:r>
      <w:r w:rsidR="0096059B">
        <w:t xml:space="preserve">a předpokládané náklady </w:t>
      </w:r>
      <w:r w:rsidR="0096059B" w:rsidRPr="00067D26">
        <w:lastRenderedPageBreak/>
        <w:t xml:space="preserve">plánovaných strukturálních opatření není </w:t>
      </w:r>
      <w:r w:rsidR="0096059B">
        <w:t xml:space="preserve">s ohledem na fázi přípravy </w:t>
      </w:r>
      <w:r w:rsidR="0096059B" w:rsidRPr="00067D26">
        <w:t xml:space="preserve">možné </w:t>
      </w:r>
      <w:r w:rsidR="0096059B">
        <w:t xml:space="preserve">mnohdy </w:t>
      </w:r>
      <w:r w:rsidR="0096059B" w:rsidRPr="00067D26">
        <w:t xml:space="preserve">předem </w:t>
      </w:r>
      <w:r w:rsidR="0096059B">
        <w:t xml:space="preserve">určit či </w:t>
      </w:r>
      <w:r w:rsidR="0096059B" w:rsidRPr="00067D26">
        <w:t>vyčíslit.</w:t>
      </w:r>
      <w:r w:rsidR="0096059B">
        <w:t xml:space="preserve"> </w:t>
      </w:r>
      <w:r w:rsidR="002D6A39">
        <w:t xml:space="preserve">Přesná výše </w:t>
      </w:r>
      <w:r w:rsidR="00147829">
        <w:t>dopadů</w:t>
      </w:r>
      <w:r w:rsidR="002D6A39">
        <w:t xml:space="preserve"> na veřejné rozpočty se pro nadcházející roky můž</w:t>
      </w:r>
      <w:r w:rsidR="00AE2388">
        <w:t>e měnit v závislosti na přípravě</w:t>
      </w:r>
      <w:r w:rsidR="002D6A39">
        <w:t xml:space="preserve"> státního</w:t>
      </w:r>
      <w:r w:rsidR="002D6A39" w:rsidRPr="002D6A39">
        <w:t xml:space="preserve"> rozpočtu</w:t>
      </w:r>
      <w:r w:rsidR="002D6A39">
        <w:t xml:space="preserve"> pro rok 2015 a výhledu na léta 2016 až 2017.</w:t>
      </w:r>
    </w:p>
    <w:p w:rsidR="00843D62" w:rsidRDefault="0096059B" w:rsidP="00843D62">
      <w:r>
        <w:t>Výčet kvalitativních a kvantitativních dopadů však vláda vnímá jako možnost efektivně určovat přínosy jednotlivých reformních opatření pro ekonomiku země. Na základě těchto dat a v reakci na aktuální výhled ekonomiky byla do NPR vybrána prorůstová opatření, u nichž vláda identifikovala potenciál pozitivních dopadů na zaměstnanost</w:t>
      </w:r>
      <w:r w:rsidR="00843D62">
        <w:t>, efektivitu trhu práce</w:t>
      </w:r>
      <w:r>
        <w:t>,</w:t>
      </w:r>
      <w:r w:rsidR="00843D62">
        <w:t xml:space="preserve"> životní úroveň obyvatel,</w:t>
      </w:r>
      <w:r>
        <w:t xml:space="preserve"> efektivitu nakládání s veřejnými prostředky, </w:t>
      </w:r>
      <w:r w:rsidR="00843D62">
        <w:t xml:space="preserve">životní prostředí, konkurenceschopnost podniků a rozvoj vzdělanosti občanů ČR. </w:t>
      </w:r>
      <w:r w:rsidR="00E07D6F">
        <w:t xml:space="preserve">Důkladně byly přitom zváženy </w:t>
      </w:r>
      <w:r w:rsidR="00843D62">
        <w:t xml:space="preserve">dopady </w:t>
      </w:r>
      <w:r w:rsidR="00E07D6F">
        <w:t>na</w:t>
      </w:r>
      <w:r w:rsidR="00843D62">
        <w:t xml:space="preserve"> ohrožené skupiny obyvatel a rovnoměrný rozvoj krajů a obcí.</w:t>
      </w:r>
      <w:r w:rsidR="003D3B60">
        <w:t xml:space="preserve"> Cílem materiálu je v tomto ohledu maximálně reflektovat současné výzvy ekonomiky země a zároveň zohledňovat potřeby zaměstnavatelů, zaměstnanců i sociálně ohrožených obyvatel. </w:t>
      </w:r>
    </w:p>
    <w:p w:rsidR="009A364D" w:rsidRDefault="00843D62" w:rsidP="00995253">
      <w:r>
        <w:t xml:space="preserve">Dokument také obsahuje </w:t>
      </w:r>
      <w:r w:rsidR="00B77567">
        <w:t xml:space="preserve">indikativní </w:t>
      </w:r>
      <w:r>
        <w:t>h</w:t>
      </w:r>
      <w:r w:rsidR="00FA7E91">
        <w:t>armonogram implementace jednotlivých opatření</w:t>
      </w:r>
      <w:r w:rsidR="00B77567">
        <w:t xml:space="preserve">, </w:t>
      </w:r>
      <w:r>
        <w:t xml:space="preserve">jehož plnění bude pravidelně monitorováno a vyhodnocováno </w:t>
      </w:r>
      <w:r w:rsidR="00FA7E91">
        <w:t>Úřad</w:t>
      </w:r>
      <w:r>
        <w:t>em</w:t>
      </w:r>
      <w:r w:rsidR="00FA7E91">
        <w:t xml:space="preserve"> vlády </w:t>
      </w:r>
      <w:r w:rsidR="009E52B2">
        <w:t xml:space="preserve">ČR </w:t>
      </w:r>
      <w:r>
        <w:t xml:space="preserve">při plné součinnosti všech gesčně odpovědných rezortů. </w:t>
      </w:r>
      <w:r w:rsidR="00B77567">
        <w:t xml:space="preserve">Naplňování harmonogramu bude </w:t>
      </w:r>
      <w:r w:rsidR="009A364D">
        <w:t xml:space="preserve">také </w:t>
      </w:r>
      <w:r w:rsidR="00B77567">
        <w:t>pravidelně hodnoceno vládou</w:t>
      </w:r>
      <w:r w:rsidR="009A364D">
        <w:t xml:space="preserve"> formou hodnotících zpráv stavu implementace reformních opatření v předem stanovených pravidelných termínech.  </w:t>
      </w:r>
    </w:p>
    <w:p w:rsidR="009A364D" w:rsidRDefault="009A364D" w:rsidP="00995253"/>
    <w:p w:rsidR="009A364D" w:rsidRDefault="009A364D" w:rsidP="00995253">
      <w:r>
        <w:t xml:space="preserve"> </w:t>
      </w:r>
    </w:p>
    <w:p w:rsidR="009A364D" w:rsidRDefault="009A364D">
      <w:pPr>
        <w:spacing w:after="0"/>
        <w:ind w:firstLine="360"/>
        <w:jc w:val="left"/>
        <w:rPr>
          <w:rFonts w:asciiTheme="majorHAnsi" w:eastAsiaTheme="majorEastAsia" w:hAnsiTheme="majorHAnsi" w:cstheme="majorBidi"/>
          <w:b/>
          <w:bCs/>
          <w:color w:val="9D3511" w:themeColor="accent1" w:themeShade="BF"/>
          <w:sz w:val="30"/>
          <w:szCs w:val="24"/>
        </w:rPr>
      </w:pPr>
      <w:r>
        <w:br w:type="page"/>
      </w:r>
    </w:p>
    <w:p w:rsidR="00946869" w:rsidRDefault="00946869" w:rsidP="001202C4">
      <w:pPr>
        <w:pStyle w:val="Nadpis1"/>
        <w:numPr>
          <w:ilvl w:val="0"/>
          <w:numId w:val="4"/>
        </w:numPr>
      </w:pPr>
      <w:bookmarkStart w:id="6" w:name="_Toc385339477"/>
      <w:r w:rsidRPr="00946869">
        <w:lastRenderedPageBreak/>
        <w:t xml:space="preserve">Aktuální makroekonomická predikce České </w:t>
      </w:r>
      <w:r w:rsidRPr="009C3A9D">
        <w:t>republiky</w:t>
      </w:r>
      <w:bookmarkEnd w:id="6"/>
    </w:p>
    <w:p w:rsidR="009D694C" w:rsidRDefault="009D694C" w:rsidP="009D694C">
      <w:r>
        <w:t>Podle aktuálních dat Č</w:t>
      </w:r>
      <w:r w:rsidR="00320582">
        <w:t xml:space="preserve">eského statistického úřadu (ČSÚ) </w:t>
      </w:r>
      <w:r>
        <w:t>se reálný HDP za celý rok 2013 snížil o 0,9 %. Překvapivě silný mezičtvrtletní růst o 1,8 % ve 4. čtvrtletí 2013 byl sice z větší části dán jednorázovými faktory (předzásobení se cigaretovými kolky v souvislosti se zvýšením spotřební daně z cigaret k 1. 1. 2014), což se negativně promítne do růstu zejména v 1. čtvrtletí tohoto roku, pozvolné oživování ekonomické aktivity by ale mělo pokračovat. HDP by tak v letošním roce mohl vzrůst o 1,7 %, v dalších letech by se růst mohl zrychlovat až na 2,5 % v roce 2017. V horizontu predikce i výhledu by všechny výdajové složky měly k růstu HDP přispívat kladně.</w:t>
      </w:r>
    </w:p>
    <w:p w:rsidR="009D694C" w:rsidRDefault="009D694C" w:rsidP="009D694C">
      <w:r>
        <w:t>Navzdory oslabení koruny vlivem devizových intervencí Č</w:t>
      </w:r>
      <w:r w:rsidR="00BC4CBB">
        <w:t xml:space="preserve">eské národní banky (ČNB) </w:t>
      </w:r>
      <w:r>
        <w:t xml:space="preserve">by se rok 2014 měl vyznačovat velmi nízkou inflací. Na rozdíl od předchozích let by totiž během celého letošního roku měly administrativní vlivy (zejména pokles cen elektřiny) působit protiinflačně. Míra inflace by tak letos mohla dosáhnout 1,0 %. V roce 2015 by se růst spotřebitelských cen mohl v souvislosti s oživením ekonomiky a zpožděným působením oslabené koruny zrychlit na 2,3 %. Předpokládané zavedení třetí sazby DPH ve výši 10 % na vybrané zboží a služby od </w:t>
      </w:r>
      <w:proofErr w:type="gramStart"/>
      <w:r w:rsidR="00605F4E">
        <w:t>1.1.</w:t>
      </w:r>
      <w:r>
        <w:t>2015</w:t>
      </w:r>
      <w:proofErr w:type="gramEnd"/>
      <w:r>
        <w:t xml:space="preserve"> bude spolu se zrušením poplatků za návštěvu lékaře působit mírně protiinflačně. V </w:t>
      </w:r>
      <w:r w:rsidR="00A710CD">
        <w:t xml:space="preserve">letech 2016 i </w:t>
      </w:r>
      <w:r>
        <w:t xml:space="preserve">2017 by se </w:t>
      </w:r>
      <w:r w:rsidR="00A710CD">
        <w:t xml:space="preserve">pak </w:t>
      </w:r>
      <w:r>
        <w:t>inflace měla nacházet v těsné blízkosti inflačního cíle ČNB.</w:t>
      </w:r>
    </w:p>
    <w:p w:rsidR="009D694C" w:rsidRDefault="009D694C" w:rsidP="009D694C">
      <w:r>
        <w:t>Snaha zaměstnavatelů o zvyšování produktivity práce by měla vést k jen minimálnímu růstu zaměstnano</w:t>
      </w:r>
      <w:r>
        <w:t>s</w:t>
      </w:r>
      <w:r>
        <w:t>ti v tomto i příštím roce. Dopad předpokládáme též na míru nezaměstnanosti (VŠPS), která by se v obou letech měla i přes pozvolný růst ekonomiky snižovat jen nepatrně. Mírný růst zaměstnanosti a jen pozvolné snižování míry nezaměstnanosti by měly charakterizovat vývoj na trhu práce i v letech výhledu.</w:t>
      </w:r>
    </w:p>
    <w:p w:rsidR="009D694C" w:rsidRDefault="009D694C" w:rsidP="009D694C">
      <w:r>
        <w:t>Objem mezd a platů by se letos mohl zvýšit jen o 1,8 %, pro rok 2015 pak počítáme se zrychlením růstu na 3,5 %. Obdobným tempem by mzdy a platy mohly růst i v roce 2016, v roce 2017 by se pak jejich růst mohl mírně zrychlit na 4,1 %. Poměr náhrad zaměstnancům k nominálnímu HDP by se tak letos měl výrazněji snížit, v dalších letech by měl nepatrně růst.</w:t>
      </w:r>
    </w:p>
    <w:p w:rsidR="00B26170" w:rsidRDefault="009D694C" w:rsidP="00B26170">
      <w:r>
        <w:t>Očekáváme, že zejména díky příznivému vývoji salda zahraničního obchodu bude deficit běžného účtu platební bilance prakticky zanedbatelný.</w:t>
      </w:r>
      <w:r w:rsidR="00B26170" w:rsidRPr="00B26170">
        <w:t xml:space="preserve"> </w:t>
      </w:r>
      <w:r w:rsidR="00B26170">
        <w:t>Rizika predikce vnímáme jako vyrovnaná.</w:t>
      </w:r>
    </w:p>
    <w:p w:rsidR="00B26170" w:rsidRDefault="00B26170" w:rsidP="00B26170">
      <w:pPr>
        <w:pStyle w:val="Titulek"/>
        <w:keepNext/>
      </w:pPr>
      <w:r>
        <w:t xml:space="preserve">Tabulka </w:t>
      </w:r>
      <w:fldSimple w:instr=" SEQ Tabulka \* ARABIC ">
        <w:r w:rsidR="001439D0">
          <w:rPr>
            <w:noProof/>
          </w:rPr>
          <w:t>1</w:t>
        </w:r>
      </w:fldSimple>
      <w:r>
        <w:t xml:space="preserve">: </w:t>
      </w:r>
      <w:r w:rsidRPr="00B26170">
        <w:t>Hlavní makroekonomické indikátory</w:t>
      </w:r>
    </w:p>
    <w:tbl>
      <w:tblPr>
        <w:tblStyle w:val="Svtlstnovnzvraznn2"/>
        <w:tblW w:w="5000" w:type="pct"/>
        <w:tblLook w:val="04A0" w:firstRow="1" w:lastRow="0" w:firstColumn="1" w:lastColumn="0" w:noHBand="0" w:noVBand="1"/>
      </w:tblPr>
      <w:tblGrid>
        <w:gridCol w:w="2586"/>
        <w:gridCol w:w="1122"/>
        <w:gridCol w:w="555"/>
        <w:gridCol w:w="556"/>
        <w:gridCol w:w="562"/>
        <w:gridCol w:w="562"/>
        <w:gridCol w:w="562"/>
        <w:gridCol w:w="746"/>
        <w:gridCol w:w="747"/>
        <w:gridCol w:w="645"/>
        <w:gridCol w:w="645"/>
      </w:tblGrid>
      <w:tr w:rsidR="00305FF5" w:rsidRPr="00B01B84" w:rsidTr="00583F1B">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center"/>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 </w:t>
            </w:r>
          </w:p>
        </w:tc>
        <w:tc>
          <w:tcPr>
            <w:tcW w:w="604" w:type="pct"/>
            <w:noWrap/>
            <w:hideMark/>
          </w:tcPr>
          <w:p w:rsidR="00B26170" w:rsidRPr="00B26170" w:rsidRDefault="00B26170" w:rsidP="00B26170">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w:t>
            </w:r>
          </w:p>
        </w:tc>
        <w:tc>
          <w:tcPr>
            <w:tcW w:w="299" w:type="pct"/>
            <w:noWrap/>
            <w:hideMark/>
          </w:tcPr>
          <w:p w:rsidR="00B26170" w:rsidRPr="00B26170"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2009</w:t>
            </w:r>
          </w:p>
        </w:tc>
        <w:tc>
          <w:tcPr>
            <w:tcW w:w="300" w:type="pct"/>
            <w:noWrap/>
            <w:hideMark/>
          </w:tcPr>
          <w:p w:rsidR="00B26170" w:rsidRPr="00B26170"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2010</w:t>
            </w:r>
          </w:p>
        </w:tc>
        <w:tc>
          <w:tcPr>
            <w:tcW w:w="303" w:type="pct"/>
            <w:noWrap/>
            <w:hideMark/>
          </w:tcPr>
          <w:p w:rsidR="00B26170" w:rsidRPr="00B26170"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2011</w:t>
            </w:r>
          </w:p>
        </w:tc>
        <w:tc>
          <w:tcPr>
            <w:tcW w:w="303" w:type="pct"/>
            <w:noWrap/>
            <w:hideMark/>
          </w:tcPr>
          <w:p w:rsidR="00B26170" w:rsidRPr="00B26170"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2012</w:t>
            </w:r>
          </w:p>
        </w:tc>
        <w:tc>
          <w:tcPr>
            <w:tcW w:w="303" w:type="pct"/>
            <w:noWrap/>
            <w:hideMark/>
          </w:tcPr>
          <w:p w:rsidR="00B26170" w:rsidRPr="00B26170"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2013</w:t>
            </w:r>
          </w:p>
        </w:tc>
        <w:tc>
          <w:tcPr>
            <w:tcW w:w="402" w:type="pct"/>
            <w:noWrap/>
            <w:hideMark/>
          </w:tcPr>
          <w:p w:rsidR="00B26170" w:rsidRPr="00B01B84"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2014</w:t>
            </w:r>
          </w:p>
          <w:p w:rsidR="00305FF5" w:rsidRPr="00B26170" w:rsidRDefault="00305FF5"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i/>
                <w:iCs/>
                <w:sz w:val="15"/>
                <w:szCs w:val="15"/>
                <w:lang w:eastAsia="cs-CZ"/>
              </w:rPr>
              <w:t>Predikce</w:t>
            </w:r>
          </w:p>
        </w:tc>
        <w:tc>
          <w:tcPr>
            <w:tcW w:w="402" w:type="pct"/>
            <w:noWrap/>
            <w:hideMark/>
          </w:tcPr>
          <w:p w:rsidR="00B26170" w:rsidRPr="00B01B84"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2015</w:t>
            </w:r>
          </w:p>
          <w:p w:rsidR="00305FF5" w:rsidRPr="00B26170" w:rsidRDefault="00305FF5"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i/>
                <w:iCs/>
                <w:sz w:val="15"/>
                <w:szCs w:val="15"/>
                <w:lang w:eastAsia="cs-CZ"/>
              </w:rPr>
              <w:t>Predikce</w:t>
            </w:r>
          </w:p>
        </w:tc>
        <w:tc>
          <w:tcPr>
            <w:tcW w:w="347" w:type="pct"/>
            <w:noWrap/>
            <w:hideMark/>
          </w:tcPr>
          <w:p w:rsidR="00B26170" w:rsidRPr="00B01B84"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2016</w:t>
            </w:r>
          </w:p>
          <w:p w:rsidR="00305FF5" w:rsidRPr="00B26170" w:rsidRDefault="00305FF5"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i/>
                <w:iCs/>
                <w:sz w:val="15"/>
                <w:szCs w:val="15"/>
                <w:lang w:eastAsia="cs-CZ"/>
              </w:rPr>
              <w:t>Výhled</w:t>
            </w:r>
          </w:p>
        </w:tc>
        <w:tc>
          <w:tcPr>
            <w:tcW w:w="347" w:type="pct"/>
            <w:noWrap/>
            <w:hideMark/>
          </w:tcPr>
          <w:p w:rsidR="00B26170" w:rsidRPr="00B01B84" w:rsidRDefault="00B26170"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2017</w:t>
            </w:r>
          </w:p>
          <w:p w:rsidR="00305FF5" w:rsidRPr="00B26170" w:rsidRDefault="00305FF5" w:rsidP="00305FF5">
            <w:pPr>
              <w:spacing w:after="0"/>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Arial CE"/>
                <w:sz w:val="15"/>
                <w:szCs w:val="15"/>
                <w:lang w:eastAsia="cs-CZ"/>
              </w:rPr>
            </w:pPr>
            <w:r w:rsidRPr="00B26170">
              <w:rPr>
                <w:rFonts w:ascii="Calibri" w:eastAsia="Times New Roman" w:hAnsi="Calibri" w:cs="Arial CE"/>
                <w:i/>
                <w:iCs/>
                <w:sz w:val="15"/>
                <w:szCs w:val="15"/>
                <w:lang w:eastAsia="cs-CZ"/>
              </w:rPr>
              <w:t>Výhled</w:t>
            </w: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Hrubý domácí produkt</w:t>
            </w:r>
          </w:p>
        </w:tc>
        <w:tc>
          <w:tcPr>
            <w:tcW w:w="604" w:type="pct"/>
            <w:noWrap/>
            <w:hideMark/>
          </w:tcPr>
          <w:p w:rsidR="00B26170" w:rsidRPr="00B26170"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xml:space="preserve">mld. Kč, </w:t>
            </w:r>
            <w:proofErr w:type="spellStart"/>
            <w:r w:rsidRPr="00B26170">
              <w:rPr>
                <w:rFonts w:ascii="Calibri" w:eastAsia="Times New Roman" w:hAnsi="Calibri" w:cs="Arial CE"/>
                <w:i/>
                <w:iCs/>
                <w:sz w:val="15"/>
                <w:szCs w:val="15"/>
                <w:lang w:eastAsia="cs-CZ"/>
              </w:rPr>
              <w:t>b.c</w:t>
            </w:r>
            <w:proofErr w:type="spellEnd"/>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3 759</w:t>
            </w:r>
          </w:p>
        </w:tc>
        <w:tc>
          <w:tcPr>
            <w:tcW w:w="300"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3 791</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3 823</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3 846</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3 884</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4 023</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4 173</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4 303</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4 471</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Hrubý domácí produkt</w:t>
            </w:r>
          </w:p>
        </w:tc>
        <w:tc>
          <w:tcPr>
            <w:tcW w:w="604" w:type="pct"/>
            <w:noWrap/>
            <w:hideMark/>
          </w:tcPr>
          <w:p w:rsidR="00B26170" w:rsidRPr="00B26170" w:rsidRDefault="00B26170"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xml:space="preserve">růst v %, </w:t>
            </w:r>
            <w:proofErr w:type="spellStart"/>
            <w:r w:rsidRPr="00B26170">
              <w:rPr>
                <w:rFonts w:ascii="Calibri" w:eastAsia="Times New Roman" w:hAnsi="Calibri" w:cs="Arial CE"/>
                <w:i/>
                <w:iCs/>
                <w:sz w:val="15"/>
                <w:szCs w:val="15"/>
                <w:lang w:eastAsia="cs-CZ"/>
              </w:rPr>
              <w:t>s.c</w:t>
            </w:r>
            <w:proofErr w:type="spellEnd"/>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-4,5</w:t>
            </w:r>
          </w:p>
        </w:tc>
        <w:tc>
          <w:tcPr>
            <w:tcW w:w="300"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2,5</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1,8</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-0,9</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1,7</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2,0</w:t>
            </w:r>
          </w:p>
        </w:tc>
        <w:tc>
          <w:tcPr>
            <w:tcW w:w="347" w:type="pct"/>
            <w:noWrap/>
            <w:hideMark/>
          </w:tcPr>
          <w:p w:rsidR="00B26170" w:rsidRPr="00B26170" w:rsidRDefault="00B26170" w:rsidP="009E60BF">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w:t>
            </w:r>
            <w:r w:rsidR="009E60BF">
              <w:rPr>
                <w:rFonts w:ascii="Calibri" w:eastAsia="Times New Roman" w:hAnsi="Calibri" w:cs="Arial CE"/>
                <w:bCs/>
                <w:sz w:val="15"/>
                <w:szCs w:val="15"/>
                <w:lang w:eastAsia="cs-CZ"/>
              </w:rPr>
              <w:t>1</w:t>
            </w:r>
            <w:r w:rsidR="00305FF5" w:rsidRPr="00B01B84">
              <w:rPr>
                <w:rFonts w:ascii="Calibri" w:eastAsia="Times New Roman" w:hAnsi="Calibri" w:cs="Arial CE"/>
                <w:bCs/>
                <w:sz w:val="15"/>
                <w:szCs w:val="15"/>
                <w:lang w:eastAsia="cs-CZ"/>
              </w:rPr>
              <w:t xml:space="preserve"> </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2,5</w:t>
            </w: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Spotřeba domácností</w:t>
            </w:r>
          </w:p>
        </w:tc>
        <w:tc>
          <w:tcPr>
            <w:tcW w:w="604" w:type="pct"/>
            <w:noWrap/>
            <w:hideMark/>
          </w:tcPr>
          <w:p w:rsidR="00B26170" w:rsidRPr="00B26170"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xml:space="preserve">růst v %, </w:t>
            </w:r>
            <w:proofErr w:type="spellStart"/>
            <w:r w:rsidRPr="00B26170">
              <w:rPr>
                <w:rFonts w:ascii="Calibri" w:eastAsia="Times New Roman" w:hAnsi="Calibri" w:cs="Arial CE"/>
                <w:i/>
                <w:iCs/>
                <w:sz w:val="15"/>
                <w:szCs w:val="15"/>
                <w:lang w:eastAsia="cs-CZ"/>
              </w:rPr>
              <w:t>s.c</w:t>
            </w:r>
            <w:proofErr w:type="spellEnd"/>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0,2</w:t>
            </w:r>
          </w:p>
        </w:tc>
        <w:tc>
          <w:tcPr>
            <w:tcW w:w="300"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0,9</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0,5</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-2,1</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0,1</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0,6</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1,5</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1,9</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1,9</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Spotřeba vlády</w:t>
            </w:r>
          </w:p>
        </w:tc>
        <w:tc>
          <w:tcPr>
            <w:tcW w:w="604" w:type="pct"/>
            <w:noWrap/>
            <w:hideMark/>
          </w:tcPr>
          <w:p w:rsidR="00B26170" w:rsidRPr="00B26170" w:rsidRDefault="00B26170"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xml:space="preserve">růst v %, </w:t>
            </w:r>
            <w:proofErr w:type="spellStart"/>
            <w:r w:rsidRPr="00B26170">
              <w:rPr>
                <w:rFonts w:ascii="Calibri" w:eastAsia="Times New Roman" w:hAnsi="Calibri" w:cs="Arial CE"/>
                <w:i/>
                <w:iCs/>
                <w:sz w:val="15"/>
                <w:szCs w:val="15"/>
                <w:lang w:eastAsia="cs-CZ"/>
              </w:rPr>
              <w:t>s.c</w:t>
            </w:r>
            <w:proofErr w:type="spellEnd"/>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4,0</w:t>
            </w:r>
          </w:p>
        </w:tc>
        <w:tc>
          <w:tcPr>
            <w:tcW w:w="300"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0,2</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-2,7</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-1,9</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1,6</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0,8</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0,7</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1,2</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1,2</w:t>
            </w: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Tvorba hrubého fixního kapitálu</w:t>
            </w:r>
          </w:p>
        </w:tc>
        <w:tc>
          <w:tcPr>
            <w:tcW w:w="604" w:type="pct"/>
            <w:noWrap/>
            <w:hideMark/>
          </w:tcPr>
          <w:p w:rsidR="00B26170" w:rsidRPr="00B26170"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xml:space="preserve">růst v %, </w:t>
            </w:r>
            <w:proofErr w:type="spellStart"/>
            <w:r w:rsidRPr="00B26170">
              <w:rPr>
                <w:rFonts w:ascii="Calibri" w:eastAsia="Times New Roman" w:hAnsi="Calibri" w:cs="Arial CE"/>
                <w:i/>
                <w:iCs/>
                <w:sz w:val="15"/>
                <w:szCs w:val="15"/>
                <w:lang w:eastAsia="cs-CZ"/>
              </w:rPr>
              <w:t>s.c</w:t>
            </w:r>
            <w:proofErr w:type="spellEnd"/>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-11,0</w:t>
            </w:r>
          </w:p>
        </w:tc>
        <w:tc>
          <w:tcPr>
            <w:tcW w:w="300"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0,4</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-4,5</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-3,5</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2,7</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2,0</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2,1</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3,1</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 xml:space="preserve">Příspěvek </w:t>
            </w:r>
            <w:proofErr w:type="spellStart"/>
            <w:r w:rsidRPr="00B26170">
              <w:rPr>
                <w:rFonts w:ascii="Calibri" w:eastAsia="Times New Roman" w:hAnsi="Calibri" w:cs="Arial CE"/>
                <w:sz w:val="15"/>
                <w:szCs w:val="15"/>
                <w:lang w:eastAsia="cs-CZ"/>
              </w:rPr>
              <w:t>zahr</w:t>
            </w:r>
            <w:proofErr w:type="spellEnd"/>
            <w:r w:rsidRPr="00B26170">
              <w:rPr>
                <w:rFonts w:ascii="Calibri" w:eastAsia="Times New Roman" w:hAnsi="Calibri" w:cs="Arial CE"/>
                <w:sz w:val="15"/>
                <w:szCs w:val="15"/>
                <w:lang w:eastAsia="cs-CZ"/>
              </w:rPr>
              <w:t>. obchodu k růstu HDP</w:t>
            </w:r>
          </w:p>
        </w:tc>
        <w:tc>
          <w:tcPr>
            <w:tcW w:w="604" w:type="pct"/>
            <w:noWrap/>
            <w:hideMark/>
          </w:tcPr>
          <w:p w:rsidR="00B26170" w:rsidRPr="00B26170" w:rsidRDefault="00B26170"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proofErr w:type="spellStart"/>
            <w:r w:rsidRPr="00B26170">
              <w:rPr>
                <w:rFonts w:ascii="Calibri" w:eastAsia="Times New Roman" w:hAnsi="Calibri" w:cs="Arial CE"/>
                <w:i/>
                <w:iCs/>
                <w:sz w:val="15"/>
                <w:szCs w:val="15"/>
                <w:lang w:eastAsia="cs-CZ"/>
              </w:rPr>
              <w:t>proc</w:t>
            </w:r>
            <w:proofErr w:type="spellEnd"/>
            <w:r w:rsidRPr="00B26170">
              <w:rPr>
                <w:rFonts w:ascii="Calibri" w:eastAsia="Times New Roman" w:hAnsi="Calibri" w:cs="Arial CE"/>
                <w:i/>
                <w:iCs/>
                <w:sz w:val="15"/>
                <w:szCs w:val="15"/>
                <w:lang w:eastAsia="cs-CZ"/>
              </w:rPr>
              <w:t xml:space="preserve">. body, </w:t>
            </w:r>
            <w:proofErr w:type="spellStart"/>
            <w:r w:rsidRPr="00B26170">
              <w:rPr>
                <w:rFonts w:ascii="Calibri" w:eastAsia="Times New Roman" w:hAnsi="Calibri" w:cs="Arial CE"/>
                <w:i/>
                <w:iCs/>
                <w:sz w:val="15"/>
                <w:szCs w:val="15"/>
                <w:lang w:eastAsia="cs-CZ"/>
              </w:rPr>
              <w:t>s.c</w:t>
            </w:r>
            <w:proofErr w:type="spellEnd"/>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0,5</w:t>
            </w:r>
          </w:p>
        </w:tc>
        <w:tc>
          <w:tcPr>
            <w:tcW w:w="300"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0,6</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1,9</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1,7</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-0,3</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0,5</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0,6</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0,6</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0,6</w:t>
            </w: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Příspěvek změny zásob k růstu HDP</w:t>
            </w:r>
          </w:p>
        </w:tc>
        <w:tc>
          <w:tcPr>
            <w:tcW w:w="604" w:type="pct"/>
            <w:noWrap/>
            <w:hideMark/>
          </w:tcPr>
          <w:p w:rsidR="00B26170" w:rsidRPr="00B26170"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proofErr w:type="spellStart"/>
            <w:r w:rsidRPr="00B26170">
              <w:rPr>
                <w:rFonts w:ascii="Calibri" w:eastAsia="Times New Roman" w:hAnsi="Calibri" w:cs="Arial CE"/>
                <w:i/>
                <w:iCs/>
                <w:sz w:val="15"/>
                <w:szCs w:val="15"/>
                <w:lang w:eastAsia="cs-CZ"/>
              </w:rPr>
              <w:t>proc</w:t>
            </w:r>
            <w:proofErr w:type="spellEnd"/>
            <w:r w:rsidRPr="00B26170">
              <w:rPr>
                <w:rFonts w:ascii="Calibri" w:eastAsia="Times New Roman" w:hAnsi="Calibri" w:cs="Arial CE"/>
                <w:i/>
                <w:iCs/>
                <w:sz w:val="15"/>
                <w:szCs w:val="15"/>
                <w:lang w:eastAsia="cs-CZ"/>
              </w:rPr>
              <w:t xml:space="preserve">. body, </w:t>
            </w:r>
            <w:proofErr w:type="spellStart"/>
            <w:r w:rsidRPr="00B26170">
              <w:rPr>
                <w:rFonts w:ascii="Calibri" w:eastAsia="Times New Roman" w:hAnsi="Calibri" w:cs="Arial CE"/>
                <w:i/>
                <w:iCs/>
                <w:sz w:val="15"/>
                <w:szCs w:val="15"/>
                <w:lang w:eastAsia="cs-CZ"/>
              </w:rPr>
              <w:t>s.c</w:t>
            </w:r>
            <w:proofErr w:type="spellEnd"/>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-2,9</w:t>
            </w:r>
          </w:p>
        </w:tc>
        <w:tc>
          <w:tcPr>
            <w:tcW w:w="300"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0,1</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-0,1</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-0,2</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0,2</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0,1</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0,0</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0,0</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Deflátor HDP</w:t>
            </w:r>
          </w:p>
        </w:tc>
        <w:tc>
          <w:tcPr>
            <w:tcW w:w="604" w:type="pct"/>
            <w:noWrap/>
            <w:hideMark/>
          </w:tcPr>
          <w:p w:rsidR="00B26170" w:rsidRPr="00B26170" w:rsidRDefault="00B26170"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růst v %</w:t>
            </w:r>
          </w:p>
        </w:tc>
        <w:tc>
          <w:tcPr>
            <w:tcW w:w="299"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2,3</w:t>
            </w:r>
          </w:p>
        </w:tc>
        <w:tc>
          <w:tcPr>
            <w:tcW w:w="300"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-1,6</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-0,9</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1,6</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1,9</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1,8</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1,7</w:t>
            </w:r>
          </w:p>
        </w:tc>
        <w:tc>
          <w:tcPr>
            <w:tcW w:w="347" w:type="pct"/>
            <w:noWrap/>
            <w:hideMark/>
          </w:tcPr>
          <w:p w:rsidR="00B26170" w:rsidRPr="00B26170" w:rsidRDefault="008A176B" w:rsidP="008A176B">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Pr>
                <w:rFonts w:ascii="Calibri" w:eastAsia="Times New Roman" w:hAnsi="Calibri" w:cs="Arial CE"/>
                <w:bCs/>
                <w:sz w:val="15"/>
                <w:szCs w:val="15"/>
                <w:lang w:eastAsia="cs-CZ"/>
              </w:rPr>
              <w:t>1</w:t>
            </w:r>
            <w:r w:rsidR="00B26170" w:rsidRPr="00B26170">
              <w:rPr>
                <w:rFonts w:ascii="Calibri" w:eastAsia="Times New Roman" w:hAnsi="Calibri" w:cs="Arial CE"/>
                <w:bCs/>
                <w:sz w:val="15"/>
                <w:szCs w:val="15"/>
                <w:lang w:eastAsia="cs-CZ"/>
              </w:rPr>
              <w:t>,</w:t>
            </w:r>
            <w:r>
              <w:rPr>
                <w:rFonts w:ascii="Calibri" w:eastAsia="Times New Roman" w:hAnsi="Calibri" w:cs="Arial CE"/>
                <w:bCs/>
                <w:sz w:val="15"/>
                <w:szCs w:val="15"/>
                <w:lang w:eastAsia="cs-CZ"/>
              </w:rPr>
              <w:t>0</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1,3</w:t>
            </w: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Průměrná míra inflace</w:t>
            </w:r>
          </w:p>
        </w:tc>
        <w:tc>
          <w:tcPr>
            <w:tcW w:w="604" w:type="pct"/>
            <w:noWrap/>
            <w:hideMark/>
          </w:tcPr>
          <w:p w:rsidR="00B26170" w:rsidRPr="00B26170"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w:t>
            </w:r>
          </w:p>
        </w:tc>
        <w:tc>
          <w:tcPr>
            <w:tcW w:w="300"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1,5</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1,9</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3,3</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1,4</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2,3</w:t>
            </w:r>
          </w:p>
        </w:tc>
        <w:tc>
          <w:tcPr>
            <w:tcW w:w="347" w:type="pct"/>
            <w:noWrap/>
            <w:hideMark/>
          </w:tcPr>
          <w:p w:rsidR="00B26170" w:rsidRPr="00B26170" w:rsidRDefault="008A176B"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Pr>
                <w:rFonts w:ascii="Calibri" w:eastAsia="Times New Roman" w:hAnsi="Calibri" w:cs="Arial CE"/>
                <w:bCs/>
                <w:sz w:val="15"/>
                <w:szCs w:val="15"/>
                <w:lang w:eastAsia="cs-CZ"/>
              </w:rPr>
              <w:t>2,1</w:t>
            </w:r>
          </w:p>
        </w:tc>
        <w:tc>
          <w:tcPr>
            <w:tcW w:w="347" w:type="pct"/>
            <w:noWrap/>
            <w:hideMark/>
          </w:tcPr>
          <w:p w:rsidR="00B26170" w:rsidRPr="00B26170" w:rsidRDefault="008A176B"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Pr>
                <w:rFonts w:ascii="Calibri" w:eastAsia="Times New Roman" w:hAnsi="Calibri" w:cs="Arial CE"/>
                <w:bCs/>
                <w:sz w:val="15"/>
                <w:szCs w:val="15"/>
                <w:lang w:eastAsia="cs-CZ"/>
              </w:rPr>
              <w:t>2,0</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 xml:space="preserve">Zaměstnanost </w:t>
            </w:r>
            <w:r w:rsidRPr="00B26170">
              <w:rPr>
                <w:rFonts w:ascii="Calibri" w:eastAsia="Times New Roman" w:hAnsi="Calibri" w:cs="Arial CE"/>
                <w:i/>
                <w:iCs/>
                <w:sz w:val="15"/>
                <w:szCs w:val="15"/>
                <w:lang w:eastAsia="cs-CZ"/>
              </w:rPr>
              <w:t>(VŠPS)</w:t>
            </w:r>
          </w:p>
        </w:tc>
        <w:tc>
          <w:tcPr>
            <w:tcW w:w="604" w:type="pct"/>
            <w:noWrap/>
            <w:hideMark/>
          </w:tcPr>
          <w:p w:rsidR="00B26170" w:rsidRPr="00B26170" w:rsidRDefault="00B26170"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růst v %</w:t>
            </w:r>
          </w:p>
        </w:tc>
        <w:tc>
          <w:tcPr>
            <w:tcW w:w="299"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-1,4</w:t>
            </w:r>
          </w:p>
        </w:tc>
        <w:tc>
          <w:tcPr>
            <w:tcW w:w="300"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0,4</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0,4</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0,2</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0,2</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0,2</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0,2</w:t>
            </w: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 xml:space="preserve">Míra nezaměstnanosti </w:t>
            </w:r>
            <w:r w:rsidRPr="00B26170">
              <w:rPr>
                <w:rFonts w:ascii="Calibri" w:eastAsia="Times New Roman" w:hAnsi="Calibri" w:cs="Arial CE"/>
                <w:i/>
                <w:iCs/>
                <w:sz w:val="15"/>
                <w:szCs w:val="15"/>
                <w:lang w:eastAsia="cs-CZ"/>
              </w:rPr>
              <w:t>(VŠPS)</w:t>
            </w:r>
          </w:p>
        </w:tc>
        <w:tc>
          <w:tcPr>
            <w:tcW w:w="604" w:type="pct"/>
            <w:noWrap/>
            <w:hideMark/>
          </w:tcPr>
          <w:p w:rsidR="00B26170" w:rsidRPr="00B26170"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průměr v %</w:t>
            </w:r>
          </w:p>
        </w:tc>
        <w:tc>
          <w:tcPr>
            <w:tcW w:w="299"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6,7</w:t>
            </w:r>
          </w:p>
        </w:tc>
        <w:tc>
          <w:tcPr>
            <w:tcW w:w="300"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7,3</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6,7</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7,0</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7,0</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6,8</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6,6</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6,4</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6,0</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 xml:space="preserve">Objem mezd a platů </w:t>
            </w:r>
            <w:r w:rsidRPr="00B26170">
              <w:rPr>
                <w:rFonts w:ascii="Calibri" w:eastAsia="Times New Roman" w:hAnsi="Calibri" w:cs="Arial CE"/>
                <w:i/>
                <w:iCs/>
                <w:sz w:val="15"/>
                <w:szCs w:val="15"/>
                <w:lang w:eastAsia="cs-CZ"/>
              </w:rPr>
              <w:t>(domácí koncept)</w:t>
            </w:r>
          </w:p>
        </w:tc>
        <w:tc>
          <w:tcPr>
            <w:tcW w:w="604" w:type="pct"/>
            <w:noWrap/>
            <w:hideMark/>
          </w:tcPr>
          <w:p w:rsidR="00B26170" w:rsidRPr="00B26170" w:rsidRDefault="00B26170"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xml:space="preserve">růst v %, </w:t>
            </w:r>
            <w:proofErr w:type="spellStart"/>
            <w:r w:rsidRPr="00B26170">
              <w:rPr>
                <w:rFonts w:ascii="Calibri" w:eastAsia="Times New Roman" w:hAnsi="Calibri" w:cs="Arial CE"/>
                <w:i/>
                <w:iCs/>
                <w:sz w:val="15"/>
                <w:szCs w:val="15"/>
                <w:lang w:eastAsia="cs-CZ"/>
              </w:rPr>
              <w:t>b.c</w:t>
            </w:r>
            <w:proofErr w:type="spellEnd"/>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-2,1</w:t>
            </w:r>
          </w:p>
        </w:tc>
        <w:tc>
          <w:tcPr>
            <w:tcW w:w="300"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0,8</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2,2</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1,8</w:t>
            </w:r>
          </w:p>
        </w:tc>
        <w:tc>
          <w:tcPr>
            <w:tcW w:w="303"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-0,9</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1,8</w:t>
            </w:r>
          </w:p>
        </w:tc>
        <w:tc>
          <w:tcPr>
            <w:tcW w:w="402"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3,5</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3,6</w:t>
            </w:r>
          </w:p>
        </w:tc>
        <w:tc>
          <w:tcPr>
            <w:tcW w:w="347" w:type="pct"/>
            <w:noWrap/>
            <w:hideMark/>
          </w:tcPr>
          <w:p w:rsidR="00B26170" w:rsidRPr="00B26170" w:rsidRDefault="00B26170"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4,1</w:t>
            </w: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B26170" w:rsidRPr="00B26170" w:rsidRDefault="00B26170"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Poměr salda BÚ k HDP</w:t>
            </w:r>
          </w:p>
        </w:tc>
        <w:tc>
          <w:tcPr>
            <w:tcW w:w="604" w:type="pct"/>
            <w:noWrap/>
            <w:hideMark/>
          </w:tcPr>
          <w:p w:rsidR="00B26170" w:rsidRPr="00B26170" w:rsidRDefault="00B26170"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w:t>
            </w:r>
          </w:p>
        </w:tc>
        <w:tc>
          <w:tcPr>
            <w:tcW w:w="299"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-2,4</w:t>
            </w:r>
          </w:p>
        </w:tc>
        <w:tc>
          <w:tcPr>
            <w:tcW w:w="300"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-3,9</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-2,7</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-1,3</w:t>
            </w:r>
          </w:p>
        </w:tc>
        <w:tc>
          <w:tcPr>
            <w:tcW w:w="303"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-1,4</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-0,4</w:t>
            </w:r>
          </w:p>
        </w:tc>
        <w:tc>
          <w:tcPr>
            <w:tcW w:w="402"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-0,3</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-0,5</w:t>
            </w:r>
          </w:p>
        </w:tc>
        <w:tc>
          <w:tcPr>
            <w:tcW w:w="347" w:type="pct"/>
            <w:noWrap/>
            <w:hideMark/>
          </w:tcPr>
          <w:p w:rsidR="00B26170" w:rsidRPr="00B26170" w:rsidRDefault="00B26170"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-0,6</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tcPr>
          <w:p w:rsidR="00C335DE" w:rsidRPr="00B01B84" w:rsidRDefault="00C335DE" w:rsidP="00B26170">
            <w:pPr>
              <w:spacing w:after="0"/>
              <w:jc w:val="left"/>
              <w:rPr>
                <w:rFonts w:ascii="Calibri" w:eastAsia="Times New Roman" w:hAnsi="Calibri" w:cs="Arial CE"/>
                <w:b w:val="0"/>
                <w:bCs w:val="0"/>
                <w:sz w:val="15"/>
                <w:szCs w:val="15"/>
                <w:lang w:eastAsia="cs-CZ"/>
              </w:rPr>
            </w:pPr>
            <w:r w:rsidRPr="00B26170">
              <w:rPr>
                <w:rFonts w:ascii="Calibri" w:eastAsia="Times New Roman" w:hAnsi="Calibri" w:cs="Arial CE"/>
                <w:b w:val="0"/>
                <w:sz w:val="15"/>
                <w:szCs w:val="15"/>
                <w:u w:val="single"/>
                <w:lang w:eastAsia="cs-CZ"/>
              </w:rPr>
              <w:t>Předpoklady:</w:t>
            </w:r>
          </w:p>
        </w:tc>
        <w:tc>
          <w:tcPr>
            <w:tcW w:w="604" w:type="pct"/>
            <w:noWrap/>
          </w:tcPr>
          <w:p w:rsidR="00C335DE" w:rsidRPr="00B01B84" w:rsidRDefault="00C335D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p>
        </w:tc>
        <w:tc>
          <w:tcPr>
            <w:tcW w:w="299"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c>
          <w:tcPr>
            <w:tcW w:w="300"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c>
          <w:tcPr>
            <w:tcW w:w="303"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c>
          <w:tcPr>
            <w:tcW w:w="303"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c>
          <w:tcPr>
            <w:tcW w:w="303"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c>
          <w:tcPr>
            <w:tcW w:w="402"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c>
          <w:tcPr>
            <w:tcW w:w="402"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c>
          <w:tcPr>
            <w:tcW w:w="347"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c>
          <w:tcPr>
            <w:tcW w:w="347" w:type="pct"/>
            <w:noWrap/>
          </w:tcPr>
          <w:p w:rsidR="00C335DE" w:rsidRPr="00B01B84"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C335DE" w:rsidRPr="00B26170" w:rsidRDefault="00C335DE" w:rsidP="00C335DE">
            <w:pPr>
              <w:spacing w:after="0"/>
              <w:jc w:val="left"/>
              <w:rPr>
                <w:rFonts w:ascii="Calibri" w:eastAsia="Times New Roman" w:hAnsi="Calibri" w:cs="Arial CE"/>
                <w:sz w:val="15"/>
                <w:szCs w:val="15"/>
                <w:u w:val="single"/>
                <w:lang w:eastAsia="cs-CZ"/>
              </w:rPr>
            </w:pPr>
            <w:r w:rsidRPr="00B26170">
              <w:rPr>
                <w:rFonts w:ascii="Calibri" w:eastAsia="Times New Roman" w:hAnsi="Calibri" w:cs="Arial CE"/>
                <w:sz w:val="15"/>
                <w:szCs w:val="15"/>
                <w:lang w:eastAsia="cs-CZ"/>
              </w:rPr>
              <w:t>Směnný kurz CZK/EUR</w:t>
            </w:r>
          </w:p>
        </w:tc>
        <w:tc>
          <w:tcPr>
            <w:tcW w:w="604" w:type="pct"/>
            <w:noWrap/>
            <w:hideMark/>
          </w:tcPr>
          <w:p w:rsidR="00C335DE" w:rsidRPr="00B26170" w:rsidRDefault="00C335DE"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w:t>
            </w:r>
          </w:p>
        </w:tc>
        <w:tc>
          <w:tcPr>
            <w:tcW w:w="299"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26,4</w:t>
            </w:r>
          </w:p>
        </w:tc>
        <w:tc>
          <w:tcPr>
            <w:tcW w:w="300"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25,3</w:t>
            </w:r>
          </w:p>
        </w:tc>
        <w:tc>
          <w:tcPr>
            <w:tcW w:w="303"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24,6</w:t>
            </w:r>
          </w:p>
        </w:tc>
        <w:tc>
          <w:tcPr>
            <w:tcW w:w="303"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25,1</w:t>
            </w:r>
          </w:p>
        </w:tc>
        <w:tc>
          <w:tcPr>
            <w:tcW w:w="303"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26,0</w:t>
            </w:r>
          </w:p>
        </w:tc>
        <w:tc>
          <w:tcPr>
            <w:tcW w:w="402"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27,3</w:t>
            </w:r>
          </w:p>
        </w:tc>
        <w:tc>
          <w:tcPr>
            <w:tcW w:w="402"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27,2</w:t>
            </w:r>
          </w:p>
        </w:tc>
        <w:tc>
          <w:tcPr>
            <w:tcW w:w="347"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26,8</w:t>
            </w:r>
          </w:p>
        </w:tc>
        <w:tc>
          <w:tcPr>
            <w:tcW w:w="347"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26,4</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C335DE" w:rsidRPr="00B26170" w:rsidRDefault="00C335DE"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Dlouhodobé úrokové sazby (10 let)</w:t>
            </w:r>
          </w:p>
        </w:tc>
        <w:tc>
          <w:tcPr>
            <w:tcW w:w="604" w:type="pct"/>
            <w:noWrap/>
            <w:hideMark/>
          </w:tcPr>
          <w:p w:rsidR="00C335DE" w:rsidRPr="00B26170" w:rsidRDefault="00C335D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xml:space="preserve">% </w:t>
            </w:r>
            <w:proofErr w:type="spellStart"/>
            <w:r w:rsidRPr="00B26170">
              <w:rPr>
                <w:rFonts w:ascii="Calibri" w:eastAsia="Times New Roman" w:hAnsi="Calibri" w:cs="Arial CE"/>
                <w:i/>
                <w:iCs/>
                <w:sz w:val="15"/>
                <w:szCs w:val="15"/>
                <w:lang w:eastAsia="cs-CZ"/>
              </w:rPr>
              <w:t>p.a</w:t>
            </w:r>
            <w:proofErr w:type="spellEnd"/>
            <w:r w:rsidRPr="00B26170">
              <w:rPr>
                <w:rFonts w:ascii="Calibri" w:eastAsia="Times New Roman" w:hAnsi="Calibri" w:cs="Arial CE"/>
                <w:i/>
                <w:iCs/>
                <w:sz w:val="15"/>
                <w:szCs w:val="15"/>
                <w:lang w:eastAsia="cs-CZ"/>
              </w:rPr>
              <w:t>.</w:t>
            </w:r>
          </w:p>
        </w:tc>
        <w:tc>
          <w:tcPr>
            <w:tcW w:w="299"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4,7</w:t>
            </w:r>
          </w:p>
        </w:tc>
        <w:tc>
          <w:tcPr>
            <w:tcW w:w="300"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3,7</w:t>
            </w:r>
          </w:p>
        </w:tc>
        <w:tc>
          <w:tcPr>
            <w:tcW w:w="303"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3,7</w:t>
            </w:r>
          </w:p>
        </w:tc>
        <w:tc>
          <w:tcPr>
            <w:tcW w:w="303"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2,8</w:t>
            </w:r>
          </w:p>
        </w:tc>
        <w:tc>
          <w:tcPr>
            <w:tcW w:w="303"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2,1</w:t>
            </w:r>
          </w:p>
        </w:tc>
        <w:tc>
          <w:tcPr>
            <w:tcW w:w="402"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2,4</w:t>
            </w:r>
          </w:p>
        </w:tc>
        <w:tc>
          <w:tcPr>
            <w:tcW w:w="402"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2,6</w:t>
            </w:r>
          </w:p>
        </w:tc>
        <w:tc>
          <w:tcPr>
            <w:tcW w:w="347"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2,8</w:t>
            </w:r>
          </w:p>
        </w:tc>
        <w:tc>
          <w:tcPr>
            <w:tcW w:w="347"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3,0</w:t>
            </w:r>
          </w:p>
        </w:tc>
      </w:tr>
      <w:tr w:rsidR="00305FF5" w:rsidRPr="00B01B84" w:rsidTr="00583F1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C335DE" w:rsidRPr="00B26170" w:rsidRDefault="00C335DE"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Ropa Brent</w:t>
            </w:r>
          </w:p>
        </w:tc>
        <w:tc>
          <w:tcPr>
            <w:tcW w:w="604" w:type="pct"/>
            <w:noWrap/>
            <w:hideMark/>
          </w:tcPr>
          <w:p w:rsidR="00C335DE" w:rsidRPr="00B26170" w:rsidRDefault="00C335DE" w:rsidP="00B26170">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USD/barel</w:t>
            </w:r>
          </w:p>
        </w:tc>
        <w:tc>
          <w:tcPr>
            <w:tcW w:w="299"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62</w:t>
            </w:r>
          </w:p>
        </w:tc>
        <w:tc>
          <w:tcPr>
            <w:tcW w:w="300"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80</w:t>
            </w:r>
          </w:p>
        </w:tc>
        <w:tc>
          <w:tcPr>
            <w:tcW w:w="303"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111</w:t>
            </w:r>
          </w:p>
        </w:tc>
        <w:tc>
          <w:tcPr>
            <w:tcW w:w="303"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112</w:t>
            </w:r>
          </w:p>
        </w:tc>
        <w:tc>
          <w:tcPr>
            <w:tcW w:w="303"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109</w:t>
            </w:r>
          </w:p>
        </w:tc>
        <w:tc>
          <w:tcPr>
            <w:tcW w:w="402"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105</w:t>
            </w:r>
          </w:p>
        </w:tc>
        <w:tc>
          <w:tcPr>
            <w:tcW w:w="402"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101</w:t>
            </w:r>
          </w:p>
        </w:tc>
        <w:tc>
          <w:tcPr>
            <w:tcW w:w="347"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97</w:t>
            </w:r>
          </w:p>
        </w:tc>
        <w:tc>
          <w:tcPr>
            <w:tcW w:w="347" w:type="pct"/>
            <w:noWrap/>
            <w:hideMark/>
          </w:tcPr>
          <w:p w:rsidR="00C335DE" w:rsidRPr="00B26170" w:rsidRDefault="00C335DE" w:rsidP="00305FF5">
            <w:pPr>
              <w:spacing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95</w:t>
            </w:r>
          </w:p>
        </w:tc>
      </w:tr>
      <w:tr w:rsidR="00305FF5" w:rsidRPr="00B01B84" w:rsidTr="00583F1B">
        <w:trPr>
          <w:trHeight w:val="255"/>
        </w:trPr>
        <w:tc>
          <w:tcPr>
            <w:cnfStyle w:val="001000000000" w:firstRow="0" w:lastRow="0" w:firstColumn="1" w:lastColumn="0" w:oddVBand="0" w:evenVBand="0" w:oddHBand="0" w:evenHBand="0" w:firstRowFirstColumn="0" w:firstRowLastColumn="0" w:lastRowFirstColumn="0" w:lastRowLastColumn="0"/>
            <w:tcW w:w="1392" w:type="pct"/>
            <w:noWrap/>
            <w:hideMark/>
          </w:tcPr>
          <w:p w:rsidR="00C335DE" w:rsidRPr="00B26170" w:rsidRDefault="00C335DE" w:rsidP="00B26170">
            <w:pPr>
              <w:spacing w:after="0"/>
              <w:jc w:val="left"/>
              <w:rPr>
                <w:rFonts w:ascii="Calibri" w:eastAsia="Times New Roman" w:hAnsi="Calibri" w:cs="Arial CE"/>
                <w:sz w:val="15"/>
                <w:szCs w:val="15"/>
                <w:lang w:eastAsia="cs-CZ"/>
              </w:rPr>
            </w:pPr>
            <w:r w:rsidRPr="00B26170">
              <w:rPr>
                <w:rFonts w:ascii="Calibri" w:eastAsia="Times New Roman" w:hAnsi="Calibri" w:cs="Arial CE"/>
                <w:sz w:val="15"/>
                <w:szCs w:val="15"/>
                <w:lang w:eastAsia="cs-CZ"/>
              </w:rPr>
              <w:t>HDP eurozóny (EA12)</w:t>
            </w:r>
          </w:p>
        </w:tc>
        <w:tc>
          <w:tcPr>
            <w:tcW w:w="604" w:type="pct"/>
            <w:noWrap/>
            <w:hideMark/>
          </w:tcPr>
          <w:p w:rsidR="00C335DE" w:rsidRPr="00B26170" w:rsidRDefault="00C335DE" w:rsidP="00B26170">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i/>
                <w:iCs/>
                <w:sz w:val="15"/>
                <w:szCs w:val="15"/>
                <w:lang w:eastAsia="cs-CZ"/>
              </w:rPr>
            </w:pPr>
            <w:r w:rsidRPr="00B26170">
              <w:rPr>
                <w:rFonts w:ascii="Calibri" w:eastAsia="Times New Roman" w:hAnsi="Calibri" w:cs="Arial CE"/>
                <w:i/>
                <w:iCs/>
                <w:sz w:val="15"/>
                <w:szCs w:val="15"/>
                <w:lang w:eastAsia="cs-CZ"/>
              </w:rPr>
              <w:t xml:space="preserve">růst v %, </w:t>
            </w:r>
            <w:proofErr w:type="spellStart"/>
            <w:r w:rsidRPr="00B26170">
              <w:rPr>
                <w:rFonts w:ascii="Calibri" w:eastAsia="Times New Roman" w:hAnsi="Calibri" w:cs="Arial CE"/>
                <w:i/>
                <w:iCs/>
                <w:sz w:val="15"/>
                <w:szCs w:val="15"/>
                <w:lang w:eastAsia="cs-CZ"/>
              </w:rPr>
              <w:t>s.c</w:t>
            </w:r>
            <w:proofErr w:type="spellEnd"/>
            <w:r w:rsidRPr="00B26170">
              <w:rPr>
                <w:rFonts w:ascii="Calibri" w:eastAsia="Times New Roman" w:hAnsi="Calibri" w:cs="Arial CE"/>
                <w:i/>
                <w:iCs/>
                <w:sz w:val="15"/>
                <w:szCs w:val="15"/>
                <w:lang w:eastAsia="cs-CZ"/>
              </w:rPr>
              <w:t>.</w:t>
            </w:r>
          </w:p>
        </w:tc>
        <w:tc>
          <w:tcPr>
            <w:tcW w:w="299"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-4,4</w:t>
            </w:r>
          </w:p>
        </w:tc>
        <w:tc>
          <w:tcPr>
            <w:tcW w:w="300"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1,9</w:t>
            </w:r>
          </w:p>
        </w:tc>
        <w:tc>
          <w:tcPr>
            <w:tcW w:w="303"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1,6</w:t>
            </w:r>
          </w:p>
        </w:tc>
        <w:tc>
          <w:tcPr>
            <w:tcW w:w="303"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-0,6</w:t>
            </w:r>
          </w:p>
        </w:tc>
        <w:tc>
          <w:tcPr>
            <w:tcW w:w="303"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-0,4</w:t>
            </w:r>
          </w:p>
        </w:tc>
        <w:tc>
          <w:tcPr>
            <w:tcW w:w="402"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1,1</w:t>
            </w:r>
          </w:p>
        </w:tc>
        <w:tc>
          <w:tcPr>
            <w:tcW w:w="402"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1,5</w:t>
            </w:r>
          </w:p>
        </w:tc>
        <w:tc>
          <w:tcPr>
            <w:tcW w:w="347" w:type="pct"/>
            <w:noWrap/>
            <w:hideMark/>
          </w:tcPr>
          <w:p w:rsidR="00C335DE" w:rsidRPr="00B26170" w:rsidRDefault="00C335DE" w:rsidP="00305FF5">
            <w:pPr>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sz w:val="15"/>
                <w:szCs w:val="15"/>
                <w:lang w:eastAsia="cs-CZ"/>
              </w:rPr>
            </w:pPr>
            <w:r w:rsidRPr="00B26170">
              <w:rPr>
                <w:rFonts w:ascii="Calibri" w:eastAsia="Times New Roman" w:hAnsi="Calibri" w:cs="Arial CE"/>
                <w:bCs/>
                <w:sz w:val="15"/>
                <w:szCs w:val="15"/>
                <w:lang w:eastAsia="cs-CZ"/>
              </w:rPr>
              <w:t>1,8</w:t>
            </w:r>
          </w:p>
        </w:tc>
        <w:tc>
          <w:tcPr>
            <w:tcW w:w="347" w:type="pct"/>
            <w:noWrap/>
            <w:hideMark/>
          </w:tcPr>
          <w:p w:rsidR="00C335DE" w:rsidRPr="00B26170" w:rsidRDefault="00C335DE" w:rsidP="00ED11E3">
            <w:pPr>
              <w:keepNext/>
              <w:spacing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Arial CE"/>
                <w:bCs/>
                <w:color w:val="000000" w:themeColor="text1"/>
                <w:sz w:val="15"/>
                <w:szCs w:val="15"/>
                <w:lang w:eastAsia="cs-CZ"/>
              </w:rPr>
            </w:pPr>
            <w:r w:rsidRPr="00B26170">
              <w:rPr>
                <w:rFonts w:ascii="Calibri" w:eastAsia="Times New Roman" w:hAnsi="Calibri" w:cs="Arial CE"/>
                <w:bCs/>
                <w:sz w:val="15"/>
                <w:szCs w:val="15"/>
                <w:lang w:eastAsia="cs-CZ"/>
              </w:rPr>
              <w:t>2,1</w:t>
            </w:r>
          </w:p>
        </w:tc>
      </w:tr>
    </w:tbl>
    <w:p w:rsidR="003304C3" w:rsidRPr="00DD050F" w:rsidRDefault="003304C3" w:rsidP="00ED11E3">
      <w:pPr>
        <w:pStyle w:val="Titulek"/>
        <w:jc w:val="right"/>
      </w:pPr>
      <w:r>
        <w:t xml:space="preserve">Zdroj: </w:t>
      </w:r>
      <w:r w:rsidR="00622DB0">
        <w:t xml:space="preserve">Konvergenční program </w:t>
      </w:r>
      <w:r w:rsidRPr="00DD050F">
        <w:t>ČR</w:t>
      </w:r>
      <w:r w:rsidR="00CA2B0C">
        <w:t xml:space="preserve">, </w:t>
      </w:r>
      <w:r w:rsidR="001513C7">
        <w:t xml:space="preserve">aktualizace </w:t>
      </w:r>
      <w:r w:rsidR="00CA2B0C">
        <w:t>duben</w:t>
      </w:r>
      <w:r w:rsidR="005F4F87" w:rsidRPr="00DD050F">
        <w:t xml:space="preserve"> </w:t>
      </w:r>
      <w:r w:rsidR="00CA2B0C">
        <w:t>2014</w:t>
      </w:r>
    </w:p>
    <w:p w:rsidR="00323D02" w:rsidRPr="009C3A9D" w:rsidRDefault="009C3A9D" w:rsidP="001202C4">
      <w:pPr>
        <w:pStyle w:val="Nadpis1"/>
        <w:numPr>
          <w:ilvl w:val="0"/>
          <w:numId w:val="4"/>
        </w:numPr>
      </w:pPr>
      <w:bookmarkStart w:id="7" w:name="_Toc385339478"/>
      <w:r>
        <w:lastRenderedPageBreak/>
        <w:t xml:space="preserve">Implementace </w:t>
      </w:r>
      <w:r w:rsidRPr="00D26121">
        <w:t>doporučení</w:t>
      </w:r>
      <w:r>
        <w:t xml:space="preserve"> Rady</w:t>
      </w:r>
      <w:bookmarkEnd w:id="7"/>
    </w:p>
    <w:p w:rsidR="004262BE" w:rsidRPr="009B04BF" w:rsidRDefault="004262BE" w:rsidP="004262BE">
      <w:r w:rsidRPr="009B04BF">
        <w:t>Aktualizace Národního programu reforem pro rok 201</w:t>
      </w:r>
      <w:r w:rsidR="00EB7DA0" w:rsidRPr="009B04BF">
        <w:t>4</w:t>
      </w:r>
      <w:r w:rsidRPr="009B04BF">
        <w:t xml:space="preserve"> zohledňuje opatření prováděná v reakci na doporučení Rady pro Českou r</w:t>
      </w:r>
      <w:r w:rsidR="00013A6B">
        <w:t>epubliku ze dne 9. července 2013</w:t>
      </w:r>
      <w:r w:rsidRPr="009B04BF">
        <w:t xml:space="preserve">. Tato doporučení a základní opatření k jejich plnění jsou shrnuta </w:t>
      </w:r>
      <w:r w:rsidR="00EB7DA0" w:rsidRPr="009B04BF">
        <w:t xml:space="preserve">v následující části této </w:t>
      </w:r>
      <w:r w:rsidRPr="009B04BF">
        <w:t>kapitoly.</w:t>
      </w:r>
    </w:p>
    <w:p w:rsidR="00D26121" w:rsidRPr="009B04BF" w:rsidRDefault="00911017" w:rsidP="00911017">
      <w:pPr>
        <w:pStyle w:val="Nadpis2"/>
        <w:numPr>
          <w:ilvl w:val="1"/>
          <w:numId w:val="4"/>
        </w:numPr>
      </w:pPr>
      <w:bookmarkStart w:id="8" w:name="_Toc385339479"/>
      <w:r w:rsidRPr="00911017">
        <w:t>Fiskální politika a rozpočtová strategie</w:t>
      </w:r>
      <w:bookmarkEnd w:id="8"/>
      <w:r w:rsidRPr="00911017">
        <w:t xml:space="preserve"> </w:t>
      </w:r>
    </w:p>
    <w:p w:rsidR="00323D02" w:rsidRDefault="007453BE" w:rsidP="007453BE">
      <w:pPr>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pPr>
      <w:r w:rsidRPr="001202C4">
        <w:rPr>
          <w:b/>
          <w:color w:val="9B2D1F" w:themeColor="accent2"/>
        </w:rPr>
        <w:t>Doporučení Rady č. 1:</w:t>
      </w:r>
      <w:r>
        <w:t xml:space="preserve"> </w:t>
      </w:r>
      <w:r w:rsidR="00D26121" w:rsidRPr="00ED621D">
        <w:rPr>
          <w:color w:val="D41616"/>
        </w:rPr>
        <w:t>Provést plánovaný rozpočet na rok 2013 tak, aby byl v roce 2013 udržitel</w:t>
      </w:r>
      <w:r w:rsidR="001A4749" w:rsidRPr="00ED621D">
        <w:rPr>
          <w:color w:val="D41616"/>
        </w:rPr>
        <w:softHyphen/>
      </w:r>
      <w:r w:rsidR="00D26121" w:rsidRPr="00ED621D">
        <w:rPr>
          <w:color w:val="D41616"/>
        </w:rPr>
        <w:t xml:space="preserve">ným způsobem </w:t>
      </w:r>
      <w:r w:rsidRPr="00ED621D">
        <w:rPr>
          <w:color w:val="D41616"/>
        </w:rPr>
        <w:t>odstraněn nadměrný</w:t>
      </w:r>
      <w:r w:rsidR="00D26121" w:rsidRPr="00ED621D">
        <w:rPr>
          <w:color w:val="D41616"/>
        </w:rPr>
        <w:t xml:space="preserve"> schodek a bylo dosaženo strukturálního přizpůsobení uvede</w:t>
      </w:r>
      <w:r w:rsidR="001A4749" w:rsidRPr="00ED621D">
        <w:rPr>
          <w:color w:val="D41616"/>
        </w:rPr>
        <w:softHyphen/>
      </w:r>
      <w:r w:rsidR="00D26121" w:rsidRPr="00ED621D">
        <w:rPr>
          <w:color w:val="D41616"/>
        </w:rPr>
        <w:t xml:space="preserve">ného v doporučeních Rady v rámci postupu při nadměrném schodku. Na rok 2014 a roky pozdější posílit a striktně </w:t>
      </w:r>
      <w:r w:rsidRPr="00ED621D">
        <w:rPr>
          <w:color w:val="D41616"/>
        </w:rPr>
        <w:t>provádět rozpočtovou</w:t>
      </w:r>
      <w:r w:rsidR="00D26121" w:rsidRPr="00ED621D">
        <w:rPr>
          <w:color w:val="D41616"/>
        </w:rPr>
        <w:t xml:space="preserve"> strategii, doprovázenou dostatečně upřesněnými opatře</w:t>
      </w:r>
      <w:r w:rsidR="001A4749" w:rsidRPr="00ED621D">
        <w:rPr>
          <w:color w:val="D41616"/>
        </w:rPr>
        <w:softHyphen/>
      </w:r>
      <w:r w:rsidR="00D26121" w:rsidRPr="00ED621D">
        <w:rPr>
          <w:color w:val="D41616"/>
        </w:rPr>
        <w:t xml:space="preserve">ními, aby se zajistilo fiskální úsilí přiměřené pro dostatečný pokrok k dosažení střednědobého rozpočtového cíle. Upřednostnit výdaje podporující růst a mimo jiné včas </w:t>
      </w:r>
      <w:proofErr w:type="spellStart"/>
      <w:r w:rsidR="00D26121" w:rsidRPr="00ED621D">
        <w:rPr>
          <w:color w:val="D41616"/>
        </w:rPr>
        <w:t>zazávazkovat</w:t>
      </w:r>
      <w:proofErr w:type="spellEnd"/>
      <w:r w:rsidR="00D26121" w:rsidRPr="00ED621D">
        <w:rPr>
          <w:color w:val="D41616"/>
        </w:rPr>
        <w:t xml:space="preserve"> zbývající projekty spolufinancované z fondů EU ve stávajícím finančním rámci.</w:t>
      </w:r>
    </w:p>
    <w:p w:rsidR="001612A6" w:rsidRPr="00D96AA7" w:rsidRDefault="00D80F25" w:rsidP="001612A6">
      <w:pPr>
        <w:pStyle w:val="Nadpis3"/>
        <w:numPr>
          <w:ilvl w:val="2"/>
          <w:numId w:val="4"/>
        </w:numPr>
        <w:ind w:left="851" w:hanging="851"/>
      </w:pPr>
      <w:bookmarkStart w:id="9" w:name="_Toc385339480"/>
      <w:r w:rsidRPr="00ED621D">
        <w:t>Fiskální</w:t>
      </w:r>
      <w:r w:rsidRPr="00D80F25">
        <w:t xml:space="preserve"> pakt</w:t>
      </w:r>
      <w:bookmarkEnd w:id="9"/>
    </w:p>
    <w:p w:rsidR="00B333A8" w:rsidRPr="00B519E3" w:rsidRDefault="004B274D" w:rsidP="00B333A8">
      <w:pPr>
        <w:rPr>
          <w:rFonts w:ascii="Times New Roman" w:eastAsia="Times New Roman" w:hAnsi="Times New Roman" w:cs="Times New Roman"/>
          <w:sz w:val="24"/>
          <w:szCs w:val="24"/>
          <w:lang w:eastAsia="cs-CZ"/>
        </w:rPr>
      </w:pPr>
      <w:r>
        <w:t>Vláda využije možnost dodatečně se připojit ke Smlouvě o stabilitě, koordinaci a správě v hospodářské a</w:t>
      </w:r>
      <w:r w:rsidR="00204478">
        <w:t> </w:t>
      </w:r>
      <w:r>
        <w:t>měnové unii, která byla podepsána dvaceti pěti členskými státy EU 2. března 2012.</w:t>
      </w:r>
      <w:r>
        <w:rPr>
          <w:rStyle w:val="Znakapoznpodarou"/>
        </w:rPr>
        <w:footnoteReference w:id="1"/>
      </w:r>
      <w:r w:rsidR="002A19EC">
        <w:t xml:space="preserve"> </w:t>
      </w:r>
      <w:r w:rsidR="00B333A8">
        <w:rPr>
          <w:rStyle w:val="bold"/>
        </w:rPr>
        <w:t xml:space="preserve">Souhlas s přistoupením ČR ke Smlouvě o stabilitě, koordinaci a správě v hospodářské a měnové unii vyslovila vláda na svém jednání dne 24. března </w:t>
      </w:r>
      <w:r w:rsidR="00583F1B">
        <w:rPr>
          <w:rStyle w:val="bold"/>
        </w:rPr>
        <w:t>2014</w:t>
      </w:r>
      <w:r w:rsidR="00B333A8">
        <w:rPr>
          <w:rStyle w:val="bold"/>
        </w:rPr>
        <w:t xml:space="preserve"> </w:t>
      </w:r>
      <w:r w:rsidR="008D0DB3">
        <w:rPr>
          <w:rStyle w:val="bold"/>
        </w:rPr>
        <w:t xml:space="preserve">s tím, že ustanovení smlouvy budou na </w:t>
      </w:r>
      <w:r w:rsidR="008D0DB3" w:rsidRPr="00A731B7">
        <w:rPr>
          <w:rStyle w:val="bold"/>
        </w:rPr>
        <w:t>ČR</w:t>
      </w:r>
      <w:r w:rsidR="00B333A8">
        <w:t xml:space="preserve"> aplikována až od okamžiku přijetí eura. </w:t>
      </w:r>
      <w:r w:rsidR="00B333A8" w:rsidRPr="002F5B2D">
        <w:rPr>
          <w:rStyle w:val="bold"/>
        </w:rPr>
        <w:t>V rámci vnitrostátního ratifikačního procesu musí souhlas s</w:t>
      </w:r>
      <w:r w:rsidR="00204478">
        <w:rPr>
          <w:rStyle w:val="bold"/>
        </w:rPr>
        <w:t> </w:t>
      </w:r>
      <w:r w:rsidR="00B333A8" w:rsidRPr="002F5B2D">
        <w:rPr>
          <w:rStyle w:val="bold"/>
        </w:rPr>
        <w:t>přistoupením vyslovit ústavní většinou obě komory Parlamentu ČR, a následně prezident republiky podepíše listinu o přístupu.</w:t>
      </w:r>
    </w:p>
    <w:p w:rsidR="00FF7069" w:rsidRDefault="00FF7069" w:rsidP="00FF7069">
      <w:pPr>
        <w:pStyle w:val="Nadpis3"/>
        <w:numPr>
          <w:ilvl w:val="2"/>
          <w:numId w:val="4"/>
        </w:numPr>
        <w:ind w:left="851" w:hanging="851"/>
      </w:pPr>
      <w:bookmarkStart w:id="10" w:name="_Toc385339481"/>
      <w:r>
        <w:t>U</w:t>
      </w:r>
      <w:r w:rsidRPr="00D80F25">
        <w:t>končení postupu při nadměrném schodku</w:t>
      </w:r>
      <w:bookmarkEnd w:id="10"/>
    </w:p>
    <w:p w:rsidR="009D694C" w:rsidRPr="009D694C" w:rsidRDefault="00583F1B" w:rsidP="009D694C">
      <w:r w:rsidRPr="00583F1B">
        <w:t xml:space="preserve">Ukončení postupu při nadměrném schodku je v krátkodobém horizontu prvořadým cílem České republiky v oblasti fiskální politiky, k jehož splnění se vláda staví s maximální odpovědností. Reálnost splnění tohoto cíle je podložena výsledky Notifikací vládního deficitu a dluhu z dubna 2014, které odhadují schodek hospodaření vládního sektoru za rok 2013 v poměrovém vyjádření k HDP na úrovni 1,5 %. Vlivem fiskálního úsilí, které za rok 2013 dosáhlo, obdobně jako v roce předchozím, hodnoty 1,3 </w:t>
      </w:r>
      <w:proofErr w:type="spellStart"/>
      <w:r w:rsidRPr="00583F1B">
        <w:t>p.b</w:t>
      </w:r>
      <w:proofErr w:type="spellEnd"/>
      <w:r w:rsidRPr="00583F1B">
        <w:t>., se snížil strukturální deficit na úroveň 0,3 % HDP. Za rok 2013 tak byl s rezervou splněn střednědobý rozpočtový cíl, který je pro ČR definován jako strukturální schodek ve výši max. 1</w:t>
      </w:r>
      <w:r>
        <w:t xml:space="preserve"> </w:t>
      </w:r>
      <w:r w:rsidRPr="00583F1B">
        <w:t>% HDP.  Strategie fiskální politiky na období let 2014-2017, která je popsána níže, potvrzuje odhodlání vlády nadále pokračovat v provádění odpovědné fiskální politiky s deficity pod úrovní 3% referenční hranice.</w:t>
      </w:r>
    </w:p>
    <w:p w:rsidR="0046756C" w:rsidRPr="00CF57E5" w:rsidRDefault="0046756C" w:rsidP="0046756C">
      <w:pPr>
        <w:pStyle w:val="Titulek"/>
        <w:keepNext/>
        <w:jc w:val="left"/>
      </w:pPr>
      <w:r w:rsidRPr="00CF57E5">
        <w:lastRenderedPageBreak/>
        <w:t xml:space="preserve">Graf </w:t>
      </w:r>
      <w:fldSimple w:instr=" SEQ Graf \* ARABIC ">
        <w:r w:rsidR="001439D0">
          <w:rPr>
            <w:noProof/>
          </w:rPr>
          <w:t>1</w:t>
        </w:r>
      </w:fldSimple>
      <w:r w:rsidRPr="00CF57E5">
        <w:t>: Saldo vládního sektoru (% HDP)</w:t>
      </w:r>
      <w:r w:rsidR="00CC27D7" w:rsidRPr="00CF57E5">
        <w:t xml:space="preserve"> </w:t>
      </w:r>
      <w:r w:rsidR="00C75266">
        <w:t>dle ESA 95</w:t>
      </w:r>
    </w:p>
    <w:p w:rsidR="009E60BF" w:rsidRDefault="009D694C" w:rsidP="009E60BF">
      <w:pPr>
        <w:keepNext/>
      </w:pPr>
      <w:r>
        <w:rPr>
          <w:noProof/>
          <w:lang w:eastAsia="cs-CZ"/>
        </w:rPr>
        <w:drawing>
          <wp:inline distT="0" distB="0" distL="0" distR="0" wp14:anchorId="76C265BF" wp14:editId="1AC64C8C">
            <wp:extent cx="5764696" cy="2504660"/>
            <wp:effectExtent l="0" t="0" r="26670" b="1016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10A17" w:rsidRDefault="009E60BF" w:rsidP="009E60BF">
      <w:pPr>
        <w:pStyle w:val="Titulek"/>
        <w:jc w:val="right"/>
      </w:pPr>
      <w:r>
        <w:t xml:space="preserve">Zdroj: </w:t>
      </w:r>
      <w:bookmarkStart w:id="11" w:name="_GoBack"/>
      <w:bookmarkEnd w:id="11"/>
      <w:r w:rsidRPr="00C75266">
        <w:t>Konvergenční program ČR</w:t>
      </w:r>
      <w:r>
        <w:t>, aktualizace duben 2014</w:t>
      </w:r>
    </w:p>
    <w:p w:rsidR="003237CF" w:rsidRDefault="00D80F25" w:rsidP="003237CF">
      <w:pPr>
        <w:pStyle w:val="Nadpis3"/>
        <w:numPr>
          <w:ilvl w:val="2"/>
          <w:numId w:val="4"/>
        </w:numPr>
        <w:ind w:left="851" w:hanging="851"/>
      </w:pPr>
      <w:bookmarkStart w:id="12" w:name="_Toc385339482"/>
      <w:r>
        <w:t xml:space="preserve">Rozpočtová strategie </w:t>
      </w:r>
      <w:r w:rsidR="00DA7C0D">
        <w:t>2014 až 2017</w:t>
      </w:r>
      <w:bookmarkEnd w:id="12"/>
    </w:p>
    <w:p w:rsidR="00D175A2" w:rsidRDefault="00D175A2" w:rsidP="00D175A2">
      <w:r>
        <w:t>Na základě dubnových Notifikací očekáváme v roce 2014 deficit sektoru vládních institucí ve výši 1,8 % HDP. Střednědobá fiskální strategie dále počítá</w:t>
      </w:r>
      <w:r w:rsidR="00196594">
        <w:t xml:space="preserve"> </w:t>
      </w:r>
      <w:r>
        <w:t>pro roky 2015 a 2016 s deficity ve výši 2,3 %</w:t>
      </w:r>
      <w:r w:rsidR="00394883">
        <w:t>, resp. 2,0 %</w:t>
      </w:r>
      <w:r>
        <w:t xml:space="preserve"> HDP, na horizontu predikce by </w:t>
      </w:r>
      <w:r w:rsidR="00394883">
        <w:t xml:space="preserve">pak </w:t>
      </w:r>
      <w:r>
        <w:t xml:space="preserve">měl deficit hospodaření vládního sektoru </w:t>
      </w:r>
      <w:r w:rsidR="00A25B60">
        <w:t xml:space="preserve">dále </w:t>
      </w:r>
      <w:r>
        <w:t xml:space="preserve">poklesnout díky odhadu vyšší dynamiky ekonomiky na </w:t>
      </w:r>
      <w:r w:rsidR="00394883">
        <w:t>1,7</w:t>
      </w:r>
      <w:r>
        <w:t xml:space="preserve"> % HDP.</w:t>
      </w:r>
      <w:r w:rsidR="00E27982">
        <w:t xml:space="preserve"> </w:t>
      </w:r>
      <w:r>
        <w:t xml:space="preserve">Fiskální úsilí, </w:t>
      </w:r>
      <w:r w:rsidR="00394883">
        <w:t xml:space="preserve">tedy </w:t>
      </w:r>
      <w:r>
        <w:t xml:space="preserve">meziroční změna strukturálního salda, je </w:t>
      </w:r>
      <w:r w:rsidR="00394883">
        <w:t>pro roky 201</w:t>
      </w:r>
      <w:r w:rsidR="00E27982">
        <w:t>5</w:t>
      </w:r>
      <w:r w:rsidR="00394883">
        <w:t xml:space="preserve"> a</w:t>
      </w:r>
      <w:r w:rsidR="00E27982">
        <w:t>ž</w:t>
      </w:r>
      <w:r w:rsidR="00394883">
        <w:t xml:space="preserve"> 201</w:t>
      </w:r>
      <w:r w:rsidR="00E27982">
        <w:t>7,</w:t>
      </w:r>
      <w:r w:rsidR="00394883">
        <w:t xml:space="preserve"> </w:t>
      </w:r>
      <w:r>
        <w:t xml:space="preserve">i </w:t>
      </w:r>
      <w:r w:rsidR="00E27982">
        <w:t>přes</w:t>
      </w:r>
      <w:r>
        <w:t xml:space="preserve"> </w:t>
      </w:r>
      <w:r w:rsidR="00394883">
        <w:t xml:space="preserve">přetrvávající </w:t>
      </w:r>
      <w:r>
        <w:t>záporn</w:t>
      </w:r>
      <w:r w:rsidR="00E27982">
        <w:t>ou</w:t>
      </w:r>
      <w:r>
        <w:t xml:space="preserve"> pozici ekonomiky v</w:t>
      </w:r>
      <w:r w:rsidR="00E27982">
        <w:t> </w:t>
      </w:r>
      <w:r>
        <w:t>cyklu</w:t>
      </w:r>
      <w:r w:rsidR="00E27982">
        <w:t>,</w:t>
      </w:r>
      <w:r>
        <w:t xml:space="preserve"> nastaveno neutrálním </w:t>
      </w:r>
      <w:r w:rsidR="00E27982">
        <w:t>způsobem.</w:t>
      </w:r>
    </w:p>
    <w:p w:rsidR="00243E51" w:rsidRDefault="007C79A8" w:rsidP="00D175A2">
      <w:r>
        <w:t>Po zrušení reformy přímých</w:t>
      </w:r>
      <w:r w:rsidR="00BF16D6">
        <w:t xml:space="preserve"> daní a odvodů v souvislosti se zavedením Jednoho inkasního místa nepočítá</w:t>
      </w:r>
      <w:r>
        <w:t xml:space="preserve"> </w:t>
      </w:r>
      <w:r w:rsidR="00CE24E5">
        <w:t>aktuálně</w:t>
      </w:r>
      <w:r w:rsidR="00193D26">
        <w:t xml:space="preserve"> vláda</w:t>
      </w:r>
      <w:r w:rsidR="00BF16D6">
        <w:t xml:space="preserve"> </w:t>
      </w:r>
      <w:r w:rsidR="00193D26">
        <w:t>s výraznějšími změnami v</w:t>
      </w:r>
      <w:r w:rsidR="00CE24E5">
        <w:t> úrovni celkového</w:t>
      </w:r>
      <w:r w:rsidR="00193D26">
        <w:t xml:space="preserve"> da</w:t>
      </w:r>
      <w:r w:rsidR="00CE24E5">
        <w:t>ňového</w:t>
      </w:r>
      <w:r w:rsidR="00193D26">
        <w:t xml:space="preserve"> zatížení v období výhledu. Plánované</w:t>
      </w:r>
      <w:r w:rsidR="00D175A2">
        <w:t xml:space="preserve"> parametrické změny se dotýkají nastavení sazeb daně z přidané hodnoty, kde dojde v roce 2015 k zavedení druhé redukované sazby</w:t>
      </w:r>
      <w:r w:rsidR="00193D26">
        <w:t xml:space="preserve"> na vybrané zboží</w:t>
      </w:r>
      <w:r w:rsidR="00AC7E70">
        <w:t>, v roce 2016 pak zůstanou zachovány současné výše sazeb na ostatní zboží a služby</w:t>
      </w:r>
      <w:r w:rsidR="00193D26">
        <w:t>.</w:t>
      </w:r>
      <w:r w:rsidR="00D175A2">
        <w:t xml:space="preserve"> K dílčím změnám dojde rovněž u nastavení některých parametrů osobní důchodové daně (např. obnovení základní slevy pro pracující důchodce od roku 2015, zvýšení daňové slevy na 2. a další dítě či omezení </w:t>
      </w:r>
      <w:r w:rsidR="00E27982">
        <w:t>u</w:t>
      </w:r>
      <w:r w:rsidR="00D175A2">
        <w:t xml:space="preserve"> výdajov</w:t>
      </w:r>
      <w:r w:rsidR="00E27982">
        <w:t>ých</w:t>
      </w:r>
      <w:r w:rsidR="00D175A2">
        <w:t xml:space="preserve"> paušál</w:t>
      </w:r>
      <w:r w:rsidR="00E27982">
        <w:t>ů</w:t>
      </w:r>
      <w:r w:rsidR="00D175A2">
        <w:t xml:space="preserve"> pro OSVČ). Vliv na úroveň výdajů vládního sektoru bude mít mimo jiné ukončení restrikce valorizačního vzorce pro zvyšování důchodů počínaje rokem 2015, omezený růst některých sociálních dávek nebo mírný růst náhrad zaměstnancům ve státní správě. Vyšší objem finančních prostředků bude nasměrován do sektoru zdravotnictví</w:t>
      </w:r>
      <w:r w:rsidR="006828FA">
        <w:t>. Fiskální strategie vlády</w:t>
      </w:r>
      <w:r w:rsidR="00D175A2">
        <w:t xml:space="preserve"> je podrobněji řešena v aktualizovaném Konvergenčním programu ČR.</w:t>
      </w:r>
    </w:p>
    <w:p w:rsidR="003237CF" w:rsidRDefault="00DF4B71" w:rsidP="003237CF">
      <w:pPr>
        <w:pStyle w:val="Nadpis3"/>
        <w:numPr>
          <w:ilvl w:val="2"/>
          <w:numId w:val="4"/>
        </w:numPr>
        <w:ind w:left="851" w:hanging="851"/>
      </w:pPr>
      <w:bookmarkStart w:id="13" w:name="_Toc385339483"/>
      <w:r>
        <w:t xml:space="preserve">Čerpání </w:t>
      </w:r>
      <w:r w:rsidR="0036190E">
        <w:t xml:space="preserve">evropských fondů </w:t>
      </w:r>
      <w:r>
        <w:t>v programovém období 2007-2013</w:t>
      </w:r>
      <w:bookmarkEnd w:id="13"/>
    </w:p>
    <w:p w:rsidR="00E8123F" w:rsidRPr="006963B9" w:rsidRDefault="00E8123F" w:rsidP="00E8123F">
      <w:r w:rsidRPr="006963B9">
        <w:t xml:space="preserve">Programové období 2007-2013 se blíží do své závěrečné fáze ukončování. </w:t>
      </w:r>
      <w:r w:rsidR="006828FA">
        <w:t>Evropské komisi</w:t>
      </w:r>
      <w:r w:rsidRPr="006963B9">
        <w:t xml:space="preserve"> zbývá zaslat k proplacení prostředky zhruba ve výši 12 mld. EUR, neboli </w:t>
      </w:r>
      <w:r w:rsidR="00AC6D99">
        <w:t>46</w:t>
      </w:r>
      <w:r w:rsidRPr="006963B9">
        <w:t>,</w:t>
      </w:r>
      <w:r w:rsidR="00AC6D99">
        <w:t>1</w:t>
      </w:r>
      <w:r w:rsidR="003A3E46">
        <w:t xml:space="preserve"> % alokace (údaje k 1</w:t>
      </w:r>
      <w:r w:rsidRPr="006963B9">
        <w:t xml:space="preserve">. </w:t>
      </w:r>
      <w:r w:rsidR="00F1182F">
        <w:t>dubnu</w:t>
      </w:r>
      <w:r w:rsidRPr="006963B9">
        <w:t xml:space="preserve"> 2014). Rozhodnutím / Smlouvou o </w:t>
      </w:r>
      <w:r w:rsidRPr="00E8123F">
        <w:t>poskytnutí dotace je ke stejnému datu pokryto 91 % z alokace na programové období 2007-2013. Ve státním rozpočtu je počítáno s dostatkem prostředků na financování projektů spolufinancovaných z fondů EU.</w:t>
      </w:r>
      <w:r w:rsidRPr="006963B9">
        <w:t xml:space="preserve">  </w:t>
      </w:r>
    </w:p>
    <w:p w:rsidR="00E8123F" w:rsidRPr="006963B9" w:rsidRDefault="00E8123F" w:rsidP="00E8123F">
      <w:r w:rsidRPr="006963B9">
        <w:t xml:space="preserve">ČR se na konci roku 2013 nepodařilo zcela uspokojivě naplnit pravidlo </w:t>
      </w:r>
      <w:r>
        <w:t>n+2 a n+3</w:t>
      </w:r>
      <w:r w:rsidRPr="006963B9">
        <w:t xml:space="preserve">, kdy musela vyčerpat prostředky přidělené </w:t>
      </w:r>
      <w:r>
        <w:t> na rok</w:t>
      </w:r>
      <w:r w:rsidRPr="006963B9">
        <w:t xml:space="preserve"> 2010 (kdy platilo pro ČR pravidlo </w:t>
      </w:r>
      <w:r w:rsidR="0036190E">
        <w:t>n</w:t>
      </w:r>
      <w:r w:rsidRPr="006963B9">
        <w:t xml:space="preserve">+3), tak </w:t>
      </w:r>
      <w:r>
        <w:t> na rok</w:t>
      </w:r>
      <w:r w:rsidRPr="006963B9">
        <w:t xml:space="preserve"> 2011 (kdy se n</w:t>
      </w:r>
      <w:r w:rsidR="0036190E">
        <w:t>a ČR začalo vztahovat pravidlo n</w:t>
      </w:r>
      <w:r w:rsidRPr="006963B9">
        <w:t xml:space="preserve">+2). ČR tak musela do konce roku 2013 vyčerpat cca 65 % veškerých zdrojů alokovaných na toto období, přičemž se jí z této částky nepodařilo vyčerpat </w:t>
      </w:r>
      <w:r w:rsidR="00673548">
        <w:t>necelá</w:t>
      </w:r>
      <w:r w:rsidRPr="006963B9">
        <w:t xml:space="preserve"> 3 %</w:t>
      </w:r>
      <w:r>
        <w:t xml:space="preserve"> </w:t>
      </w:r>
      <w:r w:rsidRPr="006963B9">
        <w:t>(12 mld. Kč</w:t>
      </w:r>
      <w:r>
        <w:t xml:space="preserve"> dle přepočtu podle lednového kurzu</w:t>
      </w:r>
      <w:r w:rsidRPr="006963B9">
        <w:t>), o které nenávratně přijde, pokud se jí nepodaří vyjednat s</w:t>
      </w:r>
      <w:r>
        <w:t> </w:t>
      </w:r>
      <w:r w:rsidRPr="006963B9">
        <w:t xml:space="preserve">Evropskou komisí výjimky. </w:t>
      </w:r>
      <w:r>
        <w:t xml:space="preserve">Možnou výjimku představuje </w:t>
      </w:r>
      <w:r w:rsidRPr="006963B9">
        <w:t>aplikace čl</w:t>
      </w:r>
      <w:r>
        <w:t xml:space="preserve">ánku </w:t>
      </w:r>
      <w:r w:rsidRPr="006963B9">
        <w:t xml:space="preserve">95 </w:t>
      </w:r>
      <w:r>
        <w:t>Obecného nařízení</w:t>
      </w:r>
      <w:r w:rsidRPr="006963B9">
        <w:t>, podle ně</w:t>
      </w:r>
      <w:r w:rsidR="00673548">
        <w:t xml:space="preserve">hož </w:t>
      </w:r>
      <w:r w:rsidR="008D0DB3">
        <w:t>lze</w:t>
      </w:r>
      <w:r w:rsidRPr="006963B9">
        <w:t xml:space="preserve"> snížit </w:t>
      </w:r>
      <w:r>
        <w:t xml:space="preserve">automatické </w:t>
      </w:r>
      <w:r w:rsidRPr="006963B9">
        <w:t>zrušení závazku o</w:t>
      </w:r>
      <w:r>
        <w:t xml:space="preserve"> </w:t>
      </w:r>
      <w:r w:rsidR="00673548">
        <w:t>objem prostředků, které nemohl</w:t>
      </w:r>
      <w:r w:rsidR="0036190E">
        <w:t>y</w:t>
      </w:r>
      <w:r w:rsidR="00673548">
        <w:t xml:space="preserve"> být vykázány</w:t>
      </w:r>
      <w:r>
        <w:t xml:space="preserve"> Evropské komisi, </w:t>
      </w:r>
      <w:r w:rsidR="0036190E">
        <w:t xml:space="preserve">a to </w:t>
      </w:r>
      <w:r w:rsidR="0036190E">
        <w:lastRenderedPageBreak/>
        <w:t>z důvodu pozastavení operac</w:t>
      </w:r>
      <w:r>
        <w:t xml:space="preserve">í soudním řízením nebo řízením o správním opravném prostředku s odkladným účinkem (např. řízením v rámci Úřadu pro ochranu hospodářské soutěže či trestním řízením). Další výjimkou je aplikace </w:t>
      </w:r>
      <w:r w:rsidRPr="006963B9">
        <w:t>čl</w:t>
      </w:r>
      <w:r>
        <w:t>ánku</w:t>
      </w:r>
      <w:r w:rsidRPr="006963B9">
        <w:t xml:space="preserve"> 96</w:t>
      </w:r>
      <w:r>
        <w:t xml:space="preserve"> Obecného nařízení</w:t>
      </w:r>
      <w:r w:rsidRPr="006963B9">
        <w:t xml:space="preserve">, umožňující zohlednění </w:t>
      </w:r>
      <w:r>
        <w:t xml:space="preserve">tzv. </w:t>
      </w:r>
      <w:r w:rsidRPr="006963B9">
        <w:t>„</w:t>
      </w:r>
      <w:r w:rsidR="00902FE6" w:rsidRPr="00902FE6">
        <w:t>vyšší moci</w:t>
      </w:r>
      <w:r w:rsidRPr="006963B9">
        <w:t>“ – v</w:t>
      </w:r>
      <w:r w:rsidR="00204478">
        <w:t> </w:t>
      </w:r>
      <w:r w:rsidRPr="006963B9">
        <w:t>případě ČR</w:t>
      </w:r>
      <w:r>
        <w:t xml:space="preserve"> lze za důvody vyšší moci považovat</w:t>
      </w:r>
      <w:r w:rsidRPr="006963B9">
        <w:t xml:space="preserve"> povodně z roku 2013 a </w:t>
      </w:r>
      <w:r>
        <w:t>ekonomickou</w:t>
      </w:r>
      <w:r w:rsidRPr="006963B9">
        <w:t xml:space="preserve"> krizi. ČR nyní intenzivně vyjednává s Evropskou komisí o možnostech aplikace těchto pravidel s cílem snížení </w:t>
      </w:r>
      <w:r w:rsidR="0036190E" w:rsidRPr="0036190E">
        <w:t>automatického zrušení závazku</w:t>
      </w:r>
      <w:r w:rsidRPr="006963B9">
        <w:t xml:space="preserve"> za rok 2013.</w:t>
      </w:r>
    </w:p>
    <w:p w:rsidR="00DF4B71" w:rsidRDefault="00E8123F" w:rsidP="00E8123F">
      <w:r w:rsidRPr="006963B9">
        <w:t>Řídící orgány operačních programů musí do konce roku 2014 naplnit pravidlo n+2 pro alokaci roku 2012 a</w:t>
      </w:r>
      <w:r w:rsidR="00204478">
        <w:t> </w:t>
      </w:r>
      <w:r w:rsidR="00212D24">
        <w:t xml:space="preserve">zbývající alokaci vyčerpat </w:t>
      </w:r>
      <w:r w:rsidR="00212D24" w:rsidRPr="006963B9">
        <w:t>do konce</w:t>
      </w:r>
      <w:r w:rsidR="00212D24">
        <w:t xml:space="preserve"> programového období 2007-2013, tj. do 31. 3. 2017. </w:t>
      </w:r>
      <w:r w:rsidRPr="006963B9">
        <w:t>Jednou z</w:t>
      </w:r>
      <w:r>
        <w:t> </w:t>
      </w:r>
      <w:r w:rsidRPr="006963B9">
        <w:t xml:space="preserve">hlavních priorit vlády tedy bude, aby ČR splnila na konci roku 2014 závazek vůči Evropské komisi a </w:t>
      </w:r>
      <w:r w:rsidR="002466E4">
        <w:t xml:space="preserve">minimalizovala ztrátu finančních prostředků </w:t>
      </w:r>
      <w:r w:rsidRPr="006963B9">
        <w:t xml:space="preserve">ze strukturálních fondů a Fondu soudržnosti, a aby operační programy vyvinuly maximální úsilí vedoucí k vyčerpání celkové alokace </w:t>
      </w:r>
      <w:r>
        <w:t>programového období 2007-2013</w:t>
      </w:r>
      <w:r w:rsidRPr="006963B9">
        <w:t xml:space="preserve">. Toto úsilí bude podpořeno jak systémovými kroky uskutečňovanými na úrovni </w:t>
      </w:r>
      <w:r>
        <w:t>Národního strategického referenčního rámce</w:t>
      </w:r>
      <w:r w:rsidRPr="006963B9">
        <w:t xml:space="preserve">, které budou prováděny v případě potřeby u rizikových operačních programů, tak ad hoc zásahy v jednotlivých rizikových případech. Česká republika zároveň identifikovala několik slabých míst implementační struktury a v současné době připravuje </w:t>
      </w:r>
      <w:r w:rsidR="00AE2388">
        <w:t>legislativní i nelegislativní</w:t>
      </w:r>
      <w:r w:rsidRPr="006963B9">
        <w:t xml:space="preserve"> opatření vedoucí ke zjednodušení a sjednocení postupů, při respektu pravidel efektivního a</w:t>
      </w:r>
      <w:r w:rsidR="00204478">
        <w:t> </w:t>
      </w:r>
      <w:r w:rsidRPr="006963B9">
        <w:t>transparentního čerpání. V</w:t>
      </w:r>
      <w:r w:rsidR="00C03279">
        <w:t> </w:t>
      </w:r>
      <w:r w:rsidRPr="006963B9">
        <w:t>neposlední řadě bude Č</w:t>
      </w:r>
      <w:r>
        <w:t>eská republika</w:t>
      </w:r>
      <w:r w:rsidRPr="006963B9">
        <w:t xml:space="preserve"> věnovat pozornost koordinaci uzavírání programového období 2007-2013, včetně zajištění dostatečných administrativních kapacit.</w:t>
      </w:r>
    </w:p>
    <w:p w:rsidR="00E6007B" w:rsidRDefault="00E6007B" w:rsidP="00E6007B">
      <w:pPr>
        <w:pStyle w:val="Nadpis2"/>
        <w:numPr>
          <w:ilvl w:val="1"/>
          <w:numId w:val="4"/>
        </w:numPr>
        <w:ind w:left="851" w:hanging="851"/>
      </w:pPr>
      <w:bookmarkStart w:id="14" w:name="_Toc385339484"/>
      <w:r>
        <w:t>Daňová politika</w:t>
      </w:r>
      <w:bookmarkEnd w:id="14"/>
    </w:p>
    <w:p w:rsidR="00E6007B" w:rsidRDefault="00E6007B" w:rsidP="00E6007B">
      <w:pPr>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pPr>
      <w:r>
        <w:rPr>
          <w:b/>
          <w:color w:val="9B2D1F" w:themeColor="accent2"/>
        </w:rPr>
        <w:t>Doporučení Rady č. 2</w:t>
      </w:r>
      <w:r w:rsidRPr="001202C4">
        <w:rPr>
          <w:b/>
          <w:color w:val="9B2D1F" w:themeColor="accent2"/>
        </w:rPr>
        <w:t>:</w:t>
      </w:r>
      <w:r>
        <w:t xml:space="preserve"> </w:t>
      </w:r>
      <w:r w:rsidRPr="00ED621D">
        <w:rPr>
          <w:color w:val="D41616"/>
        </w:rPr>
        <w:t>Snížit vysokou úroveň zdanění práce přesunem zdanění do oblastí, které méně omezují růst, například pravidelně odváděné daně z nemovitostí a daně na silniční motoro</w:t>
      </w:r>
      <w:r w:rsidR="001A4749" w:rsidRPr="00ED621D">
        <w:rPr>
          <w:color w:val="D41616"/>
        </w:rPr>
        <w:softHyphen/>
      </w:r>
      <w:r w:rsidRPr="00ED621D">
        <w:rPr>
          <w:color w:val="D41616"/>
        </w:rPr>
        <w:t>vou dopravu. Dále zmenšit rozdíly v daňovém zacházení se zaměstnanci a osobami samostatně výdělečně činnými. Zvětšit míru dodržování daňových předpisů a snížit náklady na jejich dodržování vytvořením Jednoho inkasního místa a harmonizováním daňových základů pro daň z příjmu fyzic</w:t>
      </w:r>
      <w:r w:rsidR="001A4749" w:rsidRPr="00ED621D">
        <w:rPr>
          <w:color w:val="D41616"/>
        </w:rPr>
        <w:softHyphen/>
      </w:r>
      <w:r w:rsidRPr="00ED621D">
        <w:rPr>
          <w:color w:val="D41616"/>
        </w:rPr>
        <w:t xml:space="preserve">kých osob a příspěvky na sociální a zdravotní pojištění. </w:t>
      </w:r>
    </w:p>
    <w:p w:rsidR="00350D80" w:rsidRDefault="008E0F01" w:rsidP="003237CF">
      <w:pPr>
        <w:pStyle w:val="Nadpis3"/>
        <w:numPr>
          <w:ilvl w:val="2"/>
          <w:numId w:val="4"/>
        </w:numPr>
        <w:ind w:left="851" w:hanging="851"/>
      </w:pPr>
      <w:bookmarkStart w:id="15" w:name="_Toc385339485"/>
      <w:r>
        <w:t>Změny v daňovém systému</w:t>
      </w:r>
      <w:bookmarkEnd w:id="15"/>
    </w:p>
    <w:p w:rsidR="00244888" w:rsidRDefault="00244888" w:rsidP="006C507D">
      <w:r w:rsidRPr="00244888">
        <w:t>Vláda provede změny v daňové soustavě tak, aby nebránily růstu, posílily solidaritu a přispěly ke zlepšení výběru daní.</w:t>
      </w:r>
    </w:p>
    <w:p w:rsidR="006C507D" w:rsidRPr="006C507D" w:rsidRDefault="006C507D" w:rsidP="006C507D">
      <w:r w:rsidRPr="006C507D">
        <w:t xml:space="preserve">V roce 2013 byla zvýšena sazba </w:t>
      </w:r>
      <w:r w:rsidRPr="00733027">
        <w:rPr>
          <w:b/>
        </w:rPr>
        <w:t xml:space="preserve">daně z převodu nemovitostí </w:t>
      </w:r>
      <w:r w:rsidRPr="006C507D">
        <w:t xml:space="preserve">o 1 </w:t>
      </w:r>
      <w:proofErr w:type="spellStart"/>
      <w:r w:rsidRPr="006C507D">
        <w:t>p.b</w:t>
      </w:r>
      <w:proofErr w:type="spellEnd"/>
      <w:r w:rsidRPr="006C507D">
        <w:t xml:space="preserve">. Úprava tohoto charakteru sleduje zvýšením zdanění v oblasti bydlení </w:t>
      </w:r>
      <w:r w:rsidR="00AE2388" w:rsidRPr="006C507D">
        <w:t xml:space="preserve">cíl </w:t>
      </w:r>
      <w:r w:rsidRPr="006C507D">
        <w:t xml:space="preserve">zvýšit daňové příjmy státního rozpočtu takovým způsobem, který by co nejméně brzdil růst. </w:t>
      </w:r>
      <w:r w:rsidR="00783D95" w:rsidRPr="006C507D">
        <w:t>V</w:t>
      </w:r>
      <w:r w:rsidR="00783D95">
        <w:t xml:space="preserve"> průběhu roku </w:t>
      </w:r>
      <w:r w:rsidR="00783D95" w:rsidRPr="006C507D">
        <w:t xml:space="preserve">2014 </w:t>
      </w:r>
      <w:r w:rsidR="003A3E46" w:rsidRPr="003A3E46">
        <w:t>postupně dochází</w:t>
      </w:r>
      <w:r w:rsidR="00A04797">
        <w:t xml:space="preserve"> ke</w:t>
      </w:r>
      <w:r w:rsidR="00783D95" w:rsidRPr="006C507D">
        <w:t xml:space="preserve"> zvýšení spotřebních daní z tabákových výrobků</w:t>
      </w:r>
      <w:r w:rsidR="00783D95">
        <w:t xml:space="preserve"> a k opětovnému zavedení vracení daně z minerálních olejů osobám užívajícím tyto oleje pro zemědělskou prvovýrobu.</w:t>
      </w:r>
    </w:p>
    <w:p w:rsidR="006C507D" w:rsidRPr="006C507D" w:rsidRDefault="006C507D" w:rsidP="006C507D">
      <w:r w:rsidRPr="006C507D">
        <w:t>V současné době vláda analyzuje možné návrhy a dopady daňových změn</w:t>
      </w:r>
      <w:r w:rsidR="00212D24" w:rsidRPr="00212D24">
        <w:t xml:space="preserve"> </w:t>
      </w:r>
      <w:r w:rsidR="00212D24">
        <w:t>od roku 2016</w:t>
      </w:r>
      <w:r w:rsidRPr="006C507D">
        <w:t xml:space="preserve">, které se týkají zvýšení </w:t>
      </w:r>
      <w:r w:rsidRPr="00733027">
        <w:rPr>
          <w:b/>
        </w:rPr>
        <w:t>odvodu z</w:t>
      </w:r>
      <w:r w:rsidR="00204478">
        <w:rPr>
          <w:b/>
        </w:rPr>
        <w:t> </w:t>
      </w:r>
      <w:r w:rsidRPr="00733027">
        <w:rPr>
          <w:b/>
        </w:rPr>
        <w:t xml:space="preserve">hazardu </w:t>
      </w:r>
      <w:r w:rsidR="00E03AEC">
        <w:rPr>
          <w:b/>
        </w:rPr>
        <w:t>a zdanění loterií provozovaných prostřednictvím internetu</w:t>
      </w:r>
      <w:r w:rsidR="00E03AEC" w:rsidRPr="00733027">
        <w:rPr>
          <w:b/>
        </w:rPr>
        <w:t xml:space="preserve"> </w:t>
      </w:r>
      <w:r w:rsidRPr="00733027">
        <w:t xml:space="preserve">či </w:t>
      </w:r>
      <w:r w:rsidRPr="00733027">
        <w:rPr>
          <w:b/>
        </w:rPr>
        <w:t>zavedení sektorových daní</w:t>
      </w:r>
      <w:r w:rsidRPr="006C507D">
        <w:t xml:space="preserve"> pro některá regulovaná odvětví jako jsou telekomunikace, energetika či finančnictví. Na základě výsledků těchto analýz bude rozhodnuto o dalším postupu možného zavedení těchto daňových opatření.  </w:t>
      </w:r>
    </w:p>
    <w:p w:rsidR="006C507D" w:rsidRPr="006C507D" w:rsidRDefault="006C507D" w:rsidP="006C507D">
      <w:r w:rsidRPr="006C507D">
        <w:t xml:space="preserve">S cílem podpořit rodiny s dětmi vláda </w:t>
      </w:r>
      <w:r w:rsidR="00E03AEC">
        <w:t>zvýší</w:t>
      </w:r>
      <w:r w:rsidRPr="006C507D">
        <w:t xml:space="preserve"> </w:t>
      </w:r>
      <w:r w:rsidR="00E03AEC">
        <w:rPr>
          <w:b/>
        </w:rPr>
        <w:t>daňové</w:t>
      </w:r>
      <w:r w:rsidRPr="00733027">
        <w:rPr>
          <w:b/>
        </w:rPr>
        <w:t xml:space="preserve"> zvýhodnění na druhé a další dítě</w:t>
      </w:r>
      <w:r w:rsidRPr="006C507D">
        <w:t>. V</w:t>
      </w:r>
      <w:r w:rsidR="00204478">
        <w:t> </w:t>
      </w:r>
      <w:r w:rsidRPr="006C507D">
        <w:t>současné době jsou připravovány návrhy konkrétních parametrů tohoto daňového zvýhodnění.</w:t>
      </w:r>
    </w:p>
    <w:p w:rsidR="006C507D" w:rsidRPr="006C507D" w:rsidRDefault="006C507D" w:rsidP="006C507D">
      <w:r w:rsidRPr="006C507D">
        <w:t xml:space="preserve">Vláda sníží </w:t>
      </w:r>
      <w:r w:rsidR="003A3E46" w:rsidRPr="003A3E46">
        <w:t>počínaje rokem 2015</w:t>
      </w:r>
      <w:r>
        <w:t xml:space="preserve"> </w:t>
      </w:r>
      <w:r w:rsidRPr="00733027">
        <w:rPr>
          <w:b/>
        </w:rPr>
        <w:t>DPH na léky a knihy</w:t>
      </w:r>
      <w:r w:rsidRPr="006C507D">
        <w:t xml:space="preserve">. Vláda také sníží </w:t>
      </w:r>
      <w:r w:rsidRPr="00733027">
        <w:rPr>
          <w:b/>
        </w:rPr>
        <w:t>DPH na nenahraditelnou dětskou výživu</w:t>
      </w:r>
      <w:r w:rsidR="00212D24">
        <w:t>.</w:t>
      </w:r>
    </w:p>
    <w:p w:rsidR="006C507D" w:rsidRDefault="006C507D" w:rsidP="006C507D">
      <w:pPr>
        <w:rPr>
          <w:b/>
        </w:rPr>
      </w:pPr>
      <w:r w:rsidRPr="006C507D">
        <w:t xml:space="preserve">Vláda plánuje trvalé ponechání mírné daňové progrese na úrovni dnešní </w:t>
      </w:r>
      <w:r w:rsidRPr="00733027">
        <w:rPr>
          <w:b/>
        </w:rPr>
        <w:t>tzv. solidární přirážky</w:t>
      </w:r>
      <w:r w:rsidRPr="006C507D">
        <w:t xml:space="preserve">, která by byla součástí </w:t>
      </w:r>
      <w:r w:rsidRPr="00733027">
        <w:rPr>
          <w:b/>
        </w:rPr>
        <w:t>nového konceptu hrubé mzdy</w:t>
      </w:r>
      <w:r w:rsidRPr="006C507D">
        <w:t xml:space="preserve">, namísto současné </w:t>
      </w:r>
      <w:proofErr w:type="spellStart"/>
      <w:r w:rsidRPr="006C507D">
        <w:t>superhrubé</w:t>
      </w:r>
      <w:proofErr w:type="spellEnd"/>
      <w:r w:rsidRPr="006C507D">
        <w:t xml:space="preserve"> mzdy, od roku 2016. Změna </w:t>
      </w:r>
      <w:r w:rsidRPr="006C507D">
        <w:lastRenderedPageBreak/>
        <w:t xml:space="preserve">konceptu ze </w:t>
      </w:r>
      <w:proofErr w:type="spellStart"/>
      <w:r w:rsidRPr="006C507D">
        <w:t>superhrubé</w:t>
      </w:r>
      <w:proofErr w:type="spellEnd"/>
      <w:r w:rsidRPr="006C507D">
        <w:t xml:space="preserve"> mzdy na hrubou mzdu bude provedena tak, aby byla zachována současná míra zdanění. V rámci solidarity dojde </w:t>
      </w:r>
      <w:r w:rsidR="00AE2388" w:rsidRPr="006C507D">
        <w:t>od roku 2016</w:t>
      </w:r>
      <w:r w:rsidRPr="006C507D">
        <w:t xml:space="preserve">k trvalému zrušení </w:t>
      </w:r>
      <w:proofErr w:type="spellStart"/>
      <w:r w:rsidRPr="00733027">
        <w:rPr>
          <w:b/>
        </w:rPr>
        <w:t>zastropování</w:t>
      </w:r>
      <w:proofErr w:type="spellEnd"/>
      <w:r w:rsidRPr="00733027">
        <w:rPr>
          <w:b/>
        </w:rPr>
        <w:t xml:space="preserve"> odvodů na zdravotní pojistné</w:t>
      </w:r>
      <w:r w:rsidRPr="006C507D">
        <w:t xml:space="preserve">. </w:t>
      </w:r>
    </w:p>
    <w:p w:rsidR="003237CF" w:rsidRDefault="00350D80" w:rsidP="003237CF">
      <w:pPr>
        <w:pStyle w:val="Nadpis3"/>
        <w:numPr>
          <w:ilvl w:val="2"/>
          <w:numId w:val="4"/>
        </w:numPr>
        <w:ind w:left="851" w:hanging="851"/>
      </w:pPr>
      <w:bookmarkStart w:id="16" w:name="_Toc385339486"/>
      <w:r>
        <w:t>Omezení paušálních nákladů OSVČ</w:t>
      </w:r>
      <w:bookmarkEnd w:id="16"/>
      <w:r w:rsidR="00D340E4">
        <w:t xml:space="preserve"> </w:t>
      </w:r>
    </w:p>
    <w:p w:rsidR="006C507D" w:rsidRDefault="006C507D" w:rsidP="006C507D">
      <w:r>
        <w:t xml:space="preserve">V roce 2013 byly nastaveny </w:t>
      </w:r>
      <w:r w:rsidRPr="00E34BD2">
        <w:rPr>
          <w:b/>
        </w:rPr>
        <w:t>absolutní stropy u výdajových paušálů pro podnikatele</w:t>
      </w:r>
      <w:r>
        <w:t>. Současně bylo zavedeno omezení na uplatňování daňového zvýhodnění na vyživované dítě a manžela/ku bez vlastních příjmů pro osoby, které využívají výdajové paušály.</w:t>
      </w:r>
    </w:p>
    <w:p w:rsidR="00212D24" w:rsidRDefault="00212D24" w:rsidP="006C507D">
      <w:r>
        <w:t>Vláda dále omezí paušální náklady pro osoby samostatně výdělečně činné (OSVČ) absolutní částkou ve výši 1,2 mil. Kč u činností s paušálními výdaji ve výši 60 %. Zároveň by měl</w:t>
      </w:r>
      <w:r w:rsidR="008D0DB3">
        <w:t>o</w:t>
      </w:r>
      <w:r>
        <w:t xml:space="preserve"> být omezeno uplatnění slevy na poplatník</w:t>
      </w:r>
      <w:r w:rsidR="003A3E46">
        <w:t>a. Po analýze odvodů za zaměstnance</w:t>
      </w:r>
      <w:r>
        <w:t xml:space="preserve"> a OSVČ do veřejných rozpočtů vláda navrhne opatření, která přispějí ke </w:t>
      </w:r>
      <w:r w:rsidRPr="00E34BD2">
        <w:rPr>
          <w:b/>
        </w:rPr>
        <w:t>spravedlivějšímu rozložení nákladů na financování veřejných služeb</w:t>
      </w:r>
      <w:r>
        <w:t>. OSVČ, které dlouhodobě nevykazují zisk, s výjimkou roku zahájení podnikání + 3 roky, nebudou mít možnost aplikovat některá daňová zvýhodnění.</w:t>
      </w:r>
    </w:p>
    <w:p w:rsidR="006C507D" w:rsidRDefault="006C507D" w:rsidP="006C507D">
      <w:r>
        <w:t xml:space="preserve">Zavedením výše uvedených opatření bude docíleno mírného přiblížení daňového zatížení zaměstnanců s OSVČ. V současné době také pokračují práce na </w:t>
      </w:r>
      <w:r w:rsidRPr="00E34BD2">
        <w:rPr>
          <w:b/>
        </w:rPr>
        <w:t>harmonizovaných základech daní a pojistného</w:t>
      </w:r>
      <w:r>
        <w:t xml:space="preserve">. Parametrické změny sazeb harmonizovaných základů, s jejichž účinností se počítá od roku 2016, by sblížily současně platné míry zdanění OSVČ a zaměstnanců. </w:t>
      </w:r>
    </w:p>
    <w:p w:rsidR="003237CF" w:rsidRDefault="00C66A63" w:rsidP="003237CF">
      <w:pPr>
        <w:pStyle w:val="Nadpis3"/>
        <w:numPr>
          <w:ilvl w:val="2"/>
          <w:numId w:val="4"/>
        </w:numPr>
        <w:ind w:left="851" w:hanging="851"/>
      </w:pPr>
      <w:bookmarkStart w:id="17" w:name="_Toc385339487"/>
      <w:r>
        <w:t>Zlepšení výběru daní a boj proti daňovým únikům</w:t>
      </w:r>
      <w:bookmarkEnd w:id="17"/>
      <w:r w:rsidR="004B00D1">
        <w:t xml:space="preserve"> </w:t>
      </w:r>
    </w:p>
    <w:p w:rsidR="006C507D" w:rsidRPr="006C507D" w:rsidRDefault="006C507D" w:rsidP="006C507D">
      <w:r w:rsidRPr="006C507D">
        <w:t xml:space="preserve">Vláda zruší zákon č. 458/2011 Sb. </w:t>
      </w:r>
      <w:r w:rsidR="00C06A66">
        <w:t>související</w:t>
      </w:r>
      <w:r w:rsidR="00596A7A">
        <w:t xml:space="preserve"> se zřízením </w:t>
      </w:r>
      <w:r w:rsidRPr="00596A7A">
        <w:rPr>
          <w:b/>
        </w:rPr>
        <w:t>Jedno</w:t>
      </w:r>
      <w:r w:rsidR="00596A7A" w:rsidRPr="00596A7A">
        <w:rPr>
          <w:b/>
        </w:rPr>
        <w:t>ho</w:t>
      </w:r>
      <w:r w:rsidRPr="00596A7A">
        <w:rPr>
          <w:b/>
        </w:rPr>
        <w:t xml:space="preserve"> inkasní</w:t>
      </w:r>
      <w:r w:rsidR="00596A7A" w:rsidRPr="00596A7A">
        <w:rPr>
          <w:b/>
        </w:rPr>
        <w:t>ho místa</w:t>
      </w:r>
      <w:r w:rsidR="00596A7A">
        <w:t xml:space="preserve"> (</w:t>
      </w:r>
      <w:r w:rsidR="00596A7A" w:rsidRPr="006C507D">
        <w:t>JIM). Platné</w:t>
      </w:r>
      <w:r w:rsidRPr="006C507D">
        <w:t xml:space="preserve"> znění zákona, který byl schválen v roce 2012, neodpovídá současnému legislativnímu stavu dalších souvisejících zákonných norem ani věcnému záměru vlády. Základní myšlenky JIM, kterými jsou zjednodušení výběru a</w:t>
      </w:r>
      <w:r w:rsidR="00204478">
        <w:t> </w:t>
      </w:r>
      <w:r w:rsidRPr="006C507D">
        <w:t>správy daní a pojistného a omezení rizika výpadku při výběru daní, však vláda podporuje. Navrhované změny budou koncipovány tak, aby nedošlo k výpadku daňových příjmů, tzn. budou rozpočtově neutrální. Současně platné změny, které dále snižovaly daňové zatížení OSVČ oproti daňovému zatížení zaměstnanců, byly z konceptu JIM odstraněny. V případě sjednocování daňových a pojistných základů zůstane původní účel projektu JIM zachován a bude nadále pokračovat. Cílem vlády je úplné sjednocení základů pro výpočet zdravotního a sociálního pojištění ja</w:t>
      </w:r>
      <w:r w:rsidR="00C03279">
        <w:t>kožto rozpočtově neutrální změny</w:t>
      </w:r>
      <w:r w:rsidRPr="006C507D">
        <w:t>, která rovněž sníží náklady daňových poplatníků.</w:t>
      </w:r>
    </w:p>
    <w:p w:rsidR="006C507D" w:rsidRPr="006C507D" w:rsidRDefault="006C507D" w:rsidP="006C507D">
      <w:r w:rsidRPr="006C507D">
        <w:t xml:space="preserve">Vláda připravuje několik dalších opatření vedoucích ke zlepšení výběru daní. Patří mezi ně </w:t>
      </w:r>
      <w:r w:rsidRPr="00596A7A">
        <w:rPr>
          <w:b/>
        </w:rPr>
        <w:t>digitalizace správy daní</w:t>
      </w:r>
      <w:r w:rsidRPr="006C507D">
        <w:t xml:space="preserve">, </w:t>
      </w:r>
      <w:r w:rsidRPr="00596A7A">
        <w:rPr>
          <w:b/>
        </w:rPr>
        <w:t xml:space="preserve">provádění účinných kontrol tržeb </w:t>
      </w:r>
      <w:r w:rsidRPr="00596A7A">
        <w:t>z maloobchodního prodeje a služeb</w:t>
      </w:r>
      <w:r w:rsidRPr="006C507D">
        <w:t xml:space="preserve">, </w:t>
      </w:r>
      <w:r w:rsidRPr="00596A7A">
        <w:rPr>
          <w:b/>
        </w:rPr>
        <w:t>snížení limitu pro hotovostní platby</w:t>
      </w:r>
      <w:r w:rsidRPr="006C507D">
        <w:t xml:space="preserve"> (z 15 na 10 tis. Eur</w:t>
      </w:r>
      <w:r w:rsidRPr="00596A7A">
        <w:t>),</w:t>
      </w:r>
      <w:r w:rsidRPr="00596A7A">
        <w:rPr>
          <w:b/>
        </w:rPr>
        <w:t xml:space="preserve"> </w:t>
      </w:r>
      <w:r w:rsidRPr="00596A7A">
        <w:t>zavedení zvláštních</w:t>
      </w:r>
      <w:r w:rsidRPr="00596A7A">
        <w:rPr>
          <w:b/>
        </w:rPr>
        <w:t xml:space="preserve"> informačních povinností pro platby </w:t>
      </w:r>
      <w:r w:rsidRPr="00596A7A">
        <w:t>od právnických a fyzických osob subjektům v daňových rájích,</w:t>
      </w:r>
      <w:r w:rsidRPr="00596A7A">
        <w:rPr>
          <w:b/>
        </w:rPr>
        <w:t xml:space="preserve"> </w:t>
      </w:r>
      <w:r w:rsidRPr="00596A7A">
        <w:t xml:space="preserve">ustavení </w:t>
      </w:r>
      <w:r w:rsidRPr="00596A7A">
        <w:rPr>
          <w:b/>
        </w:rPr>
        <w:t>povinnosti prokázání původu majetku</w:t>
      </w:r>
      <w:r w:rsidRPr="006C507D">
        <w:t xml:space="preserve">, v personálním a technickém </w:t>
      </w:r>
      <w:r w:rsidRPr="00596A7A">
        <w:rPr>
          <w:b/>
        </w:rPr>
        <w:t>posílení daňové správy</w:t>
      </w:r>
      <w:r w:rsidRPr="006C507D">
        <w:t>. Základním</w:t>
      </w:r>
      <w:r w:rsidR="00C06A66">
        <w:t xml:space="preserve"> možným</w:t>
      </w:r>
      <w:r w:rsidRPr="006C507D">
        <w:t xml:space="preserve"> opatřením, které by přispělo ke zvýšení míry digitalizace správy daní, což se projeví mj. vyšší mírou efektivity správců daně, je plošné zavedení elektronického podávání daňových tvrzení od roku 2015. </w:t>
      </w:r>
    </w:p>
    <w:p w:rsidR="00C06A66" w:rsidRDefault="006C507D" w:rsidP="00C06A66">
      <w:pPr>
        <w:rPr>
          <w:b/>
        </w:rPr>
      </w:pPr>
      <w:r w:rsidRPr="006C507D">
        <w:t>V současné době se také uvažuje o možném zvýhodnění plátců, kteří by podávali daňové tvrzení elektronickou formou. Cílem vlády je rovněž rozšíření přenesení daňové povinnosti u některých plnění v</w:t>
      </w:r>
      <w:r w:rsidR="00204478">
        <w:t> </w:t>
      </w:r>
      <w:r w:rsidRPr="006C507D">
        <w:t xml:space="preserve">rámci DPH. V tomto kontextu probíhají práce na </w:t>
      </w:r>
      <w:r w:rsidRPr="00596A7A">
        <w:rPr>
          <w:b/>
        </w:rPr>
        <w:t>novele zákona</w:t>
      </w:r>
      <w:r w:rsidR="008D0DB3">
        <w:rPr>
          <w:b/>
        </w:rPr>
        <w:t xml:space="preserve"> o</w:t>
      </w:r>
      <w:r w:rsidRPr="00596A7A">
        <w:rPr>
          <w:b/>
        </w:rPr>
        <w:t xml:space="preserve"> dan</w:t>
      </w:r>
      <w:r w:rsidR="008D0DB3">
        <w:rPr>
          <w:b/>
        </w:rPr>
        <w:t>i</w:t>
      </w:r>
      <w:r w:rsidRPr="00596A7A">
        <w:rPr>
          <w:b/>
        </w:rPr>
        <w:t xml:space="preserve"> z přidané hodnoty</w:t>
      </w:r>
      <w:r w:rsidRPr="006C507D">
        <w:t xml:space="preserve">, která do českého daňového systému nově zavádí taxativní výčet činností, u kterých by bylo možné uplatňovat režim přenesené daňové povinnosti. Součástí návrhu této právní normy je i zavedení okruhu činností, na které by bylo umožněno členským státům aplikovat režim přenesené daňové povinnosti pouze na přechodnou dobu. Cílem těchto opatření je možnost operativně reagovat na zvýšený výskyt daňových úniků v souvislosti s daní z přidané hodnoty. </w:t>
      </w:r>
      <w:r w:rsidR="00C06A66">
        <w:t>Jejich p</w:t>
      </w:r>
      <w:r w:rsidR="00C06A66" w:rsidRPr="006C507D">
        <w:t xml:space="preserve">ředpokládaná účinnost se plánuje od roku 2015. </w:t>
      </w:r>
      <w:r w:rsidR="00C06A66" w:rsidRPr="008E0F01">
        <w:t xml:space="preserve"> </w:t>
      </w:r>
    </w:p>
    <w:p w:rsidR="00646985" w:rsidRDefault="00646985" w:rsidP="00EF38D7">
      <w:pPr>
        <w:pStyle w:val="Nadpis2"/>
        <w:keepNext/>
        <w:numPr>
          <w:ilvl w:val="1"/>
          <w:numId w:val="4"/>
        </w:numPr>
        <w:ind w:left="851" w:hanging="851"/>
      </w:pPr>
      <w:bookmarkStart w:id="18" w:name="_Toc385339488"/>
      <w:r w:rsidRPr="00646985">
        <w:lastRenderedPageBreak/>
        <w:t>Dlouhodobá udrž</w:t>
      </w:r>
      <w:r>
        <w:t>itelnost veřejných financí</w:t>
      </w:r>
      <w:bookmarkEnd w:id="18"/>
    </w:p>
    <w:p w:rsidR="00646985" w:rsidRDefault="00646985" w:rsidP="00EF38D7">
      <w:pPr>
        <w:keepNext/>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pPr>
      <w:r>
        <w:rPr>
          <w:b/>
          <w:color w:val="9B2D1F" w:themeColor="accent2"/>
        </w:rPr>
        <w:t xml:space="preserve">Doporučení Rady č. </w:t>
      </w:r>
      <w:r w:rsidR="007F3EF6">
        <w:rPr>
          <w:b/>
          <w:color w:val="9B2D1F" w:themeColor="accent2"/>
        </w:rPr>
        <w:t>3</w:t>
      </w:r>
      <w:r w:rsidRPr="001202C4">
        <w:rPr>
          <w:b/>
          <w:color w:val="9B2D1F" w:themeColor="accent2"/>
        </w:rPr>
        <w:t>:</w:t>
      </w:r>
      <w:r>
        <w:t xml:space="preserve"> </w:t>
      </w:r>
      <w:r w:rsidRPr="00ED621D">
        <w:rPr>
          <w:color w:val="D41616"/>
        </w:rPr>
        <w:t>Zvýšit skutečný věk odchodu do důchodu přizpůsobením věku odchodu do důchodu nebo důchodových dávek změnám ve střední délce života a přezkoumat systém valorizace důchodů. Zvyšování věku odchodu do důchodu doplnit o opatření podporující zaměstnatelnost starších pracovníků a omezit možnosti předčasného odchodu do důchodu. Zejména zrušit veřejnou dotaci pro režim předdůchodu. Přijmout opatření, která by výrazně zlepšila nákladovou efektivnost výdajů na zdravotní péči, zejména na péči v nemocnicích.</w:t>
      </w:r>
    </w:p>
    <w:p w:rsidR="009E5492" w:rsidRDefault="009E5492" w:rsidP="009E5492">
      <w:pPr>
        <w:pStyle w:val="Nadpis3"/>
        <w:numPr>
          <w:ilvl w:val="2"/>
          <w:numId w:val="4"/>
        </w:numPr>
        <w:ind w:left="851" w:hanging="851"/>
      </w:pPr>
      <w:bookmarkStart w:id="19" w:name="_Toc385339489"/>
      <w:r>
        <w:t>Udržitelný systém důchodového pojištění</w:t>
      </w:r>
      <w:bookmarkEnd w:id="19"/>
      <w:r>
        <w:t xml:space="preserve"> </w:t>
      </w:r>
    </w:p>
    <w:p w:rsidR="009E5492" w:rsidRDefault="009E5492" w:rsidP="009E5492">
      <w:r>
        <w:t xml:space="preserve">Novela zákona č. 155/1995 Sb., o důchodovém pojištění, z roku 2011 zavedla </w:t>
      </w:r>
      <w:r w:rsidRPr="00596A7A">
        <w:rPr>
          <w:b/>
        </w:rPr>
        <w:t>zvyšování důchodového věku</w:t>
      </w:r>
      <w:r>
        <w:t xml:space="preserve"> tempem </w:t>
      </w:r>
      <w:r w:rsidR="00C03279">
        <w:t>o dva</w:t>
      </w:r>
      <w:r>
        <w:t xml:space="preserve"> měsíce za rok bez stanoveného konečného cílového věku. U žen se jedná o dočasné zvýšení tempa ze </w:t>
      </w:r>
      <w:r w:rsidR="00C03279">
        <w:t xml:space="preserve">čtyř </w:t>
      </w:r>
      <w:r>
        <w:t xml:space="preserve">měsíců na </w:t>
      </w:r>
      <w:r w:rsidR="00C03279">
        <w:t>šest</w:t>
      </w:r>
      <w:r>
        <w:t xml:space="preserve"> měsíců za rok do doby sjednocení důchodového věku mužů a žen v roce 2041. Touto změnou se podařilo, v souladu s očekávaným budoucím demografickým vývojem a změnami ve střední délce života</w:t>
      </w:r>
      <w:r>
        <w:rPr>
          <w:rStyle w:val="Znakapoznpodarou"/>
        </w:rPr>
        <w:footnoteReference w:id="2"/>
      </w:r>
      <w:r>
        <w:t xml:space="preserve">, dlouhodobě stabilizovat průměrnou dobu pobírání důchodu pro jednotlivé generace na cca 20 letech. </w:t>
      </w:r>
    </w:p>
    <w:p w:rsidR="009E5492" w:rsidRDefault="009E5492" w:rsidP="009E5492">
      <w:r>
        <w:t>Vláda si je však vědoma nejistoty vyplývající, zejména v delším časovém horizontu, z možného odchýlení skutečného vývoje od aktuálních demografických prognóz. S ohledem na to</w:t>
      </w:r>
      <w:r w:rsidRPr="008F36FF">
        <w:t xml:space="preserve"> </w:t>
      </w:r>
      <w:r>
        <w:t>byl</w:t>
      </w:r>
      <w:r w:rsidRPr="008F36FF">
        <w:t xml:space="preserve"> připrav</w:t>
      </w:r>
      <w:r>
        <w:t>en</w:t>
      </w:r>
      <w:r w:rsidRPr="008F36FF">
        <w:t xml:space="preserve"> </w:t>
      </w:r>
      <w:r w:rsidR="006828FA">
        <w:t>diskuz</w:t>
      </w:r>
      <w:r>
        <w:t>ní materiál o možnosti</w:t>
      </w:r>
      <w:r w:rsidRPr="008F36FF">
        <w:t xml:space="preserve"> zavedení </w:t>
      </w:r>
      <w:r w:rsidRPr="00596A7A">
        <w:t>standardizované</w:t>
      </w:r>
      <w:r w:rsidRPr="00596A7A">
        <w:rPr>
          <w:b/>
        </w:rPr>
        <w:t xml:space="preserve"> procedury pravidelné revize tempa zvyšování důchodového věku</w:t>
      </w:r>
      <w:r>
        <w:t xml:space="preserve">. Revizní mechanismus umožní </w:t>
      </w:r>
      <w:r w:rsidRPr="008F36FF">
        <w:t>v pravidelných intervalech</w:t>
      </w:r>
      <w:r>
        <w:t xml:space="preserve"> sledovat a</w:t>
      </w:r>
      <w:r w:rsidRPr="008F36FF">
        <w:t xml:space="preserve"> </w:t>
      </w:r>
      <w:r>
        <w:t>hodnotit</w:t>
      </w:r>
      <w:r w:rsidRPr="008F36FF">
        <w:t xml:space="preserve"> vývoj demografických ukaza</w:t>
      </w:r>
      <w:r>
        <w:t xml:space="preserve">telů. </w:t>
      </w:r>
      <w:r w:rsidRPr="008F36FF">
        <w:t xml:space="preserve"> </w:t>
      </w:r>
      <w:r w:rsidR="0029636E">
        <w:t>V případě, že by se očekávaný vývoj hlavního ukazatele (tj. doby strávené v důchodu) odchyloval od požadovaných hodnot, byl by zahájen proces, který by zavazoval vládu připravit návrh na adekvátní reakci.</w:t>
      </w:r>
    </w:p>
    <w:p w:rsidR="009E5492" w:rsidRDefault="009E5492" w:rsidP="00532230">
      <w:pPr>
        <w:pStyle w:val="Titulek"/>
        <w:keepNext/>
      </w:pPr>
    </w:p>
    <w:p w:rsidR="00532230" w:rsidRDefault="00532230" w:rsidP="00532230">
      <w:pPr>
        <w:pStyle w:val="Titulek"/>
        <w:keepNext/>
      </w:pPr>
      <w:r>
        <w:t xml:space="preserve">Graf </w:t>
      </w:r>
      <w:fldSimple w:instr=" SEQ Graf \* ARABIC ">
        <w:r w:rsidR="001439D0">
          <w:rPr>
            <w:noProof/>
          </w:rPr>
          <w:t>2</w:t>
        </w:r>
      </w:fldSimple>
      <w:r>
        <w:t>: Odhadované saldo důchodového účtu dle projekcí MPSV</w:t>
      </w:r>
      <w:r w:rsidRPr="003B62BF">
        <w:t xml:space="preserve"> (v % HDP)</w:t>
      </w:r>
    </w:p>
    <w:p w:rsidR="00532230" w:rsidRDefault="00C46F00" w:rsidP="00532230">
      <w:pPr>
        <w:keepNext/>
        <w:jc w:val="center"/>
      </w:pPr>
      <w:r>
        <w:rPr>
          <w:noProof/>
          <w:lang w:eastAsia="cs-CZ"/>
        </w:rPr>
        <w:drawing>
          <wp:inline distT="0" distB="0" distL="0" distR="0" wp14:anchorId="66EE1C12" wp14:editId="57B7BBE6">
            <wp:extent cx="5764696" cy="2115047"/>
            <wp:effectExtent l="0" t="0" r="26670" b="1905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32230" w:rsidRDefault="00532230" w:rsidP="00532230">
      <w:pPr>
        <w:pStyle w:val="Titulek"/>
        <w:jc w:val="right"/>
      </w:pPr>
      <w:r>
        <w:t>Zdroj: MPSV</w:t>
      </w:r>
      <w:r w:rsidR="00B333A8">
        <w:t>, 2014</w:t>
      </w:r>
    </w:p>
    <w:p w:rsidR="009E5492" w:rsidRDefault="009E5492" w:rsidP="009E5492">
      <w:r>
        <w:t xml:space="preserve">Vláda </w:t>
      </w:r>
      <w:r w:rsidR="00A23CA8">
        <w:t xml:space="preserve">schválila </w:t>
      </w:r>
      <w:r w:rsidRPr="00596A7A">
        <w:rPr>
          <w:b/>
        </w:rPr>
        <w:t>novelu zákona o důchodovém pojištění</w:t>
      </w:r>
      <w:r>
        <w:t xml:space="preserve">, dle které </w:t>
      </w:r>
      <w:r w:rsidRPr="00380DEA">
        <w:t xml:space="preserve">se od roku 2015 </w:t>
      </w:r>
      <w:r>
        <w:t>budou důchody valorizovat</w:t>
      </w:r>
      <w:r w:rsidRPr="00380DEA">
        <w:t xml:space="preserve"> </w:t>
      </w:r>
      <w:r>
        <w:t>o 100 %</w:t>
      </w:r>
      <w:r w:rsidRPr="00380DEA">
        <w:t xml:space="preserve"> růstu indexu spotřebitelských cen </w:t>
      </w:r>
      <w:r>
        <w:t>a třetin</w:t>
      </w:r>
      <w:r w:rsidR="0029636E">
        <w:t>u</w:t>
      </w:r>
      <w:r>
        <w:t xml:space="preserve"> nárůstu reálné mzdy</w:t>
      </w:r>
      <w:r w:rsidRPr="00380DEA">
        <w:t xml:space="preserve">. </w:t>
      </w:r>
      <w:r w:rsidRPr="00E22EC4">
        <w:t xml:space="preserve">Zvláštní ustanovení </w:t>
      </w:r>
      <w:r w:rsidR="0029636E" w:rsidRPr="0029636E">
        <w:t xml:space="preserve">navržené </w:t>
      </w:r>
      <w:r w:rsidRPr="00E22EC4">
        <w:t xml:space="preserve">novely zákona </w:t>
      </w:r>
      <w:r w:rsidR="0029636E" w:rsidRPr="0029636E">
        <w:t xml:space="preserve">má </w:t>
      </w:r>
      <w:r w:rsidRPr="00E22EC4">
        <w:t>současně garant</w:t>
      </w:r>
      <w:r w:rsidR="0029636E">
        <w:t>ovat</w:t>
      </w:r>
      <w:r w:rsidRPr="00E22EC4">
        <w:t>, že zvýšení důchod</w:t>
      </w:r>
      <w:r>
        <w:t>ů</w:t>
      </w:r>
      <w:r w:rsidRPr="00E22EC4">
        <w:t xml:space="preserve"> v roce 2015 bude minimálně o 1,8 %</w:t>
      </w:r>
      <w:r>
        <w:t>. Cílem je zejména zastavit pokles</w:t>
      </w:r>
      <w:r w:rsidRPr="006C26EE">
        <w:t xml:space="preserve"> reálné hodnoty důchodů a </w:t>
      </w:r>
      <w:r>
        <w:t xml:space="preserve">zamezit </w:t>
      </w:r>
      <w:r w:rsidRPr="006C26EE">
        <w:t>snižování životní úrovně důchodců</w:t>
      </w:r>
      <w:r>
        <w:t>.</w:t>
      </w:r>
    </w:p>
    <w:p w:rsidR="00C06A66" w:rsidRPr="00C06A66" w:rsidRDefault="009E5492" w:rsidP="00532230">
      <w:pPr>
        <w:rPr>
          <w:b/>
        </w:rPr>
      </w:pPr>
      <w:r>
        <w:rPr>
          <w:rFonts w:cs="TimesNewRoman"/>
        </w:rPr>
        <w:t xml:space="preserve">Byla ustavena odborná komise složená ze zástupců odborné veřejnosti, politické reprezentace a sociálních partnerů, která navrhne všeobecně akceptovatelné změny v důchodovém systému. Tyto změny mají </w:t>
      </w:r>
      <w:r>
        <w:rPr>
          <w:rFonts w:cs="TimesNewRoman"/>
        </w:rPr>
        <w:lastRenderedPageBreak/>
        <w:t xml:space="preserve">spočívat ve vzájemně provázaném souhrnu konkrétních návrhů, které přinesou </w:t>
      </w:r>
      <w:r w:rsidRPr="00924CF6">
        <w:rPr>
          <w:rFonts w:cs="TimesNewRoman"/>
        </w:rPr>
        <w:t xml:space="preserve">dlouhodobě stabilní uspořádání </w:t>
      </w:r>
      <w:r>
        <w:rPr>
          <w:rFonts w:cs="TimesNewRoman"/>
        </w:rPr>
        <w:t xml:space="preserve">důchodového systému, udržitelnost jeho financování </w:t>
      </w:r>
      <w:r w:rsidRPr="00924CF6">
        <w:rPr>
          <w:rFonts w:cs="TimesNewRoman"/>
        </w:rPr>
        <w:t>a přiměřenost poskytovaných</w:t>
      </w:r>
      <w:r>
        <w:rPr>
          <w:rFonts w:cs="TimesNewRoman"/>
        </w:rPr>
        <w:t xml:space="preserve"> </w:t>
      </w:r>
      <w:r w:rsidRPr="00924CF6">
        <w:rPr>
          <w:rFonts w:cs="TimesNewRoman"/>
        </w:rPr>
        <w:t>dávek</w:t>
      </w:r>
      <w:r>
        <w:rPr>
          <w:rFonts w:cs="TimesNewRoman"/>
        </w:rPr>
        <w:t xml:space="preserve">. </w:t>
      </w:r>
    </w:p>
    <w:p w:rsidR="003237CF" w:rsidRDefault="00A1087C" w:rsidP="00EF38D7">
      <w:pPr>
        <w:pStyle w:val="Nadpis3"/>
        <w:keepNext/>
        <w:numPr>
          <w:ilvl w:val="2"/>
          <w:numId w:val="4"/>
        </w:numPr>
        <w:ind w:left="851" w:hanging="851"/>
      </w:pPr>
      <w:bookmarkStart w:id="20" w:name="_Toc385339490"/>
      <w:r>
        <w:t>Z</w:t>
      </w:r>
      <w:r w:rsidR="0064517D" w:rsidRPr="0064517D">
        <w:t>amě</w:t>
      </w:r>
      <w:r w:rsidR="001D6600">
        <w:t>stnatelnost starších pracovníků</w:t>
      </w:r>
      <w:bookmarkEnd w:id="20"/>
    </w:p>
    <w:p w:rsidR="00715C67" w:rsidRDefault="00013219" w:rsidP="00EF38D7">
      <w:pPr>
        <w:keepNext/>
      </w:pPr>
      <w:r w:rsidRPr="00E66925">
        <w:t xml:space="preserve">V kontextu demografických trendů </w:t>
      </w:r>
      <w:r>
        <w:t>je p</w:t>
      </w:r>
      <w:r w:rsidRPr="00E66925">
        <w:t>articipace</w:t>
      </w:r>
      <w:r>
        <w:t xml:space="preserve"> starších pracovníků na trhu práce </w:t>
      </w:r>
      <w:r w:rsidRPr="00701789">
        <w:t xml:space="preserve">nezbytným předpokladem </w:t>
      </w:r>
      <w:r>
        <w:t xml:space="preserve">pro dlouhodobou udržitelnost penzijního systému. Vláda proto věnuje </w:t>
      </w:r>
      <w:r w:rsidRPr="00E66925">
        <w:t>zaměstnatelnosti a</w:t>
      </w:r>
      <w:r w:rsidR="00204478">
        <w:t> </w:t>
      </w:r>
      <w:r w:rsidRPr="00E66925">
        <w:t xml:space="preserve">zaměstnanosti </w:t>
      </w:r>
      <w:r w:rsidRPr="00077946">
        <w:t>starších osob</w:t>
      </w:r>
      <w:r>
        <w:t xml:space="preserve"> zvýšenou pozornost. </w:t>
      </w:r>
      <w:r w:rsidR="0092303F">
        <w:t>Prioritou je</w:t>
      </w:r>
      <w:r w:rsidR="0092303F" w:rsidRPr="0092303F">
        <w:t xml:space="preserve"> maximální využití </w:t>
      </w:r>
      <w:r w:rsidR="00A37CB8">
        <w:t xml:space="preserve">pracovního </w:t>
      </w:r>
      <w:r w:rsidR="0092303F" w:rsidRPr="0092303F">
        <w:t xml:space="preserve">potenciálu </w:t>
      </w:r>
      <w:r w:rsidR="00A37CB8">
        <w:t xml:space="preserve">starších osob </w:t>
      </w:r>
      <w:r w:rsidR="0092303F">
        <w:t xml:space="preserve">a </w:t>
      </w:r>
      <w:r w:rsidR="00B340C9">
        <w:t>předcházení</w:t>
      </w:r>
      <w:r w:rsidR="0092303F">
        <w:t xml:space="preserve"> předčasnému opuštění trhu práce.</w:t>
      </w:r>
    </w:p>
    <w:p w:rsidR="0057290F" w:rsidRDefault="0057290F" w:rsidP="0057290F">
      <w:pPr>
        <w:pStyle w:val="Titulek"/>
        <w:keepNext/>
        <w:jc w:val="left"/>
      </w:pPr>
      <w:r>
        <w:t xml:space="preserve">Graf </w:t>
      </w:r>
      <w:fldSimple w:instr=" SEQ Graf \* ARABIC ">
        <w:r w:rsidR="001439D0">
          <w:rPr>
            <w:noProof/>
          </w:rPr>
          <w:t>3</w:t>
        </w:r>
      </w:fldSimple>
      <w:r>
        <w:t xml:space="preserve">: </w:t>
      </w:r>
      <w:r w:rsidRPr="0057290F">
        <w:t>Struktura uchazečů o zaměstnání</w:t>
      </w:r>
    </w:p>
    <w:p w:rsidR="0057290F" w:rsidRDefault="00F53D9E" w:rsidP="0057290F">
      <w:pPr>
        <w:keepNext/>
        <w:jc w:val="center"/>
      </w:pPr>
      <w:r>
        <w:rPr>
          <w:noProof/>
          <w:lang w:eastAsia="cs-CZ"/>
        </w:rPr>
        <w:drawing>
          <wp:inline distT="0" distB="0" distL="0" distR="0" wp14:anchorId="3EB04CD5" wp14:editId="0C805EE6">
            <wp:extent cx="5701086" cy="2202511"/>
            <wp:effectExtent l="0" t="0" r="13970" b="2667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60F95" w:rsidRDefault="0057290F" w:rsidP="0057290F">
      <w:pPr>
        <w:pStyle w:val="Titulek"/>
        <w:jc w:val="right"/>
      </w:pPr>
      <w:r>
        <w:t>Zdroj: MPSV, 2014</w:t>
      </w:r>
    </w:p>
    <w:p w:rsidR="00577478" w:rsidRDefault="00577478" w:rsidP="00A1087C"/>
    <w:p w:rsidR="00577478" w:rsidRDefault="00577478" w:rsidP="00577478">
      <w:r>
        <w:t xml:space="preserve">Vláda považuje za velmi důležité </w:t>
      </w:r>
      <w:r w:rsidRPr="0005131D">
        <w:t>udržení zaměstnanců v předdůchodovém věku</w:t>
      </w:r>
      <w:r w:rsidRPr="00154E4B">
        <w:t xml:space="preserve"> </w:t>
      </w:r>
      <w:r>
        <w:t xml:space="preserve">v zaměstnání i celkové posílení </w:t>
      </w:r>
      <w:r w:rsidRPr="0005131D">
        <w:t>jeji</w:t>
      </w:r>
      <w:r>
        <w:t>ch jistot</w:t>
      </w:r>
      <w:r w:rsidRPr="0005131D">
        <w:t xml:space="preserve"> na trhu práce.</w:t>
      </w:r>
      <w:r>
        <w:t xml:space="preserve"> </w:t>
      </w:r>
    </w:p>
    <w:p w:rsidR="00577478" w:rsidRDefault="00577478" w:rsidP="00577478">
      <w:pPr>
        <w:spacing w:before="120"/>
      </w:pPr>
      <w:r>
        <w:rPr>
          <w:b/>
        </w:rPr>
        <w:t>V rámci nástrojů</w:t>
      </w:r>
      <w:r w:rsidRPr="00271BBF">
        <w:rPr>
          <w:b/>
        </w:rPr>
        <w:t xml:space="preserve"> aktivní politiky zaměstnanosti</w:t>
      </w:r>
      <w:r>
        <w:rPr>
          <w:b/>
        </w:rPr>
        <w:t xml:space="preserve"> </w:t>
      </w:r>
      <w:r w:rsidRPr="00E3559C">
        <w:t>jsou</w:t>
      </w:r>
      <w:r>
        <w:rPr>
          <w:b/>
        </w:rPr>
        <w:t xml:space="preserve"> </w:t>
      </w:r>
      <w:r w:rsidRPr="00271BBF">
        <w:t>osoby starší 55 let jednou z primárních cílových skupin.</w:t>
      </w:r>
      <w:r>
        <w:t xml:space="preserve"> Z</w:t>
      </w:r>
      <w:r w:rsidRPr="00271BBF">
        <w:t xml:space="preserve">aměstnávání starších osob (55 +) </w:t>
      </w:r>
      <w:r w:rsidR="006A1733">
        <w:t xml:space="preserve">na </w:t>
      </w:r>
      <w:r>
        <w:t>společensky účelných pracovních míst</w:t>
      </w:r>
      <w:r w:rsidR="006A1733">
        <w:t>ech</w:t>
      </w:r>
      <w:r>
        <w:t xml:space="preserve"> </w:t>
      </w:r>
      <w:r w:rsidRPr="00271BBF">
        <w:t xml:space="preserve">je </w:t>
      </w:r>
      <w:r>
        <w:t xml:space="preserve">navíc </w:t>
      </w:r>
      <w:r w:rsidRPr="00271BBF">
        <w:t xml:space="preserve">bonifikováno možností poskytnout vyšší </w:t>
      </w:r>
      <w:r w:rsidR="00095B60">
        <w:t>měsíční příspěvek (až 24 000 Kč</w:t>
      </w:r>
      <w:r w:rsidRPr="00271BBF">
        <w:t>)</w:t>
      </w:r>
      <w:r>
        <w:t>. O</w:t>
      </w:r>
      <w:r w:rsidRPr="00271BBF">
        <w:t xml:space="preserve">soby starší 50, resp. 55 let jsou rovněž umisťovány na </w:t>
      </w:r>
      <w:r>
        <w:t xml:space="preserve">veřejně prospěšné práce a na </w:t>
      </w:r>
      <w:r w:rsidRPr="00271BBF">
        <w:t>rekvalifikační kurzy, zejména na kurzy zaměřené na obecné vzděláván</w:t>
      </w:r>
      <w:r>
        <w:t>í (např. počítačová gramotnost)</w:t>
      </w:r>
      <w:r w:rsidRPr="00271BBF">
        <w:t>.</w:t>
      </w:r>
      <w:r>
        <w:t xml:space="preserve"> T</w:t>
      </w:r>
      <w:r w:rsidRPr="00271BBF">
        <w:t>ato věková</w:t>
      </w:r>
      <w:r>
        <w:t xml:space="preserve"> </w:t>
      </w:r>
      <w:r w:rsidRPr="00271BBF">
        <w:t>skupina</w:t>
      </w:r>
      <w:r>
        <w:t xml:space="preserve"> může těžit</w:t>
      </w:r>
      <w:r w:rsidRPr="00271BBF">
        <w:t xml:space="preserve"> rovněž z podpory vytváření zkrácených pracovních úvazků. Zaměstnavatelům, kteří na jednom společensky účelné</w:t>
      </w:r>
      <w:r w:rsidR="00A4502A">
        <w:t>m</w:t>
      </w:r>
      <w:r w:rsidRPr="00271BBF">
        <w:t xml:space="preserve"> pracovní</w:t>
      </w:r>
      <w:r w:rsidR="00A4502A">
        <w:t>m</w:t>
      </w:r>
      <w:r w:rsidRPr="00271BBF">
        <w:t xml:space="preserve"> míst</w:t>
      </w:r>
      <w:r w:rsidR="006A1733">
        <w:t>ě</w:t>
      </w:r>
      <w:r w:rsidRPr="00271BBF">
        <w:t xml:space="preserve"> nebo v rámci veřejně prospěšných prací zaměstnají dva pracovníky na zkrácen</w:t>
      </w:r>
      <w:r>
        <w:t>ý</w:t>
      </w:r>
      <w:r w:rsidRPr="00271BBF">
        <w:t xml:space="preserve"> úvaz</w:t>
      </w:r>
      <w:r>
        <w:t>e</w:t>
      </w:r>
      <w:r w:rsidRPr="00271BBF">
        <w:t>k</w:t>
      </w:r>
      <w:r>
        <w:t>,</w:t>
      </w:r>
      <w:r w:rsidRPr="00271BBF">
        <w:t xml:space="preserve"> je v součtu poskytován vyšší příspěvek než v případě, kdy zaměstnají jen jednoho pracovníka na celý úvazek</w:t>
      </w:r>
      <w:r>
        <w:t>.</w:t>
      </w:r>
    </w:p>
    <w:p w:rsidR="00577478" w:rsidRDefault="00577478" w:rsidP="00577478">
      <w:pPr>
        <w:spacing w:before="120"/>
      </w:pPr>
      <w:r>
        <w:t xml:space="preserve">Kromě výše popsaných nástrojů aktivní politiky zaměstnanosti, které vytvářejí základní obecný rámec, jsou dále </w:t>
      </w:r>
      <w:r w:rsidRPr="00271BBF">
        <w:t xml:space="preserve">realizovány </w:t>
      </w:r>
      <w:r w:rsidRPr="008528D8">
        <w:rPr>
          <w:b/>
        </w:rPr>
        <w:t>regionální individuální projekty</w:t>
      </w:r>
      <w:r w:rsidRPr="00271BBF">
        <w:t xml:space="preserve"> </w:t>
      </w:r>
      <w:r>
        <w:t xml:space="preserve">(RIP) </w:t>
      </w:r>
      <w:r w:rsidRPr="00271BBF">
        <w:t>v působnosti krajských poboček Úřadu práce ČR,</w:t>
      </w:r>
      <w:r>
        <w:t xml:space="preserve"> které se</w:t>
      </w:r>
      <w:r w:rsidRPr="00271BBF">
        <w:t xml:space="preserve"> zaměřují na kombinaci více nástrojů, zejména na poradenské aktivity kombinované s rekvalifikacemi a podporu vytvoření dotovaného místa (společensky účelného pracovního místa)</w:t>
      </w:r>
      <w:r>
        <w:t>, a které zohledňují konkrétní regionální podmínky</w:t>
      </w:r>
      <w:r w:rsidRPr="00271BBF">
        <w:t>.</w:t>
      </w:r>
      <w:r>
        <w:t xml:space="preserve"> Na cílovou skupinu 50+ je </w:t>
      </w:r>
      <w:r w:rsidR="00B333A8">
        <w:t xml:space="preserve">aktuálně </w:t>
      </w:r>
      <w:r>
        <w:t xml:space="preserve">zaměřeno 9 realizovaných RIP, u dalších 26 RIP je tato skupina jednou z podporovaných skupin. </w:t>
      </w:r>
    </w:p>
    <w:p w:rsidR="00577478" w:rsidRPr="00226EE5" w:rsidRDefault="00577478" w:rsidP="00577478">
      <w:r w:rsidRPr="00C57786">
        <w:rPr>
          <w:rFonts w:cs="Arial"/>
          <w:szCs w:val="24"/>
        </w:rPr>
        <w:t xml:space="preserve">Aktuálně jsou též na počátku své realizace nové projekty </w:t>
      </w:r>
      <w:r w:rsidRPr="00C57786">
        <w:rPr>
          <w:rFonts w:cs="Arial"/>
          <w:b/>
          <w:szCs w:val="24"/>
        </w:rPr>
        <w:t>Generační tandem – podpora generační výměny</w:t>
      </w:r>
      <w:r w:rsidRPr="00C57786">
        <w:rPr>
          <w:rFonts w:cs="Arial"/>
          <w:szCs w:val="24"/>
        </w:rPr>
        <w:t>, zaměřené na zajištění generační výměny a podpory mezigenerační solidarity na trhu práce prostřednictvím udržení v zaměstnání pracovníků v</w:t>
      </w:r>
      <w:r>
        <w:rPr>
          <w:rFonts w:cs="Arial"/>
          <w:szCs w:val="24"/>
        </w:rPr>
        <w:t> </w:t>
      </w:r>
      <w:r w:rsidRPr="00C57786">
        <w:rPr>
          <w:rFonts w:cs="Arial"/>
          <w:szCs w:val="24"/>
        </w:rPr>
        <w:t>předdůchodovém</w:t>
      </w:r>
      <w:r>
        <w:rPr>
          <w:rFonts w:cs="Arial"/>
          <w:szCs w:val="24"/>
        </w:rPr>
        <w:t xml:space="preserve"> </w:t>
      </w:r>
      <w:r w:rsidRPr="00C57786">
        <w:rPr>
          <w:rFonts w:cs="Arial"/>
          <w:szCs w:val="24"/>
        </w:rPr>
        <w:t>věku</w:t>
      </w:r>
      <w:r>
        <w:rPr>
          <w:rFonts w:cs="Arial"/>
          <w:szCs w:val="24"/>
        </w:rPr>
        <w:t xml:space="preserve"> </w:t>
      </w:r>
      <w:r w:rsidRPr="00C57786">
        <w:rPr>
          <w:rFonts w:cs="Arial"/>
          <w:szCs w:val="24"/>
        </w:rPr>
        <w:t>a posílení souladu mezi kvalifikační nabídkou a poptávkou na trhu práce u osob na trh práce nově vstupujících. Projekty podpoří přenos pracovních zkušeností na osoby vstupující na trh práce</w:t>
      </w:r>
      <w:r w:rsidR="003C6BA9">
        <w:rPr>
          <w:rFonts w:cs="Arial"/>
          <w:szCs w:val="24"/>
        </w:rPr>
        <w:t>,</w:t>
      </w:r>
      <w:r w:rsidRPr="00C57786">
        <w:rPr>
          <w:rFonts w:cs="Arial"/>
          <w:szCs w:val="24"/>
        </w:rPr>
        <w:t xml:space="preserve"> a to bez předchozích pracovních zkušeností. Současně si projekty také slibují podporu delší zaměstnatelnosti starších osob v předdůchod</w:t>
      </w:r>
      <w:r w:rsidRPr="00C57786">
        <w:rPr>
          <w:rFonts w:cs="Arial"/>
          <w:szCs w:val="24"/>
        </w:rPr>
        <w:t>o</w:t>
      </w:r>
      <w:r w:rsidRPr="00C57786">
        <w:rPr>
          <w:rFonts w:cs="Arial"/>
          <w:szCs w:val="24"/>
        </w:rPr>
        <w:t>vém věku, kdy dochází ke snížení produktivity nebo aktivity v rámci pracovní činnosti.</w:t>
      </w:r>
      <w:r>
        <w:rPr>
          <w:rFonts w:cs="Arial"/>
          <w:szCs w:val="24"/>
        </w:rPr>
        <w:t xml:space="preserve"> </w:t>
      </w:r>
      <w:r w:rsidRPr="00C57786">
        <w:rPr>
          <w:rFonts w:cs="Arial"/>
          <w:szCs w:val="24"/>
        </w:rPr>
        <w:t xml:space="preserve">Projekty „Generační </w:t>
      </w:r>
      <w:r w:rsidRPr="00C57786">
        <w:rPr>
          <w:rFonts w:cs="Arial"/>
          <w:szCs w:val="24"/>
        </w:rPr>
        <w:lastRenderedPageBreak/>
        <w:t xml:space="preserve">tandem“ budou </w:t>
      </w:r>
      <w:r>
        <w:rPr>
          <w:rFonts w:cs="Arial"/>
          <w:szCs w:val="24"/>
        </w:rPr>
        <w:t xml:space="preserve">pilotně </w:t>
      </w:r>
      <w:r w:rsidRPr="00C57786">
        <w:rPr>
          <w:rFonts w:cs="Arial"/>
          <w:szCs w:val="24"/>
        </w:rPr>
        <w:t xml:space="preserve">realizovány v Karlovarském kraji, ve Středočeském kraji a v Olomouckém kraji v období od </w:t>
      </w:r>
      <w:r>
        <w:rPr>
          <w:rFonts w:cs="Arial"/>
          <w:szCs w:val="24"/>
        </w:rPr>
        <w:t xml:space="preserve">1. </w:t>
      </w:r>
      <w:r w:rsidR="009E5492">
        <w:rPr>
          <w:rFonts w:cs="Arial"/>
          <w:szCs w:val="24"/>
        </w:rPr>
        <w:t>dubna 2014</w:t>
      </w:r>
      <w:r>
        <w:rPr>
          <w:rFonts w:cs="Arial"/>
          <w:szCs w:val="24"/>
        </w:rPr>
        <w:t xml:space="preserve"> do 31. </w:t>
      </w:r>
      <w:r w:rsidR="009E5492">
        <w:rPr>
          <w:rFonts w:cs="Arial"/>
          <w:szCs w:val="24"/>
        </w:rPr>
        <w:t xml:space="preserve">října </w:t>
      </w:r>
      <w:r>
        <w:rPr>
          <w:rFonts w:cs="Arial"/>
          <w:szCs w:val="24"/>
        </w:rPr>
        <w:t>2015</w:t>
      </w:r>
      <w:r w:rsidRPr="00C57786">
        <w:rPr>
          <w:rFonts w:cs="Arial"/>
          <w:szCs w:val="24"/>
        </w:rPr>
        <w:t xml:space="preserve">. </w:t>
      </w:r>
    </w:p>
    <w:p w:rsidR="00577478" w:rsidRDefault="00577478" w:rsidP="00577478">
      <w:r>
        <w:t xml:space="preserve">Kromě výše uvedených programů na podporu zaměstnanosti osob v předdůchodovém věku vláda plánuje zavedení </w:t>
      </w:r>
      <w:r w:rsidRPr="00EA1927">
        <w:rPr>
          <w:b/>
        </w:rPr>
        <w:t>slevy na sociálním pojištění</w:t>
      </w:r>
      <w:r>
        <w:t xml:space="preserve"> pro vybrané kategorie, včetně osob ve věku nad 50 let, dlouhodobě nezaměstnané absolventy a matky po rodičovské dovolené. </w:t>
      </w:r>
    </w:p>
    <w:p w:rsidR="00577478" w:rsidRDefault="00577478" w:rsidP="00577478">
      <w:r>
        <w:t>O</w:t>
      </w:r>
      <w:r w:rsidRPr="001D6600">
        <w:t xml:space="preserve">d roku 2015 </w:t>
      </w:r>
      <w:r>
        <w:t xml:space="preserve">je plánováno </w:t>
      </w:r>
      <w:r w:rsidR="00B340C9" w:rsidRPr="00B340C9">
        <w:t>znovu</w:t>
      </w:r>
      <w:r>
        <w:t xml:space="preserve">zavedení </w:t>
      </w:r>
      <w:r w:rsidRPr="001D6600">
        <w:t xml:space="preserve">možnosti uplatňovat </w:t>
      </w:r>
      <w:r w:rsidRPr="00596A7A">
        <w:rPr>
          <w:b/>
        </w:rPr>
        <w:t>základní slevu na poplatníka i pro pracující důchodce</w:t>
      </w:r>
      <w:r w:rsidRPr="001D6600">
        <w:t xml:space="preserve">, čímž </w:t>
      </w:r>
      <w:r>
        <w:t xml:space="preserve">dojde </w:t>
      </w:r>
      <w:r w:rsidRPr="001D6600">
        <w:t>k</w:t>
      </w:r>
      <w:r>
        <w:t>e</w:t>
      </w:r>
      <w:r w:rsidRPr="001D6600">
        <w:t xml:space="preserve"> snížení zd</w:t>
      </w:r>
      <w:r>
        <w:t xml:space="preserve">anění této skupiny poplatníků a podpoře zaměstnanosti pracovníků v důchodovém věku. </w:t>
      </w:r>
    </w:p>
    <w:p w:rsidR="00577478" w:rsidRDefault="00577478" w:rsidP="00577478">
      <w:r w:rsidRPr="006F0585">
        <w:rPr>
          <w:rFonts w:cs="Arial"/>
        </w:rPr>
        <w:t xml:space="preserve">V souladu s plněním opatření uvedených v Národním akčním plánu podporujícím pozitivní stárnutí pro období let 2013 až 2017 byla při Radě vlády pro seniory a stárnutí populace </w:t>
      </w:r>
      <w:r w:rsidR="0031351F">
        <w:rPr>
          <w:rFonts w:cs="Arial"/>
        </w:rPr>
        <w:t xml:space="preserve">v dubnu 2013 </w:t>
      </w:r>
      <w:r w:rsidRPr="006F0585">
        <w:rPr>
          <w:rFonts w:cs="Arial"/>
        </w:rPr>
        <w:t>zří</w:t>
      </w:r>
      <w:r w:rsidR="001A4749">
        <w:rPr>
          <w:rFonts w:cs="Arial"/>
        </w:rPr>
        <w:softHyphen/>
      </w:r>
      <w:r w:rsidRPr="006F0585">
        <w:rPr>
          <w:rFonts w:cs="Arial"/>
        </w:rPr>
        <w:t>zena  </w:t>
      </w:r>
      <w:r w:rsidRPr="006F0585">
        <w:rPr>
          <w:rFonts w:cs="Arial"/>
          <w:b/>
        </w:rPr>
        <w:t>pracovní skupina k Age Managementu</w:t>
      </w:r>
      <w:r w:rsidRPr="006F0585">
        <w:rPr>
          <w:rFonts w:cs="Arial"/>
        </w:rPr>
        <w:t xml:space="preserve">. </w:t>
      </w:r>
      <w:r>
        <w:rPr>
          <w:rFonts w:cs="Arial"/>
        </w:rPr>
        <w:t>K</w:t>
      </w:r>
      <w:r w:rsidR="0031351F">
        <w:rPr>
          <w:rFonts w:cs="Arial"/>
        </w:rPr>
        <w:t xml:space="preserve"> jejím </w:t>
      </w:r>
      <w:r>
        <w:rPr>
          <w:rFonts w:cs="Arial"/>
        </w:rPr>
        <w:t>hlavním úkolům patří prosazování systému řízení, který zohledňuje věk</w:t>
      </w:r>
      <w:r w:rsidR="00B333A8">
        <w:rPr>
          <w:rFonts w:cs="Arial"/>
        </w:rPr>
        <w:t xml:space="preserve"> a schopnosti zaměstnanců (tj. Age M</w:t>
      </w:r>
      <w:r>
        <w:rPr>
          <w:rFonts w:cs="Arial"/>
        </w:rPr>
        <w:t>anagement) mezi zaměstnavateli.</w:t>
      </w:r>
      <w:r w:rsidR="00A23CA8">
        <w:rPr>
          <w:rFonts w:cs="Arial"/>
        </w:rPr>
        <w:t xml:space="preserve"> Cílem je rozšířit </w:t>
      </w:r>
      <w:r w:rsidR="00A23CA8" w:rsidRPr="0087378B">
        <w:rPr>
          <w:rFonts w:cs="Arial"/>
        </w:rPr>
        <w:t>koncept A</w:t>
      </w:r>
      <w:r w:rsidR="00A23CA8">
        <w:rPr>
          <w:rFonts w:cs="Arial"/>
        </w:rPr>
        <w:t>ge Managementu</w:t>
      </w:r>
      <w:r w:rsidR="00A23CA8" w:rsidRPr="0087378B">
        <w:rPr>
          <w:rFonts w:cs="Arial"/>
        </w:rPr>
        <w:t xml:space="preserve"> do reality ČR a </w:t>
      </w:r>
      <w:r w:rsidR="00B340C9">
        <w:rPr>
          <w:rFonts w:cs="Arial"/>
        </w:rPr>
        <w:t>s</w:t>
      </w:r>
      <w:r w:rsidR="00B340C9" w:rsidRPr="00B340C9">
        <w:rPr>
          <w:rFonts w:cs="Arial"/>
        </w:rPr>
        <w:t xml:space="preserve"> jeho pomocí</w:t>
      </w:r>
      <w:r w:rsidR="00A23CA8" w:rsidRPr="0087378B">
        <w:rPr>
          <w:rFonts w:cs="Arial"/>
        </w:rPr>
        <w:t xml:space="preserve"> změnit přístup společnosti a zaměstnavatelů k projektování pracovních trajektorií a k zaměstnávání starších lidí.</w:t>
      </w:r>
    </w:p>
    <w:p w:rsidR="003237CF" w:rsidRDefault="00C06A66" w:rsidP="003237CF">
      <w:pPr>
        <w:pStyle w:val="Nadpis3"/>
        <w:numPr>
          <w:ilvl w:val="2"/>
          <w:numId w:val="4"/>
        </w:numPr>
        <w:ind w:left="851" w:hanging="851"/>
      </w:pPr>
      <w:bookmarkStart w:id="21" w:name="_Toc385339491"/>
      <w:proofErr w:type="spellStart"/>
      <w:r>
        <w:t>Předdůchody</w:t>
      </w:r>
      <w:bookmarkEnd w:id="21"/>
      <w:proofErr w:type="spellEnd"/>
    </w:p>
    <w:p w:rsidR="00C06A66" w:rsidRDefault="00C06A66" w:rsidP="00C06A66">
      <w:r>
        <w:t xml:space="preserve">Vláda má výhrady vůči doporučení v části týkající se zrušení veřejné dotace pro režim předdůchodu. Nejedná se </w:t>
      </w:r>
      <w:r w:rsidRPr="00A35A22">
        <w:t xml:space="preserve">o státní podporu samotných předdůchodů, jako způsobu pobírání dávek </w:t>
      </w:r>
      <w:r>
        <w:t>ze systému doplňkového penzijního spoření</w:t>
      </w:r>
      <w:r w:rsidRPr="00A35A22">
        <w:t xml:space="preserve">, který je státem podporován jako celek. </w:t>
      </w:r>
      <w:r>
        <w:t>Jde pouze o možnost využití vlastních naspořených prostředků v období blízkém důchodovému věku. Opatření nevytváří</w:t>
      </w:r>
      <w:r w:rsidRPr="00A75008">
        <w:t xml:space="preserve"> podněty k</w:t>
      </w:r>
      <w:r w:rsidR="00204478">
        <w:t> </w:t>
      </w:r>
      <w:r w:rsidRPr="00A75008">
        <w:t>předčasnému opuštění trhu práce</w:t>
      </w:r>
      <w:r>
        <w:t xml:space="preserve">, ale napomáhá překonat obtížnou životní situaci v období, ve kterém </w:t>
      </w:r>
      <w:r w:rsidR="00B340C9">
        <w:t>může být</w:t>
      </w:r>
      <w:r>
        <w:t xml:space="preserve"> pro tyto osoby obtížné nalézt uplatnění na trhu práce.</w:t>
      </w:r>
    </w:p>
    <w:p w:rsidR="00C06A66" w:rsidRDefault="00C06A66" w:rsidP="00C06A66">
      <w:r>
        <w:t>Účastníci systému doplňkového penzijního spoření se využitím předdůchodu mohou vyhnout trvalému krácení starobního důchodu, k němuž by došlo v případě využití předčasného důchodu. Nelze hovořit o</w:t>
      </w:r>
      <w:r w:rsidR="00204478">
        <w:t> </w:t>
      </w:r>
      <w:r>
        <w:t>veřejné dotaci pro režim předdůchodů, protože státní příspěvek je poskytován všem účastníkům</w:t>
      </w:r>
      <w:r w:rsidR="006828FA">
        <w:t xml:space="preserve"> doplňkového penzijního spoření</w:t>
      </w:r>
      <w:r>
        <w:t xml:space="preserve"> bez ohledu na to, jaký druh dávky, jíž může být i předdůchod (ten je jen specifickou dávkou doplňkového penzijního spoření, která splňuje stanovené charakteristiky), si vyberou.</w:t>
      </w:r>
    </w:p>
    <w:p w:rsidR="005E54E2" w:rsidRDefault="005E54E2" w:rsidP="005E54E2">
      <w:r>
        <w:t>Vzhledem k velmi malému počtu účastníků, kteří se do systému předdůchodů zapojili</w:t>
      </w:r>
      <w:r>
        <w:rPr>
          <w:rStyle w:val="Znakapoznpodarou"/>
        </w:rPr>
        <w:footnoteReference w:id="3"/>
      </w:r>
      <w:r w:rsidR="003C6BA9">
        <w:t>,</w:t>
      </w:r>
      <w:r>
        <w:t xml:space="preserve"> lze vliv na dlouhodobou udržitelnost veřejných financí navíc považovat za zcela zanedbatelný. V kontextu mizivého dopadu předdůchodů na oblast veřejných financí i zaměstnanosti a s ohledem na konsensus sociálních partnerů k tomuto opatření</w:t>
      </w:r>
      <w:r w:rsidR="003C6BA9">
        <w:t>,</w:t>
      </w:r>
      <w:r>
        <w:t xml:space="preserve"> se změna tohoto systému nepředpokládá.  </w:t>
      </w:r>
    </w:p>
    <w:p w:rsidR="003237CF" w:rsidRDefault="00EB67CB" w:rsidP="003237CF">
      <w:pPr>
        <w:pStyle w:val="Nadpis3"/>
        <w:numPr>
          <w:ilvl w:val="2"/>
          <w:numId w:val="4"/>
        </w:numPr>
        <w:ind w:left="851" w:hanging="851"/>
      </w:pPr>
      <w:bookmarkStart w:id="22" w:name="_Toc385339492"/>
      <w:r>
        <w:t>Kvalitní a efektivní zdravotní péče</w:t>
      </w:r>
      <w:bookmarkEnd w:id="22"/>
    </w:p>
    <w:p w:rsidR="006F5768" w:rsidRDefault="006F5768" w:rsidP="006F5768">
      <w:r>
        <w:t xml:space="preserve">Hlavním cílem vlády je zajistit ekonomickou stabilitu, efektivitu a transparentnost systému veřejného zdravotnictví, zdravotních pojišťoven a poskytovatelů zdravotních služeb. </w:t>
      </w:r>
      <w:r w:rsidRPr="00C31D3F">
        <w:t xml:space="preserve">V roce 2014 vláda </w:t>
      </w:r>
      <w:r>
        <w:t xml:space="preserve">uskuteční </w:t>
      </w:r>
      <w:r w:rsidRPr="00C31D3F">
        <w:t>další kroky k zajištění dlouhodobé finanční udržitelnosti systému veřejného zdravotnictví a dalšímu zvyšování kvality, efektivity a účelnosti péče poskytované pacientům.</w:t>
      </w:r>
      <w:r>
        <w:t xml:space="preserve"> Vláda</w:t>
      </w:r>
      <w:r w:rsidRPr="0032624F">
        <w:t xml:space="preserve"> bude aplikovat konkrétní opatření tak, aby do zdravotnického systému bylo účelně vkládáno více prostředků a tím bylo dosaženo zvýšené kvality a dostupnosti zdravotních služeb.</w:t>
      </w:r>
      <w:r>
        <w:t xml:space="preserve"> </w:t>
      </w:r>
    </w:p>
    <w:p w:rsidR="006F5768" w:rsidRDefault="006F5768" w:rsidP="006F5768">
      <w:r>
        <w:t xml:space="preserve">S cílem zvýšení dostupnosti zdravotní péče bude občanům snížena spoluúčast na zdravotní péči prostřednictvím výrazné </w:t>
      </w:r>
      <w:r w:rsidRPr="0032624F">
        <w:rPr>
          <w:b/>
        </w:rPr>
        <w:t>redukce regulačních poplatků</w:t>
      </w:r>
      <w:r>
        <w:rPr>
          <w:b/>
        </w:rPr>
        <w:t>.</w:t>
      </w:r>
      <w:r w:rsidR="00AE2388">
        <w:t xml:space="preserve"> Od 1. ledna </w:t>
      </w:r>
      <w:r>
        <w:t xml:space="preserve">2014 byly zrušeny tzv. regulační poplatky za hospitalizaci v lůžkových zdravotnických zařízeních a v průběhu roku 2014 bude navržena novelizace zákona č. 48/1997 Sb., o veřejném zdravotním pojištění tak, aby s účinností od 1. </w:t>
      </w:r>
      <w:r w:rsidR="00AE2388">
        <w:t>ledna</w:t>
      </w:r>
      <w:r>
        <w:t xml:space="preserve"> 2015 mohly být zrušeny poplatky za ambulantní služby a za recept. </w:t>
      </w:r>
      <w:r w:rsidR="008D2ABF">
        <w:t>Vládě byl přeložen návrh</w:t>
      </w:r>
      <w:r>
        <w:t xml:space="preserve">, aby odvody za státní pojištěnce byly dále </w:t>
      </w:r>
      <w:r w:rsidRPr="00FD35EB">
        <w:rPr>
          <w:b/>
        </w:rPr>
        <w:t>pravidelně valorizovány s ohledem na růst průměrné mzdy</w:t>
      </w:r>
      <w:r w:rsidR="00D87876" w:rsidRPr="00D87876">
        <w:rPr>
          <w:b/>
        </w:rPr>
        <w:t xml:space="preserve"> </w:t>
      </w:r>
      <w:r w:rsidR="00D87876">
        <w:rPr>
          <w:b/>
        </w:rPr>
        <w:t>a míry inflace</w:t>
      </w:r>
      <w:r>
        <w:t xml:space="preserve">, a to nejpozději od roku 2016. </w:t>
      </w:r>
    </w:p>
    <w:p w:rsidR="006F5768" w:rsidRDefault="006F5768" w:rsidP="006F5768">
      <w:r>
        <w:lastRenderedPageBreak/>
        <w:t xml:space="preserve">Mezi krátkodobé opatření patří </w:t>
      </w:r>
      <w:r w:rsidRPr="00FD35EB">
        <w:rPr>
          <w:b/>
        </w:rPr>
        <w:t>snížení rezervního fondu zdravotních pojišťoven</w:t>
      </w:r>
      <w:r>
        <w:t xml:space="preserve"> o celou polovinu, tj. ze současných 1,5 % na 0,75 %. Prostřednictvím tohoto opatření by se na </w:t>
      </w:r>
      <w:r w:rsidR="00ED11E3" w:rsidRPr="00ED11E3">
        <w:t>zdravotní</w:t>
      </w:r>
      <w:r>
        <w:t xml:space="preserve"> péči v roce 2014 dodatečně alokovalo cca 600 mil. Kč</w:t>
      </w:r>
      <w:r>
        <w:rPr>
          <w:rStyle w:val="Znakapoznpodarou"/>
        </w:rPr>
        <w:footnoteReference w:id="4"/>
      </w:r>
      <w:r>
        <w:t xml:space="preserve">. V roce 2014 bude také vládě předložen k projednání návrh na </w:t>
      </w:r>
      <w:r>
        <w:rPr>
          <w:b/>
        </w:rPr>
        <w:t xml:space="preserve">snížení režijních nákladů </w:t>
      </w:r>
      <w:r w:rsidRPr="00FD35EB">
        <w:rPr>
          <w:b/>
        </w:rPr>
        <w:t>zdravotních pojišťoven</w:t>
      </w:r>
      <w:r>
        <w:t>.</w:t>
      </w:r>
    </w:p>
    <w:p w:rsidR="006F5768" w:rsidRDefault="006F5768" w:rsidP="006F5768">
      <w:r>
        <w:t xml:space="preserve">Vláda hodlá posilovat aktivity vedoucí ke </w:t>
      </w:r>
      <w:r w:rsidRPr="00A91AD4">
        <w:rPr>
          <w:b/>
        </w:rPr>
        <w:t>spravedlivější distribuci finančních prostředků mezi zdravotními pojišťovnami</w:t>
      </w:r>
      <w:r>
        <w:t xml:space="preserve">. Přerozdělení prostředků zdravotního pojištění by mělo být ovlivněno o další parametry (např. PCG, </w:t>
      </w:r>
      <w:proofErr w:type="spellStart"/>
      <w:r>
        <w:t>Pharmacy</w:t>
      </w:r>
      <w:proofErr w:type="spellEnd"/>
      <w:r>
        <w:t xml:space="preserve"> </w:t>
      </w:r>
      <w:proofErr w:type="spellStart"/>
      <w:r>
        <w:t>Cost-Based</w:t>
      </w:r>
      <w:proofErr w:type="spellEnd"/>
      <w:r>
        <w:t xml:space="preserve"> </w:t>
      </w:r>
      <w:proofErr w:type="spellStart"/>
      <w:r>
        <w:t>Groups</w:t>
      </w:r>
      <w:proofErr w:type="spellEnd"/>
      <w:r>
        <w:t xml:space="preserve">), jež umožní spravedlivější distribuci finančních prostředků mezi zdravotními pojišťovnami a tím také zkvalitnění péče o chronicky nemocné pacienty. V tomto kontextu proběhnou v roce 2014 také jednání se zdravotními pojišťovnami. Vláda také připraví analýzu dopadu implementace tohoto opatření na celý systém zdravotního pojištění. </w:t>
      </w:r>
    </w:p>
    <w:p w:rsidR="006F5768" w:rsidRDefault="006F5768" w:rsidP="006F5768">
      <w:r>
        <w:t xml:space="preserve">S cílem zlepšení </w:t>
      </w:r>
      <w:r w:rsidRPr="001E0B4B">
        <w:rPr>
          <w:b/>
        </w:rPr>
        <w:t>transparentnosti mezi zdravotní pojišťovnou a poskytovatelem</w:t>
      </w:r>
      <w:r>
        <w:t xml:space="preserve"> péče vláda v průběhu roku 2014 navrhne prosazení transparentního a kontrolovatelného systému hospodaření s veřejnými prostředky prostřednictvím povinného zveřejňování smluv, včetně úhradových dodatků a „produkčních“ údajů zdravotních pojišťoven s poskytovateli péče. </w:t>
      </w:r>
    </w:p>
    <w:p w:rsidR="007D1942" w:rsidRDefault="007D1942" w:rsidP="006F5768">
      <w:r>
        <w:t xml:space="preserve">Vláda prostřednictvím zákonného opatření také posílí státní </w:t>
      </w:r>
      <w:r w:rsidRPr="001E0B4B">
        <w:rPr>
          <w:b/>
        </w:rPr>
        <w:t>dozor nad toky zdravotního pojištění a nad fungováním zdravotních pojišťoven</w:t>
      </w:r>
      <w:r>
        <w:t xml:space="preserve">. </w:t>
      </w:r>
      <w:r w:rsidR="000F7864">
        <w:t>Vláda zavede transparentní systém indikátorů kvality zdravotní péče pro porovnávání a zveřejňování kvality péče v jednotlivých zdravot</w:t>
      </w:r>
      <w:r w:rsidR="00D87876">
        <w:t>nických zařízeních, tak aby byly</w:t>
      </w:r>
      <w:r w:rsidR="000F7864">
        <w:t xml:space="preserve"> přístupné jak pacientům, tak specialistům</w:t>
      </w:r>
      <w:r w:rsidR="00855666">
        <w:t>.</w:t>
      </w:r>
      <w:r w:rsidR="000F7864">
        <w:rPr>
          <w:rStyle w:val="Znakapoznpodarou"/>
        </w:rPr>
        <w:footnoteReference w:id="5"/>
      </w:r>
      <w:r w:rsidR="00855666">
        <w:t xml:space="preserve"> </w:t>
      </w:r>
      <w:r>
        <w:t xml:space="preserve">Rovněž budou upřesněny kompetence mezi Ministerstvem zdravotnictví a Národním referenčním centrem. </w:t>
      </w:r>
      <w:r w:rsidR="00590A34">
        <w:t>V dubnu 2014 byla zřízena tzv. přístrojov</w:t>
      </w:r>
      <w:r w:rsidR="00AE2388">
        <w:t>á</w:t>
      </w:r>
      <w:r w:rsidR="00590A34">
        <w:t xml:space="preserve"> komise (resp. „Komise pro posuzování rozmístění přístrojových zdravotnických prostředků</w:t>
      </w:r>
      <w:r w:rsidR="00ED11E3">
        <w:t>“</w:t>
      </w:r>
      <w:r w:rsidR="00590A34">
        <w:t>), kde budou zastoupen</w:t>
      </w:r>
      <w:r w:rsidR="003E5967">
        <w:t>y</w:t>
      </w:r>
      <w:r w:rsidR="00590A34">
        <w:t xml:space="preserve"> kromě resort</w:t>
      </w:r>
      <w:r w:rsidR="003E5967">
        <w:t>ů</w:t>
      </w:r>
      <w:r w:rsidR="00590A34">
        <w:t xml:space="preserve"> také zdravotní pojišťovny, Česká lékařská k</w:t>
      </w:r>
      <w:r w:rsidR="00590A34" w:rsidRPr="00F547AF">
        <w:t>omora</w:t>
      </w:r>
      <w:r w:rsidR="00590A34">
        <w:t xml:space="preserve">, odborné společnosti, kraj, v jehož správním obvodu je poskytovatel zdravotní péče navrhující pořízení nákladného zařízení a v neposlední řadě oslovené odborové organizace. Úkolem této komise bude posuzovat a doporučovat vstup drahé a nákladné zdravotnické techniky do systému veřejného pojištění tak, aby byla efektivně využívána a </w:t>
      </w:r>
      <w:r w:rsidR="00172F76">
        <w:t xml:space="preserve">vhodně </w:t>
      </w:r>
      <w:r w:rsidR="00590A34">
        <w:t xml:space="preserve">geograficky alokována. </w:t>
      </w:r>
    </w:p>
    <w:p w:rsidR="007F3EF6" w:rsidRDefault="004E4907" w:rsidP="00EF38D7">
      <w:pPr>
        <w:pStyle w:val="Nadpis2"/>
        <w:keepNext/>
        <w:keepLines/>
        <w:numPr>
          <w:ilvl w:val="1"/>
          <w:numId w:val="4"/>
        </w:numPr>
        <w:ind w:left="851" w:hanging="851"/>
      </w:pPr>
      <w:bookmarkStart w:id="23" w:name="_Toc385339493"/>
      <w:r>
        <w:t xml:space="preserve">Veřejné služby </w:t>
      </w:r>
      <w:r w:rsidR="007F3EF6">
        <w:t>zaměstnanosti a zlepšování služeb péče o děti</w:t>
      </w:r>
      <w:bookmarkEnd w:id="23"/>
    </w:p>
    <w:p w:rsidR="007F3EF6" w:rsidRDefault="007F3EF6" w:rsidP="00EF38D7">
      <w:pPr>
        <w:keepNext/>
        <w:keepLines/>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pPr>
      <w:r>
        <w:rPr>
          <w:b/>
          <w:color w:val="9B2D1F" w:themeColor="accent2"/>
        </w:rPr>
        <w:t>Doporučení Rady č. 4</w:t>
      </w:r>
      <w:r w:rsidRPr="001202C4">
        <w:rPr>
          <w:b/>
          <w:color w:val="9B2D1F" w:themeColor="accent2"/>
        </w:rPr>
        <w:t>:</w:t>
      </w:r>
      <w:r>
        <w:t xml:space="preserve"> </w:t>
      </w:r>
      <w:r w:rsidRPr="00ED621D">
        <w:rPr>
          <w:color w:val="D41616"/>
        </w:rPr>
        <w:t>Vyvinout další úsilí k posílení efektivnosti a účinnosti veřejných služeb zaměstna</w:t>
      </w:r>
      <w:r w:rsidR="001A4749" w:rsidRPr="00ED621D">
        <w:rPr>
          <w:color w:val="D41616"/>
        </w:rPr>
        <w:softHyphen/>
      </w:r>
      <w:r w:rsidRPr="00ED621D">
        <w:rPr>
          <w:color w:val="D41616"/>
        </w:rPr>
        <w:t>nosti. Výrazně zvýšit dostupnost zařízení péče o děti podporujících sociální začlenění se zaměřením na děti do tří let a zvýšit účast romských dětí, a to zejména přijetím a provedením zákona o službách péče o děti a zvýšením kapacity veřejných i soukromých služeb péče o děti.</w:t>
      </w:r>
    </w:p>
    <w:p w:rsidR="003237CF" w:rsidRDefault="00E865CF" w:rsidP="00EF38D7">
      <w:pPr>
        <w:pStyle w:val="Nadpis3"/>
        <w:keepNext/>
        <w:keepLines/>
        <w:numPr>
          <w:ilvl w:val="2"/>
          <w:numId w:val="4"/>
        </w:numPr>
        <w:ind w:left="851" w:hanging="851"/>
      </w:pPr>
      <w:bookmarkStart w:id="24" w:name="_Toc385339494"/>
      <w:r>
        <w:t xml:space="preserve">Posílení </w:t>
      </w:r>
      <w:r w:rsidRPr="00E865CF">
        <w:t xml:space="preserve">veřejných služeb </w:t>
      </w:r>
      <w:r>
        <w:t>zaměstnanosti</w:t>
      </w:r>
      <w:bookmarkEnd w:id="24"/>
      <w:r>
        <w:t xml:space="preserve"> </w:t>
      </w:r>
    </w:p>
    <w:p w:rsidR="005E54E2" w:rsidRDefault="005E54E2" w:rsidP="00EF38D7">
      <w:pPr>
        <w:keepNext/>
        <w:keepLines/>
      </w:pPr>
      <w:r w:rsidRPr="00A43269">
        <w:t>V souladu s doporučením je záměrem vlády</w:t>
      </w:r>
      <w:r>
        <w:t xml:space="preserve"> </w:t>
      </w:r>
      <w:r w:rsidRPr="005E54E2">
        <w:rPr>
          <w:b/>
        </w:rPr>
        <w:t>modernizovat systém veřejných služeb zaměstnanosti</w:t>
      </w:r>
      <w:r>
        <w:t xml:space="preserve"> a</w:t>
      </w:r>
      <w:r w:rsidR="00204478">
        <w:t> </w:t>
      </w:r>
      <w:r>
        <w:t>posilovat kapacitu a efektivitu</w:t>
      </w:r>
      <w:r w:rsidRPr="00A43269">
        <w:t xml:space="preserve"> služeb zaměstnanosti v jednotlivých oblastech, a to mj. i s využitím evropských fondů. Pozornost bude věnov</w:t>
      </w:r>
      <w:r>
        <w:t>ána</w:t>
      </w:r>
      <w:r w:rsidRPr="00A43269">
        <w:t xml:space="preserve"> </w:t>
      </w:r>
      <w:r>
        <w:t>nejvíce ohroženým skupinám, jako jsou matky po návratu z</w:t>
      </w:r>
      <w:r w:rsidR="00204478">
        <w:t> </w:t>
      </w:r>
      <w:r>
        <w:t xml:space="preserve">mateřské dovolené, mládež do 30 let, občané v předdůchodovém věku, pracovníci s nízkou kvalifikací, osoby ohrožené sociálním vyloučením a lidé se zdravotním postižením. </w:t>
      </w:r>
    </w:p>
    <w:p w:rsidR="00EE31B8" w:rsidRDefault="00EE31B8" w:rsidP="00EE31B8">
      <w:r>
        <w:t xml:space="preserve">Ve druhém pololetí 2013 byl zahájen proces postupné </w:t>
      </w:r>
      <w:r w:rsidRPr="00596A7A">
        <w:rPr>
          <w:b/>
        </w:rPr>
        <w:t xml:space="preserve">reorganizace a stabilizace Úřadu práce </w:t>
      </w:r>
      <w:r w:rsidR="00A43269" w:rsidRPr="00596A7A">
        <w:rPr>
          <w:b/>
        </w:rPr>
        <w:t>ČR</w:t>
      </w:r>
      <w:r w:rsidR="00A43269" w:rsidRPr="00D739ED">
        <w:t>, jehož</w:t>
      </w:r>
      <w:r w:rsidRPr="00D739ED">
        <w:t xml:space="preserve"> cílem je odstranit nedostatky v jeho nastavení a fungování. </w:t>
      </w:r>
      <w:r w:rsidR="00F40554" w:rsidRPr="00D739ED">
        <w:t>Postupně dochází k posilování schopnosti</w:t>
      </w:r>
      <w:r w:rsidRPr="00D739ED">
        <w:t xml:space="preserve"> úřadu zabezpečovat agendy zaměstnanosti. Od 1. 9. 2013 přibylo 700 systemizovaných</w:t>
      </w:r>
      <w:r>
        <w:t xml:space="preserve"> pracovních míst určených pro realizaci aktivní politiky zaměstnanosti, zejména při spolupráci se zaměstnavateli a</w:t>
      </w:r>
      <w:r w:rsidR="00204478">
        <w:t> </w:t>
      </w:r>
      <w:r>
        <w:t xml:space="preserve">samosprávními orgány. Personální posílení provázelo zvýšení finančních prostředků na mzdy </w:t>
      </w:r>
      <w:r>
        <w:lastRenderedPageBreak/>
        <w:t>a</w:t>
      </w:r>
      <w:r w:rsidR="00204478">
        <w:t> </w:t>
      </w:r>
      <w:r>
        <w:t>související provozní výdaje. Další posilování personální kapacity je řešeno prostřednictvím projektů realizovaných v rámci OP Lidské zdroje a zaměstnanost.</w:t>
      </w:r>
    </w:p>
    <w:p w:rsidR="00AA5CD3" w:rsidRDefault="00AA5CD3" w:rsidP="00EE31B8">
      <w:r>
        <w:t xml:space="preserve">Vláda připraví </w:t>
      </w:r>
      <w:r w:rsidRPr="00F926F9">
        <w:rPr>
          <w:b/>
        </w:rPr>
        <w:t>novelu zákona č. 73/20011 Sb., o Úřadu práce ČR</w:t>
      </w:r>
      <w:r w:rsidR="00105F12">
        <w:rPr>
          <w:b/>
        </w:rPr>
        <w:t xml:space="preserve"> </w:t>
      </w:r>
      <w:r w:rsidR="00105F12" w:rsidRPr="00105F12">
        <w:t>upravující systém tak, aby lé</w:t>
      </w:r>
      <w:r w:rsidR="00105F12">
        <w:t>pe</w:t>
      </w:r>
      <w:r w:rsidR="00105F12">
        <w:rPr>
          <w:b/>
        </w:rPr>
        <w:t xml:space="preserve"> </w:t>
      </w:r>
      <w:r w:rsidR="00105F12" w:rsidRPr="00105F12">
        <w:t>odpovída</w:t>
      </w:r>
      <w:r w:rsidR="00105F12">
        <w:t>l</w:t>
      </w:r>
      <w:r w:rsidR="00105F12" w:rsidRPr="00105F12">
        <w:t xml:space="preserve"> potřebám a požadavkům českého trhu práce</w:t>
      </w:r>
      <w:r w:rsidR="00105F12">
        <w:t>. Novela</w:t>
      </w:r>
      <w:r w:rsidR="00D739ED">
        <w:t xml:space="preserve"> upraví </w:t>
      </w:r>
      <w:r w:rsidRPr="00AA5CD3">
        <w:t>organizační strukturu úřadu na základě důsledné</w:t>
      </w:r>
      <w:r w:rsidR="00D739ED">
        <w:t xml:space="preserve"> aplikace principu subsidiarity. Jejím cílem je </w:t>
      </w:r>
      <w:r w:rsidRPr="00AA5CD3">
        <w:t>zvýšení odp</w:t>
      </w:r>
      <w:r w:rsidR="00D739ED">
        <w:t>ovědnosti za výkon a realizaci</w:t>
      </w:r>
      <w:r w:rsidRPr="00AA5CD3">
        <w:t xml:space="preserve"> aktivní politiky zaměstnanosti pracovišť na nižší regionální úrovni</w:t>
      </w:r>
      <w:r w:rsidR="00D739ED">
        <w:t xml:space="preserve">, </w:t>
      </w:r>
      <w:r w:rsidRPr="00AA5CD3">
        <w:t>zlepšení spolupráce s aktéry na trhu práce</w:t>
      </w:r>
      <w:r w:rsidR="00D739ED">
        <w:t xml:space="preserve"> a</w:t>
      </w:r>
      <w:r w:rsidR="00204478">
        <w:t> </w:t>
      </w:r>
      <w:r w:rsidR="00D739ED">
        <w:t xml:space="preserve">zefektivnění </w:t>
      </w:r>
      <w:r w:rsidRPr="00AA5CD3">
        <w:t>řízení z úrovně generálního ředitelství směrem ke krajským pobočkám z pohledu kvalitnější podpory regionů.</w:t>
      </w:r>
      <w:r w:rsidR="00F926F9">
        <w:t xml:space="preserve"> </w:t>
      </w:r>
      <w:r w:rsidR="009269E5">
        <w:t>Za účelem lepšího sladění nabídky a poptávky na trhu práce a efektivního začleňování uchazečů o práci do pracovního procesu je posilována kooperace poboček Úřadu práce s lokálními podnikatelskými subjekty tak, aby existoval oboustranný informační tok ohledně pracovních příležitostí a</w:t>
      </w:r>
      <w:r w:rsidR="00204478">
        <w:t> </w:t>
      </w:r>
      <w:r w:rsidR="009269E5">
        <w:t>poptávaných potenciálních zaměstnanců. S cílem zkvalitnění</w:t>
      </w:r>
      <w:r w:rsidR="00F926F9">
        <w:t xml:space="preserve"> poskytovaných služeb zaměstnanosti vláda podpoří vytvoření odpovídajících materiálně technických podmínek.</w:t>
      </w:r>
    </w:p>
    <w:p w:rsidR="005E236D" w:rsidRDefault="00AE647D" w:rsidP="00103C1E">
      <w:r w:rsidRPr="00AE647D">
        <w:t xml:space="preserve">V nadcházejícím období hodlá vláda </w:t>
      </w:r>
      <w:r w:rsidRPr="00AE647D">
        <w:rPr>
          <w:b/>
        </w:rPr>
        <w:t>rozšířit a individualizovat poradenské služby</w:t>
      </w:r>
      <w:r w:rsidRPr="00AE647D">
        <w:t xml:space="preserve"> jako základního prostředku prevence boje proti nezaměstnanosti a efektivního nástroje podpory rozvoje zaměstnanosti. </w:t>
      </w:r>
      <w:r w:rsidRPr="00AE647D">
        <w:rPr>
          <w:rFonts w:cs="Arial"/>
          <w:iCs/>
        </w:rPr>
        <w:t xml:space="preserve">Bude zavedena cílenější realizace nástrojů </w:t>
      </w:r>
      <w:r w:rsidR="005E54E2">
        <w:rPr>
          <w:rFonts w:cs="Arial"/>
          <w:iCs/>
        </w:rPr>
        <w:t>aktivní politiky zaměstnanosti (</w:t>
      </w:r>
      <w:r w:rsidRPr="00AE647D">
        <w:rPr>
          <w:rFonts w:cs="Arial"/>
          <w:iCs/>
        </w:rPr>
        <w:t>APZ</w:t>
      </w:r>
      <w:r w:rsidR="005E54E2">
        <w:rPr>
          <w:rFonts w:cs="Arial"/>
          <w:iCs/>
        </w:rPr>
        <w:t>)</w:t>
      </w:r>
      <w:r w:rsidRPr="00AE647D">
        <w:rPr>
          <w:rFonts w:cs="Arial"/>
          <w:iCs/>
        </w:rPr>
        <w:t xml:space="preserve"> reflektující míru znevýhodnění podpořených osob na trhu práce, budou odzkoušeny nové způsoby práce s uchazeči o</w:t>
      </w:r>
      <w:r w:rsidR="00204478">
        <w:rPr>
          <w:rFonts w:cs="Arial"/>
          <w:iCs/>
        </w:rPr>
        <w:t> </w:t>
      </w:r>
      <w:r w:rsidRPr="00AE647D">
        <w:rPr>
          <w:rFonts w:cs="Arial"/>
          <w:iCs/>
        </w:rPr>
        <w:t xml:space="preserve">zaměstnání, jako jsou  </w:t>
      </w:r>
      <w:proofErr w:type="spellStart"/>
      <w:r w:rsidRPr="00AE647D">
        <w:rPr>
          <w:rFonts w:cs="Arial"/>
          <w:iCs/>
        </w:rPr>
        <w:t>koučing</w:t>
      </w:r>
      <w:proofErr w:type="spellEnd"/>
      <w:r w:rsidRPr="00AE647D">
        <w:rPr>
          <w:rFonts w:cs="Arial"/>
          <w:iCs/>
        </w:rPr>
        <w:t xml:space="preserve"> či </w:t>
      </w:r>
      <w:proofErr w:type="spellStart"/>
      <w:r w:rsidRPr="00AE647D">
        <w:rPr>
          <w:rFonts w:cs="Arial"/>
          <w:iCs/>
        </w:rPr>
        <w:t>mentoring</w:t>
      </w:r>
      <w:proofErr w:type="spellEnd"/>
      <w:r w:rsidRPr="00AE647D">
        <w:rPr>
          <w:rFonts w:cs="Arial"/>
          <w:iCs/>
        </w:rPr>
        <w:t>, dále budou pilotovány flexibilní způsoby zaměstnávání a</w:t>
      </w:r>
      <w:r w:rsidR="00204478">
        <w:rPr>
          <w:rFonts w:cs="Arial"/>
          <w:iCs/>
        </w:rPr>
        <w:t> </w:t>
      </w:r>
      <w:r w:rsidRPr="00AE647D">
        <w:rPr>
          <w:rFonts w:cs="Arial"/>
          <w:iCs/>
        </w:rPr>
        <w:t>odměňování, budou realizována opatření (nástroje) zaměřené na dlouhodobou integraci znevýhodn</w:t>
      </w:r>
      <w:r w:rsidRPr="00AE647D">
        <w:rPr>
          <w:rFonts w:cs="Arial"/>
          <w:iCs/>
        </w:rPr>
        <w:t>ě</w:t>
      </w:r>
      <w:r w:rsidRPr="00AE647D">
        <w:rPr>
          <w:rFonts w:cs="Arial"/>
          <w:iCs/>
        </w:rPr>
        <w:t xml:space="preserve">ných osob na trhu práce (např. formou podpory integračních pracovních míst). Budou vytvořeny standardy poradenských služeb, ve kterých bude sledována a hodnocena kvalita </w:t>
      </w:r>
      <w:r w:rsidR="005E54E2">
        <w:rPr>
          <w:rFonts w:cs="Arial"/>
          <w:iCs/>
        </w:rPr>
        <w:t>poskytovaných</w:t>
      </w:r>
      <w:r w:rsidRPr="00AE647D">
        <w:rPr>
          <w:rFonts w:cs="Arial"/>
          <w:iCs/>
        </w:rPr>
        <w:t xml:space="preserve"> služeb.</w:t>
      </w:r>
      <w:r w:rsidRPr="00AE647D">
        <w:t xml:space="preserve"> V tomto kontextu bude také zajištěno zvyšování odborných znalostí a dovedností zaměstnanců Úřadu práce ČR, což podpoří kvalitu poskytovaných služeb. </w:t>
      </w:r>
    </w:p>
    <w:p w:rsidR="00E4180E" w:rsidRDefault="00E414FF" w:rsidP="00EE31B8">
      <w:r>
        <w:t xml:space="preserve">Základní podmínkou výkonu a fungování </w:t>
      </w:r>
      <w:r w:rsidRPr="00AA5CD3">
        <w:t>Úřadu práce ČR</w:t>
      </w:r>
      <w:r>
        <w:t xml:space="preserve"> je zajištění funkčnosti informačního systému propojujícího data spojená se službami zaměstnanosti v celé ČR. Dále je nutné zajistit </w:t>
      </w:r>
      <w:r w:rsidRPr="00EF38EC">
        <w:rPr>
          <w:b/>
        </w:rPr>
        <w:t>rozvoj samoobsluž</w:t>
      </w:r>
      <w:r w:rsidR="001A4749">
        <w:rPr>
          <w:b/>
        </w:rPr>
        <w:softHyphen/>
      </w:r>
      <w:r w:rsidRPr="00EF38EC">
        <w:rPr>
          <w:b/>
        </w:rPr>
        <w:t>ných elektronických systémů</w:t>
      </w:r>
      <w:r>
        <w:t>, porad</w:t>
      </w:r>
      <w:r w:rsidR="005C7DD9">
        <w:t>enských a informačních nástrojů</w:t>
      </w:r>
      <w:r>
        <w:t xml:space="preserve"> tak</w:t>
      </w:r>
      <w:r w:rsidR="005C7DD9">
        <w:t>,</w:t>
      </w:r>
      <w:r>
        <w:t xml:space="preserve"> aby došlo ke sladění nabídky a</w:t>
      </w:r>
      <w:r w:rsidR="00204478">
        <w:t> </w:t>
      </w:r>
      <w:r>
        <w:t xml:space="preserve">poptávky na trhu práce. </w:t>
      </w:r>
      <w:r w:rsidR="00CC2285">
        <w:t xml:space="preserve">Od 1. </w:t>
      </w:r>
      <w:r w:rsidR="00C03279">
        <w:t xml:space="preserve">ledna </w:t>
      </w:r>
      <w:r w:rsidR="00CC2285">
        <w:t xml:space="preserve">2014 došlo k návratu k původnímu informačnímu systému, což zajistilo </w:t>
      </w:r>
      <w:r w:rsidR="00CC2285" w:rsidRPr="00CC2285">
        <w:t>stabilní prostředí pro zaměstnance i klienty Úřadu práce</w:t>
      </w:r>
      <w:r w:rsidR="00CC2285">
        <w:t xml:space="preserve"> ČR. V současné době probíhají přípravy na vyhlášení nového zadávacího řízení, </w:t>
      </w:r>
      <w:r w:rsidR="00CC2285" w:rsidRPr="00CC2285">
        <w:t>které zajist</w:t>
      </w:r>
      <w:r w:rsidR="00CC2285">
        <w:t>í</w:t>
      </w:r>
      <w:r w:rsidR="00CC2285" w:rsidRPr="00CC2285">
        <w:t xml:space="preserve"> moderní a efektivní </w:t>
      </w:r>
      <w:r w:rsidR="00CC2285">
        <w:t xml:space="preserve">informační </w:t>
      </w:r>
      <w:r w:rsidR="00CC2285" w:rsidRPr="00CC2285">
        <w:t>systém splňující všechny funkční i právní požadavky.</w:t>
      </w:r>
    </w:p>
    <w:p w:rsidR="006439FE" w:rsidRDefault="006439FE" w:rsidP="00EE31B8">
      <w:r>
        <w:t>V roce 2013 se zvýšil počet účastníků v opatřeních aktivní politiky zaměstnanosti.</w:t>
      </w:r>
      <w:r w:rsidRPr="006439FE">
        <w:t xml:space="preserve"> </w:t>
      </w:r>
      <w:r>
        <w:t>Do rekvalifikací bylo zařazeno 41 438 uchazečů</w:t>
      </w:r>
      <w:r>
        <w:rPr>
          <w:rStyle w:val="Znakapoznpodarou"/>
        </w:rPr>
        <w:footnoteReference w:id="6"/>
      </w:r>
      <w:r>
        <w:t>, v rámci společensky účelných pracovních míst bylo podpoře</w:t>
      </w:r>
      <w:r w:rsidR="003C6BA9">
        <w:t>no</w:t>
      </w:r>
      <w:r>
        <w:t xml:space="preserve"> 21 716 uchazečů</w:t>
      </w:r>
      <w:r>
        <w:rPr>
          <w:rStyle w:val="Znakapoznpodarou"/>
        </w:rPr>
        <w:footnoteReference w:id="7"/>
      </w:r>
      <w:r>
        <w:t xml:space="preserve"> a v rámci veřejně prospěšných prací 21 839 uchazečů</w:t>
      </w:r>
      <w:r>
        <w:rPr>
          <w:rStyle w:val="Znakapoznpodarou"/>
        </w:rPr>
        <w:footnoteReference w:id="8"/>
      </w:r>
      <w:r>
        <w:t>.</w:t>
      </w:r>
      <w:r w:rsidRPr="006439FE">
        <w:t xml:space="preserve"> </w:t>
      </w:r>
      <w:r>
        <w:t xml:space="preserve">Celkově se rozpočet aktivní politiky zaměstnanosti zvýšil z 2 595 621 Kč v roce </w:t>
      </w:r>
      <w:r w:rsidR="005E54E2">
        <w:t xml:space="preserve">2012 </w:t>
      </w:r>
      <w:r>
        <w:t>na 4 285 714 Kč v roce 2013</w:t>
      </w:r>
      <w:r w:rsidR="001E2999">
        <w:t>, tj. o 65%</w:t>
      </w:r>
      <w:r>
        <w:t>.</w:t>
      </w:r>
    </w:p>
    <w:p w:rsidR="003237CF" w:rsidRDefault="00E865CF" w:rsidP="003237CF">
      <w:pPr>
        <w:pStyle w:val="Nadpis3"/>
        <w:numPr>
          <w:ilvl w:val="2"/>
          <w:numId w:val="4"/>
        </w:numPr>
        <w:ind w:left="851" w:hanging="851"/>
      </w:pPr>
      <w:bookmarkStart w:id="25" w:name="_Toc385339495"/>
      <w:r>
        <w:t>Rozvoj služeb péče o děti</w:t>
      </w:r>
      <w:bookmarkEnd w:id="25"/>
    </w:p>
    <w:p w:rsidR="00FB5516" w:rsidRDefault="00FB5516" w:rsidP="00FB5516">
      <w:r>
        <w:t xml:space="preserve">V oblasti předškolní péče učinila vláda řadu opatření vedoucích k rozvoji alternativních předškolních zařízení a služeb, jež jsou cílena na rychlejší návrat rodičů pečujících o dítě k výdělečné činnosti. </w:t>
      </w:r>
      <w:r w:rsidR="0067162F">
        <w:t xml:space="preserve">Jedním z významných </w:t>
      </w:r>
      <w:r w:rsidR="00BF719C">
        <w:t>opatření je</w:t>
      </w:r>
      <w:r>
        <w:t xml:space="preserve"> </w:t>
      </w:r>
      <w:r w:rsidRPr="00FB5516">
        <w:rPr>
          <w:b/>
        </w:rPr>
        <w:t>návrh zákona o dětské skupině</w:t>
      </w:r>
      <w:r>
        <w:t>, který byl vládou schválen v lednu 2014. Ten upravuje nový typ služby péče o děti na neziskové bázi, s cílem rozšířit spektrum služeb péče o děti a zvýšit kapacitu služeb péče o děti, umožnit rodičům sladit profesní a rodinný život a návrat na trh práce. Návrh zákona dále obsahuje související daňová opatření k podpoře rozvoje služeb péče o děti, tj. daňovou uznatelnost nákladů na zajištění těchto služeb ze strany zaměstnavatelů a slevu na dani z příjmů pro výdělečně činné rodiče při zajištění služeb péče o jej</w:t>
      </w:r>
      <w:r w:rsidR="007241D9">
        <w:t>ich děti. Návrh zákona byl dne 10</w:t>
      </w:r>
      <w:r>
        <w:t xml:space="preserve">. ledna 2014 předložen Poslanecké sněmovně Parlamentu ČR k projednání.     </w:t>
      </w:r>
    </w:p>
    <w:p w:rsidR="00FB5516" w:rsidRDefault="00FB5516" w:rsidP="00FB5516">
      <w:r>
        <w:t xml:space="preserve">V návaznosti na schválení profesních kvalifikací </w:t>
      </w:r>
      <w:r w:rsidRPr="00FB5516">
        <w:rPr>
          <w:b/>
        </w:rPr>
        <w:t>Chůva pro děti do zahájení povinné školní docházky</w:t>
      </w:r>
      <w:r>
        <w:t xml:space="preserve"> a</w:t>
      </w:r>
      <w:r w:rsidR="00204478">
        <w:t> </w:t>
      </w:r>
      <w:r w:rsidRPr="00FB5516">
        <w:rPr>
          <w:b/>
        </w:rPr>
        <w:t>Chůva pro dětské koutky</w:t>
      </w:r>
      <w:r>
        <w:t xml:space="preserve"> v roce 2012 probíhaly v roce 2013 zkoušky pro získání osvědčení o způsobilosti a byly udělovány autorizace pro tyto profesní kvalifikace. Celkem bylo uděleno 23 </w:t>
      </w:r>
      <w:r w:rsidRPr="008E30D5">
        <w:t>autorizací</w:t>
      </w:r>
      <w:r>
        <w:t xml:space="preserve"> </w:t>
      </w:r>
      <w:r w:rsidRPr="008E30D5">
        <w:t xml:space="preserve">15 </w:t>
      </w:r>
      <w:r w:rsidR="00BF719C">
        <w:lastRenderedPageBreak/>
        <w:t xml:space="preserve">autorizovaným osobám. </w:t>
      </w:r>
      <w:r w:rsidRPr="008E30D5">
        <w:t>Pro získání os</w:t>
      </w:r>
      <w:r>
        <w:t xml:space="preserve">vědčení o způsobilosti k těmto profesním kvalifikacím </w:t>
      </w:r>
      <w:r w:rsidRPr="008E30D5">
        <w:t>proběhlo v</w:t>
      </w:r>
      <w:r w:rsidR="00204478">
        <w:t> </w:t>
      </w:r>
      <w:r w:rsidRPr="008E30D5">
        <w:t xml:space="preserve">roce 2013 32 zkoušek, které úspěšně absolvovalo celkem 137 uchazeček.  </w:t>
      </w:r>
    </w:p>
    <w:p w:rsidR="00FB5516" w:rsidRDefault="0007701D" w:rsidP="00FB5516">
      <w:r>
        <w:t xml:space="preserve">Pokračuje realizace systémových projektů na podporu rovnováhy mezi pracovním a osobním životem. Cílem projektu </w:t>
      </w:r>
      <w:r w:rsidRPr="00FB5516">
        <w:rPr>
          <w:b/>
        </w:rPr>
        <w:t>Audit rodina a zaměstnání</w:t>
      </w:r>
      <w:r>
        <w:t xml:space="preserve"> je dosáhnout optimální </w:t>
      </w:r>
      <w:proofErr w:type="spellStart"/>
      <w:r>
        <w:t>prorodinně</w:t>
      </w:r>
      <w:proofErr w:type="spellEnd"/>
      <w:r>
        <w:t xml:space="preserve"> orientované strategie ve firmách, která umožní rodičům s nezaopatřenými dětmi nebo závislými členy rodiny optimálně sladit pracovní a rodinný život a zlepší tak jejich uplatnění na trhu práce.</w:t>
      </w:r>
      <w:r w:rsidRPr="008E30D5">
        <w:t xml:space="preserve"> </w:t>
      </w:r>
      <w:r>
        <w:t xml:space="preserve">Projekt byl úspěšně zakončen v únoru 2014 a jeho výstupy budou dále využity. V rámci projektu </w:t>
      </w:r>
      <w:r w:rsidRPr="00FB5516">
        <w:rPr>
          <w:b/>
        </w:rPr>
        <w:t>Sladění práce a rodiny inspirované příklady dobré praxe v Evropě</w:t>
      </w:r>
      <w:r>
        <w:t xml:space="preserve"> jsou prostřednictvím spolupráce se zahraničními partnery získávány zkušenosti v</w:t>
      </w:r>
      <w:r w:rsidR="00204478">
        <w:t> </w:t>
      </w:r>
      <w:r>
        <w:t xml:space="preserve">problematice možnosti úprav pracovních podmínek a rozvoje služeb péče o děti </w:t>
      </w:r>
      <w:r w:rsidR="003C6BA9">
        <w:t>s cílem</w:t>
      </w:r>
      <w:r>
        <w:t xml:space="preserve"> získané příklady dobré praxe využívány k podpoře rozvoje českého trhu práce.               </w:t>
      </w:r>
      <w:r w:rsidR="00FB5516">
        <w:t xml:space="preserve">               </w:t>
      </w:r>
    </w:p>
    <w:p w:rsidR="00FB5516" w:rsidRDefault="00FB5516" w:rsidP="00FB5516">
      <w:r>
        <w:t>Rozvoj územně a finančně dostupných služeb péče o děti je podporován rovněž grantovými projekty OP LZZ. Z 366 projektů dosud p</w:t>
      </w:r>
      <w:r w:rsidR="0007701D">
        <w:t>odpořených v oblasti podpory 3.</w:t>
      </w:r>
      <w:r>
        <w:t>4</w:t>
      </w:r>
      <w:r w:rsidR="0007701D">
        <w:rPr>
          <w:rStyle w:val="Znakapoznpodarou"/>
        </w:rPr>
        <w:footnoteReference w:id="9"/>
      </w:r>
      <w:r>
        <w:t xml:space="preserve"> eviduje ČR 124 projektů zaměřených na služby péče o děti, tedy 34 % projektů.</w:t>
      </w:r>
    </w:p>
    <w:p w:rsidR="00E76165" w:rsidRDefault="00FB5516" w:rsidP="00FB5516">
      <w:r>
        <w:t>S využitím evropských fondů a nově vzniklého národního fondu vláda v nadcházejícím období poskytne obcím prostředky na vytvoření dodatečné kapacity mateřských škol. Dále budou ověřeny podmínky pro zařazování</w:t>
      </w:r>
      <w:r w:rsidRPr="00E76165">
        <w:t xml:space="preserve"> dvouletých dětí do mateřských škol zařazených do školského rejstříku</w:t>
      </w:r>
      <w:r>
        <w:t xml:space="preserve"> a n</w:t>
      </w:r>
      <w:r w:rsidRPr="00E76165">
        <w:t xml:space="preserve">a základě </w:t>
      </w:r>
      <w:r>
        <w:t>výsledků vláda upraví legislativu</w:t>
      </w:r>
      <w:r w:rsidRPr="00E76165">
        <w:t xml:space="preserve"> pro předškolní vzdělávání.</w:t>
      </w:r>
      <w:r>
        <w:t xml:space="preserve"> Vláda počítá v horizontu </w:t>
      </w:r>
      <w:r w:rsidR="009C1AE1">
        <w:t>tří až čtyř</w:t>
      </w:r>
      <w:r>
        <w:t xml:space="preserve"> let se zavedením povinného posledního roku předškolního vzdělávání.</w:t>
      </w:r>
      <w:r w:rsidRPr="00E76165">
        <w:t xml:space="preserve"> </w:t>
      </w:r>
      <w:r w:rsidR="009269E5" w:rsidRPr="00E76165">
        <w:t xml:space="preserve">   </w:t>
      </w:r>
    </w:p>
    <w:p w:rsidR="00E865CF" w:rsidRDefault="00581B04" w:rsidP="00EF38D7">
      <w:pPr>
        <w:pStyle w:val="Nadpis2"/>
        <w:keepNext/>
        <w:keepLines/>
        <w:numPr>
          <w:ilvl w:val="1"/>
          <w:numId w:val="4"/>
        </w:numPr>
        <w:ind w:left="851" w:hanging="851"/>
      </w:pPr>
      <w:bookmarkStart w:id="26" w:name="_Toc385339496"/>
      <w:r w:rsidRPr="00581B04">
        <w:t>Kvalita veřejné správy, boj proti korupci, administrace fondů EU</w:t>
      </w:r>
      <w:r>
        <w:t xml:space="preserve"> a provádění veřejných zakázek</w:t>
      </w:r>
      <w:bookmarkEnd w:id="26"/>
    </w:p>
    <w:p w:rsidR="00E865CF" w:rsidRDefault="00E865CF" w:rsidP="00EF38D7">
      <w:pPr>
        <w:keepNext/>
        <w:keepLines/>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pPr>
      <w:r>
        <w:rPr>
          <w:b/>
          <w:color w:val="9B2D1F" w:themeColor="accent2"/>
        </w:rPr>
        <w:t>Doporučení Rady č. 5</w:t>
      </w:r>
      <w:r w:rsidRPr="001202C4">
        <w:rPr>
          <w:b/>
          <w:color w:val="9B2D1F" w:themeColor="accent2"/>
        </w:rPr>
        <w:t>:</w:t>
      </w:r>
      <w:r>
        <w:t xml:space="preserve"> </w:t>
      </w:r>
      <w:r w:rsidRPr="00ED621D">
        <w:rPr>
          <w:color w:val="D41616"/>
        </w:rPr>
        <w:t>Zajistit provádění protikorupční strategie na období 2013–2014. Přijmout zákon o státních úřednících, který by měl zajistit stabilní, výkonné a profesionální služby státní správy. Zlepšit správu prostředků z fondů EU s ohledem na programové období 2014–2020. Posílit kapacity pro provádění veřejných zakázek na místní a regionální úrovni.</w:t>
      </w:r>
    </w:p>
    <w:p w:rsidR="003237CF" w:rsidRDefault="000C4741" w:rsidP="00EF38D7">
      <w:pPr>
        <w:pStyle w:val="Nadpis3"/>
        <w:keepNext/>
        <w:keepLines/>
        <w:numPr>
          <w:ilvl w:val="2"/>
          <w:numId w:val="4"/>
        </w:numPr>
        <w:ind w:left="851" w:hanging="851"/>
      </w:pPr>
      <w:bookmarkStart w:id="27" w:name="_Toc385339497"/>
      <w:r>
        <w:t>Kvalitní a transparentní stá</w:t>
      </w:r>
      <w:r w:rsidR="001129D2">
        <w:t>t</w:t>
      </w:r>
      <w:r>
        <w:t>ní správa</w:t>
      </w:r>
      <w:bookmarkEnd w:id="27"/>
    </w:p>
    <w:p w:rsidR="005D6606" w:rsidRDefault="005D6606" w:rsidP="00EF38D7">
      <w:pPr>
        <w:keepNext/>
        <w:keepLines/>
      </w:pPr>
      <w:r>
        <w:t xml:space="preserve">Kvalitní fungování státní správy a s tím související přijetí </w:t>
      </w:r>
      <w:r w:rsidRPr="005D6606">
        <w:rPr>
          <w:b/>
        </w:rPr>
        <w:t>zákona o státní službě</w:t>
      </w:r>
      <w:r>
        <w:t xml:space="preserve"> je pro vládu ČR jednou z</w:t>
      </w:r>
      <w:r w:rsidR="00204478">
        <w:t> </w:t>
      </w:r>
      <w:r>
        <w:t>hlavních priorit. Hlavním cílem je přijmout funkční a kvalitní zákon, který bude zajišťovat nezávislou</w:t>
      </w:r>
      <w:r w:rsidR="00F365CD">
        <w:t>,</w:t>
      </w:r>
      <w:r>
        <w:t xml:space="preserve"> profesionální, transparentní a korupci odolávající státní správu. Zákon, jenž upraví právní poměry zaměstnanců ve správních úřadech, by měl zajistit stabilitu a odpolitizování rozhodovacích, řídících a</w:t>
      </w:r>
      <w:r w:rsidR="00204478">
        <w:t> </w:t>
      </w:r>
      <w:r>
        <w:t xml:space="preserve">personálních procesů. Bude také definovat kritéria pro odměňování úředníků, určovat vzdělávací systém a obecně také personální politiku státní služby. </w:t>
      </w:r>
    </w:p>
    <w:p w:rsidR="005D6606" w:rsidRDefault="005D6606" w:rsidP="005D6606">
      <w:r>
        <w:t xml:space="preserve">Poslaneckou iniciativou je novelizován zákon č. 218/2002 Sb., o službě státních zaměstnanců ve správních úřadech a o odměňování těchto zaměstnanců a ostatních zaměstnanců ve správních úřadech (služební zákon), který prošel prvním čtením </w:t>
      </w:r>
      <w:r w:rsidR="00F45F99">
        <w:t xml:space="preserve">dne </w:t>
      </w:r>
      <w:r>
        <w:t xml:space="preserve">21. ledna 2014. Předložení paragrafového znění komplexního pozměňovacího návrhu do výborů Poslanecké sněmovny je plánováno na </w:t>
      </w:r>
      <w:r w:rsidR="00E9710E">
        <w:t>duben</w:t>
      </w:r>
      <w:r>
        <w:t xml:space="preserve"> 2014. Samotná účinnost služebního zákona bude několikafázová. </w:t>
      </w:r>
    </w:p>
    <w:p w:rsidR="005D6606" w:rsidRDefault="005D6606" w:rsidP="005D6606">
      <w:r>
        <w:t xml:space="preserve">Počítá se se založením Generálního ředitelství státní služby k 1. </w:t>
      </w:r>
      <w:r w:rsidR="009C1AE1">
        <w:t xml:space="preserve">červenci </w:t>
      </w:r>
      <w:r>
        <w:t>2014 (tato část služebního zákona je už teď účinná). To bude připravovat všechny relevantní služební prováděcí předpisy a dohlížet nad implementací služebního zákona ve správních úřadech. Významným krokem k implementaci bude zřízení pozic státních tajemníků na ministerstvech a změna vedoucích zaměstnanců na představené (vše při transparentně nastavených a povinných výběrových řízeních). Kroky vedoucí ke změně managementu a</w:t>
      </w:r>
      <w:r w:rsidR="00204478">
        <w:t> </w:t>
      </w:r>
      <w:r>
        <w:t xml:space="preserve">systému řízení dotčených subjektů budou provedeny během roku 2015. Paralelně budou nastavena </w:t>
      </w:r>
      <w:r>
        <w:lastRenderedPageBreak/>
        <w:t xml:space="preserve">pravidla a principy vstupu stávajících zaměstnanců do služebního poměru. Většinová účinnost služebního zákona by měla být připravena k 1. </w:t>
      </w:r>
      <w:r w:rsidR="00420C53">
        <w:t xml:space="preserve">lednu </w:t>
      </w:r>
      <w:r>
        <w:t>2016.</w:t>
      </w:r>
    </w:p>
    <w:p w:rsidR="005D6606" w:rsidRDefault="005D6606" w:rsidP="005D6606">
      <w:r>
        <w:t>Během přechodného období se počítá s tvorbou analýz stávajícího stavu personální práce, systemizace, vzdělávání a odměňování, s přípravou metodik podle principů stanovených služebním zákonem a</w:t>
      </w:r>
      <w:r w:rsidR="00F314D8">
        <w:t> </w:t>
      </w:r>
      <w:r>
        <w:t>s tvorbou služebních prováděcích předpisů. Zároveň budou konány kulaté stoly, odborné semináře a</w:t>
      </w:r>
      <w:r w:rsidR="00204478">
        <w:t> </w:t>
      </w:r>
      <w:r>
        <w:t xml:space="preserve">konference jak pro zástupce dotčených subjektů, tak pro širokou odbornou i laickou veřejnost, které povedou k větší </w:t>
      </w:r>
      <w:r w:rsidR="00B83E99">
        <w:t xml:space="preserve">viditelnosti </w:t>
      </w:r>
      <w:r>
        <w:t xml:space="preserve">a propagaci služebního zákona, k začlenění </w:t>
      </w:r>
      <w:proofErr w:type="spellStart"/>
      <w:r>
        <w:t>stakeholderů</w:t>
      </w:r>
      <w:proofErr w:type="spellEnd"/>
      <w:r>
        <w:t xml:space="preserve"> do procesu implementace, a tím k usnadnění této složité paradigmatické změny.</w:t>
      </w:r>
    </w:p>
    <w:p w:rsidR="005D6606" w:rsidRDefault="005D6606" w:rsidP="005D6606">
      <w:r>
        <w:t>Právní postavení úředníků územních samosprávných celků bude i nadále upraveno zákonem č. 312/2002 Sb., o úřednících územních samosprávných celků, který je účinný již od 1. ledna 2003 a který, pokud jde o</w:t>
      </w:r>
      <w:r w:rsidR="00204478">
        <w:t> </w:t>
      </w:r>
      <w:r>
        <w:t>kategorii úředníků podléhajících jeho režimu, plně vyhovuje požadavkům chápání veřejné správy jako veřejné služby.</w:t>
      </w:r>
    </w:p>
    <w:p w:rsidR="003237CF" w:rsidRDefault="00C124B5" w:rsidP="003237CF">
      <w:pPr>
        <w:pStyle w:val="Nadpis3"/>
        <w:numPr>
          <w:ilvl w:val="2"/>
          <w:numId w:val="4"/>
        </w:numPr>
        <w:ind w:left="851" w:hanging="851"/>
      </w:pPr>
      <w:bookmarkStart w:id="28" w:name="_Toc385339498"/>
      <w:r>
        <w:t>Boj proti korupci</w:t>
      </w:r>
      <w:bookmarkEnd w:id="28"/>
    </w:p>
    <w:p w:rsidR="0062600F" w:rsidRDefault="0062600F" w:rsidP="0062600F">
      <w:r w:rsidRPr="00494BA9">
        <w:t xml:space="preserve">Boj s korupcí představuje jednu z hlavních priorit vlády. </w:t>
      </w:r>
      <w:r>
        <w:t>V</w:t>
      </w:r>
      <w:r w:rsidRPr="00494BA9">
        <w:t xml:space="preserve"> lednu roku 2013 </w:t>
      </w:r>
      <w:r w:rsidR="0007701D">
        <w:t xml:space="preserve">byla </w:t>
      </w:r>
      <w:r w:rsidRPr="00494BA9">
        <w:t xml:space="preserve">schválena </w:t>
      </w:r>
      <w:r w:rsidRPr="0062600F">
        <w:rPr>
          <w:b/>
        </w:rPr>
        <w:t>Strategie vlády v boji s korupcí na období let 2013 a 2014</w:t>
      </w:r>
      <w:r w:rsidRPr="00494BA9">
        <w:t>, jejímž obsahem jsou úkoly, za jejichž plnění jednotliví gestoři věcně i časově odpovídají.</w:t>
      </w:r>
      <w:r>
        <w:t xml:space="preserve"> </w:t>
      </w:r>
      <w:r w:rsidRPr="00494BA9">
        <w:t>Z důvodu politických změn v roce 2013 nebyla řada úkolů protikorupční strategie vlády splněna a</w:t>
      </w:r>
      <w:r>
        <w:t xml:space="preserve"> jejich plnění bylo odloženo. Ze 73 úkolů (14 legislativních a 59 nelegislativních) bylo </w:t>
      </w:r>
      <w:r w:rsidR="00A14BC3">
        <w:t xml:space="preserve">dosud </w:t>
      </w:r>
      <w:r>
        <w:t xml:space="preserve">splněno </w:t>
      </w:r>
      <w:r w:rsidR="009A4D59">
        <w:t>39</w:t>
      </w:r>
      <w:r>
        <w:t xml:space="preserve"> nelegislativních úkolů. Mezi nejvýznamnější patří schválení Rámcového rezortního interního protikorupč</w:t>
      </w:r>
      <w:r w:rsidR="001A4749">
        <w:softHyphen/>
      </w:r>
      <w:r>
        <w:t xml:space="preserve">ního programu, zpracování metodiky veřejných zakázek malého rozsahu, zveřejňování státního rozpočtu a státního závěrečného </w:t>
      </w:r>
      <w:r w:rsidR="003E5967">
        <w:t>účtu přehledně</w:t>
      </w:r>
      <w:r>
        <w:t xml:space="preserve"> po jednotlivých kapitolách a</w:t>
      </w:r>
      <w:r w:rsidR="00204478">
        <w:t> </w:t>
      </w:r>
      <w:r>
        <w:t>položkách, zveřejňování poradců a poradních orgánů, posílení elektronizace zadávacích řízení či</w:t>
      </w:r>
      <w:r w:rsidR="00E36AE7">
        <w:t> </w:t>
      </w:r>
      <w:r>
        <w:t xml:space="preserve">zpracování metodických dokumentů pro čerpání z fondů EU v programovacím období 2014+. </w:t>
      </w:r>
    </w:p>
    <w:p w:rsidR="0062600F" w:rsidRDefault="0062600F" w:rsidP="0062600F">
      <w:r>
        <w:t>Z legislativních úkolů sice bylo jednotlivými ministerstvy splněno několik úkolů, avšak jejich legislativní vývoj byl ukončen rozpuštěním Poslanecké sněmovny. Na dílčích úkolech Strategie vláda i nadále pracuje (např. příprava nového zákona o státním zastupitelství, zákona o elektronické Sbírce zákona a</w:t>
      </w:r>
      <w:r w:rsidR="00F314D8">
        <w:t> </w:t>
      </w:r>
      <w:r>
        <w:t xml:space="preserve">mezinárodních smluv či úpravě trestněprávních předpisů ohledně správy zajištěného majetku nebo odčerpávání výnosů z trestné činnosti).  </w:t>
      </w:r>
    </w:p>
    <w:p w:rsidR="00A904DE" w:rsidRDefault="0062600F" w:rsidP="0062600F">
      <w:r>
        <w:t>V nadcházejícím období vláda vypracuje novelu zákona o střetu zájmů, která zavede elektronické vyplňování a zveřejňování majetkových přiznání politiků. Dále předloží návrh zákona, který vedle akcií na</w:t>
      </w:r>
      <w:r w:rsidR="00E36AE7">
        <w:t> </w:t>
      </w:r>
      <w:r>
        <w:t>majitele zajistí transparentnost vlastnictví i u společností s akciemi na jméno a umožní oprávněným státním orgánům zjistit majitele akcií společnosti po celou dobu její existence. Také vypracuje zákon o</w:t>
      </w:r>
      <w:r w:rsidR="00204478">
        <w:t> </w:t>
      </w:r>
      <w:r>
        <w:t>centrálním registru všech smluv uzavřených veřejnou správou nad určený minimální finanční limit a</w:t>
      </w:r>
      <w:r w:rsidR="00204478">
        <w:t> </w:t>
      </w:r>
      <w:r>
        <w:t>zpřísní systém financování politických stran zavedením výdajového limitu pro volební kampaně a</w:t>
      </w:r>
      <w:r w:rsidR="00204478">
        <w:t> </w:t>
      </w:r>
      <w:r>
        <w:t>uzákoněním limitu pro dary od fyzických a právnických osob.</w:t>
      </w:r>
      <w:r w:rsidRPr="00A904DE">
        <w:t xml:space="preserve"> </w:t>
      </w:r>
      <w:r w:rsidR="009A4D59" w:rsidRPr="009A4D59">
        <w:t>V neposlední řadě se bude vl</w:t>
      </w:r>
      <w:r w:rsidR="00E36AE7">
        <w:t xml:space="preserve">áda </w:t>
      </w:r>
      <w:r w:rsidR="00E36AE7" w:rsidRPr="00E36AE7">
        <w:t>věnovat</w:t>
      </w:r>
      <w:r w:rsidR="00E36AE7">
        <w:t xml:space="preserve"> </w:t>
      </w:r>
      <w:r w:rsidR="009A4D59" w:rsidRPr="00E36AE7">
        <w:t>i</w:t>
      </w:r>
      <w:r w:rsidR="00E36AE7">
        <w:t> </w:t>
      </w:r>
      <w:r w:rsidR="009A4D59" w:rsidRPr="009A4D59">
        <w:t>ochraně oznamovatelů (</w:t>
      </w:r>
      <w:proofErr w:type="spellStart"/>
      <w:r w:rsidR="009A4D59" w:rsidRPr="009A4D59">
        <w:t>whistleblowerů</w:t>
      </w:r>
      <w:proofErr w:type="spellEnd"/>
      <w:r w:rsidR="009A4D59" w:rsidRPr="009A4D59">
        <w:t xml:space="preserve">) a po vydání příslušného dokumentu </w:t>
      </w:r>
      <w:r w:rsidR="00E36AE7">
        <w:t xml:space="preserve">EU </w:t>
      </w:r>
      <w:r w:rsidR="009A4D59" w:rsidRPr="009A4D59">
        <w:t>připraví i legislativní řešení této problematiky</w:t>
      </w:r>
      <w:r w:rsidR="008C4413">
        <w:t>,</w:t>
      </w:r>
      <w:r w:rsidR="009A4D59" w:rsidRPr="009A4D59">
        <w:t xml:space="preserve"> nejdříve však v roce 2015.</w:t>
      </w:r>
    </w:p>
    <w:p w:rsidR="003237CF" w:rsidRDefault="00C124B5" w:rsidP="001612A6">
      <w:pPr>
        <w:pStyle w:val="Nadpis3"/>
        <w:numPr>
          <w:ilvl w:val="2"/>
          <w:numId w:val="4"/>
        </w:numPr>
        <w:ind w:left="851" w:hanging="851"/>
      </w:pPr>
      <w:bookmarkStart w:id="29" w:name="_Toc385339499"/>
      <w:r>
        <w:t>Správa prostředků z fondů EU</w:t>
      </w:r>
      <w:r w:rsidR="008F3F79" w:rsidRPr="008F3F79">
        <w:t xml:space="preserve"> s ohledem na programové období 2014-2020</w:t>
      </w:r>
      <w:bookmarkEnd w:id="29"/>
    </w:p>
    <w:p w:rsidR="00A904DE" w:rsidRDefault="00E40531" w:rsidP="00A904DE">
      <w:r w:rsidRPr="008F3F79">
        <w:t>Pří přípravě programového období 2014-2020 byla stěžejním aspektem zejména zkušenost z období 2004-</w:t>
      </w:r>
      <w:r w:rsidR="00F346AF">
        <w:t>2</w:t>
      </w:r>
      <w:r w:rsidRPr="008F3F79">
        <w:t xml:space="preserve">006 a 2007-2013, a proto příprava vyšla mj. z analýzy implementačního prostředí programového období 2007-2013. Ta poukázala zejména na potřebu stanovení jednotných pravidel pro všechny subjekty zapojené do implementace kohezní politiky v ČR. V únoru 2013 proto vláda přijala Koncepci jednotného metodického prostředí, která tvoří základní rámec pro tvorbu a nastavení pravidel pro programové období 2014-2020. V návaznosti na tento dokument </w:t>
      </w:r>
      <w:r>
        <w:t xml:space="preserve">jsou </w:t>
      </w:r>
      <w:r w:rsidRPr="008F3F79">
        <w:t xml:space="preserve">na národní úrovni </w:t>
      </w:r>
      <w:r w:rsidR="0095280D" w:rsidRPr="008F3F79">
        <w:t>připrav</w:t>
      </w:r>
      <w:r w:rsidR="0095280D">
        <w:t>ovány</w:t>
      </w:r>
      <w:r w:rsidRPr="008F3F79">
        <w:t xml:space="preserve"> metodick</w:t>
      </w:r>
      <w:r>
        <w:t>é</w:t>
      </w:r>
      <w:r w:rsidRPr="008F3F79">
        <w:t xml:space="preserve"> dokument</w:t>
      </w:r>
      <w:r>
        <w:t>y</w:t>
      </w:r>
      <w:r w:rsidRPr="008F3F79">
        <w:t xml:space="preserve"> pro jednotlivé oblasti implementace. V průběhu roku 2013 bylo vládou schváleno celkem šest metodických dokumentů, schválení dalších pěti dokumentů následovalo v lednu 2014. Zbylé by měly být dokončeny a schváleny do poloviny roku 2014. Metodické dokumenty </w:t>
      </w:r>
      <w:r>
        <w:t>jsou zpracovávány</w:t>
      </w:r>
      <w:r w:rsidRPr="008F3F79">
        <w:t xml:space="preserve"> v souladu s</w:t>
      </w:r>
      <w:r w:rsidR="00F346AF">
        <w:t> </w:t>
      </w:r>
      <w:r w:rsidRPr="008F3F79">
        <w:t xml:space="preserve">relevantními nařízeními a dalšími dokumenty EU, právními předpisy ČR, ve spolupráci se zástupci řídicích </w:t>
      </w:r>
      <w:r w:rsidRPr="008F3F79">
        <w:lastRenderedPageBreak/>
        <w:t>orgánů a dalších partnerů i potenciálních žadatelů a příjemců, s ohledem na názory širokého spektra účastníků a reflexi zkušeností z předchozích programových období. Značný důraz je kladen na posílení strategického plánování, zvýšení efektivity systému řízení, zjednodušení, snížení administrativní zátěže a</w:t>
      </w:r>
      <w:r w:rsidR="00F346AF">
        <w:t> </w:t>
      </w:r>
      <w:r w:rsidRPr="008F3F79">
        <w:t>na posílení důležitosti dosahování cílů a plánovaných výsledků.</w:t>
      </w:r>
    </w:p>
    <w:p w:rsidR="00016306" w:rsidRDefault="00016306" w:rsidP="00016306">
      <w:pPr>
        <w:pStyle w:val="Nadpis3"/>
        <w:numPr>
          <w:ilvl w:val="2"/>
          <w:numId w:val="4"/>
        </w:numPr>
        <w:ind w:left="851" w:hanging="851"/>
      </w:pPr>
      <w:bookmarkStart w:id="30" w:name="_Toc385339500"/>
      <w:r w:rsidRPr="00913194">
        <w:t xml:space="preserve">Zadávání </w:t>
      </w:r>
      <w:r w:rsidRPr="00016306">
        <w:t>veřejných</w:t>
      </w:r>
      <w:r w:rsidRPr="00913194">
        <w:t xml:space="preserve"> zakázek</w:t>
      </w:r>
      <w:bookmarkEnd w:id="30"/>
      <w:r w:rsidRPr="00913194">
        <w:t xml:space="preserve"> </w:t>
      </w:r>
    </w:p>
    <w:p w:rsidR="00016306" w:rsidRDefault="00016306" w:rsidP="00016306">
      <w:r>
        <w:t>Za účelem poskytování metodické podpory zadavatelům v</w:t>
      </w:r>
      <w:r w:rsidR="00F314D8">
        <w:t>eřejných zakázek bude připraven</w:t>
      </w:r>
      <w:r>
        <w:t xml:space="preserve"> vzdělávací program, v jehož rámci budou zainteresovaným subjektům poskytnuty informace o české právní regulaci zadávání veřejných zakázek, v jehož rámci budou poskytovány nejen teoretické, ale též praktické a</w:t>
      </w:r>
      <w:r w:rsidR="00204478">
        <w:t> </w:t>
      </w:r>
      <w:r>
        <w:t xml:space="preserve">empirické výklady a zohledněna rozhodovací praxe orgánů dohledu. Tento program bude dostupný pro všechny zadavatele zdarma a bude probíhat celoplošně tak, aby se jej mohli zúčastnit zástupci regionálních a lokálních zadavatelů. </w:t>
      </w:r>
    </w:p>
    <w:p w:rsidR="00016306" w:rsidRPr="006A3BC6" w:rsidRDefault="00016306" w:rsidP="00016306">
      <w:pPr>
        <w:rPr>
          <w:rFonts w:ascii="Calibri" w:eastAsia="Calibri" w:hAnsi="Calibri" w:cs="Times New Roman"/>
        </w:rPr>
      </w:pPr>
      <w:r>
        <w:t>Další podpora zadavatelů včetně zadavatelů regionálních a lokálních by měla spočívat ve zvýšeném důrazu na metodickou činnost. V souvislosti s tím by měly být publikovány metodické postupy při zadávání veřejných zakázek a proveden rozbor a řešení konkrétních problémů, se kterými se zadavatelé mohou setkat a se kterými se i standardně setkávají.</w:t>
      </w:r>
      <w:r w:rsidRPr="007B0A46">
        <w:t xml:space="preserve"> </w:t>
      </w:r>
      <w:r w:rsidRPr="006A3BC6">
        <w:t>Pro zadavatele i dodavatele veřejných zakázek budou též připraveny vzdělávací semináře a e-</w:t>
      </w:r>
      <w:proofErr w:type="spellStart"/>
      <w:r w:rsidRPr="006A3BC6">
        <w:t>learningové</w:t>
      </w:r>
      <w:proofErr w:type="spellEnd"/>
      <w:r w:rsidRPr="006A3BC6">
        <w:t xml:space="preserve"> kurzy. Dále budou připraveny publikace s praktickými postupy zadávání veřejných zakázek.</w:t>
      </w:r>
    </w:p>
    <w:p w:rsidR="00016306" w:rsidRDefault="00016306" w:rsidP="00016306">
      <w:r>
        <w:t xml:space="preserve">V rámci </w:t>
      </w:r>
      <w:r w:rsidRPr="00913194">
        <w:t>proveden</w:t>
      </w:r>
      <w:r>
        <w:t>é</w:t>
      </w:r>
      <w:r w:rsidRPr="00913194">
        <w:t xml:space="preserve"> analýz</w:t>
      </w:r>
      <w:r>
        <w:t xml:space="preserve">y stávající legislativní úpravy vyšlo najevo </w:t>
      </w:r>
      <w:r w:rsidRPr="00913194">
        <w:t xml:space="preserve">několik problematických </w:t>
      </w:r>
      <w:r>
        <w:t>oblastí</w:t>
      </w:r>
      <w:r w:rsidRPr="00913194">
        <w:t xml:space="preserve"> týkajících se především obtížné administrace veřejných zakázek a přílišn</w:t>
      </w:r>
      <w:r>
        <w:t>é</w:t>
      </w:r>
      <w:r w:rsidRPr="00913194">
        <w:t xml:space="preserve"> zátěž</w:t>
      </w:r>
      <w:r>
        <w:t>e</w:t>
      </w:r>
      <w:r w:rsidRPr="00913194">
        <w:t xml:space="preserve"> pro jejich zadavatele </w:t>
      </w:r>
      <w:r w:rsidRPr="006A3BC6">
        <w:t>na</w:t>
      </w:r>
      <w:r w:rsidR="00F346AF">
        <w:t> </w:t>
      </w:r>
      <w:r w:rsidRPr="006A3BC6">
        <w:t xml:space="preserve">regionální a obecní úrovni. </w:t>
      </w:r>
      <w:r>
        <w:t>V</w:t>
      </w:r>
      <w:r w:rsidRPr="00913194">
        <w:t>láda</w:t>
      </w:r>
      <w:r>
        <w:t xml:space="preserve"> v návaznosti na to</w:t>
      </w:r>
      <w:r w:rsidRPr="00913194">
        <w:t xml:space="preserve"> v září roku 2013 předložila jako tzv. zákonné opatření Senátu návrh novely zákona č. 137/2006 Sb.</w:t>
      </w:r>
      <w:r w:rsidR="00F365CD">
        <w:t>,</w:t>
      </w:r>
      <w:r w:rsidRPr="00913194">
        <w:t xml:space="preserve"> o veřejných zakázkách, ve znění pozdějších předpisů, které bylo schváleno Senátem dne 10. října 2013 a účinnosti nabylo 1. ledna 2014.</w:t>
      </w:r>
      <w:r>
        <w:t xml:space="preserve"> To by mělo přispět k zajištění odpovídající kapacity </w:t>
      </w:r>
      <w:r w:rsidRPr="00913194">
        <w:t>zadávání veřejných zakázek na místní a regionální úrovni</w:t>
      </w:r>
      <w:r>
        <w:t xml:space="preserve">. </w:t>
      </w:r>
      <w:r w:rsidRPr="00913194">
        <w:t xml:space="preserve"> </w:t>
      </w:r>
    </w:p>
    <w:p w:rsidR="00322122" w:rsidRPr="00F2040D" w:rsidRDefault="00322122" w:rsidP="00322122">
      <w:r>
        <w:t>ČR</w:t>
      </w:r>
      <w:r w:rsidRPr="006A3BC6">
        <w:t xml:space="preserve"> se </w:t>
      </w:r>
      <w:r>
        <w:t xml:space="preserve">také </w:t>
      </w:r>
      <w:r w:rsidRPr="006A3BC6">
        <w:t>aktivně podílela na legislativním procesu v souvislosti s tzv. balíčkem zadávacích směrnic</w:t>
      </w:r>
      <w:r>
        <w:rPr>
          <w:rStyle w:val="Znakapoznpodarou"/>
        </w:rPr>
        <w:footnoteReference w:id="10"/>
      </w:r>
      <w:r>
        <w:t xml:space="preserve">, který je </w:t>
      </w:r>
      <w:r w:rsidRPr="006A3BC6">
        <w:t>připravena transponovat do svého právního řádu</w:t>
      </w:r>
      <w:r>
        <w:t xml:space="preserve">. V návaznosti na </w:t>
      </w:r>
      <w:r w:rsidR="00B95332">
        <w:t>evropskou legislativu</w:t>
      </w:r>
      <w:r>
        <w:t xml:space="preserve"> vláda připravuje nový zákon o veřejných zakázkách. Důraz je kladen především na to, aby nastavené postupy byly co možná nejméně administrativně a aplikačně náročné, zároveň ovšem souladné se základními zásadami zadávání veřejných zakázek, tedy zásadou rovného zacházení, nediskriminace, transparentnosti a nově též přiměřenosti.</w:t>
      </w:r>
    </w:p>
    <w:p w:rsidR="00821331" w:rsidRDefault="00581B04" w:rsidP="00821331">
      <w:pPr>
        <w:pStyle w:val="Nadpis2"/>
        <w:numPr>
          <w:ilvl w:val="1"/>
          <w:numId w:val="4"/>
        </w:numPr>
        <w:ind w:left="851" w:hanging="851"/>
      </w:pPr>
      <w:bookmarkStart w:id="31" w:name="_Toc385339501"/>
      <w:r>
        <w:t xml:space="preserve">Kvalita vzdělávání a financování výzkumných </w:t>
      </w:r>
      <w:r w:rsidR="00EC7CC6">
        <w:t>institucí</w:t>
      </w:r>
      <w:bookmarkEnd w:id="31"/>
    </w:p>
    <w:p w:rsidR="00821331" w:rsidRDefault="00AA544F" w:rsidP="00821331">
      <w:pPr>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pPr>
      <w:r>
        <w:rPr>
          <w:b/>
          <w:color w:val="9B2D1F" w:themeColor="accent2"/>
        </w:rPr>
        <w:t>Doporučení Rady č. 6</w:t>
      </w:r>
      <w:r w:rsidR="00821331" w:rsidRPr="001202C4">
        <w:rPr>
          <w:b/>
          <w:color w:val="9B2D1F" w:themeColor="accent2"/>
        </w:rPr>
        <w:t>:</w:t>
      </w:r>
      <w:r w:rsidR="00821331">
        <w:t xml:space="preserve"> </w:t>
      </w:r>
      <w:r w:rsidR="00CB4953" w:rsidRPr="00ED621D">
        <w:rPr>
          <w:color w:val="D41616"/>
        </w:rPr>
        <w:t>Vytvořit ucelený hodnotící rámec vzdělávání na základních školách a podnik</w:t>
      </w:r>
      <w:r w:rsidR="001A4749" w:rsidRPr="00ED621D">
        <w:rPr>
          <w:color w:val="D41616"/>
        </w:rPr>
        <w:softHyphen/>
      </w:r>
      <w:r w:rsidR="00CB4953" w:rsidRPr="00ED621D">
        <w:rPr>
          <w:color w:val="D41616"/>
        </w:rPr>
        <w:t>nout cílené kroky na podporu škol, jež vykazují slabší výsledky. Přijmout opatření ke zlepšení sys</w:t>
      </w:r>
      <w:r w:rsidR="001A4749" w:rsidRPr="00ED621D">
        <w:rPr>
          <w:color w:val="D41616"/>
        </w:rPr>
        <w:softHyphen/>
      </w:r>
      <w:r w:rsidR="00CB4953" w:rsidRPr="00ED621D">
        <w:rPr>
          <w:color w:val="D41616"/>
        </w:rPr>
        <w:t>tému akreditace a financování vysokých škol. Zvýšit podíl finančních prostředků přidělovaných výzkumným institucím na základě výkonu.</w:t>
      </w:r>
    </w:p>
    <w:p w:rsidR="003237CF" w:rsidRDefault="002D1DCF" w:rsidP="003237CF">
      <w:pPr>
        <w:pStyle w:val="Nadpis3"/>
        <w:numPr>
          <w:ilvl w:val="2"/>
          <w:numId w:val="4"/>
        </w:numPr>
        <w:ind w:left="851" w:hanging="851"/>
      </w:pPr>
      <w:bookmarkStart w:id="32" w:name="_Toc385339502"/>
      <w:r>
        <w:t>H</w:t>
      </w:r>
      <w:r w:rsidR="001E08E0">
        <w:t>odnocení</w:t>
      </w:r>
      <w:r w:rsidRPr="002D1DCF">
        <w:t xml:space="preserve"> v</w:t>
      </w:r>
      <w:r>
        <w:t>zdělávání na základních školách</w:t>
      </w:r>
      <w:bookmarkEnd w:id="32"/>
    </w:p>
    <w:p w:rsidR="00701067" w:rsidRPr="00B06092" w:rsidRDefault="00701067" w:rsidP="00701067">
      <w:r w:rsidRPr="00B06092">
        <w:t xml:space="preserve">V souladu s doporučením je ověřována možnost zavedení počítačového testování v rámci </w:t>
      </w:r>
      <w:r w:rsidRPr="00701067">
        <w:rPr>
          <w:b/>
          <w:bCs/>
        </w:rPr>
        <w:t xml:space="preserve">zjišťování </w:t>
      </w:r>
      <w:r w:rsidRPr="00701067">
        <w:rPr>
          <w:b/>
        </w:rPr>
        <w:t xml:space="preserve">výsledků </w:t>
      </w:r>
      <w:r w:rsidRPr="00701067">
        <w:rPr>
          <w:b/>
          <w:bCs/>
        </w:rPr>
        <w:t>vzdělávání</w:t>
      </w:r>
      <w:r w:rsidRPr="00701067">
        <w:rPr>
          <w:b/>
        </w:rPr>
        <w:t xml:space="preserve"> žáků 5. a 9. tříd</w:t>
      </w:r>
      <w:r w:rsidRPr="00B06092">
        <w:t xml:space="preserve">. Opatření by mělo zajistit rychlejší a spolehlivější elektronické testování a zpracování získaných dat, jež umožní přijímat rychlá cílená podpůrná opatření na pomoc školám, ve kterých žáci nedosahují ani požadovaného minima, a to na úrovni národní, zřizovatele i každé školy. </w:t>
      </w:r>
    </w:p>
    <w:p w:rsidR="00701067" w:rsidRPr="00B06092" w:rsidRDefault="00701067" w:rsidP="00701067">
      <w:r w:rsidRPr="00B06092">
        <w:lastRenderedPageBreak/>
        <w:t>Obě provedené celoplošné generální zkoušky procesu elektronického ověřování výsledků žáků v počátečním vzdělávání jednoznačně prokázaly, že tento způsob externí evaluace je velmi komfortní a moderní metodou se zásadními přínosy pro všechny aktéry vzdělávacího procesu, a při dodržení doporučených principů má značný potenciál přispět ke zkvalitnění vzdělávání v ČR.</w:t>
      </w:r>
    </w:p>
    <w:p w:rsidR="008265B2" w:rsidRDefault="00701067" w:rsidP="00701067">
      <w:r w:rsidRPr="00B06092">
        <w:t xml:space="preserve">Testování výsledků </w:t>
      </w:r>
      <w:r w:rsidRPr="00701067">
        <w:rPr>
          <w:bCs/>
        </w:rPr>
        <w:t>vzdělávání</w:t>
      </w:r>
      <w:r w:rsidRPr="00B06092">
        <w:t xml:space="preserve"> žáků 5. a 9. ročníků bude probíhat formou výběrových šetření České školní inspekce. Tento nástroj je již v současné době k dispozici školám a žákům, a to i pro potřeby domácího testování. Česká školní inspekce bude tento nástroj v maximální míře využívat pro hodnocení kvality vzdělávání jednotlivých škol.</w:t>
      </w:r>
    </w:p>
    <w:p w:rsidR="00E0309A" w:rsidRDefault="004801DF" w:rsidP="00E0309A">
      <w:pPr>
        <w:pStyle w:val="Nadpis3"/>
        <w:numPr>
          <w:ilvl w:val="2"/>
          <w:numId w:val="4"/>
        </w:numPr>
        <w:ind w:left="851" w:hanging="851"/>
      </w:pPr>
      <w:bookmarkStart w:id="33" w:name="_Toc385339503"/>
      <w:r>
        <w:t>A</w:t>
      </w:r>
      <w:r w:rsidRPr="004801DF">
        <w:t>kreditace vysokých škol</w:t>
      </w:r>
      <w:bookmarkEnd w:id="33"/>
      <w:r w:rsidRPr="004801DF">
        <w:t xml:space="preserve"> </w:t>
      </w:r>
    </w:p>
    <w:p w:rsidR="00CF745F" w:rsidRDefault="00CF745F" w:rsidP="00CF745F">
      <w:r w:rsidRPr="00806B80">
        <w:t xml:space="preserve">Zásadním krokem v oblasti vysokého školství je </w:t>
      </w:r>
      <w:r w:rsidRPr="00CF745F">
        <w:rPr>
          <w:b/>
        </w:rPr>
        <w:t>novela zákona č. 111/1998 Sb.,</w:t>
      </w:r>
      <w:r w:rsidRPr="00806B80">
        <w:t xml:space="preserve"> o vysokých školách a o</w:t>
      </w:r>
      <w:r>
        <w:t> </w:t>
      </w:r>
      <w:r w:rsidRPr="00806B80">
        <w:t xml:space="preserve">změně a doplnění dalších zákonů (zákon o vysokých školách). Hlavní oblasti, jichž se bude týkat, jsou </w:t>
      </w:r>
      <w:r w:rsidR="007F201B">
        <w:t>zejména</w:t>
      </w:r>
      <w:r w:rsidR="007F201B" w:rsidRPr="00806B80">
        <w:t xml:space="preserve"> </w:t>
      </w:r>
      <w:r w:rsidRPr="00806B80">
        <w:t>akreditace a </w:t>
      </w:r>
      <w:r w:rsidR="007F201B">
        <w:t>zajišťování</w:t>
      </w:r>
      <w:r w:rsidRPr="00806B80">
        <w:t xml:space="preserve"> kvality</w:t>
      </w:r>
      <w:r w:rsidR="007F201B">
        <w:t>.</w:t>
      </w:r>
      <w:r w:rsidRPr="00806B80">
        <w:t xml:space="preserve"> Předpokládaný termín předložení vládě je v</w:t>
      </w:r>
      <w:r>
        <w:t> </w:t>
      </w:r>
      <w:r w:rsidRPr="00806B80">
        <w:t>září 2014.</w:t>
      </w:r>
      <w:r>
        <w:t xml:space="preserve"> </w:t>
      </w:r>
    </w:p>
    <w:p w:rsidR="00CF745F" w:rsidRDefault="00CF745F" w:rsidP="00CF745F">
      <w:r>
        <w:t xml:space="preserve">V rámci novely zákona by měl být proces akreditace založen na hodnocení činnosti podle stanovených standardů zohledňujících </w:t>
      </w:r>
      <w:r w:rsidR="00B60F3B">
        <w:t>odlišné profily</w:t>
      </w:r>
      <w:r>
        <w:t xml:space="preserve"> studijních programů. Cílem je zvýšení transparentnosti systému, profesionalizace hodnocení a </w:t>
      </w:r>
      <w:r w:rsidRPr="00624331">
        <w:t>snížení administrativní náročnosti procesu akreditace</w:t>
      </w:r>
      <w:r>
        <w:t>. Zaveden</w:t>
      </w:r>
      <w:r w:rsidR="007F201B">
        <w:t>a</w:t>
      </w:r>
      <w:r>
        <w:t xml:space="preserve"> by měl</w:t>
      </w:r>
      <w:r w:rsidR="00BF719C">
        <w:t>a</w:t>
      </w:r>
      <w:r>
        <w:t xml:space="preserve"> být tzv. institucionální akreditace vysok</w:t>
      </w:r>
      <w:r w:rsidR="007F201B">
        <w:t>ých</w:t>
      </w:r>
      <w:r>
        <w:t xml:space="preserve"> škol</w:t>
      </w:r>
      <w:r w:rsidR="007F201B" w:rsidRPr="007F201B">
        <w:t>, jejíž udělení bude podmíněno ověřením systému zajišťování kvality</w:t>
      </w:r>
      <w:r>
        <w:t>. Vysoká škola by mohla získat akreditaci oblasti vzdělávání pouze v případě, že získá institucionální akreditaci. Pokud vysoká škola získá akreditaci oblasti vzdělávání, mohla by autonomně v rámci své vnitřní akreditace rozhodovat o studijních programech a realizovat je v rámci akreditace oblasti vzdělávání, jíž je</w:t>
      </w:r>
      <w:r w:rsidR="00F346AF">
        <w:t> </w:t>
      </w:r>
      <w:r>
        <w:t xml:space="preserve">držitelem. Akreditace habilitačního řízení a řízení ke jmenování profesorem by měly být podmíněny udělením institucionální akreditace. Akreditace studijního programu bude užita, požádá-li o ni sama vysoká škola, nebude-li vysoká škola držitelem institucionální akreditace, nebo bude-li mít omezenu akreditaci oblasti vzdělávání. </w:t>
      </w:r>
    </w:p>
    <w:p w:rsidR="003237CF" w:rsidRDefault="00EC7CC6" w:rsidP="003237CF">
      <w:pPr>
        <w:pStyle w:val="Nadpis3"/>
        <w:numPr>
          <w:ilvl w:val="2"/>
          <w:numId w:val="4"/>
        </w:numPr>
        <w:ind w:left="851" w:hanging="851"/>
      </w:pPr>
      <w:bookmarkStart w:id="34" w:name="_Toc385339504"/>
      <w:r>
        <w:t>F</w:t>
      </w:r>
      <w:r w:rsidRPr="00EC7CC6">
        <w:t>inan</w:t>
      </w:r>
      <w:r>
        <w:t xml:space="preserve">cování </w:t>
      </w:r>
      <w:r w:rsidRPr="00EC7CC6">
        <w:t>výzkumný</w:t>
      </w:r>
      <w:r>
        <w:t xml:space="preserve">ch </w:t>
      </w:r>
      <w:r w:rsidR="00590DAD">
        <w:t>organizací</w:t>
      </w:r>
      <w:bookmarkEnd w:id="34"/>
    </w:p>
    <w:p w:rsidR="00EC7CC6" w:rsidRPr="00EC7CC6" w:rsidRDefault="00505A96" w:rsidP="00505A96">
      <w:r>
        <w:t xml:space="preserve">Vláda připravuje </w:t>
      </w:r>
      <w:r w:rsidRPr="00505A96">
        <w:rPr>
          <w:b/>
        </w:rPr>
        <w:t>nový systém hodnocení výsledků výzkumných organizací a jejich institucionálního financování z veřejných prostředků</w:t>
      </w:r>
      <w:r>
        <w:t xml:space="preserve"> Nová metodika bude zohledňovat postavení a roli různých typů výzkumných organizací v národním výzkumném a inovačním systému ČR, zavede hodnocení na základě informovaného mezinárodního peer-</w:t>
      </w:r>
      <w:proofErr w:type="spellStart"/>
      <w:r>
        <w:t>review</w:t>
      </w:r>
      <w:proofErr w:type="spellEnd"/>
      <w:r>
        <w:t xml:space="preserve"> a při hodnocení bude klást klíčový důraz na schopnost výzkumných organizací dosahovat mezinárodně konkurenceschopných výsledků a přenášet znalosti do praxe. Pilotní ověření </w:t>
      </w:r>
      <w:r w:rsidRPr="00505A96">
        <w:rPr>
          <w:b/>
        </w:rPr>
        <w:t xml:space="preserve">nové metodiky </w:t>
      </w:r>
      <w:r>
        <w:t>je předpokládáno v roce 2015 a s jejím plným uplatněním v rámci systému hodnocení výsledků výzkumných organizací a  jejich institucionálního financování je počítáno od</w:t>
      </w:r>
      <w:r w:rsidR="00F346AF">
        <w:t> </w:t>
      </w:r>
      <w:r>
        <w:t xml:space="preserve">roku 2016. Pro přechodné období 2013 až 2015 byl vládou dne 19. června 2013 schválen metodický pokyn založený na kombinaci „peer </w:t>
      </w:r>
      <w:proofErr w:type="spellStart"/>
      <w:r>
        <w:t>review</w:t>
      </w:r>
      <w:proofErr w:type="spellEnd"/>
      <w:r>
        <w:t>“ a strojového hodnocení, oborové závislosti prováděných hodnocení, zohlednění kvality dosažených výsledků, ohodnocení na úrovni výzkumných organizací a</w:t>
      </w:r>
      <w:r w:rsidR="00F346AF">
        <w:t> </w:t>
      </w:r>
      <w:r>
        <w:t>samostatném hodnocení reálných přínosů výsledků aplikovaného výzkumu a inovací.</w:t>
      </w:r>
    </w:p>
    <w:p w:rsidR="00CF745F" w:rsidRDefault="00CF745F" w:rsidP="00CF745F">
      <w:r w:rsidRPr="00CF745F">
        <w:t xml:space="preserve">Kromě přípravy nové metodiky hodnocení výsledků výzkumu, vývoje a inovací a institucionálního financování výzkumných organizací zahájí vláda přípravu </w:t>
      </w:r>
      <w:r w:rsidRPr="00CF745F">
        <w:rPr>
          <w:b/>
        </w:rPr>
        <w:t>nové metodiky hodnocení programů účelové podpory výzkumu, vývoje a inovací</w:t>
      </w:r>
      <w:r w:rsidRPr="00CF745F">
        <w:t>. Cílem bude vytvoření nového systému hodnocení účelového financování výzkumu, vývoje a inovací zah</w:t>
      </w:r>
      <w:r w:rsidR="004A7BB8">
        <w:t xml:space="preserve">rnujícího ex-ante, interim a ex </w:t>
      </w:r>
      <w:r w:rsidRPr="00CF745F">
        <w:t>post fázi, v jejichž r</w:t>
      </w:r>
      <w:r w:rsidR="004A7BB8">
        <w:t xml:space="preserve">ámci bude probíhat důsledné (ex </w:t>
      </w:r>
      <w:r w:rsidRPr="00CF745F">
        <w:t>ante) zhodnocení potřeb a analýza intervenční logiky programů účelové podpory výzkumu, vývoje a inovací, (interim) hodnocení jejich efektivity v průběhu realizace a (ex</w:t>
      </w:r>
      <w:r w:rsidR="004A7BB8">
        <w:t xml:space="preserve"> </w:t>
      </w:r>
      <w:r w:rsidRPr="00CF745F">
        <w:t>post) zhodnocení dosažených výsledků výzkumu, vývoje a inovací a dopadů programů na rozvoj národního inovačního systému ČR. Tvorbou metodiky se bude podrobně zabývat pracovní skupina, s jejímž zřízením se za tímto účelem počítá. Vláda počítá se schválením materiálu do konce roku 2014.</w:t>
      </w:r>
      <w:r>
        <w:t xml:space="preserve"> </w:t>
      </w:r>
    </w:p>
    <w:p w:rsidR="00C47B07" w:rsidRPr="00CA07B5" w:rsidRDefault="00C47B07" w:rsidP="00C47B07">
      <w:r>
        <w:t xml:space="preserve">Současně bude vládou připravena </w:t>
      </w:r>
      <w:r>
        <w:rPr>
          <w:b/>
        </w:rPr>
        <w:t xml:space="preserve">nová metodika hodnocení projektů velkých infrastruktur pro výzkum, experimentální vývoj a inovace </w:t>
      </w:r>
      <w:r w:rsidRPr="00CA07B5">
        <w:t>úzce s</w:t>
      </w:r>
      <w:r>
        <w:t xml:space="preserve">ouvisející s připravovanou aktualizací Cestovní mapy ČR velkých infrastruktur pro výzkum, experimentální vývoj a inovace.  </w:t>
      </w:r>
    </w:p>
    <w:p w:rsidR="00C47B07" w:rsidRDefault="00C47B07" w:rsidP="00CF745F"/>
    <w:p w:rsidR="00AA544F" w:rsidRDefault="003A1ED4" w:rsidP="00EF38D7">
      <w:pPr>
        <w:pStyle w:val="Nadpis2"/>
        <w:keepNext/>
        <w:keepLines/>
        <w:numPr>
          <w:ilvl w:val="1"/>
          <w:numId w:val="4"/>
        </w:numPr>
        <w:ind w:left="851" w:hanging="851"/>
      </w:pPr>
      <w:bookmarkStart w:id="35" w:name="_Toc385339505"/>
      <w:r>
        <w:lastRenderedPageBreak/>
        <w:t>R</w:t>
      </w:r>
      <w:r w:rsidR="00AA544F" w:rsidRPr="00AA544F">
        <w:t>egulovan</w:t>
      </w:r>
      <w:r>
        <w:t xml:space="preserve">é </w:t>
      </w:r>
      <w:r w:rsidR="004E4907">
        <w:t xml:space="preserve">profese </w:t>
      </w:r>
      <w:r w:rsidR="004E4907" w:rsidRPr="00AA544F">
        <w:t>a energetická</w:t>
      </w:r>
      <w:r>
        <w:t xml:space="preserve"> náročnost</w:t>
      </w:r>
      <w:bookmarkEnd w:id="35"/>
    </w:p>
    <w:p w:rsidR="00AA544F" w:rsidRDefault="00AA544F" w:rsidP="00EF38D7">
      <w:pPr>
        <w:keepNext/>
        <w:keepLines/>
        <w:pBdr>
          <w:top w:val="single" w:sz="8" w:space="8" w:color="D34817" w:themeColor="accent1"/>
          <w:left w:val="single" w:sz="8" w:space="10" w:color="D34817" w:themeColor="accent1"/>
          <w:bottom w:val="single" w:sz="8" w:space="8" w:color="D34817" w:themeColor="accent1"/>
          <w:right w:val="single" w:sz="8" w:space="10" w:color="D34817" w:themeColor="accent1"/>
        </w:pBdr>
        <w:ind w:left="284" w:right="284"/>
      </w:pPr>
      <w:r>
        <w:rPr>
          <w:b/>
          <w:color w:val="9B2D1F" w:themeColor="accent2"/>
        </w:rPr>
        <w:t>Doporučení Rady č. 7</w:t>
      </w:r>
      <w:r w:rsidRPr="001202C4">
        <w:rPr>
          <w:b/>
          <w:color w:val="9B2D1F" w:themeColor="accent2"/>
        </w:rPr>
        <w:t>:</w:t>
      </w:r>
      <w:r>
        <w:t xml:space="preserve"> </w:t>
      </w:r>
      <w:r w:rsidRPr="00ED621D">
        <w:rPr>
          <w:color w:val="D41616"/>
        </w:rPr>
        <w:t>S využitím probíhajícího přezkumu pokračovat v reformě regulovaných povolání snižováním či odstraňováním vstupních překážek a vyhrazených činností, budou-li shle</w:t>
      </w:r>
      <w:r w:rsidR="001A4749" w:rsidRPr="00ED621D">
        <w:rPr>
          <w:color w:val="D41616"/>
        </w:rPr>
        <w:softHyphen/>
      </w:r>
      <w:r w:rsidRPr="00ED621D">
        <w:rPr>
          <w:color w:val="D41616"/>
        </w:rPr>
        <w:t>dány neopodstatněnými. Přijmout další opatření ke zlepšení energetické náročnosti budov a</w:t>
      </w:r>
      <w:r w:rsidR="00204478">
        <w:rPr>
          <w:color w:val="D41616"/>
        </w:rPr>
        <w:t> </w:t>
      </w:r>
      <w:r w:rsidRPr="00ED621D">
        <w:rPr>
          <w:color w:val="D41616"/>
        </w:rPr>
        <w:t>průmyslo</w:t>
      </w:r>
      <w:r w:rsidR="001A4749" w:rsidRPr="00ED621D">
        <w:rPr>
          <w:color w:val="D41616"/>
        </w:rPr>
        <w:softHyphen/>
      </w:r>
      <w:r w:rsidRPr="00ED621D">
        <w:rPr>
          <w:color w:val="D41616"/>
        </w:rPr>
        <w:t>vých odvětví</w:t>
      </w:r>
    </w:p>
    <w:p w:rsidR="003237CF" w:rsidRDefault="003A1ED4" w:rsidP="00EF38D7">
      <w:pPr>
        <w:pStyle w:val="Nadpis3"/>
        <w:keepNext/>
        <w:keepLines/>
        <w:numPr>
          <w:ilvl w:val="2"/>
          <w:numId w:val="4"/>
        </w:numPr>
        <w:ind w:left="851" w:hanging="851"/>
      </w:pPr>
      <w:bookmarkStart w:id="36" w:name="_Toc385339506"/>
      <w:r>
        <w:t>Snižování</w:t>
      </w:r>
      <w:r w:rsidRPr="003A1ED4">
        <w:t xml:space="preserve"> počtu regulovaných profesí</w:t>
      </w:r>
      <w:bookmarkEnd w:id="36"/>
    </w:p>
    <w:p w:rsidR="00AB267A" w:rsidRDefault="00CF745F" w:rsidP="00EF38D7">
      <w:pPr>
        <w:keepNext/>
        <w:keepLines/>
      </w:pPr>
      <w:r>
        <w:t xml:space="preserve">Vláda aktivně </w:t>
      </w:r>
      <w:r w:rsidRPr="008C6D20">
        <w:t>particip</w:t>
      </w:r>
      <w:r w:rsidR="0034339E">
        <w:t>uje</w:t>
      </w:r>
      <w:r w:rsidRPr="008C6D20">
        <w:t xml:space="preserve"> na pilotním projektu ex ante koordinace hospodářských reforem</w:t>
      </w:r>
      <w:r>
        <w:t xml:space="preserve"> a </w:t>
      </w:r>
      <w:r w:rsidRPr="008C6D20">
        <w:t>pokrač</w:t>
      </w:r>
      <w:r>
        <w:t xml:space="preserve">uje </w:t>
      </w:r>
      <w:r w:rsidRPr="008C6D20">
        <w:t>v</w:t>
      </w:r>
      <w:r>
        <w:t> </w:t>
      </w:r>
      <w:r w:rsidRPr="008C6D20">
        <w:t xml:space="preserve">reformě regulovaných povolání snižováním či odstraňováním vstupních překážek a vyhrazených činností, budou-li shledány neopodstatněnými. </w:t>
      </w:r>
      <w:r>
        <w:t xml:space="preserve">Zároveň </w:t>
      </w:r>
      <w:r w:rsidR="0034339E">
        <w:t xml:space="preserve">se účastní </w:t>
      </w:r>
      <w:r w:rsidRPr="008C6D20">
        <w:t>vzájemné</w:t>
      </w:r>
      <w:r w:rsidR="0034339E">
        <w:t>ho</w:t>
      </w:r>
      <w:r w:rsidRPr="008C6D20">
        <w:t xml:space="preserve"> hodnocení vnitrostátních předpisů týkajících se přístupu k povoláním, které představila </w:t>
      </w:r>
      <w:r w:rsidR="004A7BB8">
        <w:t>Evropská komise</w:t>
      </w:r>
      <w:r w:rsidRPr="008C6D20">
        <w:t xml:space="preserve"> ve svém sdělení ze dne 2. října 2013. Proces deregulace a zvýšení transparentnosti v oblasti regulovaných povolání probíhá </w:t>
      </w:r>
      <w:r>
        <w:t>již od</w:t>
      </w:r>
      <w:r w:rsidRPr="008C6D20">
        <w:t xml:space="preserve"> roku 2012, </w:t>
      </w:r>
      <w:r>
        <w:t>kdy se</w:t>
      </w:r>
      <w:r w:rsidR="00F346AF">
        <w:t> </w:t>
      </w:r>
      <w:r w:rsidRPr="000F25FD">
        <w:t>podařilo snížit počet regulovaných profesí celkem o 15 profesí</w:t>
      </w:r>
      <w:r>
        <w:t xml:space="preserve">. V roce </w:t>
      </w:r>
      <w:r w:rsidRPr="008C6D20">
        <w:t xml:space="preserve">2013 byl snížen počet regulovaných povolání </w:t>
      </w:r>
      <w:r>
        <w:t xml:space="preserve">dokonce </w:t>
      </w:r>
      <w:r w:rsidRPr="008C6D20">
        <w:t>o 38</w:t>
      </w:r>
      <w:r>
        <w:t xml:space="preserve"> a k 1. dubnu 2014 byl aktuální stav regulovaných profesí 337. </w:t>
      </w:r>
      <w:r w:rsidRPr="000F25FD">
        <w:t>Nejvíce</w:t>
      </w:r>
      <w:r>
        <w:t xml:space="preserve"> změn se týkalo</w:t>
      </w:r>
      <w:r w:rsidRPr="000F25FD">
        <w:t xml:space="preserve"> odstranění duplicit v</w:t>
      </w:r>
      <w:r>
        <w:t> oblasti právní úpravy</w:t>
      </w:r>
      <w:r w:rsidRPr="000F25FD">
        <w:t>.</w:t>
      </w:r>
      <w:r>
        <w:t xml:space="preserve"> Vláda hodlá i nadále v projektu pokračovat </w:t>
      </w:r>
      <w:r w:rsidRPr="000F25FD">
        <w:t>s</w:t>
      </w:r>
      <w:r w:rsidR="00F346AF">
        <w:t> </w:t>
      </w:r>
      <w:r w:rsidRPr="000F25FD">
        <w:t xml:space="preserve">cílem dosáhnout </w:t>
      </w:r>
      <w:r w:rsidR="0034339E">
        <w:t xml:space="preserve">optimální </w:t>
      </w:r>
      <w:r w:rsidR="004A7BB8">
        <w:t xml:space="preserve">regulace </w:t>
      </w:r>
      <w:r w:rsidR="004A7BB8" w:rsidRPr="000F25FD">
        <w:t>napříč</w:t>
      </w:r>
      <w:r w:rsidRPr="000F25FD">
        <w:t xml:space="preserve"> všemi obory profesí a</w:t>
      </w:r>
      <w:r>
        <w:t> </w:t>
      </w:r>
      <w:r w:rsidRPr="000F25FD">
        <w:t>pracovních činností a efektivně tak podpořit pracovní mobilitu a zjednodušit administrativní proces v</w:t>
      </w:r>
      <w:r>
        <w:t> </w:t>
      </w:r>
      <w:r w:rsidRPr="000F25FD">
        <w:t>rámci vnitřního trhu.</w:t>
      </w:r>
      <w:r>
        <w:t xml:space="preserve"> </w:t>
      </w:r>
      <w:r w:rsidRPr="008C6D20">
        <w:t xml:space="preserve">Cílem </w:t>
      </w:r>
      <w:r>
        <w:t xml:space="preserve">je zmírnit nebo úplně odstranit nepřiměřené požadavky na přístup a výkon u </w:t>
      </w:r>
      <w:r w:rsidRPr="008C6D20">
        <w:t>celkem</w:t>
      </w:r>
      <w:r>
        <w:t xml:space="preserve"> 25 </w:t>
      </w:r>
      <w:r w:rsidRPr="008C6D20">
        <w:t>% profesí</w:t>
      </w:r>
      <w:r>
        <w:t xml:space="preserve"> oproti 29. říjnu 2013, kdy počet regulovaných povolání dosahoval 345</w:t>
      </w:r>
      <w:r w:rsidR="00AB267A" w:rsidRPr="008C6D20">
        <w:t>.</w:t>
      </w:r>
      <w:r w:rsidR="0034339E" w:rsidRPr="0034339E">
        <w:t xml:space="preserve"> </w:t>
      </w:r>
      <w:r w:rsidR="0034339E">
        <w:t>Deregulace nebude probíhat plošně, jednotlivé profese budou posu</w:t>
      </w:r>
      <w:r w:rsidR="003E5967">
        <w:t>zovány individuálně, aby zůstala zachována</w:t>
      </w:r>
      <w:r w:rsidR="0034339E">
        <w:t xml:space="preserve"> opatření chránící bezpečnost a zdraví uživatelů služeb.</w:t>
      </w:r>
    </w:p>
    <w:p w:rsidR="003237CF" w:rsidRDefault="005D48A3" w:rsidP="003237CF">
      <w:pPr>
        <w:pStyle w:val="Nadpis3"/>
        <w:numPr>
          <w:ilvl w:val="2"/>
          <w:numId w:val="4"/>
        </w:numPr>
        <w:ind w:left="851" w:hanging="851"/>
      </w:pPr>
      <w:bookmarkStart w:id="37" w:name="_Toc385339507"/>
      <w:r>
        <w:t>Zvyšování energetické účinnosti</w:t>
      </w:r>
      <w:bookmarkEnd w:id="37"/>
    </w:p>
    <w:p w:rsidR="00495202" w:rsidRDefault="008E6E74" w:rsidP="004E4907">
      <w:r>
        <w:t xml:space="preserve">Vláda si je vědoma </w:t>
      </w:r>
      <w:r w:rsidR="0081610A">
        <w:t>vysoké energetické náročnosti ekonomiky ČR, která vyplývá z vysokého podílu</w:t>
      </w:r>
      <w:r w:rsidR="00C95542">
        <w:t xml:space="preserve"> průmyslu na tvorbě </w:t>
      </w:r>
      <w:r w:rsidR="00C95542" w:rsidRPr="00C95542">
        <w:t>hrubého domácího produktu</w:t>
      </w:r>
      <w:r w:rsidR="00C95542">
        <w:t xml:space="preserve">. </w:t>
      </w:r>
      <w:r w:rsidR="00C95542" w:rsidRPr="00C95542">
        <w:t xml:space="preserve">Zavádění opatření v oblasti energetické účinnosti </w:t>
      </w:r>
      <w:r w:rsidR="00C95542">
        <w:t xml:space="preserve">vnímá vláda jako jeden z efektivních prostředků snižování </w:t>
      </w:r>
      <w:r w:rsidR="00C95542" w:rsidRPr="00C95542">
        <w:t>dovozní závislost</w:t>
      </w:r>
      <w:r w:rsidR="00C95542">
        <w:t>i</w:t>
      </w:r>
      <w:r w:rsidR="00C95542" w:rsidRPr="00C95542">
        <w:t xml:space="preserve"> na palivech</w:t>
      </w:r>
      <w:r w:rsidR="00C95542">
        <w:t xml:space="preserve"> a zvyšování</w:t>
      </w:r>
      <w:r w:rsidR="00C95542" w:rsidRPr="00C95542">
        <w:t xml:space="preserve"> konkurenc</w:t>
      </w:r>
      <w:r w:rsidR="00C95542" w:rsidRPr="00C95542">
        <w:t>e</w:t>
      </w:r>
      <w:r w:rsidR="00C95542" w:rsidRPr="00C95542">
        <w:t>schop</w:t>
      </w:r>
      <w:r w:rsidR="001A4749">
        <w:softHyphen/>
      </w:r>
      <w:r w:rsidR="00C95542" w:rsidRPr="00C95542">
        <w:t>nost</w:t>
      </w:r>
      <w:r w:rsidR="00C95542">
        <w:t>i</w:t>
      </w:r>
      <w:r w:rsidR="00C95542" w:rsidRPr="00C95542">
        <w:t xml:space="preserve"> podnikatelských subjektů</w:t>
      </w:r>
      <w:r w:rsidR="00C95542">
        <w:t xml:space="preserve"> na území ČR. </w:t>
      </w:r>
    </w:p>
    <w:p w:rsidR="003F7207" w:rsidRDefault="003F7207" w:rsidP="003F7207">
      <w:pPr>
        <w:pStyle w:val="Titulek"/>
        <w:keepNext/>
      </w:pPr>
      <w:r>
        <w:t xml:space="preserve">Graf </w:t>
      </w:r>
      <w:fldSimple w:instr=" SEQ Graf \* ARABIC ">
        <w:r w:rsidR="001439D0">
          <w:rPr>
            <w:noProof/>
          </w:rPr>
          <w:t>4</w:t>
        </w:r>
      </w:fldSimple>
      <w:r>
        <w:t xml:space="preserve">: </w:t>
      </w:r>
      <w:r w:rsidRPr="003F7207">
        <w:t>Energetická náročnost v sektorovém členění (KSE sektoru/H</w:t>
      </w:r>
      <w:r w:rsidR="00E80537">
        <w:t>D</w:t>
      </w:r>
      <w:r w:rsidRPr="003F7207">
        <w:t>P sektoru)</w:t>
      </w:r>
    </w:p>
    <w:p w:rsidR="003F7207" w:rsidRDefault="003F7207" w:rsidP="003F7207">
      <w:pPr>
        <w:keepNext/>
      </w:pPr>
      <w:r>
        <w:rPr>
          <w:noProof/>
          <w:lang w:eastAsia="cs-CZ"/>
        </w:rPr>
        <w:drawing>
          <wp:inline distT="0" distB="0" distL="0" distR="0" wp14:anchorId="33C55707" wp14:editId="34A8673C">
            <wp:extent cx="5760720" cy="3034085"/>
            <wp:effectExtent l="0" t="0" r="11430" b="1397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4554D" w:rsidRDefault="003F7207" w:rsidP="003F7207">
      <w:pPr>
        <w:pStyle w:val="Titulek"/>
        <w:jc w:val="right"/>
      </w:pPr>
      <w:r>
        <w:t>Zdroj: ČSÚ, 2014</w:t>
      </w:r>
    </w:p>
    <w:p w:rsidR="002A338A" w:rsidRDefault="002A338A" w:rsidP="002A338A">
      <w:pPr>
        <w:spacing w:after="180"/>
      </w:pPr>
      <w:r w:rsidRPr="00626BA9">
        <w:lastRenderedPageBreak/>
        <w:t xml:space="preserve">Za tímto účelem </w:t>
      </w:r>
      <w:r w:rsidR="00776AE6">
        <w:t xml:space="preserve">je připravována </w:t>
      </w:r>
      <w:r w:rsidRPr="00626BA9">
        <w:t xml:space="preserve">novela </w:t>
      </w:r>
      <w:r w:rsidR="00776AE6">
        <w:t>energetického zákona</w:t>
      </w:r>
      <w:r w:rsidR="00EF6DEB">
        <w:t>,</w:t>
      </w:r>
      <w:r w:rsidRPr="00626BA9">
        <w:t xml:space="preserve"> </w:t>
      </w:r>
      <w:r w:rsidR="00EF6DEB">
        <w:t xml:space="preserve">zákona </w:t>
      </w:r>
      <w:r w:rsidRPr="00626BA9">
        <w:t>o hospodaření energií</w:t>
      </w:r>
      <w:r>
        <w:t xml:space="preserve"> a </w:t>
      </w:r>
      <w:r w:rsidRPr="00805CD9">
        <w:t>zákona o</w:t>
      </w:r>
      <w:r w:rsidR="00204478">
        <w:t> </w:t>
      </w:r>
      <w:r w:rsidRPr="00805CD9">
        <w:t>podporovaných zdrojích energie</w:t>
      </w:r>
      <w:r>
        <w:t xml:space="preserve">, kterými se </w:t>
      </w:r>
      <w:r w:rsidRPr="00626BA9">
        <w:t>implement</w:t>
      </w:r>
      <w:r>
        <w:t xml:space="preserve">uje </w:t>
      </w:r>
      <w:r w:rsidRPr="00626BA9">
        <w:t xml:space="preserve">směrnice o energetické účinnosti 2012/27/EU. </w:t>
      </w:r>
    </w:p>
    <w:p w:rsidR="002A338A" w:rsidRDefault="002A338A" w:rsidP="002A338A">
      <w:pPr>
        <w:spacing w:after="180"/>
      </w:pPr>
      <w:r w:rsidRPr="00C95542">
        <w:t xml:space="preserve">ČR si stanovila, že od roku 2014 do roku 2020 uspoří 47,84 PJ (13,29 </w:t>
      </w:r>
      <w:proofErr w:type="spellStart"/>
      <w:r w:rsidRPr="00C95542">
        <w:t>T</w:t>
      </w:r>
      <w:r>
        <w:t>Wh</w:t>
      </w:r>
      <w:proofErr w:type="spellEnd"/>
      <w:r>
        <w:t>) na konečné spotřebě energie, přičemž</w:t>
      </w:r>
      <w:r w:rsidRPr="00C95542">
        <w:t xml:space="preserve"> </w:t>
      </w:r>
      <w:r>
        <w:t>p</w:t>
      </w:r>
      <w:r w:rsidRPr="00C95542">
        <w:t xml:space="preserve">ro zajištění financování dosažení tohoto cíle </w:t>
      </w:r>
      <w:r>
        <w:t>počítá s využitím jak evropských fondů (</w:t>
      </w:r>
      <w:r w:rsidR="007B2EB3" w:rsidRPr="007B2EB3">
        <w:t>Operační program podnikání a inovace pro konkurenceschopnost, Operační program životní prostředí a Integrovaný regionální operační program</w:t>
      </w:r>
      <w:r>
        <w:t xml:space="preserve">), tak národních programů </w:t>
      </w:r>
      <w:r w:rsidRPr="00C95542">
        <w:t>(Nová zelená úsporám</w:t>
      </w:r>
      <w:r>
        <w:t>,</w:t>
      </w:r>
      <w:r w:rsidRPr="00C95542">
        <w:t xml:space="preserve"> P</w:t>
      </w:r>
      <w:r w:rsidR="004A7BB8">
        <w:t>ANEL</w:t>
      </w:r>
      <w:r>
        <w:t xml:space="preserve"> </w:t>
      </w:r>
      <w:r w:rsidRPr="00C95542">
        <w:t xml:space="preserve">2013+). </w:t>
      </w:r>
      <w:r w:rsidR="002538F4" w:rsidRPr="00C95542">
        <w:t>Z</w:t>
      </w:r>
      <w:r w:rsidR="00204478">
        <w:t> </w:t>
      </w:r>
      <w:r w:rsidR="002538F4" w:rsidRPr="00C95542">
        <w:t xml:space="preserve">evropských fondů budou do energetických úspor směřovány investiční dotace ze tří </w:t>
      </w:r>
      <w:r w:rsidR="002538F4">
        <w:t xml:space="preserve">výše zmíněných </w:t>
      </w:r>
      <w:r w:rsidR="002538F4" w:rsidRPr="00C95542">
        <w:t>operačních programů. Kromě investičních dotací budou k</w:t>
      </w:r>
      <w:r w:rsidR="002538F4">
        <w:t> jejich vzájemné kombinaci a doplnění k </w:t>
      </w:r>
      <w:r w:rsidR="002538F4" w:rsidRPr="00C95542">
        <w:t xml:space="preserve">dispozici nástroje finančního inženýrství poskytující např. </w:t>
      </w:r>
      <w:r w:rsidR="002538F4" w:rsidRPr="00BC0AC2">
        <w:t>zvýhodněné půjčky na energeticky úsporná opatření (např. program JESSICA</w:t>
      </w:r>
      <w:r w:rsidR="002538F4" w:rsidRPr="00BC0AC2">
        <w:rPr>
          <w:rStyle w:val="Znakapoznpodarou"/>
        </w:rPr>
        <w:footnoteReference w:id="11"/>
      </w:r>
      <w:r w:rsidR="002538F4" w:rsidRPr="00BC0AC2">
        <w:t xml:space="preserve"> či nástroje finančního inženýrství v rámci nového programovacího období</w:t>
      </w:r>
      <w:r w:rsidR="002538F4" w:rsidRPr="00BC0AC2">
        <w:rPr>
          <w:rStyle w:val="Znakapoznpodarou"/>
        </w:rPr>
        <w:footnoteReference w:id="12"/>
      </w:r>
      <w:r w:rsidR="002538F4" w:rsidRPr="00BC0AC2">
        <w:t>).</w:t>
      </w:r>
      <w:r>
        <w:t xml:space="preserve"> </w:t>
      </w:r>
    </w:p>
    <w:p w:rsidR="002A338A" w:rsidRDefault="002A338A" w:rsidP="002A338A">
      <w:pPr>
        <w:spacing w:after="180"/>
      </w:pPr>
      <w:r>
        <w:t>ČR v uplynulém období využívala řadu nástrojů, které se týkaly především snižování energetické náročnosti budov, z</w:t>
      </w:r>
      <w:r w:rsidRPr="00C63D74">
        <w:t>vyšování účinnosti při výrobě, přenosu a spotřebě energie</w:t>
      </w:r>
      <w:r>
        <w:t xml:space="preserve">, zavádění </w:t>
      </w:r>
      <w:r w:rsidRPr="00B702B7">
        <w:t>energetické</w:t>
      </w:r>
      <w:r>
        <w:t>ho</w:t>
      </w:r>
      <w:r w:rsidRPr="00B702B7">
        <w:t xml:space="preserve"> označení</w:t>
      </w:r>
      <w:r>
        <w:t>, energetických</w:t>
      </w:r>
      <w:r w:rsidRPr="00D34878">
        <w:t xml:space="preserve"> audit</w:t>
      </w:r>
      <w:r>
        <w:t>ů</w:t>
      </w:r>
      <w:r w:rsidRPr="00D34878">
        <w:t xml:space="preserve"> a posudk</w:t>
      </w:r>
      <w:r>
        <w:t>ů</w:t>
      </w:r>
      <w:r w:rsidRPr="00D34878">
        <w:t>,</w:t>
      </w:r>
      <w:r>
        <w:t xml:space="preserve"> ale také inspekcí kotlů či klimatizačních přístrojů. </w:t>
      </w:r>
    </w:p>
    <w:p w:rsidR="002A338A" w:rsidRDefault="002A338A" w:rsidP="002A338A">
      <w:pPr>
        <w:spacing w:after="180"/>
      </w:pPr>
      <w:r>
        <w:t xml:space="preserve">Jako hlavní opatření byl v loňském roce připraven a </w:t>
      </w:r>
      <w:r w:rsidR="00493AA5" w:rsidRPr="00493AA5">
        <w:t>spuštěn</w:t>
      </w:r>
      <w:r>
        <w:t xml:space="preserve"> dotační program </w:t>
      </w:r>
      <w:r w:rsidRPr="00570600">
        <w:rPr>
          <w:b/>
        </w:rPr>
        <w:t>Nová zelená úsporám 2013</w:t>
      </w:r>
      <w:r>
        <w:t>, jehož cílem</w:t>
      </w:r>
      <w:r w:rsidRPr="00570600">
        <w:t xml:space="preserve"> je zlepšení kvality ovzduší, snížení emisí skleníkových plynů a úspora energie v rodinných domech. Program</w:t>
      </w:r>
      <w:r w:rsidRPr="003A7004">
        <w:t xml:space="preserve"> </w:t>
      </w:r>
      <w:r>
        <w:t xml:space="preserve">zahrnuje dotace na zateplování stávajících rodinných domů, výstavbu nových rodinných domů s nízkou energetickou náročností a efektivní využití zdrojů energie (zejména výměnou zdrojů tepla). </w:t>
      </w:r>
      <w:r w:rsidRPr="00516E6B">
        <w:t xml:space="preserve">V roce 2014 a 2015 bude probíhat administrace </w:t>
      </w:r>
      <w:r w:rsidR="00493AA5">
        <w:t xml:space="preserve">13 000 </w:t>
      </w:r>
      <w:r w:rsidRPr="00516E6B">
        <w:t xml:space="preserve">žádostí, </w:t>
      </w:r>
      <w:r w:rsidR="00493AA5">
        <w:t>zaregistrovaných</w:t>
      </w:r>
      <w:r w:rsidRPr="00516E6B">
        <w:t xml:space="preserve"> v r</w:t>
      </w:r>
      <w:r w:rsidR="00D5234E">
        <w:t>ámci 1. v</w:t>
      </w:r>
      <w:r w:rsidRPr="00516E6B">
        <w:t>ýzvy k</w:t>
      </w:r>
      <w:r w:rsidR="00F346AF">
        <w:t> </w:t>
      </w:r>
      <w:r w:rsidRPr="00516E6B">
        <w:t>podávání žádostí o</w:t>
      </w:r>
      <w:r w:rsidR="00204478">
        <w:t> </w:t>
      </w:r>
      <w:r w:rsidRPr="00516E6B">
        <w:t>podporu na realizaci energeticky úsporných opatření v segmentu rodinných domů</w:t>
      </w:r>
      <w:r w:rsidR="00F06998">
        <w:t>,</w:t>
      </w:r>
      <w:r>
        <w:t xml:space="preserve"> </w:t>
      </w:r>
      <w:r w:rsidR="00F06998">
        <w:t>která byla vyhlášena</w:t>
      </w:r>
      <w:r>
        <w:t xml:space="preserve"> dne 13. června 2013</w:t>
      </w:r>
      <w:r>
        <w:rPr>
          <w:rStyle w:val="Znakapoznpodarou"/>
        </w:rPr>
        <w:footnoteReference w:id="13"/>
      </w:r>
      <w:r>
        <w:t xml:space="preserve">. Od roku 2014 na tento program </w:t>
      </w:r>
      <w:r w:rsidR="00F06998">
        <w:t xml:space="preserve">se stejnými cíli </w:t>
      </w:r>
      <w:r>
        <w:t xml:space="preserve">navazuje program </w:t>
      </w:r>
      <w:r w:rsidRPr="00EE1159">
        <w:rPr>
          <w:b/>
        </w:rPr>
        <w:t>Nová zelená úsporám</w:t>
      </w:r>
      <w:r>
        <w:t xml:space="preserve">, jehož dokumentace byla schválena </w:t>
      </w:r>
      <w:r w:rsidRPr="004668D4">
        <w:t>vládou dne 6. listopadu 2013</w:t>
      </w:r>
      <w:r>
        <w:t xml:space="preserve"> a dne </w:t>
      </w:r>
      <w:r w:rsidRPr="004668D4">
        <w:t>6</w:t>
      </w:r>
      <w:r>
        <w:t>.</w:t>
      </w:r>
      <w:r w:rsidR="00F346AF">
        <w:t> </w:t>
      </w:r>
      <w:r>
        <w:t xml:space="preserve">ledna 2014 byla vyhlášen </w:t>
      </w:r>
      <w:r w:rsidR="00493AA5" w:rsidRPr="00493AA5">
        <w:t xml:space="preserve">program </w:t>
      </w:r>
      <w:r w:rsidR="00EF6DEB" w:rsidRPr="00493AA5">
        <w:t xml:space="preserve">spolu </w:t>
      </w:r>
      <w:r w:rsidR="00EF6DEB">
        <w:t>s 1. výzvou</w:t>
      </w:r>
      <w:r w:rsidRPr="004668D4">
        <w:t xml:space="preserve"> k podávání žádostí o podporu na realizaci energeticky úsporných opatření v rodinných domech</w:t>
      </w:r>
      <w:r>
        <w:rPr>
          <w:rStyle w:val="Znakapoznpodarou"/>
        </w:rPr>
        <w:footnoteReference w:id="14"/>
      </w:r>
      <w:r w:rsidRPr="004668D4">
        <w:t>.</w:t>
      </w:r>
    </w:p>
    <w:p w:rsidR="002A338A" w:rsidRDefault="002A338A" w:rsidP="002A338A">
      <w:pPr>
        <w:spacing w:after="180"/>
      </w:pPr>
      <w:r w:rsidRPr="004668D4">
        <w:t xml:space="preserve">Program </w:t>
      </w:r>
      <w:r w:rsidRPr="00EE1159">
        <w:rPr>
          <w:b/>
        </w:rPr>
        <w:t>Nová zelená úsporám</w:t>
      </w:r>
      <w:r w:rsidRPr="004668D4">
        <w:t xml:space="preserve"> je významným prorůstovým opatřením s pozitivními dopady na českou ekonomiku, a to jak přímo na státní rozpočet, tak i na rozvoj podnikatelské sféry v dotčených oblastech stavebnictví, strojírenství a dalších souvisejících sektorech. Dalším významným prorůstovým dopadem bude vytvoření nebo udržení desítky tisíc pracovních míst. Program je nastaven pro dosažení vysokého finančního pákového efektu, a to vysokou mírou mobilizace vlastních zdrojů soukromého sektoru. Očekávané finanční zdroje programu jsou ve výši 27 mld. Kč (dle zák. č. 383/2012 Sb. se jedná o podíl z</w:t>
      </w:r>
      <w:r w:rsidR="00204478">
        <w:t> </w:t>
      </w:r>
      <w:r w:rsidRPr="004668D4">
        <w:t>výnosů aukcí emisních povolenek EUA v obchodovacím období 2013 – 2020). Administrace žádostí bude</w:t>
      </w:r>
      <w:r>
        <w:t xml:space="preserve"> probíhat v letech 2014 až 2023.</w:t>
      </w:r>
      <w:r w:rsidR="00493AA5" w:rsidRPr="00493AA5">
        <w:rPr>
          <w:rFonts w:cstheme="minorHAnsi"/>
          <w:szCs w:val="21"/>
        </w:rPr>
        <w:t xml:space="preserve"> </w:t>
      </w:r>
      <w:r w:rsidR="00493AA5">
        <w:rPr>
          <w:rFonts w:cstheme="minorHAnsi"/>
          <w:szCs w:val="21"/>
        </w:rPr>
        <w:t>Program Nová zelená úsporám je zaměřen na podporu realizace energeticky úsporných opatření v rodinných domech, bytových domech a budovách veřejného sektoru.</w:t>
      </w:r>
    </w:p>
    <w:p w:rsidR="002538F4" w:rsidRDefault="002538F4" w:rsidP="00F06998">
      <w:r w:rsidRPr="0075289B">
        <w:t xml:space="preserve">Snižování energetické náročnosti je také součástí komplexní rekonstrukce bytových domů v rámci programu </w:t>
      </w:r>
      <w:r w:rsidRPr="0075289B">
        <w:rPr>
          <w:b/>
        </w:rPr>
        <w:t>PANEL 2013+</w:t>
      </w:r>
      <w:r w:rsidRPr="0075289B">
        <w:t>, který byl notifikován v roce 2013 a je realizován v letech 2013 až 2020. Jedná se o dlouhodobý program, který formou nízkoúročených úvěrů ze Státního fondu rozvoje bydlení</w:t>
      </w:r>
      <w:r w:rsidRPr="0075289B">
        <w:rPr>
          <w:rStyle w:val="Znakapoznpodarou"/>
        </w:rPr>
        <w:footnoteReference w:id="15"/>
      </w:r>
      <w:r w:rsidRPr="0075289B">
        <w:t xml:space="preserve"> na opravy a modernizace bytových domů přispívá ke snížení energetické náročnosti bytových domů včetně snížení nákladů domácností na energie. Opatření má významné multiplikační efekty pro sektor stavebnictví s</w:t>
      </w:r>
      <w:r w:rsidR="00204478">
        <w:t> </w:t>
      </w:r>
      <w:r w:rsidRPr="0075289B">
        <w:t>kladným dopad</w:t>
      </w:r>
      <w:r>
        <w:t>em</w:t>
      </w:r>
      <w:r w:rsidRPr="0075289B">
        <w:t xml:space="preserve"> na státní rozpočet. V roce 2013 byla v rámci projektu podpořena rekonstrukce 3011 bytů, na které poskytl Státního fondu rozvoje bydlení úvěry ve výši 346</w:t>
      </w:r>
      <w:r>
        <w:t>,29</w:t>
      </w:r>
      <w:r w:rsidR="00F06998">
        <w:t xml:space="preserve"> mil Kč. Pro rok 2014 se počítá </w:t>
      </w:r>
      <w:r w:rsidRPr="0075289B">
        <w:lastRenderedPageBreak/>
        <w:t>s</w:t>
      </w:r>
      <w:r w:rsidR="00F06998">
        <w:t> </w:t>
      </w:r>
      <w:r w:rsidRPr="0075289B">
        <w:t>finančními</w:t>
      </w:r>
      <w:r w:rsidR="00F06998">
        <w:t> prostředky na </w:t>
      </w:r>
      <w:r w:rsidRPr="0075289B">
        <w:t>nízkoú</w:t>
      </w:r>
      <w:r w:rsidR="00F06998">
        <w:t>ročené úvěry ve </w:t>
      </w:r>
      <w:r w:rsidRPr="0075289B">
        <w:t>výši</w:t>
      </w:r>
      <w:r w:rsidR="00F06998">
        <w:t xml:space="preserve"> </w:t>
      </w:r>
      <w:r w:rsidRPr="0075289B">
        <w:t xml:space="preserve">1 </w:t>
      </w:r>
      <w:r>
        <w:t>3</w:t>
      </w:r>
      <w:r w:rsidRPr="0075289B">
        <w:t>20 mil. Kč</w:t>
      </w:r>
      <w:r w:rsidRPr="0075289B">
        <w:rPr>
          <w:rStyle w:val="Znakapoznpodarou"/>
        </w:rPr>
        <w:footnoteReference w:id="16"/>
      </w:r>
      <w:r>
        <w:t xml:space="preserve">. </w:t>
      </w:r>
      <w:r w:rsidRPr="0075289B">
        <w:t xml:space="preserve"> </w:t>
      </w:r>
      <w:r>
        <w:t>V</w:t>
      </w:r>
      <w:r w:rsidRPr="0075289B">
        <w:t> programu PANEL 2013+ Státní fond rozvoje bydlení předpokládá, že poskytn</w:t>
      </w:r>
      <w:r>
        <w:t>e úvěry ve výši 600 mil. Kč.</w:t>
      </w:r>
    </w:p>
    <w:p w:rsidR="0036230D" w:rsidRDefault="0075289B" w:rsidP="0075289B">
      <w:r w:rsidRPr="0075289B">
        <w:t>V rámci programové</w:t>
      </w:r>
      <w:r w:rsidR="00F06998">
        <w:t>ho</w:t>
      </w:r>
      <w:r w:rsidRPr="0075289B">
        <w:t xml:space="preserve"> období 2007 – 2013 jsou pro účely snižování energetické náročnosti využívány dva tematické operační programy, jejichž cíle zahrnují podporu energeticky účinných opatření Operační program Životní prostředí (OPŽP) a Operační program Podnikání a inovace (OPPI). </w:t>
      </w:r>
      <w:r w:rsidR="004B54B7" w:rsidRPr="001B1F69">
        <w:t>Pro účely sni</w:t>
      </w:r>
      <w:r w:rsidR="003E5967">
        <w:t xml:space="preserve">žování energetické náročnosti </w:t>
      </w:r>
      <w:r w:rsidR="004B54B7" w:rsidRPr="001B1F69">
        <w:t>deprivovaných území ve městech nad 20.000 obyvatel jsou využívány také finanční zdroje Integrovaného operačního programu, a to nejen formou dotací, ale i využitím zvýhodněných úvěrů prostřednictvím finančního nástroje J</w:t>
      </w:r>
      <w:r w:rsidR="004A7BB8">
        <w:t>ESSICA</w:t>
      </w:r>
      <w:r w:rsidR="004B54B7">
        <w:t>.</w:t>
      </w:r>
      <w:r w:rsidR="005B31A7">
        <w:t xml:space="preserve"> </w:t>
      </w:r>
    </w:p>
    <w:p w:rsidR="0036230D" w:rsidRDefault="005B31A7" w:rsidP="005B31A7">
      <w:pPr>
        <w:spacing w:after="180"/>
      </w:pPr>
      <w:r w:rsidRPr="00310A8E">
        <w:t>OPŽP</w:t>
      </w:r>
      <w:r>
        <w:t xml:space="preserve"> obsahuje samostatnou prioritu </w:t>
      </w:r>
      <w:r w:rsidRPr="00AF6117">
        <w:rPr>
          <w:b/>
        </w:rPr>
        <w:t>Udržitelné využívání zdrojů energie</w:t>
      </w:r>
      <w:r>
        <w:t xml:space="preserve">, jejímž cílem je zvýšení výrobní kapacity z obnovitelných zdrojů energie, efektivnější využití odpadního tepla, snížení spotřeby energie na vytápění či nahrazení fosilních paliv. </w:t>
      </w:r>
    </w:p>
    <w:p w:rsidR="005B31A7" w:rsidRDefault="005B31A7" w:rsidP="005B31A7">
      <w:pPr>
        <w:spacing w:after="180"/>
      </w:pPr>
      <w:r>
        <w:t xml:space="preserve">Program </w:t>
      </w:r>
      <w:proofErr w:type="spellStart"/>
      <w:r w:rsidRPr="00AE51CF">
        <w:rPr>
          <w:b/>
        </w:rPr>
        <w:t>Eko</w:t>
      </w:r>
      <w:proofErr w:type="spellEnd"/>
      <w:r w:rsidRPr="00AE51CF">
        <w:rPr>
          <w:b/>
        </w:rPr>
        <w:t>-energie</w:t>
      </w:r>
      <w:r>
        <w:t xml:space="preserve">, který je jednou z priorit OPPI, je zacílen na podporu </w:t>
      </w:r>
      <w:r w:rsidR="00AF6117" w:rsidRPr="00310A8E">
        <w:t>snižování energetické náročnosti průmyslu</w:t>
      </w:r>
      <w:r w:rsidR="00AE51CF">
        <w:t>. Je zaměřen především na modernizaci</w:t>
      </w:r>
      <w:r w:rsidR="00AF6117" w:rsidRPr="00AF6117">
        <w:t xml:space="preserve"> stávajících zařízení na výrobu energie p</w:t>
      </w:r>
      <w:r w:rsidR="00AE51CF">
        <w:t>ro vlastní potřebu, rekonstrukci</w:t>
      </w:r>
      <w:r w:rsidR="00AF6117" w:rsidRPr="00AF6117">
        <w:t xml:space="preserve"> rozvodů elektřiny a tepla, zlepšování tepelně technických vlastností budov a</w:t>
      </w:r>
      <w:r w:rsidR="00204478">
        <w:t> </w:t>
      </w:r>
      <w:r w:rsidR="00AF6117" w:rsidRPr="00AF6117">
        <w:t>využití úspor energie v průmyslových procesech pro vlastní spotřebu podniku.</w:t>
      </w:r>
    </w:p>
    <w:p w:rsidR="00AE51CF" w:rsidRDefault="00AE51CF" w:rsidP="00AE51CF">
      <w:pPr>
        <w:spacing w:after="180"/>
      </w:pPr>
      <w:r>
        <w:t xml:space="preserve">Jedním z dalších nástrojů k dosažení cíle stanoveného evropskou směrnicí </w:t>
      </w:r>
      <w:r w:rsidRPr="00AE51CF">
        <w:t>o energetické účinnosti</w:t>
      </w:r>
      <w:r>
        <w:t xml:space="preserve"> je státní program </w:t>
      </w:r>
      <w:r w:rsidRPr="00AE51CF">
        <w:rPr>
          <w:b/>
        </w:rPr>
        <w:t>EFEKT</w:t>
      </w:r>
      <w:r>
        <w:t>, jehož cílem je zvýšit úspory energie prostřednictvím informovanosti malých odběratelů, zvyšování kvality energetických služeb a podpory veřejného sektoru k hospodárnému nakládání s</w:t>
      </w:r>
      <w:r w:rsidR="00204478">
        <w:t> </w:t>
      </w:r>
      <w:r>
        <w:t xml:space="preserve">energiemi. Je zaměřen na osvětovou a informační činnost a na investice do </w:t>
      </w:r>
      <w:r w:rsidRPr="00AE51CF">
        <w:t xml:space="preserve">energeticky úsporných projektů </w:t>
      </w:r>
      <w:r>
        <w:t>menšího rozsahu (</w:t>
      </w:r>
      <w:r w:rsidRPr="00AE51CF">
        <w:t>především v</w:t>
      </w:r>
      <w:r>
        <w:t> </w:t>
      </w:r>
      <w:r w:rsidRPr="00AE51CF">
        <w:t>obcích</w:t>
      </w:r>
      <w:r>
        <w:t xml:space="preserve">). </w:t>
      </w:r>
    </w:p>
    <w:p w:rsidR="008708C4" w:rsidRDefault="008708C4">
      <w:pPr>
        <w:spacing w:after="0"/>
        <w:ind w:firstLine="360"/>
        <w:jc w:val="left"/>
        <w:rPr>
          <w:rFonts w:asciiTheme="majorHAnsi" w:eastAsiaTheme="majorEastAsia" w:hAnsiTheme="majorHAnsi" w:cstheme="majorBidi"/>
          <w:b/>
          <w:bCs/>
          <w:color w:val="9D3511" w:themeColor="accent1" w:themeShade="BF"/>
          <w:sz w:val="30"/>
          <w:szCs w:val="24"/>
        </w:rPr>
      </w:pPr>
      <w:r>
        <w:br w:type="page"/>
      </w:r>
    </w:p>
    <w:p w:rsidR="0008156A" w:rsidRDefault="00884BD5" w:rsidP="0008156A">
      <w:pPr>
        <w:pStyle w:val="Nadpis1"/>
        <w:numPr>
          <w:ilvl w:val="0"/>
          <w:numId w:val="4"/>
        </w:numPr>
      </w:pPr>
      <w:bookmarkStart w:id="38" w:name="_Toc385339508"/>
      <w:r>
        <w:lastRenderedPageBreak/>
        <w:t>Plnění národních</w:t>
      </w:r>
      <w:r w:rsidRPr="00884BD5">
        <w:t xml:space="preserve"> cílů</w:t>
      </w:r>
      <w:r>
        <w:t xml:space="preserve"> Strategie Evropa 2020</w:t>
      </w:r>
      <w:bookmarkEnd w:id="38"/>
    </w:p>
    <w:p w:rsidR="009B04BF" w:rsidRPr="002D6978" w:rsidRDefault="003B300D" w:rsidP="003B300D">
      <w:r w:rsidRPr="002D6978">
        <w:t>V návaznosti na hlavní cíle Strategie Evropa 2020, Integrované hlavní směry této strategie a jednotlivé identifikované překážky pro naplňování společně stanovených cílů stanovila vláda v roce 2010 specifické kvantifikované národní cíle</w:t>
      </w:r>
      <w:r w:rsidRPr="002D6978">
        <w:rPr>
          <w:rStyle w:val="Znakapoznpodarou"/>
        </w:rPr>
        <w:footnoteReference w:id="17"/>
      </w:r>
      <w:r w:rsidRPr="002D6978">
        <w:t xml:space="preserve">. </w:t>
      </w:r>
      <w:r w:rsidR="00B5374C" w:rsidRPr="002D6978">
        <w:t xml:space="preserve">Kvantitativní ukazatele poskytují pouze omezené informace ve smyslu hodnocení jednotlivých oblastí strategie a ze své podstaty nemohou obsáhnout kvalitativní aspekty dopadů reformních opatření. </w:t>
      </w:r>
      <w:r w:rsidR="006A23B5" w:rsidRPr="002D6978">
        <w:t>D</w:t>
      </w:r>
      <w:r w:rsidR="00B5374C" w:rsidRPr="002D6978">
        <w:t xml:space="preserve">louhodobé strategické cíle </w:t>
      </w:r>
      <w:r w:rsidR="006A23B5" w:rsidRPr="002D6978">
        <w:t xml:space="preserve">představují dobrovolné politické závazky, jež reflektují společný zájem členských států na obnovení </w:t>
      </w:r>
      <w:r w:rsidR="004A7BB8">
        <w:t>dlouhodobě udržitelného a inkluz</w:t>
      </w:r>
      <w:r w:rsidR="006A23B5" w:rsidRPr="002D6978">
        <w:t>ivního růstu v EU. V tomto kontextu určují základní směry koordinace hospodářské politiky na úrovni EU.</w:t>
      </w:r>
      <w:r w:rsidR="0027753D" w:rsidRPr="002D6978">
        <w:t xml:space="preserve"> </w:t>
      </w:r>
    </w:p>
    <w:p w:rsidR="00E867B0" w:rsidRDefault="00E867B0" w:rsidP="00E867B0">
      <w:pPr>
        <w:pStyle w:val="Titulek"/>
        <w:keepNext/>
      </w:pPr>
      <w:r>
        <w:t xml:space="preserve">Tabulka </w:t>
      </w:r>
      <w:fldSimple w:instr=" SEQ Tabulka \* ARABIC ">
        <w:r w:rsidR="001439D0">
          <w:rPr>
            <w:noProof/>
          </w:rPr>
          <w:t>2</w:t>
        </w:r>
      </w:fldSimple>
      <w:r>
        <w:t xml:space="preserve">: Přehled plnění kvantitativních cílů Strategie Evropa 2020 </w:t>
      </w:r>
    </w:p>
    <w:tbl>
      <w:tblPr>
        <w:tblStyle w:val="Svtlstnovnzvraznn4"/>
        <w:tblW w:w="0" w:type="auto"/>
        <w:tblLook w:val="04A0" w:firstRow="1" w:lastRow="0" w:firstColumn="1" w:lastColumn="0" w:noHBand="0" w:noVBand="1"/>
      </w:tblPr>
      <w:tblGrid>
        <w:gridCol w:w="1951"/>
        <w:gridCol w:w="5103"/>
        <w:gridCol w:w="1079"/>
        <w:gridCol w:w="1079"/>
      </w:tblGrid>
      <w:tr w:rsidR="00E13026" w:rsidTr="001E6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505E77">
            <w:pPr>
              <w:spacing w:after="0"/>
              <w:jc w:val="left"/>
              <w:rPr>
                <w:sz w:val="18"/>
                <w:szCs w:val="18"/>
              </w:rPr>
            </w:pPr>
            <w:r w:rsidRPr="00884BD5">
              <w:rPr>
                <w:sz w:val="18"/>
                <w:szCs w:val="18"/>
              </w:rPr>
              <w:t>Oblast</w:t>
            </w:r>
          </w:p>
        </w:tc>
        <w:tc>
          <w:tcPr>
            <w:tcW w:w="5103" w:type="dxa"/>
          </w:tcPr>
          <w:p w:rsidR="00884BD5" w:rsidRPr="00884BD5" w:rsidRDefault="00884BD5" w:rsidP="00505E77">
            <w:pPr>
              <w:spacing w:after="0"/>
              <w:jc w:val="left"/>
              <w:cnfStyle w:val="100000000000" w:firstRow="1" w:lastRow="0" w:firstColumn="0" w:lastColumn="0" w:oddVBand="0" w:evenVBand="0" w:oddHBand="0" w:evenHBand="0" w:firstRowFirstColumn="0" w:firstRowLastColumn="0" w:lastRowFirstColumn="0" w:lastRowLastColumn="0"/>
              <w:rPr>
                <w:sz w:val="18"/>
                <w:szCs w:val="18"/>
              </w:rPr>
            </w:pPr>
            <w:r w:rsidRPr="00884BD5">
              <w:rPr>
                <w:sz w:val="18"/>
                <w:szCs w:val="18"/>
              </w:rPr>
              <w:t>Národní cíle ČR</w:t>
            </w:r>
          </w:p>
        </w:tc>
        <w:tc>
          <w:tcPr>
            <w:tcW w:w="1079" w:type="dxa"/>
          </w:tcPr>
          <w:p w:rsidR="00884BD5" w:rsidRPr="00884BD5" w:rsidRDefault="000A4BFA" w:rsidP="000A4BFA">
            <w:pPr>
              <w:spacing w:after="0"/>
              <w:jc w:val="lef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Referenční hodnota</w:t>
            </w:r>
          </w:p>
        </w:tc>
        <w:tc>
          <w:tcPr>
            <w:tcW w:w="1079" w:type="dxa"/>
          </w:tcPr>
          <w:p w:rsidR="00884BD5" w:rsidRPr="00884BD5" w:rsidRDefault="00505E77" w:rsidP="00365D07">
            <w:pPr>
              <w:spacing w:after="0"/>
              <w:jc w:val="lef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Aktuální stav</w:t>
            </w:r>
            <w:r w:rsidR="004468AD">
              <w:rPr>
                <w:rStyle w:val="Znakapoznpodarou"/>
                <w:sz w:val="18"/>
                <w:szCs w:val="18"/>
              </w:rPr>
              <w:footnoteReference w:id="18"/>
            </w:r>
          </w:p>
        </w:tc>
      </w:tr>
      <w:tr w:rsidR="001E6A12"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4468AD">
            <w:pPr>
              <w:spacing w:after="0"/>
              <w:jc w:val="left"/>
              <w:rPr>
                <w:sz w:val="18"/>
                <w:szCs w:val="18"/>
              </w:rPr>
            </w:pPr>
            <w:r w:rsidRPr="00884BD5">
              <w:rPr>
                <w:sz w:val="18"/>
                <w:szCs w:val="18"/>
              </w:rPr>
              <w:t>Zaměstnanost</w:t>
            </w:r>
            <w:r w:rsidR="00365D07">
              <w:rPr>
                <w:sz w:val="18"/>
                <w:szCs w:val="18"/>
              </w:rPr>
              <w:t>:</w:t>
            </w:r>
          </w:p>
        </w:tc>
        <w:tc>
          <w:tcPr>
            <w:tcW w:w="5103" w:type="dxa"/>
          </w:tcPr>
          <w:p w:rsidR="00884BD5" w:rsidRPr="00884BD5" w:rsidRDefault="005C30DD" w:rsidP="005C30DD">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w:t>
            </w:r>
            <w:r w:rsidRPr="005C30DD">
              <w:rPr>
                <w:sz w:val="18"/>
                <w:szCs w:val="18"/>
              </w:rPr>
              <w:t>výšení celkové míry zaměstnanosti os</w:t>
            </w:r>
            <w:r>
              <w:rPr>
                <w:sz w:val="18"/>
                <w:szCs w:val="18"/>
              </w:rPr>
              <w:t xml:space="preserve">ob ve věku 20 - 64 let na </w:t>
            </w:r>
            <w:r w:rsidR="00210EFC">
              <w:rPr>
                <w:b/>
                <w:sz w:val="18"/>
                <w:szCs w:val="18"/>
              </w:rPr>
              <w:t>75 </w:t>
            </w:r>
            <w:r w:rsidRPr="006A23B5">
              <w:rPr>
                <w:b/>
                <w:sz w:val="18"/>
                <w:szCs w:val="18"/>
              </w:rPr>
              <w:t>%</w:t>
            </w:r>
            <w:r>
              <w:rPr>
                <w:sz w:val="18"/>
                <w:szCs w:val="18"/>
              </w:rPr>
              <w:t>;</w:t>
            </w:r>
          </w:p>
        </w:tc>
        <w:tc>
          <w:tcPr>
            <w:tcW w:w="1079" w:type="dxa"/>
          </w:tcPr>
          <w:p w:rsidR="00884BD5" w:rsidRPr="00884BD5" w:rsidRDefault="00E13026"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70,4 %</w:t>
            </w:r>
          </w:p>
        </w:tc>
        <w:tc>
          <w:tcPr>
            <w:tcW w:w="1079" w:type="dxa"/>
          </w:tcPr>
          <w:p w:rsidR="00884BD5" w:rsidRPr="00884BD5" w:rsidRDefault="003B300D"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72,7 %</w:t>
            </w:r>
          </w:p>
        </w:tc>
      </w:tr>
      <w:tr w:rsidR="000A4BFA"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5C30DD">
            <w:pPr>
              <w:spacing w:after="0"/>
              <w:jc w:val="left"/>
              <w:rPr>
                <w:sz w:val="18"/>
                <w:szCs w:val="18"/>
              </w:rPr>
            </w:pPr>
          </w:p>
        </w:tc>
        <w:tc>
          <w:tcPr>
            <w:tcW w:w="5103" w:type="dxa"/>
          </w:tcPr>
          <w:p w:rsidR="00884BD5" w:rsidRPr="00884BD5" w:rsidRDefault="005C30DD" w:rsidP="005C30DD">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Z</w:t>
            </w:r>
            <w:r w:rsidRPr="005C30DD">
              <w:rPr>
                <w:sz w:val="18"/>
                <w:szCs w:val="18"/>
              </w:rPr>
              <w:t>výšení míry zaměstnan</w:t>
            </w:r>
            <w:r>
              <w:rPr>
                <w:sz w:val="18"/>
                <w:szCs w:val="18"/>
              </w:rPr>
              <w:t xml:space="preserve">osti žen (20 - 64 let) na </w:t>
            </w:r>
            <w:r w:rsidRPr="006A23B5">
              <w:rPr>
                <w:b/>
                <w:sz w:val="18"/>
                <w:szCs w:val="18"/>
              </w:rPr>
              <w:t>65 %</w:t>
            </w:r>
            <w:r>
              <w:rPr>
                <w:sz w:val="18"/>
                <w:szCs w:val="18"/>
              </w:rPr>
              <w:t>;</w:t>
            </w:r>
          </w:p>
        </w:tc>
        <w:tc>
          <w:tcPr>
            <w:tcW w:w="1079" w:type="dxa"/>
          </w:tcPr>
          <w:p w:rsidR="00884BD5" w:rsidRPr="00884BD5" w:rsidRDefault="00E13026"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61 %</w:t>
            </w:r>
          </w:p>
        </w:tc>
        <w:tc>
          <w:tcPr>
            <w:tcW w:w="1079" w:type="dxa"/>
          </w:tcPr>
          <w:p w:rsidR="00884BD5" w:rsidRPr="00884BD5" w:rsidRDefault="003B300D"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3B300D">
              <w:rPr>
                <w:sz w:val="18"/>
                <w:szCs w:val="18"/>
              </w:rPr>
              <w:t>63,9 %</w:t>
            </w:r>
          </w:p>
        </w:tc>
      </w:tr>
      <w:tr w:rsidR="001E6A12"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5C30DD">
            <w:pPr>
              <w:spacing w:after="0"/>
              <w:jc w:val="left"/>
              <w:rPr>
                <w:sz w:val="18"/>
                <w:szCs w:val="18"/>
              </w:rPr>
            </w:pPr>
          </w:p>
        </w:tc>
        <w:tc>
          <w:tcPr>
            <w:tcW w:w="5103" w:type="dxa"/>
          </w:tcPr>
          <w:p w:rsidR="00884BD5" w:rsidRPr="00884BD5" w:rsidRDefault="005C30DD" w:rsidP="005C30DD">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w:t>
            </w:r>
            <w:r w:rsidRPr="005C30DD">
              <w:rPr>
                <w:sz w:val="18"/>
                <w:szCs w:val="18"/>
              </w:rPr>
              <w:t>výšení míry zaměstnanosti starš</w:t>
            </w:r>
            <w:r>
              <w:rPr>
                <w:sz w:val="18"/>
                <w:szCs w:val="18"/>
              </w:rPr>
              <w:t xml:space="preserve">ích osob (55 - 64 let) na </w:t>
            </w:r>
            <w:r w:rsidRPr="006A23B5">
              <w:rPr>
                <w:b/>
                <w:sz w:val="18"/>
                <w:szCs w:val="18"/>
              </w:rPr>
              <w:t>55 %</w:t>
            </w:r>
            <w:r>
              <w:rPr>
                <w:sz w:val="18"/>
                <w:szCs w:val="18"/>
              </w:rPr>
              <w:t>;</w:t>
            </w:r>
          </w:p>
        </w:tc>
        <w:tc>
          <w:tcPr>
            <w:tcW w:w="1079" w:type="dxa"/>
          </w:tcPr>
          <w:p w:rsidR="00884BD5" w:rsidRPr="00884BD5" w:rsidRDefault="00E13026"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46,5 %</w:t>
            </w:r>
          </w:p>
        </w:tc>
        <w:tc>
          <w:tcPr>
            <w:tcW w:w="1079" w:type="dxa"/>
          </w:tcPr>
          <w:p w:rsidR="00884BD5" w:rsidRPr="00884BD5" w:rsidRDefault="003B300D"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sidRPr="003B300D">
              <w:rPr>
                <w:sz w:val="18"/>
                <w:szCs w:val="18"/>
              </w:rPr>
              <w:t>51,4 %</w:t>
            </w:r>
          </w:p>
        </w:tc>
      </w:tr>
      <w:tr w:rsidR="000A4BFA"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5C30DD">
            <w:pPr>
              <w:spacing w:after="0"/>
              <w:jc w:val="left"/>
              <w:rPr>
                <w:sz w:val="18"/>
                <w:szCs w:val="18"/>
              </w:rPr>
            </w:pPr>
          </w:p>
        </w:tc>
        <w:tc>
          <w:tcPr>
            <w:tcW w:w="5103" w:type="dxa"/>
          </w:tcPr>
          <w:p w:rsidR="00884BD5" w:rsidRPr="00884BD5" w:rsidRDefault="005C30DD" w:rsidP="005C30DD">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w:t>
            </w:r>
            <w:r w:rsidRPr="005C30DD">
              <w:rPr>
                <w:sz w:val="18"/>
                <w:szCs w:val="18"/>
              </w:rPr>
              <w:t xml:space="preserve">nížení míry nezaměstnanosti mladých osob (15 - 24 </w:t>
            </w:r>
            <w:r>
              <w:rPr>
                <w:sz w:val="18"/>
                <w:szCs w:val="18"/>
              </w:rPr>
              <w:t xml:space="preserve">let) </w:t>
            </w:r>
            <w:r w:rsidRPr="006A23B5">
              <w:rPr>
                <w:b/>
                <w:sz w:val="18"/>
                <w:szCs w:val="18"/>
              </w:rPr>
              <w:t>o třetinu</w:t>
            </w:r>
            <w:r>
              <w:rPr>
                <w:sz w:val="18"/>
                <w:szCs w:val="18"/>
              </w:rPr>
              <w:t xml:space="preserve"> proti roku 2010;</w:t>
            </w:r>
          </w:p>
        </w:tc>
        <w:tc>
          <w:tcPr>
            <w:tcW w:w="1079" w:type="dxa"/>
          </w:tcPr>
          <w:p w:rsidR="00884BD5" w:rsidRPr="00884BD5" w:rsidRDefault="00E13026"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18,4 %</w:t>
            </w:r>
          </w:p>
        </w:tc>
        <w:tc>
          <w:tcPr>
            <w:tcW w:w="1079" w:type="dxa"/>
          </w:tcPr>
          <w:p w:rsidR="00884BD5" w:rsidRPr="00884BD5" w:rsidRDefault="003B300D"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3B300D">
              <w:rPr>
                <w:sz w:val="18"/>
                <w:szCs w:val="18"/>
              </w:rPr>
              <w:t>17,4 %</w:t>
            </w:r>
          </w:p>
        </w:tc>
      </w:tr>
      <w:tr w:rsidR="001E6A12"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5C30DD">
            <w:pPr>
              <w:spacing w:after="0"/>
              <w:jc w:val="left"/>
              <w:rPr>
                <w:sz w:val="18"/>
                <w:szCs w:val="18"/>
              </w:rPr>
            </w:pPr>
          </w:p>
        </w:tc>
        <w:tc>
          <w:tcPr>
            <w:tcW w:w="5103" w:type="dxa"/>
          </w:tcPr>
          <w:p w:rsidR="00884BD5" w:rsidRPr="00884BD5" w:rsidRDefault="005C30DD" w:rsidP="005C30DD">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w:t>
            </w:r>
            <w:r w:rsidRPr="005C30DD">
              <w:rPr>
                <w:sz w:val="18"/>
                <w:szCs w:val="18"/>
              </w:rPr>
              <w:t xml:space="preserve">nížení míry nezaměstnanosti osob s nízkou kvalifikací (stupeň ISCED 0 - 2) </w:t>
            </w:r>
            <w:r w:rsidRPr="006A23B5">
              <w:rPr>
                <w:b/>
                <w:sz w:val="18"/>
                <w:szCs w:val="18"/>
              </w:rPr>
              <w:t>o čtvrtinu</w:t>
            </w:r>
            <w:r w:rsidRPr="005C30DD">
              <w:rPr>
                <w:sz w:val="18"/>
                <w:szCs w:val="18"/>
              </w:rPr>
              <w:t xml:space="preserve"> proti roku 2010.</w:t>
            </w:r>
          </w:p>
        </w:tc>
        <w:tc>
          <w:tcPr>
            <w:tcW w:w="1079" w:type="dxa"/>
          </w:tcPr>
          <w:p w:rsidR="00884BD5" w:rsidRPr="00884BD5" w:rsidRDefault="00394CBA"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25 %</w:t>
            </w:r>
          </w:p>
        </w:tc>
        <w:tc>
          <w:tcPr>
            <w:tcW w:w="1079" w:type="dxa"/>
          </w:tcPr>
          <w:p w:rsidR="00884BD5" w:rsidRPr="00884BD5" w:rsidRDefault="003B300D"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sidRPr="003B300D">
              <w:rPr>
                <w:sz w:val="18"/>
                <w:szCs w:val="18"/>
              </w:rPr>
              <w:t>26,1 %</w:t>
            </w:r>
          </w:p>
        </w:tc>
      </w:tr>
      <w:tr w:rsidR="000A4BFA"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4468AD">
            <w:pPr>
              <w:spacing w:after="0"/>
              <w:jc w:val="left"/>
              <w:rPr>
                <w:sz w:val="18"/>
                <w:szCs w:val="18"/>
              </w:rPr>
            </w:pPr>
            <w:r w:rsidRPr="00884BD5">
              <w:rPr>
                <w:sz w:val="18"/>
                <w:szCs w:val="18"/>
              </w:rPr>
              <w:t>Boj proti chudobě a</w:t>
            </w:r>
            <w:r w:rsidR="00204478">
              <w:rPr>
                <w:sz w:val="18"/>
                <w:szCs w:val="18"/>
              </w:rPr>
              <w:t> </w:t>
            </w:r>
            <w:r w:rsidRPr="00884BD5">
              <w:rPr>
                <w:sz w:val="18"/>
                <w:szCs w:val="18"/>
              </w:rPr>
              <w:t>sociálnímu vyloučení</w:t>
            </w:r>
            <w:r w:rsidR="005C30DD">
              <w:rPr>
                <w:sz w:val="18"/>
                <w:szCs w:val="18"/>
              </w:rPr>
              <w:t>:</w:t>
            </w:r>
          </w:p>
        </w:tc>
        <w:tc>
          <w:tcPr>
            <w:tcW w:w="5103" w:type="dxa"/>
          </w:tcPr>
          <w:p w:rsidR="00884BD5" w:rsidRPr="00884BD5" w:rsidRDefault="00DA4629" w:rsidP="005C30DD">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U</w:t>
            </w:r>
            <w:r w:rsidRPr="00DA4629">
              <w:rPr>
                <w:sz w:val="18"/>
                <w:szCs w:val="18"/>
              </w:rPr>
              <w:t>držení hranice počtu osob ohrožených chudobou, materiální deprivací nebo žijících v domácnostech s velmi nízkou pracovní intenzitou do roku 2020 oproti roku 2008;</w:t>
            </w:r>
          </w:p>
        </w:tc>
        <w:tc>
          <w:tcPr>
            <w:tcW w:w="1079" w:type="dxa"/>
          </w:tcPr>
          <w:p w:rsidR="00884BD5" w:rsidRPr="00884BD5" w:rsidRDefault="00884BD5"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p>
        </w:tc>
        <w:tc>
          <w:tcPr>
            <w:tcW w:w="1079" w:type="dxa"/>
          </w:tcPr>
          <w:p w:rsidR="00884BD5" w:rsidRPr="00884BD5" w:rsidRDefault="00884BD5"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p>
        </w:tc>
      </w:tr>
      <w:tr w:rsidR="001E6A12"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5C30DD">
            <w:pPr>
              <w:spacing w:after="0"/>
              <w:jc w:val="left"/>
              <w:rPr>
                <w:sz w:val="18"/>
                <w:szCs w:val="18"/>
              </w:rPr>
            </w:pPr>
          </w:p>
        </w:tc>
        <w:tc>
          <w:tcPr>
            <w:tcW w:w="5103" w:type="dxa"/>
          </w:tcPr>
          <w:p w:rsidR="00884BD5" w:rsidRPr="00884BD5" w:rsidRDefault="00376360" w:rsidP="005C30DD">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w:t>
            </w:r>
            <w:r w:rsidR="00DA4629" w:rsidRPr="00DA4629">
              <w:rPr>
                <w:sz w:val="18"/>
                <w:szCs w:val="18"/>
              </w:rPr>
              <w:t>nížení počtu osob ohrožených chudobou, materiální deprivací nebo žijících v domácnostech s velmi nízkou pracovní intenzitou o</w:t>
            </w:r>
            <w:r w:rsidR="00204478">
              <w:rPr>
                <w:sz w:val="18"/>
                <w:szCs w:val="18"/>
              </w:rPr>
              <w:t> </w:t>
            </w:r>
            <w:r w:rsidR="00DA4629" w:rsidRPr="00505E77">
              <w:rPr>
                <w:b/>
                <w:sz w:val="18"/>
                <w:szCs w:val="18"/>
              </w:rPr>
              <w:t>30 000 osob</w:t>
            </w:r>
            <w:r w:rsidR="00DA4629" w:rsidRPr="00DA4629">
              <w:rPr>
                <w:sz w:val="18"/>
                <w:szCs w:val="18"/>
              </w:rPr>
              <w:t>.</w:t>
            </w:r>
          </w:p>
        </w:tc>
        <w:tc>
          <w:tcPr>
            <w:tcW w:w="1079" w:type="dxa"/>
          </w:tcPr>
          <w:p w:rsidR="00884BD5" w:rsidRPr="00884BD5" w:rsidRDefault="000A4BFA"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sidRPr="000A4BFA">
              <w:rPr>
                <w:sz w:val="18"/>
                <w:szCs w:val="18"/>
              </w:rPr>
              <w:t>1566 tis</w:t>
            </w:r>
            <w:r>
              <w:rPr>
                <w:sz w:val="18"/>
                <w:szCs w:val="18"/>
              </w:rPr>
              <w:t>.</w:t>
            </w:r>
          </w:p>
        </w:tc>
        <w:tc>
          <w:tcPr>
            <w:tcW w:w="1079" w:type="dxa"/>
          </w:tcPr>
          <w:p w:rsidR="00884BD5" w:rsidRPr="00884BD5" w:rsidRDefault="00B135DC"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1 580 tis.</w:t>
            </w:r>
          </w:p>
        </w:tc>
      </w:tr>
      <w:tr w:rsidR="000A4BFA"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4468AD">
            <w:pPr>
              <w:spacing w:after="0"/>
              <w:jc w:val="left"/>
              <w:rPr>
                <w:sz w:val="18"/>
                <w:szCs w:val="18"/>
              </w:rPr>
            </w:pPr>
            <w:r w:rsidRPr="00884BD5">
              <w:rPr>
                <w:sz w:val="18"/>
                <w:szCs w:val="18"/>
              </w:rPr>
              <w:t>Vzdělávání</w:t>
            </w:r>
            <w:r w:rsidR="005C30DD">
              <w:rPr>
                <w:sz w:val="18"/>
                <w:szCs w:val="18"/>
              </w:rPr>
              <w:t>:</w:t>
            </w:r>
          </w:p>
        </w:tc>
        <w:tc>
          <w:tcPr>
            <w:tcW w:w="5103" w:type="dxa"/>
          </w:tcPr>
          <w:p w:rsidR="00884BD5" w:rsidRPr="00884BD5" w:rsidRDefault="006A23B5" w:rsidP="008B3A2F">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Snížení</w:t>
            </w:r>
            <w:r w:rsidR="00376360">
              <w:rPr>
                <w:sz w:val="18"/>
                <w:szCs w:val="18"/>
              </w:rPr>
              <w:t xml:space="preserve"> počt</w:t>
            </w:r>
            <w:r w:rsidR="008B3A2F">
              <w:rPr>
                <w:sz w:val="18"/>
                <w:szCs w:val="18"/>
              </w:rPr>
              <w:t>u</w:t>
            </w:r>
            <w:r w:rsidR="00376360">
              <w:rPr>
                <w:sz w:val="18"/>
                <w:szCs w:val="18"/>
              </w:rPr>
              <w:t xml:space="preserve"> osob </w:t>
            </w:r>
            <w:r w:rsidR="00DA4629" w:rsidRPr="00DA4629">
              <w:rPr>
                <w:sz w:val="18"/>
                <w:szCs w:val="18"/>
              </w:rPr>
              <w:t>předčasně odcházejících ze vzdělávání</w:t>
            </w:r>
            <w:r w:rsidR="00376360">
              <w:rPr>
                <w:sz w:val="18"/>
                <w:szCs w:val="18"/>
              </w:rPr>
              <w:t xml:space="preserve"> na</w:t>
            </w:r>
            <w:r w:rsidR="00376360" w:rsidRPr="00DA4629">
              <w:rPr>
                <w:sz w:val="18"/>
                <w:szCs w:val="18"/>
              </w:rPr>
              <w:t xml:space="preserve"> </w:t>
            </w:r>
            <w:r w:rsidR="001215EC">
              <w:rPr>
                <w:b/>
                <w:sz w:val="18"/>
                <w:szCs w:val="18"/>
              </w:rPr>
              <w:t>5,5 </w:t>
            </w:r>
            <w:r w:rsidR="00376360" w:rsidRPr="006A23B5">
              <w:rPr>
                <w:b/>
                <w:sz w:val="18"/>
                <w:szCs w:val="18"/>
              </w:rPr>
              <w:t>%</w:t>
            </w:r>
            <w:r w:rsidR="00DA4629" w:rsidRPr="006A23B5">
              <w:rPr>
                <w:b/>
                <w:sz w:val="18"/>
                <w:szCs w:val="18"/>
              </w:rPr>
              <w:t>;</w:t>
            </w:r>
          </w:p>
        </w:tc>
        <w:tc>
          <w:tcPr>
            <w:tcW w:w="1079" w:type="dxa"/>
          </w:tcPr>
          <w:p w:rsidR="00884BD5" w:rsidRPr="00884BD5" w:rsidRDefault="00505E77"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505E77">
              <w:rPr>
                <w:sz w:val="18"/>
                <w:szCs w:val="18"/>
              </w:rPr>
              <w:t>4,9 %</w:t>
            </w:r>
          </w:p>
        </w:tc>
        <w:tc>
          <w:tcPr>
            <w:tcW w:w="1079" w:type="dxa"/>
          </w:tcPr>
          <w:p w:rsidR="00884BD5" w:rsidRPr="00505E77" w:rsidRDefault="00505E77"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505E77">
              <w:rPr>
                <w:sz w:val="18"/>
                <w:szCs w:val="18"/>
              </w:rPr>
              <w:t>5,5 %</w:t>
            </w:r>
          </w:p>
        </w:tc>
      </w:tr>
      <w:tr w:rsidR="001E6A12"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84BD5" w:rsidP="005C30DD">
            <w:pPr>
              <w:spacing w:after="0"/>
              <w:jc w:val="left"/>
              <w:rPr>
                <w:sz w:val="18"/>
                <w:szCs w:val="18"/>
              </w:rPr>
            </w:pPr>
          </w:p>
        </w:tc>
        <w:tc>
          <w:tcPr>
            <w:tcW w:w="5103" w:type="dxa"/>
          </w:tcPr>
          <w:p w:rsidR="00884BD5" w:rsidRPr="00884BD5" w:rsidRDefault="006A23B5" w:rsidP="008B3A2F">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Dosáhn</w:t>
            </w:r>
            <w:r w:rsidR="008B3A2F">
              <w:rPr>
                <w:sz w:val="18"/>
                <w:szCs w:val="18"/>
              </w:rPr>
              <w:t>out</w:t>
            </w:r>
            <w:r w:rsidR="00DA4629" w:rsidRPr="00DA4629">
              <w:rPr>
                <w:sz w:val="18"/>
                <w:szCs w:val="18"/>
              </w:rPr>
              <w:t xml:space="preserve"> ve věkové kategorii od 30 do 34 let alespoň </w:t>
            </w:r>
            <w:r w:rsidR="00DA4629" w:rsidRPr="006A23B5">
              <w:rPr>
                <w:b/>
                <w:sz w:val="18"/>
                <w:szCs w:val="18"/>
              </w:rPr>
              <w:t>32</w:t>
            </w:r>
            <w:r>
              <w:rPr>
                <w:b/>
                <w:sz w:val="18"/>
                <w:szCs w:val="18"/>
              </w:rPr>
              <w:t xml:space="preserve"> </w:t>
            </w:r>
            <w:r w:rsidR="00DA4629" w:rsidRPr="006A23B5">
              <w:rPr>
                <w:b/>
                <w:sz w:val="18"/>
                <w:szCs w:val="18"/>
              </w:rPr>
              <w:t>%</w:t>
            </w:r>
            <w:r w:rsidR="00DA4629" w:rsidRPr="00DA4629">
              <w:rPr>
                <w:sz w:val="18"/>
                <w:szCs w:val="18"/>
              </w:rPr>
              <w:t xml:space="preserve"> podílu obyvatelstva</w:t>
            </w:r>
            <w:r w:rsidR="00DA4629">
              <w:rPr>
                <w:sz w:val="18"/>
                <w:szCs w:val="18"/>
              </w:rPr>
              <w:t xml:space="preserve"> s </w:t>
            </w:r>
            <w:r w:rsidR="00DA4629" w:rsidRPr="00DA4629">
              <w:rPr>
                <w:sz w:val="18"/>
                <w:szCs w:val="18"/>
              </w:rPr>
              <w:t>terciárním vzděláním</w:t>
            </w:r>
            <w:r w:rsidR="00DA4629">
              <w:rPr>
                <w:sz w:val="18"/>
                <w:szCs w:val="18"/>
              </w:rPr>
              <w:t>.</w:t>
            </w:r>
          </w:p>
        </w:tc>
        <w:tc>
          <w:tcPr>
            <w:tcW w:w="1079" w:type="dxa"/>
          </w:tcPr>
          <w:p w:rsidR="00884BD5" w:rsidRPr="00884BD5" w:rsidRDefault="00310E1F"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20,4 %</w:t>
            </w:r>
          </w:p>
        </w:tc>
        <w:tc>
          <w:tcPr>
            <w:tcW w:w="1079" w:type="dxa"/>
          </w:tcPr>
          <w:p w:rsidR="00884BD5" w:rsidRPr="00884BD5" w:rsidRDefault="008450A2"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sidRPr="008450A2">
              <w:rPr>
                <w:sz w:val="18"/>
                <w:szCs w:val="18"/>
              </w:rPr>
              <w:t>26,5 %</w:t>
            </w:r>
          </w:p>
        </w:tc>
      </w:tr>
      <w:tr w:rsidR="000A4BFA" w:rsidTr="001E6A12">
        <w:tc>
          <w:tcPr>
            <w:cnfStyle w:val="001000000000" w:firstRow="0" w:lastRow="0" w:firstColumn="1" w:lastColumn="0" w:oddVBand="0" w:evenVBand="0" w:oddHBand="0" w:evenHBand="0" w:firstRowFirstColumn="0" w:firstRowLastColumn="0" w:lastRowFirstColumn="0" w:lastRowLastColumn="0"/>
            <w:tcW w:w="1951" w:type="dxa"/>
          </w:tcPr>
          <w:p w:rsidR="00884BD5" w:rsidRPr="00884BD5" w:rsidRDefault="008B3A2F" w:rsidP="008B3A2F">
            <w:pPr>
              <w:spacing w:after="0"/>
              <w:jc w:val="left"/>
              <w:rPr>
                <w:sz w:val="18"/>
                <w:szCs w:val="18"/>
              </w:rPr>
            </w:pPr>
            <w:r>
              <w:rPr>
                <w:sz w:val="18"/>
                <w:szCs w:val="18"/>
              </w:rPr>
              <w:t>P</w:t>
            </w:r>
            <w:r w:rsidR="00884BD5" w:rsidRPr="00884BD5">
              <w:rPr>
                <w:sz w:val="18"/>
                <w:szCs w:val="18"/>
              </w:rPr>
              <w:t>odnikatelské prostředí</w:t>
            </w:r>
            <w:r w:rsidR="005C30DD">
              <w:rPr>
                <w:sz w:val="18"/>
                <w:szCs w:val="18"/>
              </w:rPr>
              <w:t>:</w:t>
            </w:r>
          </w:p>
        </w:tc>
        <w:tc>
          <w:tcPr>
            <w:tcW w:w="5103" w:type="dxa"/>
          </w:tcPr>
          <w:p w:rsidR="00884BD5" w:rsidRPr="00884BD5" w:rsidRDefault="00376360" w:rsidP="008B3A2F">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Sníž</w:t>
            </w:r>
            <w:r w:rsidR="008B3A2F">
              <w:rPr>
                <w:sz w:val="18"/>
                <w:szCs w:val="18"/>
              </w:rPr>
              <w:t>ení</w:t>
            </w:r>
            <w:r w:rsidRPr="00376360">
              <w:rPr>
                <w:sz w:val="18"/>
                <w:szCs w:val="18"/>
              </w:rPr>
              <w:t xml:space="preserve"> administrativní zátěž</w:t>
            </w:r>
            <w:r w:rsidR="008B3A2F">
              <w:rPr>
                <w:sz w:val="18"/>
                <w:szCs w:val="18"/>
              </w:rPr>
              <w:t>e</w:t>
            </w:r>
            <w:r w:rsidRPr="00376360">
              <w:rPr>
                <w:sz w:val="18"/>
                <w:szCs w:val="18"/>
              </w:rPr>
              <w:t xml:space="preserve"> podnikatelů oproti roku 2005 o </w:t>
            </w:r>
            <w:r w:rsidRPr="006A23B5">
              <w:rPr>
                <w:b/>
                <w:sz w:val="18"/>
                <w:szCs w:val="18"/>
              </w:rPr>
              <w:t>30 %</w:t>
            </w:r>
            <w:r w:rsidRPr="00376360">
              <w:rPr>
                <w:sz w:val="18"/>
                <w:szCs w:val="18"/>
              </w:rPr>
              <w:t>.</w:t>
            </w:r>
          </w:p>
        </w:tc>
        <w:tc>
          <w:tcPr>
            <w:tcW w:w="1079" w:type="dxa"/>
          </w:tcPr>
          <w:p w:rsidR="00884BD5" w:rsidRPr="00884BD5" w:rsidRDefault="00884BD5"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p>
        </w:tc>
        <w:tc>
          <w:tcPr>
            <w:tcW w:w="1079" w:type="dxa"/>
          </w:tcPr>
          <w:p w:rsidR="00884BD5" w:rsidRPr="00884BD5" w:rsidRDefault="008450A2" w:rsidP="0092234B">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8450A2">
              <w:rPr>
                <w:sz w:val="18"/>
                <w:szCs w:val="18"/>
              </w:rPr>
              <w:t>23,36 %</w:t>
            </w:r>
          </w:p>
        </w:tc>
      </w:tr>
      <w:tr w:rsidR="001E6A12" w:rsidTr="001E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884BD5" w:rsidRPr="004468AD" w:rsidRDefault="00D50BCD" w:rsidP="004468AD">
            <w:pPr>
              <w:spacing w:after="0"/>
              <w:jc w:val="left"/>
              <w:rPr>
                <w:sz w:val="18"/>
                <w:szCs w:val="18"/>
              </w:rPr>
            </w:pPr>
            <w:r>
              <w:rPr>
                <w:sz w:val="18"/>
                <w:szCs w:val="18"/>
              </w:rPr>
              <w:t xml:space="preserve">Výzkum, </w:t>
            </w:r>
            <w:r w:rsidR="004468AD" w:rsidRPr="004468AD">
              <w:rPr>
                <w:sz w:val="18"/>
                <w:szCs w:val="18"/>
              </w:rPr>
              <w:t>vývoj</w:t>
            </w:r>
            <w:r>
              <w:rPr>
                <w:sz w:val="18"/>
                <w:szCs w:val="18"/>
              </w:rPr>
              <w:t xml:space="preserve"> a</w:t>
            </w:r>
            <w:r w:rsidR="00204478">
              <w:rPr>
                <w:sz w:val="18"/>
                <w:szCs w:val="18"/>
              </w:rPr>
              <w:t> </w:t>
            </w:r>
            <w:r>
              <w:rPr>
                <w:sz w:val="18"/>
                <w:szCs w:val="18"/>
              </w:rPr>
              <w:t>inovace</w:t>
            </w:r>
            <w:r w:rsidR="004468AD">
              <w:rPr>
                <w:sz w:val="18"/>
                <w:szCs w:val="18"/>
              </w:rPr>
              <w:t>:</w:t>
            </w:r>
          </w:p>
        </w:tc>
        <w:tc>
          <w:tcPr>
            <w:tcW w:w="5103" w:type="dxa"/>
          </w:tcPr>
          <w:p w:rsidR="00884BD5" w:rsidRPr="00884BD5" w:rsidRDefault="00376360"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Dosáhnout </w:t>
            </w:r>
            <w:r w:rsidR="0092234B">
              <w:rPr>
                <w:sz w:val="18"/>
                <w:szCs w:val="18"/>
              </w:rPr>
              <w:t xml:space="preserve">úrovně </w:t>
            </w:r>
            <w:r>
              <w:rPr>
                <w:sz w:val="18"/>
                <w:szCs w:val="18"/>
              </w:rPr>
              <w:t>veřejných výdajů</w:t>
            </w:r>
            <w:r w:rsidRPr="00376360">
              <w:rPr>
                <w:sz w:val="18"/>
                <w:szCs w:val="18"/>
              </w:rPr>
              <w:t xml:space="preserve"> na vědu, </w:t>
            </w:r>
            <w:r>
              <w:rPr>
                <w:sz w:val="18"/>
                <w:szCs w:val="18"/>
              </w:rPr>
              <w:t>výzkum, vývoj a</w:t>
            </w:r>
            <w:r w:rsidR="00204478">
              <w:rPr>
                <w:sz w:val="18"/>
                <w:szCs w:val="18"/>
              </w:rPr>
              <w:t> </w:t>
            </w:r>
            <w:r>
              <w:rPr>
                <w:sz w:val="18"/>
                <w:szCs w:val="18"/>
              </w:rPr>
              <w:t xml:space="preserve">inovace v ČR </w:t>
            </w:r>
            <w:r w:rsidR="0092234B">
              <w:rPr>
                <w:sz w:val="18"/>
                <w:szCs w:val="18"/>
              </w:rPr>
              <w:t xml:space="preserve">ve výši </w:t>
            </w:r>
            <w:r w:rsidRPr="00210EFC">
              <w:rPr>
                <w:b/>
                <w:sz w:val="18"/>
                <w:szCs w:val="18"/>
              </w:rPr>
              <w:t xml:space="preserve">1 % </w:t>
            </w:r>
            <w:r w:rsidRPr="00210EFC">
              <w:rPr>
                <w:sz w:val="18"/>
                <w:szCs w:val="18"/>
              </w:rPr>
              <w:t>HDP</w:t>
            </w:r>
            <w:r w:rsidRPr="00376360">
              <w:rPr>
                <w:sz w:val="18"/>
                <w:szCs w:val="18"/>
              </w:rPr>
              <w:t>.</w:t>
            </w:r>
          </w:p>
        </w:tc>
        <w:tc>
          <w:tcPr>
            <w:tcW w:w="1079" w:type="dxa"/>
          </w:tcPr>
          <w:p w:rsidR="00884BD5" w:rsidRPr="00884BD5" w:rsidRDefault="008450A2" w:rsidP="0092234B">
            <w:pPr>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0,62 %</w:t>
            </w:r>
          </w:p>
        </w:tc>
        <w:tc>
          <w:tcPr>
            <w:tcW w:w="1079" w:type="dxa"/>
          </w:tcPr>
          <w:p w:rsidR="00884BD5" w:rsidRPr="00884BD5" w:rsidRDefault="000A4BFA" w:rsidP="003E5967">
            <w:pPr>
              <w:keepNext/>
              <w:spacing w:after="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1,0</w:t>
            </w:r>
            <w:r w:rsidR="003E5967">
              <w:rPr>
                <w:sz w:val="18"/>
                <w:szCs w:val="18"/>
              </w:rPr>
              <w:t>3</w:t>
            </w:r>
            <w:r>
              <w:rPr>
                <w:sz w:val="18"/>
                <w:szCs w:val="18"/>
              </w:rPr>
              <w:t xml:space="preserve"> %</w:t>
            </w:r>
          </w:p>
        </w:tc>
      </w:tr>
    </w:tbl>
    <w:p w:rsidR="006E7AAE" w:rsidRDefault="00E867B0" w:rsidP="00E867B0">
      <w:pPr>
        <w:pStyle w:val="Titulek"/>
        <w:jc w:val="right"/>
        <w:rPr>
          <w:highlight w:val="yellow"/>
        </w:rPr>
      </w:pPr>
      <w:r>
        <w:t xml:space="preserve">Zdroj: </w:t>
      </w:r>
      <w:proofErr w:type="spellStart"/>
      <w:r w:rsidR="001A20ED">
        <w:t>Eurostat</w:t>
      </w:r>
      <w:proofErr w:type="spellEnd"/>
      <w:r w:rsidR="001A20ED">
        <w:t xml:space="preserve">, </w:t>
      </w:r>
      <w:r>
        <w:t>MPSV, MF, ČSÚ</w:t>
      </w:r>
      <w:r w:rsidR="00CB37CE">
        <w:t>, MPO, MŠMT</w:t>
      </w:r>
    </w:p>
    <w:p w:rsidR="00505E77" w:rsidRDefault="00505E77" w:rsidP="00365D07">
      <w:pPr>
        <w:pStyle w:val="Nadpis3"/>
      </w:pPr>
      <w:bookmarkStart w:id="39" w:name="_Toc385339509"/>
      <w:r>
        <w:t>Zaměstnanost</w:t>
      </w:r>
      <w:bookmarkEnd w:id="39"/>
    </w:p>
    <w:p w:rsidR="00365D07" w:rsidRDefault="00365D07" w:rsidP="00365D07">
      <w:pPr>
        <w:rPr>
          <w:highlight w:val="yellow"/>
        </w:rPr>
      </w:pPr>
      <w:r w:rsidRPr="003B300D">
        <w:t>V ČR došlo k poklesu míry zaměstnanosti v důsledku hospodářské krize v letech 2009</w:t>
      </w:r>
      <w:r>
        <w:t xml:space="preserve"> až </w:t>
      </w:r>
      <w:r w:rsidRPr="003B300D">
        <w:t>2010, od roku 2011 dochází opět ke zvyšování míry zaměstnanosti, která už se</w:t>
      </w:r>
      <w:r>
        <w:t xml:space="preserve"> dostává na předkrizovou úroveň</w:t>
      </w:r>
      <w:r w:rsidRPr="003B300D">
        <w:t xml:space="preserve">, i přes relativně slabé hospodářské oživení. Významného pokroku bylo dosaženo zejména v zaměstnanosti starších osob </w:t>
      </w:r>
      <w:r>
        <w:t>a částečně i žen</w:t>
      </w:r>
      <w:r w:rsidRPr="003B300D">
        <w:t xml:space="preserve">. </w:t>
      </w:r>
      <w:r w:rsidR="00A91E1E" w:rsidRPr="003B300D">
        <w:t>U národních cílů nezaměstnanosti mládeže a osob s nízkou kvalifikací situaci  přes dílčí zlepšení v minulém roce  komplikuje přetrvávající nedostatek nových pracovních míst.</w:t>
      </w:r>
      <w:r w:rsidR="00CA7185">
        <w:t xml:space="preserve"> </w:t>
      </w:r>
    </w:p>
    <w:p w:rsidR="00A91E1E" w:rsidRDefault="00A91E1E" w:rsidP="00A91E1E">
      <w:pPr>
        <w:pStyle w:val="Titulek"/>
        <w:keepNext/>
      </w:pPr>
      <w:r>
        <w:lastRenderedPageBreak/>
        <w:t xml:space="preserve">Graf </w:t>
      </w:r>
      <w:fldSimple w:instr=" SEQ Graf \* ARABIC ">
        <w:r w:rsidR="001439D0">
          <w:rPr>
            <w:noProof/>
          </w:rPr>
          <w:t>5</w:t>
        </w:r>
      </w:fldSimple>
      <w:r>
        <w:t xml:space="preserve">: Plnění národních cílů v oblasti </w:t>
      </w:r>
      <w:r w:rsidR="008C4160">
        <w:t>zaměstnanosti</w:t>
      </w:r>
      <w:r>
        <w:rPr>
          <w:rStyle w:val="Znakapoznpodarou"/>
        </w:rPr>
        <w:footnoteReference w:id="19"/>
      </w:r>
    </w:p>
    <w:p w:rsidR="00A91E1E" w:rsidRDefault="00A91E1E" w:rsidP="005F1C33">
      <w:r>
        <w:rPr>
          <w:noProof/>
          <w:lang w:eastAsia="cs-CZ"/>
        </w:rPr>
        <w:drawing>
          <wp:inline distT="0" distB="0" distL="0" distR="0" wp14:anchorId="08482842" wp14:editId="533D1197">
            <wp:extent cx="5760720" cy="2657428"/>
            <wp:effectExtent l="0" t="0" r="11430" b="1016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81DE3" w:rsidRDefault="00A91E1E" w:rsidP="00A91E1E">
      <w:pPr>
        <w:pStyle w:val="Titulek"/>
        <w:jc w:val="right"/>
      </w:pPr>
      <w:r>
        <w:t xml:space="preserve">Zdroj: MPSV, 2014 </w:t>
      </w:r>
    </w:p>
    <w:p w:rsidR="00A91E1E" w:rsidRDefault="00A91E1E" w:rsidP="00A91E1E">
      <w:pPr>
        <w:pStyle w:val="Titulek"/>
        <w:keepNext/>
      </w:pPr>
      <w:r>
        <w:t xml:space="preserve">Graf </w:t>
      </w:r>
      <w:fldSimple w:instr=" SEQ Graf \* ARABIC ">
        <w:r w:rsidR="001439D0">
          <w:rPr>
            <w:noProof/>
          </w:rPr>
          <w:t>6</w:t>
        </w:r>
      </w:fldSimple>
      <w:r>
        <w:t>: Plnění národních cílů v oblasti ne</w:t>
      </w:r>
      <w:r w:rsidR="008C4160">
        <w:t>zaměstnanosti</w:t>
      </w:r>
      <w:r>
        <w:rPr>
          <w:rStyle w:val="Znakapoznpodarou"/>
        </w:rPr>
        <w:footnoteReference w:id="20"/>
      </w:r>
    </w:p>
    <w:p w:rsidR="00A91E1E" w:rsidRDefault="00A91E1E" w:rsidP="00A91E1E">
      <w:pPr>
        <w:keepNext/>
      </w:pPr>
      <w:r>
        <w:rPr>
          <w:noProof/>
          <w:lang w:eastAsia="cs-CZ"/>
        </w:rPr>
        <w:drawing>
          <wp:inline distT="0" distB="0" distL="0" distR="0" wp14:anchorId="68D8AEBC" wp14:editId="5BB45D2E">
            <wp:extent cx="5760720" cy="2657428"/>
            <wp:effectExtent l="0" t="0" r="11430" b="1016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91E1E" w:rsidRPr="00A91E1E" w:rsidRDefault="00A91E1E" w:rsidP="00A91E1E">
      <w:pPr>
        <w:pStyle w:val="Titulek"/>
        <w:jc w:val="right"/>
      </w:pPr>
      <w:r>
        <w:t>Zdroj: MPSV, 2014</w:t>
      </w:r>
    </w:p>
    <w:p w:rsidR="00505E77" w:rsidRDefault="00505E77" w:rsidP="00505E77">
      <w:pPr>
        <w:pStyle w:val="Nadpis3"/>
      </w:pPr>
      <w:bookmarkStart w:id="40" w:name="_Toc385339510"/>
      <w:r w:rsidRPr="00505E77">
        <w:t>Boj proti chudobě a sociálnímu vyloučení</w:t>
      </w:r>
      <w:bookmarkEnd w:id="40"/>
    </w:p>
    <w:p w:rsidR="003B300D" w:rsidRDefault="003B300D" w:rsidP="007241D9">
      <w:pPr>
        <w:rPr>
          <w:rFonts w:cs="Arial"/>
          <w:bCs/>
          <w:szCs w:val="21"/>
        </w:rPr>
      </w:pPr>
    </w:p>
    <w:p w:rsidR="0067162F" w:rsidRDefault="0067162F" w:rsidP="0067162F">
      <w:r>
        <w:t xml:space="preserve">Pokud jde o míru ohrožení chudobou a sociálním vyloučením, došlo podle posledních srovnatelných údajů </w:t>
      </w:r>
      <w:proofErr w:type="spellStart"/>
      <w:r>
        <w:t>Eurostatu</w:t>
      </w:r>
      <w:proofErr w:type="spellEnd"/>
      <w:r>
        <w:t xml:space="preserve"> v roce 2012 oproti roku 2008 k jejímu navýšení o 0,1 procentního bodu na 15,4 %, což bylo cca 1 580 tisíc osob. V rámci tohoto komplexního ukazatele si stojí ČR velmi dobře (podíl ohrožených osob je v</w:t>
      </w:r>
      <w:r w:rsidR="00B60F3B">
        <w:t> </w:t>
      </w:r>
      <w:r>
        <w:t xml:space="preserve">ČR druhý nejnižší ze všech zemí EU - dle údajů </w:t>
      </w:r>
      <w:proofErr w:type="spellStart"/>
      <w:r>
        <w:t>Eurostatu</w:t>
      </w:r>
      <w:proofErr w:type="spellEnd"/>
      <w:r>
        <w:t xml:space="preserve"> průměr EU-28 činil 24,8 %).  </w:t>
      </w:r>
    </w:p>
    <w:p w:rsidR="0067162F" w:rsidRDefault="0067162F" w:rsidP="0067162F">
      <w:r>
        <w:t xml:space="preserve">Míra ohrožení příjmovou chudobou se mezi roky 2012 a 2013 snížila z 9,6 % na 8,5 %. Příjmovou chudobou bylo v roce 2013 v ČR ohroženo 872 tisíc osob (podle předběžných údajů o 118 tisíc osob méně </w:t>
      </w:r>
      <w:r>
        <w:lastRenderedPageBreak/>
        <w:t xml:space="preserve">než v roce 2012). V tomto ukazateli ČR dlouhodobě dosahuje nejlepších výsledků z celé EU (průměr EU 28 v roce 2012 byl 17,0 %). </w:t>
      </w:r>
    </w:p>
    <w:p w:rsidR="0067162F" w:rsidRDefault="0067162F" w:rsidP="0067162F">
      <w:r>
        <w:t xml:space="preserve">Chudobou byly podle předběžných údajů v roce 2013 ohroženy častěji ženy (9,3 % všech žen) než muži (7,6 % všech mužů). Nejvíce byly chudobou ohroženy osoby v neúplných rodinách (27,7 % osob z těchto rodin) a zejména v domácnostech nezaměstnaných (43,4 % osob z těchto rodin), kde jejich počet poměrně výrazně vzrostl o více než 3 procentní body následkem zvýšení dlouhodobé nezaměstnanosti. Obrat v předchozím trendu snižování míry ohrožení příjmovou chudobou u nezaměstnaných osob nastal již v roce 2010 v důsledku zpomalení růstu příjmů domácností počínaje rokem 2009 v souvislosti s dopady světové finanční krize. </w:t>
      </w:r>
    </w:p>
    <w:p w:rsidR="0067162F" w:rsidRDefault="0067162F" w:rsidP="0067162F">
      <w:r>
        <w:t>Naopak míra materiální deprivace v celé populaci zůstala podle předběžných výsledků v roce 2013 zhruba na stejné úrovni jako v roce 2012, a to na úrovni 6,6 % s tím, že se i nadále objevují větší rozdíly v její koncentraci v rámci celkové populace, zejména v členění podle jednotlivých typů domácností</w:t>
      </w:r>
    </w:p>
    <w:p w:rsidR="007D2353" w:rsidRDefault="007D2353" w:rsidP="007D2353">
      <w:pPr>
        <w:pStyle w:val="Titulek"/>
        <w:keepNext/>
      </w:pPr>
      <w:r>
        <w:t xml:space="preserve">Graf </w:t>
      </w:r>
      <w:fldSimple w:instr=" SEQ Graf \* ARABIC ">
        <w:r w:rsidR="001439D0">
          <w:rPr>
            <w:noProof/>
          </w:rPr>
          <w:t>7</w:t>
        </w:r>
      </w:fldSimple>
      <w:r>
        <w:t>:</w:t>
      </w:r>
      <w:r w:rsidRPr="007D2353">
        <w:t xml:space="preserve"> Obyvatelstvo ČR ohrožené chudobou nebo sociálním vyloučením</w:t>
      </w:r>
    </w:p>
    <w:p w:rsidR="002C00CB" w:rsidRDefault="003648CA" w:rsidP="002C00CB">
      <w:pPr>
        <w:keepNext/>
      </w:pPr>
      <w:r>
        <w:rPr>
          <w:noProof/>
          <w:lang w:eastAsia="cs-CZ"/>
        </w:rPr>
        <w:drawing>
          <wp:inline distT="0" distB="0" distL="0" distR="0" wp14:anchorId="3167835B" wp14:editId="6B270522">
            <wp:extent cx="5764696" cy="2727298"/>
            <wp:effectExtent l="0" t="0" r="26670" b="1651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A6AEC" w:rsidRDefault="002C00CB" w:rsidP="002C00CB">
      <w:pPr>
        <w:pStyle w:val="Titulek"/>
        <w:jc w:val="right"/>
      </w:pPr>
      <w:r>
        <w:t>Zdroj: MPSV, 2014</w:t>
      </w:r>
    </w:p>
    <w:p w:rsidR="00073235" w:rsidRDefault="004468AD" w:rsidP="004468AD">
      <w:pPr>
        <w:pStyle w:val="Nadpis3"/>
      </w:pPr>
      <w:bookmarkStart w:id="41" w:name="_Toc385339511"/>
      <w:r>
        <w:t>Vzdělávání</w:t>
      </w:r>
      <w:bookmarkEnd w:id="41"/>
    </w:p>
    <w:p w:rsidR="004468AD" w:rsidRDefault="004B2798" w:rsidP="004468AD">
      <w:r>
        <w:t>V roce 2012 bylo dosaženo hodnoty národního cíle ČR, tzn. 5,5 % osob předčasně odcházejících ze vzdělávání. Ve srovnání se zeměmi EU je tedy ČR v plnění cíle úspěšná (p</w:t>
      </w:r>
      <w:r w:rsidR="00E52A96">
        <w:t>růměr EU za rok 2012 činil 12,7 </w:t>
      </w:r>
      <w:r>
        <w:t>%), oproti předchozímu období však došlo k mírnému navýšení (2010 a 2011 4,9 %). Nejčastěji se mezi osobami předčasně odcházejícími ze vzdělávání vyskytují sociálně ohrožení, migranti a neúspěšní maturanti, jejichž počet se zvýšil po zavedení státní maturitní zkoušky. V roce 2012 mělo 25,6 % osob ve</w:t>
      </w:r>
      <w:r w:rsidR="00B60F3B">
        <w:t> </w:t>
      </w:r>
      <w:r>
        <w:t>věku 30 - 34 let dokončené terciární vzdělání. Vzestupná tendence tedy odpovídá postupné</w:t>
      </w:r>
      <w:r w:rsidR="00B60F3B">
        <w:t xml:space="preserve">mu naplňování cíle, přičemž v následujícím období bude pečlivěji sledována kvalita vysokoškolského vzdělávání. </w:t>
      </w:r>
    </w:p>
    <w:p w:rsidR="00A2680E" w:rsidRDefault="00A2680E" w:rsidP="00A2680E">
      <w:pPr>
        <w:pStyle w:val="Titulek"/>
        <w:keepNext/>
      </w:pPr>
      <w:r>
        <w:lastRenderedPageBreak/>
        <w:t xml:space="preserve">Graf </w:t>
      </w:r>
      <w:fldSimple w:instr=" SEQ Graf \* ARABIC ">
        <w:r w:rsidR="001439D0">
          <w:rPr>
            <w:noProof/>
          </w:rPr>
          <w:t>8</w:t>
        </w:r>
      </w:fldSimple>
      <w:r>
        <w:t xml:space="preserve">: Počet osob </w:t>
      </w:r>
      <w:r w:rsidRPr="00A2680E">
        <w:t xml:space="preserve">předčasně odcházející ze vzdělávání </w:t>
      </w:r>
      <w:r w:rsidR="002C7E5D">
        <w:t>a počet osob s terciár</w:t>
      </w:r>
      <w:r>
        <w:t xml:space="preserve">ním vzdáváním </w:t>
      </w:r>
      <w:r w:rsidRPr="00A2680E">
        <w:t>(v %)</w:t>
      </w:r>
    </w:p>
    <w:p w:rsidR="00A2680E" w:rsidRDefault="00A2680E" w:rsidP="00A2680E">
      <w:pPr>
        <w:keepNext/>
      </w:pPr>
      <w:r>
        <w:rPr>
          <w:noProof/>
          <w:lang w:eastAsia="cs-CZ"/>
        </w:rPr>
        <w:drawing>
          <wp:inline distT="0" distB="0" distL="0" distR="0" wp14:anchorId="52FCE9B4" wp14:editId="4B9E7E13">
            <wp:extent cx="5724939" cy="2075291"/>
            <wp:effectExtent l="0" t="0" r="9525" b="2032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A6AEC" w:rsidRDefault="00A2680E" w:rsidP="00A2680E">
      <w:pPr>
        <w:pStyle w:val="Titulek"/>
        <w:jc w:val="right"/>
      </w:pPr>
      <w:r>
        <w:t xml:space="preserve">Zdroj: </w:t>
      </w:r>
      <w:proofErr w:type="spellStart"/>
      <w:r>
        <w:t>Eurostat</w:t>
      </w:r>
      <w:proofErr w:type="spellEnd"/>
      <w:r>
        <w:t xml:space="preserve">, 2014 </w:t>
      </w:r>
    </w:p>
    <w:p w:rsidR="008450A2" w:rsidRDefault="008450A2" w:rsidP="008450A2">
      <w:pPr>
        <w:pStyle w:val="Nadpis3"/>
      </w:pPr>
      <w:bookmarkStart w:id="42" w:name="_Toc385339512"/>
      <w:r w:rsidRPr="008450A2">
        <w:t>Zlepš</w:t>
      </w:r>
      <w:r>
        <w:t>ování podnikatelského prostředí</w:t>
      </w:r>
      <w:bookmarkEnd w:id="42"/>
    </w:p>
    <w:p w:rsidR="004468AD" w:rsidRDefault="008450A2" w:rsidP="006E7AAE">
      <w:r w:rsidRPr="008450A2">
        <w:t>Ke konci roku 2012 bylo dosaženo snížení administrativní zátěže o 17</w:t>
      </w:r>
      <w:r>
        <w:t>,2 mld. Kč, tj. snížení o 23,36 </w:t>
      </w:r>
      <w:r w:rsidRPr="008450A2">
        <w:t xml:space="preserve">% </w:t>
      </w:r>
      <w:r w:rsidR="00550939">
        <w:t xml:space="preserve">oproti zátěži vyčíslené v roce 2005 u </w:t>
      </w:r>
      <w:r w:rsidR="00D000B5">
        <w:t xml:space="preserve">šesti </w:t>
      </w:r>
      <w:r w:rsidR="00550939">
        <w:t>sledovaných resortů (tj. 73,7 mld. Kč). Necelé 2</w:t>
      </w:r>
      <w:r w:rsidR="006223E9">
        <w:t xml:space="preserve"> </w:t>
      </w:r>
      <w:r w:rsidR="00550939">
        <w:t>% představují přijatá opatření, u nichž nebylo možné provést výpočet z důvodu neexistence dat. Lze však říci, že plánované snížení o 25</w:t>
      </w:r>
      <w:r w:rsidR="00E52A96">
        <w:t> </w:t>
      </w:r>
      <w:r w:rsidR="00550939">
        <w:t>% bylo naplněno. Celková zátěž v roce 2005 pro všechny orgány státní správy činila 86,4 mld. Kč.</w:t>
      </w:r>
    </w:p>
    <w:p w:rsidR="00550939" w:rsidRDefault="00550939" w:rsidP="00550939">
      <w:pPr>
        <w:pStyle w:val="Titulek"/>
        <w:keepNext/>
      </w:pPr>
      <w:r>
        <w:t xml:space="preserve">Graf </w:t>
      </w:r>
      <w:fldSimple w:instr=" SEQ Graf \* ARABIC ">
        <w:r w:rsidR="001439D0">
          <w:rPr>
            <w:noProof/>
          </w:rPr>
          <w:t>9</w:t>
        </w:r>
      </w:fldSimple>
      <w:r>
        <w:t xml:space="preserve">: Snižování </w:t>
      </w:r>
      <w:r w:rsidRPr="00550939">
        <w:t>administrativní zátěže</w:t>
      </w:r>
      <w:r>
        <w:t xml:space="preserve"> </w:t>
      </w:r>
      <w:r w:rsidRPr="00550939">
        <w:t>oproti zátěži vyčíslené v roce 2005</w:t>
      </w:r>
    </w:p>
    <w:p w:rsidR="00550939" w:rsidRDefault="00550939" w:rsidP="00550939">
      <w:pPr>
        <w:keepNext/>
      </w:pPr>
      <w:r>
        <w:rPr>
          <w:noProof/>
          <w:lang w:eastAsia="cs-CZ"/>
        </w:rPr>
        <w:drawing>
          <wp:inline distT="0" distB="0" distL="0" distR="0" wp14:anchorId="1A577705" wp14:editId="287DC5AC">
            <wp:extent cx="5796501" cy="2234317"/>
            <wp:effectExtent l="0" t="0" r="13970" b="1397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50939" w:rsidRDefault="00550939" w:rsidP="00550939">
      <w:pPr>
        <w:pStyle w:val="Titulek"/>
        <w:jc w:val="right"/>
        <w:rPr>
          <w:highlight w:val="yellow"/>
        </w:rPr>
      </w:pPr>
      <w:r>
        <w:t>Zdroj: MPO, 2014</w:t>
      </w:r>
    </w:p>
    <w:p w:rsidR="00073235" w:rsidRDefault="00D50BCD" w:rsidP="00D50BCD">
      <w:pPr>
        <w:pStyle w:val="Nadpis3"/>
      </w:pPr>
      <w:bookmarkStart w:id="43" w:name="_Toc385339513"/>
      <w:r>
        <w:t>Výzkum, vývoj a inovace</w:t>
      </w:r>
      <w:bookmarkEnd w:id="43"/>
    </w:p>
    <w:p w:rsidR="00D50BCD" w:rsidRDefault="00CD363D" w:rsidP="00D50BCD">
      <w:r w:rsidRPr="00073235">
        <w:t xml:space="preserve">Celkové investice do </w:t>
      </w:r>
      <w:proofErr w:type="spellStart"/>
      <w:r w:rsidRPr="00073235">
        <w:t>VaVaI</w:t>
      </w:r>
      <w:proofErr w:type="spellEnd"/>
      <w:r w:rsidRPr="00073235">
        <w:t xml:space="preserve"> od roku 1993 kontinuálně stoupají a v roce 2012 dosáhl</w:t>
      </w:r>
      <w:r>
        <w:t>y</w:t>
      </w:r>
      <w:r w:rsidRPr="00073235">
        <w:t xml:space="preserve"> výše </w:t>
      </w:r>
      <w:r>
        <w:t>72,36</w:t>
      </w:r>
      <w:r w:rsidRPr="00073235">
        <w:t xml:space="preserve"> mld. Kč a</w:t>
      </w:r>
      <w:r w:rsidR="00B60F3B">
        <w:t> </w:t>
      </w:r>
      <w:r w:rsidRPr="00073235">
        <w:t xml:space="preserve">podíl skutečných celkových výdajů tak představoval </w:t>
      </w:r>
      <w:r>
        <w:t>1,88 </w:t>
      </w:r>
      <w:r w:rsidRPr="00073235">
        <w:t xml:space="preserve">% HDP. </w:t>
      </w:r>
      <w:r>
        <w:t>Celková výše veřejných výdajů na</w:t>
      </w:r>
      <w:r w:rsidR="00B60F3B">
        <w:t xml:space="preserve">  </w:t>
      </w:r>
      <w:r>
        <w:t xml:space="preserve">podporu </w:t>
      </w:r>
      <w:proofErr w:type="spellStart"/>
      <w:r>
        <w:t>VaVaI</w:t>
      </w:r>
      <w:proofErr w:type="spellEnd"/>
      <w:r>
        <w:t xml:space="preserve"> </w:t>
      </w:r>
      <w:r w:rsidRPr="00232DE9">
        <w:t>dosáhla</w:t>
      </w:r>
      <w:r>
        <w:t xml:space="preserve"> v</w:t>
      </w:r>
      <w:r w:rsidRPr="00232DE9">
        <w:t xml:space="preserve"> roce 2012</w:t>
      </w:r>
      <w:r>
        <w:t xml:space="preserve"> </w:t>
      </w:r>
      <w:r w:rsidRPr="00232DE9">
        <w:t>39,1 mld. Kč</w:t>
      </w:r>
      <w:r>
        <w:rPr>
          <w:rStyle w:val="Znakapoznpodarou"/>
        </w:rPr>
        <w:footnoteReference w:id="21"/>
      </w:r>
      <w:r w:rsidR="00F72EA9">
        <w:t>. D</w:t>
      </w:r>
      <w:r>
        <w:t xml:space="preserve">ošlo </w:t>
      </w:r>
      <w:r w:rsidR="00F72EA9">
        <w:t xml:space="preserve">tak </w:t>
      </w:r>
      <w:r>
        <w:t>k navýšení</w:t>
      </w:r>
      <w:r w:rsidRPr="00232DE9">
        <w:t xml:space="preserve"> </w:t>
      </w:r>
      <w:r>
        <w:t>veřejných</w:t>
      </w:r>
      <w:r w:rsidRPr="00232DE9">
        <w:t xml:space="preserve"> výdajů </w:t>
      </w:r>
      <w:r>
        <w:t>v této oblasti</w:t>
      </w:r>
      <w:r w:rsidRPr="00232DE9">
        <w:t xml:space="preserve"> </w:t>
      </w:r>
      <w:r>
        <w:t xml:space="preserve">na 1,02 % HDP a </w:t>
      </w:r>
      <w:r w:rsidR="00854F13">
        <w:t xml:space="preserve">formálnímu </w:t>
      </w:r>
      <w:r>
        <w:t xml:space="preserve">splnění národního cíle v rámci Strategie Evropa 2020. V roce 2013 </w:t>
      </w:r>
      <w:r w:rsidR="00A3476E">
        <w:t>byla celkově vyčerpána částka 39,8 mld. Kč veřejných výdajů</w:t>
      </w:r>
      <w:r w:rsidR="00F1645F">
        <w:rPr>
          <w:rStyle w:val="Znakapoznpodarou"/>
        </w:rPr>
        <w:footnoteReference w:id="22"/>
      </w:r>
      <w:r w:rsidR="00A3476E">
        <w:t xml:space="preserve"> </w:t>
      </w:r>
      <w:r w:rsidR="00F1645F">
        <w:t xml:space="preserve">a tedy </w:t>
      </w:r>
      <w:r w:rsidR="00A3476E">
        <w:t>zvýšení o 0,7 mld. oproti předchozímu roku.</w:t>
      </w:r>
      <w:r>
        <w:t xml:space="preserve"> Celkový </w:t>
      </w:r>
      <w:r w:rsidRPr="008951B4">
        <w:t>trend</w:t>
      </w:r>
      <w:r>
        <w:t xml:space="preserve"> </w:t>
      </w:r>
      <w:r w:rsidRPr="008951B4">
        <w:t>navyšování výdajů</w:t>
      </w:r>
      <w:r>
        <w:t xml:space="preserve"> </w:t>
      </w:r>
      <w:r w:rsidRPr="008951B4">
        <w:t xml:space="preserve">od roku 2010 </w:t>
      </w:r>
      <w:r>
        <w:t xml:space="preserve">je pozitivní a lze předpokládat, že v nadcházejících letech bude docházet k postupnému přibližování obecnému cíli EU, tj. veřejných a soukromých investic do </w:t>
      </w:r>
      <w:proofErr w:type="spellStart"/>
      <w:r>
        <w:t>VaVaI</w:t>
      </w:r>
      <w:proofErr w:type="spellEnd"/>
      <w:r>
        <w:t xml:space="preserve"> ve výši 3 % HDP</w:t>
      </w:r>
      <w:r w:rsidR="00D50BCD">
        <w:t>.</w:t>
      </w:r>
      <w:r w:rsidR="00657A43" w:rsidRPr="00657A43">
        <w:t xml:space="preserve"> </w:t>
      </w:r>
    </w:p>
    <w:p w:rsidR="00073235" w:rsidRDefault="00073235" w:rsidP="00E775E6"/>
    <w:p w:rsidR="00073235" w:rsidRDefault="00073235" w:rsidP="00073235">
      <w:pPr>
        <w:pStyle w:val="Titulek"/>
        <w:keepNext/>
      </w:pPr>
      <w:r>
        <w:t xml:space="preserve">Graf </w:t>
      </w:r>
      <w:fldSimple w:instr=" SEQ Graf \* ARABIC ">
        <w:r w:rsidR="001439D0">
          <w:rPr>
            <w:noProof/>
          </w:rPr>
          <w:t>10</w:t>
        </w:r>
      </w:fldSimple>
      <w:r>
        <w:t xml:space="preserve">: </w:t>
      </w:r>
      <w:r w:rsidRPr="001B1DC7">
        <w:t xml:space="preserve">Celkové výdaje na </w:t>
      </w:r>
      <w:proofErr w:type="spellStart"/>
      <w:r w:rsidRPr="001B1DC7">
        <w:t>VaV</w:t>
      </w:r>
      <w:proofErr w:type="spellEnd"/>
      <w:r w:rsidRPr="001B1DC7">
        <w:t xml:space="preserve"> </w:t>
      </w:r>
      <w:r w:rsidRPr="00C04289">
        <w:t xml:space="preserve">dle zdrojů jejich financování </w:t>
      </w:r>
      <w:r w:rsidRPr="001B1DC7">
        <w:t>(GERD)</w:t>
      </w:r>
    </w:p>
    <w:p w:rsidR="00073235" w:rsidRDefault="00073235" w:rsidP="00073235">
      <w:pPr>
        <w:keepNext/>
      </w:pPr>
      <w:r>
        <w:rPr>
          <w:noProof/>
          <w:lang w:eastAsia="cs-CZ"/>
        </w:rPr>
        <w:drawing>
          <wp:inline distT="0" distB="0" distL="0" distR="0" wp14:anchorId="7C151C91" wp14:editId="50F5D2A6">
            <wp:extent cx="5762445" cy="2656936"/>
            <wp:effectExtent l="0" t="0" r="10160" b="1016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73235" w:rsidRDefault="00073235" w:rsidP="001A20ED">
      <w:pPr>
        <w:pStyle w:val="Titulek"/>
        <w:jc w:val="right"/>
      </w:pPr>
      <w:r>
        <w:t xml:space="preserve">Zdroj: </w:t>
      </w:r>
      <w:r w:rsidRPr="001B1DC7">
        <w:t>Český statistický úřad 2013, Roční statistické šetření výzkumu a vývoje VTR 5-01</w:t>
      </w:r>
    </w:p>
    <w:p w:rsidR="008951B4" w:rsidRDefault="008951B4" w:rsidP="00073235"/>
    <w:p w:rsidR="00A12B3D" w:rsidRDefault="00A12B3D">
      <w:pPr>
        <w:spacing w:after="0"/>
        <w:ind w:firstLine="360"/>
        <w:jc w:val="left"/>
        <w:rPr>
          <w:rFonts w:asciiTheme="majorHAnsi" w:eastAsiaTheme="majorEastAsia" w:hAnsiTheme="majorHAnsi" w:cstheme="majorBidi"/>
          <w:b/>
          <w:bCs/>
          <w:color w:val="9D3511" w:themeColor="accent1" w:themeShade="BF"/>
          <w:sz w:val="30"/>
          <w:szCs w:val="24"/>
        </w:rPr>
      </w:pPr>
      <w:r>
        <w:br w:type="page"/>
      </w:r>
    </w:p>
    <w:p w:rsidR="008708C4" w:rsidRDefault="007C6B9F" w:rsidP="008708C4">
      <w:pPr>
        <w:pStyle w:val="Nadpis1"/>
      </w:pPr>
      <w:bookmarkStart w:id="44" w:name="_Toc385339514"/>
      <w:r>
        <w:lastRenderedPageBreak/>
        <w:t>R</w:t>
      </w:r>
      <w:r w:rsidR="008708C4">
        <w:t xml:space="preserve">eformní opatření </w:t>
      </w:r>
      <w:r w:rsidR="00A12B3D">
        <w:t>vlády</w:t>
      </w:r>
      <w:bookmarkEnd w:id="44"/>
    </w:p>
    <w:p w:rsidR="00A12B3D" w:rsidRDefault="00A12B3D" w:rsidP="00A12B3D">
      <w:r w:rsidRPr="002D6978">
        <w:t>Nad rámec reakce na doporučení Rady pro ČR pro rok 2013, vláda</w:t>
      </w:r>
      <w:r w:rsidR="000069CD" w:rsidRPr="002D6978">
        <w:t xml:space="preserve"> </w:t>
      </w:r>
      <w:r w:rsidR="002D6978">
        <w:t>hodlá realizovat další klíčová opatření, která přispějí k naplňování Strategie Evropa 2020 na národní úrovni a zároveň podpoří konkurencescho</w:t>
      </w:r>
      <w:r w:rsidR="002D6978">
        <w:t>p</w:t>
      </w:r>
      <w:r w:rsidR="002D6978">
        <w:t xml:space="preserve">nost a hospodářský růst ČR. Jedná se především o reformní opatření podporující makroekonomickou stabilitu a dlouhodobou udržitelnost veřejných financí, výkonnou státní správu, </w:t>
      </w:r>
      <w:r w:rsidR="005E0E61">
        <w:t>atraktivní</w:t>
      </w:r>
      <w:r w:rsidR="002D6978">
        <w:t xml:space="preserve"> podnikatelské prostředí, efektivní trh práce, </w:t>
      </w:r>
      <w:r w:rsidR="005E0E61">
        <w:t>sociální začleňování, rozvoj vzdělávání a příznivé prostředí pro výzkum a</w:t>
      </w:r>
      <w:r w:rsidR="00204478">
        <w:t> </w:t>
      </w:r>
      <w:r w:rsidR="005E0E61">
        <w:t xml:space="preserve">inovace. </w:t>
      </w:r>
      <w:r w:rsidR="00AF0E3E">
        <w:t xml:space="preserve">V návaznosti na </w:t>
      </w:r>
      <w:r w:rsidR="00855666">
        <w:t xml:space="preserve">programové </w:t>
      </w:r>
      <w:r w:rsidR="00AF0E3E">
        <w:t xml:space="preserve">prohlášení vláda považuje za nezbytné </w:t>
      </w:r>
      <w:r w:rsidR="00855666">
        <w:t>formulovat hospodářskou politiku</w:t>
      </w:r>
      <w:r w:rsidR="00AF0E3E">
        <w:t xml:space="preserve"> takovým způsobem, je</w:t>
      </w:r>
      <w:r w:rsidR="00855666">
        <w:t>n</w:t>
      </w:r>
      <w:r w:rsidR="00AF0E3E">
        <w:t>ž povede ke stabilizaci veřejných financí a zároveň posílí zdroje udržitelného růstu konkurenceschopnosti ČR.</w:t>
      </w:r>
    </w:p>
    <w:p w:rsidR="00E775E6" w:rsidRDefault="00366073" w:rsidP="00E775E6">
      <w:pPr>
        <w:pStyle w:val="Nadpis2"/>
        <w:numPr>
          <w:ilvl w:val="1"/>
          <w:numId w:val="4"/>
        </w:numPr>
        <w:ind w:left="851" w:hanging="851"/>
        <w:jc w:val="left"/>
      </w:pPr>
      <w:bookmarkStart w:id="45" w:name="_Toc385339515"/>
      <w:r>
        <w:t xml:space="preserve">Transparentní </w:t>
      </w:r>
      <w:r w:rsidR="00572FF8">
        <w:t>v</w:t>
      </w:r>
      <w:r w:rsidR="00E775E6" w:rsidRPr="00E775E6">
        <w:t>eřejné finance a efektivní instituce</w:t>
      </w:r>
      <w:bookmarkEnd w:id="45"/>
    </w:p>
    <w:p w:rsidR="009F1CCD" w:rsidRDefault="009F1CCD" w:rsidP="00E504FB">
      <w:r>
        <w:t xml:space="preserve">Klíčovými předpoklady pro podporu </w:t>
      </w:r>
      <w:r w:rsidR="00244888">
        <w:t xml:space="preserve">obnovy </w:t>
      </w:r>
      <w:r>
        <w:t xml:space="preserve">hospodářského růstu a zvyšování zaměstnanosti je stabilní makroekonomické prostředí a kvalitní, efektivní a korupci odolávající veřejná správa. </w:t>
      </w:r>
      <w:r w:rsidR="003477B1">
        <w:t xml:space="preserve">Opatření vlády </w:t>
      </w:r>
      <w:r w:rsidR="008D795B">
        <w:t>jsou</w:t>
      </w:r>
      <w:r w:rsidR="003477B1">
        <w:t xml:space="preserve"> cílena</w:t>
      </w:r>
      <w:r w:rsidR="00E40531">
        <w:t xml:space="preserve"> na zlepšení hospodaření státu </w:t>
      </w:r>
      <w:r w:rsidR="008D795B">
        <w:t xml:space="preserve">a </w:t>
      </w:r>
      <w:r w:rsidR="00F0472E">
        <w:t xml:space="preserve">efektivní a transparentní fungování veřejné správy, zejména v oblasti zacházení s veřejnými </w:t>
      </w:r>
      <w:r w:rsidR="008D795B">
        <w:t>prostředky.</w:t>
      </w:r>
      <w:r w:rsidR="00F0472E">
        <w:t xml:space="preserve">   </w:t>
      </w:r>
    </w:p>
    <w:p w:rsidR="00E775E6" w:rsidRDefault="008F49E3" w:rsidP="00334C4C">
      <w:pPr>
        <w:pStyle w:val="Nadpis3"/>
        <w:numPr>
          <w:ilvl w:val="2"/>
          <w:numId w:val="4"/>
        </w:numPr>
        <w:ind w:left="851" w:hanging="851"/>
      </w:pPr>
      <w:bookmarkStart w:id="46" w:name="_Toc385339516"/>
      <w:r>
        <w:t>Transparentní v</w:t>
      </w:r>
      <w:r w:rsidR="00E775E6">
        <w:t>eřejn</w:t>
      </w:r>
      <w:r w:rsidR="00070C80">
        <w:t>é finance</w:t>
      </w:r>
      <w:bookmarkEnd w:id="46"/>
      <w:r w:rsidR="00572FF8">
        <w:t xml:space="preserve"> </w:t>
      </w:r>
    </w:p>
    <w:p w:rsidR="00692DEB" w:rsidRDefault="00DC3489" w:rsidP="00692DEB">
      <w:r>
        <w:t xml:space="preserve">Cílem vlády je zajištění </w:t>
      </w:r>
      <w:r w:rsidR="00244888">
        <w:t xml:space="preserve">takových změn v daňové soustavě, které nebudou bránit hospodářskému růstu a přispějí k rovnoměrnější daňové zátěži i přiměřeným příjmům veřejných rozpočtů, a současně i </w:t>
      </w:r>
      <w:r>
        <w:t>efektivní</w:t>
      </w:r>
      <w:r w:rsidR="00AE2388">
        <w:t>mu</w:t>
      </w:r>
      <w:r w:rsidRPr="00684FC0">
        <w:t xml:space="preserve"> a transparentní</w:t>
      </w:r>
      <w:r w:rsidR="00AE2388">
        <w:t>mu</w:t>
      </w:r>
      <w:r w:rsidRPr="00684FC0">
        <w:t xml:space="preserve"> řízení výdajů </w:t>
      </w:r>
      <w:r w:rsidR="00244888">
        <w:t>státu</w:t>
      </w:r>
      <w:r>
        <w:t xml:space="preserve">, jehož součástí je mj. poskytování úplných informací veřejnosti. </w:t>
      </w:r>
    </w:p>
    <w:p w:rsidR="001D5BA8" w:rsidRPr="00334C4C" w:rsidRDefault="008F49E3" w:rsidP="000D759A">
      <w:pPr>
        <w:pStyle w:val="Nadpis4"/>
      </w:pPr>
      <w:r>
        <w:t>Zveřejňování rozpočtových informací</w:t>
      </w:r>
    </w:p>
    <w:p w:rsidR="005E0D88" w:rsidRDefault="00FB521C" w:rsidP="00070C80">
      <w:r>
        <w:t xml:space="preserve">V roce </w:t>
      </w:r>
      <w:r w:rsidRPr="005E0D88">
        <w:t xml:space="preserve">2013 byl dokončen projekt specializovaného informačního portálu (tzv. MONITOR), který umožňuje veřejnosti volný přístup k rozpočtovým a účetním informacím ze všech úrovní státní správy a samosprávy. </w:t>
      </w:r>
      <w:r>
        <w:t xml:space="preserve">V průběhu let 2014 a 2015 bude pokračovat rozšíření informačního portálu dle plánu rozvoje, přičemž cílem je zajistit transparentní a přehlednou publikaci dat ze systému </w:t>
      </w:r>
      <w:r w:rsidRPr="00D000B5">
        <w:rPr>
          <w:b/>
        </w:rPr>
        <w:t>Státní pokladny pro veřejnost</w:t>
      </w:r>
      <w:r>
        <w:t>.</w:t>
      </w:r>
      <w:r w:rsidR="00B46DD7">
        <w:t xml:space="preserve"> </w:t>
      </w:r>
      <w:r w:rsidR="005E0D88">
        <w:t xml:space="preserve">                                     </w:t>
      </w:r>
    </w:p>
    <w:p w:rsidR="00334C4C" w:rsidRDefault="008D795B" w:rsidP="008F49E3">
      <w:pPr>
        <w:pStyle w:val="Nadpis3"/>
        <w:numPr>
          <w:ilvl w:val="2"/>
          <w:numId w:val="4"/>
        </w:numPr>
        <w:ind w:left="851" w:hanging="851"/>
      </w:pPr>
      <w:bookmarkStart w:id="47" w:name="_Toc385339517"/>
      <w:r>
        <w:t>E</w:t>
      </w:r>
      <w:r w:rsidR="008F49E3">
        <w:t xml:space="preserve">fektivní veřejná </w:t>
      </w:r>
      <w:r w:rsidR="009F1CCD">
        <w:t xml:space="preserve">správa a </w:t>
      </w:r>
      <w:r>
        <w:t xml:space="preserve">kvalitní </w:t>
      </w:r>
      <w:r w:rsidR="00334C4C">
        <w:t>legislativní prostředí</w:t>
      </w:r>
      <w:bookmarkEnd w:id="47"/>
    </w:p>
    <w:p w:rsidR="003B3101" w:rsidRDefault="003B3101" w:rsidP="00DC3489">
      <w:r>
        <w:t>Efektivní výkon veřejné správy a kvalitní legislativa patří mezi základní kameny pro vytváření atraktivního a předvída</w:t>
      </w:r>
      <w:r w:rsidR="00855666">
        <w:t>telného</w:t>
      </w:r>
      <w:r>
        <w:t xml:space="preserve"> prostředí pro podnikatele. Vláda v tomto směru usiluje o zlepšení veřejné správy a kvality jí poskytovaných služeb a zlepšení kvality právních předp</w:t>
      </w:r>
      <w:r w:rsidR="00855666">
        <w:t>isů</w:t>
      </w:r>
      <w:r>
        <w:t xml:space="preserve"> a vymahatelnosti práva. </w:t>
      </w:r>
    </w:p>
    <w:p w:rsidR="001A618F" w:rsidRDefault="001A618F" w:rsidP="001A618F">
      <w:pPr>
        <w:pStyle w:val="Nadpis4"/>
      </w:pPr>
      <w:r>
        <w:t>Rozvoj veřejné správy</w:t>
      </w:r>
    </w:p>
    <w:p w:rsidR="001A618F" w:rsidRDefault="001A618F" w:rsidP="001A618F">
      <w:r>
        <w:t xml:space="preserve">V roce 2014 bude vládě předložen </w:t>
      </w:r>
      <w:r w:rsidRPr="00D000B5">
        <w:rPr>
          <w:b/>
        </w:rPr>
        <w:t>Strategický rámec rozvoje veřejné správy 2014+</w:t>
      </w:r>
      <w:r>
        <w:t>, jehož cílem je zvýšení efektivnosti veřejné správy a transparentnosti financování veřejné správy. Dokument definuje strategické cíle ve čtyřech oblastech: modernizace veřejné správy</w:t>
      </w:r>
      <w:r w:rsidR="00D8733B">
        <w:t xml:space="preserve"> včetně měření jejího výkonu</w:t>
      </w:r>
      <w:r w:rsidR="00D000B5">
        <w:t xml:space="preserve">, </w:t>
      </w:r>
      <w:r>
        <w:t>v</w:t>
      </w:r>
      <w:r w:rsidR="00D000B5">
        <w:t xml:space="preserve">ýkon veřejné správy v území, </w:t>
      </w:r>
      <w:r>
        <w:t>financ</w:t>
      </w:r>
      <w:r w:rsidR="00D000B5">
        <w:t xml:space="preserve">ování veřejné správy v území, </w:t>
      </w:r>
      <w:r>
        <w:t xml:space="preserve">vzdělávání a řízení lidských zdrojů ve veřejné správě. Soustřeďuje se na vybraná opatření, která mohou systémově ovlivnit veřejnou správu, zejména zvýšením přehlednosti, vytvořením mechanismů umožňujících lepší hodnocení účinnosti, vyřešením otázek územní správní struktury ztěžujících koordinaci činností veřejné správy a vyšší průhlednost financování veřejné správy. </w:t>
      </w:r>
    </w:p>
    <w:p w:rsidR="002E06C4" w:rsidRDefault="002E06C4" w:rsidP="00397AFE">
      <w:pPr>
        <w:pStyle w:val="Nadpis4"/>
      </w:pPr>
      <w:r>
        <w:t>Elektronizace veřejné správy</w:t>
      </w:r>
    </w:p>
    <w:p w:rsidR="00397AFE" w:rsidRDefault="002E06C4" w:rsidP="00397AFE">
      <w:r w:rsidRPr="002E06C4">
        <w:rPr>
          <w:b/>
        </w:rPr>
        <w:t xml:space="preserve">Strategie Smart </w:t>
      </w:r>
      <w:proofErr w:type="spellStart"/>
      <w:r w:rsidRPr="002E06C4">
        <w:rPr>
          <w:b/>
        </w:rPr>
        <w:t>Administration</w:t>
      </w:r>
      <w:proofErr w:type="spellEnd"/>
      <w:r w:rsidRPr="002E06C4">
        <w:rPr>
          <w:b/>
        </w:rPr>
        <w:t xml:space="preserve"> pro období 2007 - 2015</w:t>
      </w:r>
      <w:r w:rsidR="00397AFE">
        <w:t xml:space="preserve"> vytváří rámec pro koordinaci veškerých procesů směřujících k efektivní veřejné správě a přátelským veřejným službám. </w:t>
      </w:r>
      <w:r>
        <w:t>Důležitou s</w:t>
      </w:r>
      <w:r w:rsidR="00397AFE">
        <w:t xml:space="preserve">oučástí </w:t>
      </w:r>
      <w:r>
        <w:t xml:space="preserve">Strategie </w:t>
      </w:r>
      <w:r w:rsidR="00397AFE">
        <w:t xml:space="preserve">jsou </w:t>
      </w:r>
      <w:r w:rsidR="00397AFE">
        <w:lastRenderedPageBreak/>
        <w:t xml:space="preserve">projekty </w:t>
      </w:r>
      <w:r w:rsidR="00397AFE" w:rsidRPr="002E06C4">
        <w:rPr>
          <w:b/>
        </w:rPr>
        <w:t>e-Sbírka</w:t>
      </w:r>
      <w:r w:rsidR="00397AFE">
        <w:t xml:space="preserve"> a </w:t>
      </w:r>
      <w:r w:rsidR="00397AFE" w:rsidRPr="002E06C4">
        <w:rPr>
          <w:b/>
        </w:rPr>
        <w:t>e-Legislativa</w:t>
      </w:r>
      <w:r w:rsidR="00397AFE">
        <w:t>, které přinesou technická a legislativní opatření ke zvýšení dostupnosti a srozumitelnosti práva a jeho kva</w:t>
      </w:r>
      <w:r>
        <w:t xml:space="preserve">litnější a efektivnější tvorbu. Jejich realizace </w:t>
      </w:r>
      <w:r w:rsidR="00397AFE">
        <w:t>bude dokončena v roce 2015.</w:t>
      </w:r>
      <w:r w:rsidRPr="002E06C4">
        <w:t xml:space="preserve"> </w:t>
      </w:r>
    </w:p>
    <w:p w:rsidR="00397AFE" w:rsidRDefault="002E06C4" w:rsidP="00397AFE">
      <w:r w:rsidRPr="002E06C4">
        <w:t xml:space="preserve">Na tuto strategii naváže připravovaný </w:t>
      </w:r>
      <w:r w:rsidR="00397AFE" w:rsidRPr="002E06C4">
        <w:rPr>
          <w:b/>
        </w:rPr>
        <w:t xml:space="preserve">Strategický rámec rozvoje </w:t>
      </w:r>
      <w:proofErr w:type="spellStart"/>
      <w:r w:rsidR="00397AFE" w:rsidRPr="002E06C4">
        <w:rPr>
          <w:b/>
        </w:rPr>
        <w:t>eGovernment</w:t>
      </w:r>
      <w:r w:rsidR="00D8733B">
        <w:rPr>
          <w:b/>
        </w:rPr>
        <w:t>u</w:t>
      </w:r>
      <w:proofErr w:type="spellEnd"/>
      <w:r w:rsidR="00397AFE" w:rsidRPr="002E06C4">
        <w:rPr>
          <w:b/>
        </w:rPr>
        <w:t xml:space="preserve"> 2014+</w:t>
      </w:r>
      <w:r w:rsidR="00F365CD">
        <w:rPr>
          <w:b/>
        </w:rPr>
        <w:t xml:space="preserve">, </w:t>
      </w:r>
      <w:r w:rsidR="00F365CD" w:rsidRPr="00F365CD">
        <w:t>který</w:t>
      </w:r>
      <w:r w:rsidR="00397AFE" w:rsidRPr="00F365CD">
        <w:t xml:space="preserve"> vytyčí</w:t>
      </w:r>
      <w:r w:rsidR="00397AFE">
        <w:t xml:space="preserve"> další etapu modernizace veřejné správy, zejména směrem k zefektivnění a zkvalitnění veřejných institucí</w:t>
      </w:r>
      <w:r>
        <w:t xml:space="preserve"> a</w:t>
      </w:r>
      <w:r w:rsidR="00204478">
        <w:t> </w:t>
      </w:r>
      <w:r w:rsidR="00F365CD">
        <w:t xml:space="preserve">který </w:t>
      </w:r>
      <w:r>
        <w:t>z</w:t>
      </w:r>
      <w:r w:rsidR="00397AFE">
        <w:t xml:space="preserve">ároveň definuje tematické okruhy dalšího rozvoje </w:t>
      </w:r>
      <w:proofErr w:type="spellStart"/>
      <w:r w:rsidR="00397AFE">
        <w:t>eGovernment</w:t>
      </w:r>
      <w:r w:rsidR="00D8733B">
        <w:t>u</w:t>
      </w:r>
      <w:proofErr w:type="spellEnd"/>
      <w:r w:rsidR="00397AFE">
        <w:t xml:space="preserve"> v ČR. </w:t>
      </w:r>
      <w:r w:rsidR="00572241">
        <w:t>Dokument, který</w:t>
      </w:r>
      <w:r w:rsidR="00397AFE">
        <w:t xml:space="preserve"> </w:t>
      </w:r>
      <w:r w:rsidR="00572241">
        <w:t>vláda</w:t>
      </w:r>
      <w:r w:rsidR="00397AFE">
        <w:t xml:space="preserve"> </w:t>
      </w:r>
      <w:r w:rsidR="00572241">
        <w:t xml:space="preserve">projedná v roce 2014, </w:t>
      </w:r>
      <w:r w:rsidR="00397AFE">
        <w:t>navazuje na předchozí kmenové projekty</w:t>
      </w:r>
      <w:r w:rsidR="00572241">
        <w:t xml:space="preserve">. </w:t>
      </w:r>
      <w:r w:rsidR="00397AFE">
        <w:t xml:space="preserve"> </w:t>
      </w:r>
      <w:r w:rsidR="00572241">
        <w:t xml:space="preserve">Jako hlavní cíl si </w:t>
      </w:r>
      <w:r w:rsidR="00397AFE">
        <w:t xml:space="preserve">stanovuje do roku 2020 </w:t>
      </w:r>
      <w:r w:rsidR="00572241">
        <w:t>realizaci</w:t>
      </w:r>
      <w:r w:rsidR="00397AFE">
        <w:t xml:space="preserve"> 85</w:t>
      </w:r>
      <w:r w:rsidR="00E52A96">
        <w:t> </w:t>
      </w:r>
      <w:r w:rsidR="00397AFE">
        <w:t>% všech podání vůči veře</w:t>
      </w:r>
      <w:r w:rsidR="00572241">
        <w:t xml:space="preserve">jné správě elektronickou formou, k čemuž </w:t>
      </w:r>
      <w:r w:rsidR="00397AFE">
        <w:t xml:space="preserve">bude využita čtyřvrstvá architektura </w:t>
      </w:r>
      <w:proofErr w:type="spellStart"/>
      <w:r w:rsidR="00397AFE">
        <w:t>eGovernmentu</w:t>
      </w:r>
      <w:proofErr w:type="spellEnd"/>
      <w:r w:rsidR="00397AFE">
        <w:t>, která byla</w:t>
      </w:r>
      <w:r>
        <w:t xml:space="preserve"> již </w:t>
      </w:r>
      <w:r w:rsidR="00572241">
        <w:t xml:space="preserve">nyní </w:t>
      </w:r>
      <w:r>
        <w:t>z větší části dokončena.</w:t>
      </w:r>
      <w:r w:rsidR="00572241">
        <w:t xml:space="preserve"> </w:t>
      </w:r>
    </w:p>
    <w:p w:rsidR="002E06C4" w:rsidRDefault="002E06C4" w:rsidP="00397AFE">
      <w:r w:rsidRPr="002E06C4">
        <w:t xml:space="preserve">V rámci vytváření </w:t>
      </w:r>
      <w:r w:rsidRPr="00247D54">
        <w:rPr>
          <w:b/>
        </w:rPr>
        <w:t>Registru přestupků</w:t>
      </w:r>
      <w:r w:rsidRPr="002E06C4">
        <w:t xml:space="preserve"> bude v roce 2014 vládě předložen návrh nové právní úpravy, včetně opatření postihujících opakované páchání přestupků, a návrh nové zákonné úpravy evidence přestupků</w:t>
      </w:r>
      <w:r w:rsidR="00247D54">
        <w:t>.</w:t>
      </w:r>
      <w:r w:rsidR="00247D54">
        <w:rPr>
          <w:rStyle w:val="Znakapoznpodarou"/>
        </w:rPr>
        <w:footnoteReference w:id="23"/>
      </w:r>
    </w:p>
    <w:p w:rsidR="00D70996" w:rsidRDefault="00D70996" w:rsidP="00D70996">
      <w:pPr>
        <w:pStyle w:val="Nadpis4"/>
      </w:pPr>
      <w:r>
        <w:t>Hodnocení dopadů regulace (RIA)</w:t>
      </w:r>
    </w:p>
    <w:p w:rsidR="00D70996" w:rsidRDefault="00D70996" w:rsidP="00D70996">
      <w:r>
        <w:t>Institucionální zajištění dohledu nad kvalitou a ústavností zpracovávaných návrhů právních předpisů zajišťuje Legislativní rada vlády, která se opírá ve svých stanoviscích o stanoviska odborných pracovních komisí. Jednou z těchto komisí je také Komise RIA ustavená v listopadu 2011 s cílem provádění přezkumu kvality předkládaných RIA k návrh</w:t>
      </w:r>
      <w:r w:rsidR="00E52A96">
        <w:t>ům právních předpisů na úrovni v</w:t>
      </w:r>
      <w:r>
        <w:t>lády, tj. návrhů zákonů a nařízení vlády</w:t>
      </w:r>
      <w:r w:rsidR="009660A8">
        <w:rPr>
          <w:rStyle w:val="Znakapoznpodarou"/>
        </w:rPr>
        <w:footnoteReference w:id="24"/>
      </w:r>
      <w:r>
        <w:t xml:space="preserve">. </w:t>
      </w:r>
    </w:p>
    <w:p w:rsidR="00D70996" w:rsidRDefault="00D70996" w:rsidP="00D70996">
      <w:r>
        <w:t xml:space="preserve">Zvýšený tlak na kvalitu zdůvodnění ze strany Komise RIA na návrhy předkládané na úrovni vlády se projevil mj. předkládáním legislativních návrhů prostřednictvím poslaneckých iniciativ v Parlamentu ČR, na něž se povinnost zpracování RIA nevztahuje. Tuto skutečnost by měla řešit úprava jednacích řádů obou komor Parlamentu ČR se </w:t>
      </w:r>
      <w:r w:rsidRPr="00D70996">
        <w:rPr>
          <w:b/>
        </w:rPr>
        <w:t>zavedením povinnosti stejné úrovně požadavků na zevrubná zdůvodnění a</w:t>
      </w:r>
      <w:r w:rsidR="001A4749">
        <w:rPr>
          <w:b/>
        </w:rPr>
        <w:t> </w:t>
      </w:r>
      <w:r w:rsidRPr="00D70996">
        <w:rPr>
          <w:b/>
        </w:rPr>
        <w:t>vyhodnocení dopadů poslaneckých a senátních iniciativ</w:t>
      </w:r>
      <w:r>
        <w:t>, jako je kladena na vládní návrhy.</w:t>
      </w:r>
    </w:p>
    <w:p w:rsidR="00C04F16" w:rsidRDefault="00C04F16" w:rsidP="00C04F16">
      <w:pPr>
        <w:pStyle w:val="Nadpis4"/>
      </w:pPr>
      <w:r>
        <w:t>Rekodifikace civilního práva procesního</w:t>
      </w:r>
    </w:p>
    <w:p w:rsidR="00C04F16" w:rsidRDefault="00C04F16" w:rsidP="00C04F16">
      <w:r>
        <w:t xml:space="preserve">Vláda připraví rekodifikaci civilního práva procesního, jejímž cílem bude výrazné zrychlení soudních </w:t>
      </w:r>
      <w:r w:rsidR="00F365CD">
        <w:t>řízení</w:t>
      </w:r>
      <w:r>
        <w:t xml:space="preserve"> při současném garantování práva na spravedlivý proces. Zrychlení by mělo nastat v důsledku sblížení úpravy sporného a exekučního řízení, jakož i v důsledku celkového zpřehlednění procesní úpravy. V rámci rekodifikace by tak mělo dojít zejména k nahrazení stávajícího zákona č. 99/1963 Sb., občanský soudní řád, ve znění pozdějších předpisů. Za tímto účelem bude nejprve zpracován věcný záměr rekodifikace civilního práva procesního.</w:t>
      </w:r>
    </w:p>
    <w:p w:rsidR="00E775E6" w:rsidRDefault="00E775E6" w:rsidP="00E775E6">
      <w:pPr>
        <w:pStyle w:val="Nadpis2"/>
        <w:numPr>
          <w:ilvl w:val="1"/>
          <w:numId w:val="4"/>
        </w:numPr>
        <w:ind w:left="851" w:hanging="851"/>
      </w:pPr>
      <w:bookmarkStart w:id="48" w:name="_Toc385339518"/>
      <w:r w:rsidRPr="00E775E6">
        <w:t>Atraktivní podnikatelské prostředí a rozvoj infrastruktury pro český průmysl</w:t>
      </w:r>
      <w:bookmarkEnd w:id="48"/>
    </w:p>
    <w:p w:rsidR="001A66FA" w:rsidRDefault="00F34EA6" w:rsidP="001A66FA">
      <w:r>
        <w:t>Atraktivní podnikatelské prostředí a kvalitní infrastruktura jsou základními podmínkami konkurenceschop</w:t>
      </w:r>
      <w:r w:rsidR="001A4749">
        <w:softHyphen/>
      </w:r>
      <w:r>
        <w:t>nosti. Cílem vlád</w:t>
      </w:r>
      <w:r w:rsidR="001A66FA">
        <w:t>y</w:t>
      </w:r>
      <w:r>
        <w:t xml:space="preserve"> je vytvářet a zlepšovat podmínky pro rozvoj podnikání</w:t>
      </w:r>
      <w:r w:rsidR="001A66FA">
        <w:t xml:space="preserve"> v ČR. Za klíčové prvky přitom považuje zajištění </w:t>
      </w:r>
      <w:r>
        <w:t>kvalitní dopravní</w:t>
      </w:r>
      <w:r w:rsidR="001A66FA">
        <w:t xml:space="preserve"> a digitální infrastruktury</w:t>
      </w:r>
      <w:r>
        <w:t xml:space="preserve">, </w:t>
      </w:r>
      <w:r w:rsidR="00123883">
        <w:t>atraktiv</w:t>
      </w:r>
      <w:r w:rsidR="00632DAA">
        <w:t xml:space="preserve">ní systém investičních pobídek, </w:t>
      </w:r>
      <w:r w:rsidR="00123883">
        <w:t>vyváženou klimaticko-</w:t>
      </w:r>
      <w:r w:rsidR="0069516E" w:rsidRPr="0069516E">
        <w:t>energetickou</w:t>
      </w:r>
      <w:r w:rsidR="00123883">
        <w:t xml:space="preserve"> politiku a </w:t>
      </w:r>
      <w:r w:rsidR="001A66FA">
        <w:t>rozvoj zemědělství</w:t>
      </w:r>
      <w:r w:rsidR="00F06998">
        <w:t xml:space="preserve"> se zohledněním potřeby ochrany životního prostředí. </w:t>
      </w:r>
      <w:r w:rsidR="00632DAA">
        <w:t>S ohledem na rostoucí důležitost malých</w:t>
      </w:r>
      <w:r w:rsidR="00632DAA" w:rsidRPr="00A234F4">
        <w:t xml:space="preserve"> a střední</w:t>
      </w:r>
      <w:r w:rsidR="00632DAA">
        <w:t>ch</w:t>
      </w:r>
      <w:r w:rsidR="00632DAA" w:rsidRPr="00A234F4">
        <w:t xml:space="preserve"> podnik</w:t>
      </w:r>
      <w:r w:rsidR="00632DAA">
        <w:t>ů</w:t>
      </w:r>
      <w:r w:rsidR="00632DAA" w:rsidRPr="00A234F4">
        <w:t xml:space="preserve"> v národní ekonomice</w:t>
      </w:r>
      <w:r w:rsidR="00632DAA">
        <w:t xml:space="preserve"> i globální ekonomice je zvláštní pozornost věnována také rozvoji malých a středních podniků a posilování jejich schopností </w:t>
      </w:r>
      <w:r w:rsidR="00632DAA" w:rsidRPr="00A234F4">
        <w:t>přispívat k ekonomickému růstu</w:t>
      </w:r>
      <w:r w:rsidR="00632DAA">
        <w:t xml:space="preserve">. </w:t>
      </w:r>
      <w:r w:rsidR="00632DAA" w:rsidRPr="00A234F4">
        <w:t xml:space="preserve"> </w:t>
      </w:r>
    </w:p>
    <w:p w:rsidR="003237CF" w:rsidRDefault="003237CF" w:rsidP="003237CF">
      <w:pPr>
        <w:pStyle w:val="Nadpis3"/>
        <w:numPr>
          <w:ilvl w:val="2"/>
          <w:numId w:val="4"/>
        </w:numPr>
        <w:ind w:left="851" w:hanging="851"/>
      </w:pPr>
      <w:bookmarkStart w:id="49" w:name="_Toc385339519"/>
      <w:r>
        <w:t>Zlepšování podnikatelského prostředí, rozvoj služeb pro podnikání</w:t>
      </w:r>
      <w:bookmarkEnd w:id="49"/>
    </w:p>
    <w:p w:rsidR="00A234F4" w:rsidRDefault="00A234F4" w:rsidP="00F34EA6">
      <w:r w:rsidRPr="00A234F4">
        <w:t xml:space="preserve">Vláda </w:t>
      </w:r>
      <w:r>
        <w:t>vnímá nutnost vytvářet takové prostředí, které nebude podnikatelské aktivity nadbytečně omezovat</w:t>
      </w:r>
      <w:r w:rsidRPr="00A234F4">
        <w:t xml:space="preserve"> administrati</w:t>
      </w:r>
      <w:r>
        <w:t xml:space="preserve">vními bariérami a neefektivními regulačními překážkami. </w:t>
      </w:r>
    </w:p>
    <w:p w:rsidR="00123883" w:rsidRDefault="00123883" w:rsidP="003D63F9">
      <w:pPr>
        <w:pStyle w:val="Nadpis4"/>
        <w:keepNext/>
        <w:keepLines/>
      </w:pPr>
      <w:r>
        <w:lastRenderedPageBreak/>
        <w:t>Snižování administrativní a regulační zátěže podnikatelů</w:t>
      </w:r>
    </w:p>
    <w:p w:rsidR="003A6B33" w:rsidRDefault="003A6B33" w:rsidP="003D63F9">
      <w:pPr>
        <w:keepNext/>
        <w:keepLines/>
      </w:pPr>
      <w:r>
        <w:t xml:space="preserve">V rámci projektu </w:t>
      </w:r>
      <w:r w:rsidRPr="000463F0">
        <w:rPr>
          <w:b/>
        </w:rPr>
        <w:t>Přeměření administrativní zátěže</w:t>
      </w:r>
      <w:r w:rsidRPr="000463F0">
        <w:t xml:space="preserve"> </w:t>
      </w:r>
      <w:r w:rsidRPr="007C6B9F">
        <w:rPr>
          <w:bCs/>
        </w:rPr>
        <w:t>a v kombinaci s výstupy z realizace Plánu snižování administrativní zátěže podnikatelů</w:t>
      </w:r>
      <w:r w:rsidRPr="007C6B9F">
        <w:t xml:space="preserve"> vlá</w:t>
      </w:r>
      <w:r>
        <w:t>da odsouhlasila 53 nových opatření vedoucích ke snížení administrativní zátěže, jež budou realizována </w:t>
      </w:r>
      <w:r w:rsidR="00E40FDA">
        <w:t>od roku</w:t>
      </w:r>
      <w:r>
        <w:t xml:space="preserve"> 2014. Zároveň byly stanoveny dlouhodobé cíle, kterými jsou odstranění celkem 60 opatření do roku 2015 a provedení dalšího přeměření administrativní zátěže podnikatelů v roce 2016, čímž bude možné posoudit pokrok proti roku 2012. </w:t>
      </w:r>
      <w:r w:rsidR="00E40FDA">
        <w:t xml:space="preserve">Vláda zároveň připravila </w:t>
      </w:r>
      <w:r w:rsidR="00E40FDA" w:rsidRPr="000463F0">
        <w:rPr>
          <w:b/>
        </w:rPr>
        <w:t>novelu živnostenského zákona</w:t>
      </w:r>
      <w:r w:rsidR="00E40FDA">
        <w:t>, jež navrhuje zrušit povinnost podnikatelů opakovaně dokládat obecnímu živnostenskému úřadu doklady, které byly doloženy některému živnostenskému úřadu a zůstaly beze změny. Novela se nyní nachází v legislativním procesu v Poslanecké sněmovně Parlamentu ČR.</w:t>
      </w:r>
    </w:p>
    <w:p w:rsidR="00A6222D" w:rsidRDefault="00A6222D" w:rsidP="00A6222D">
      <w:pPr>
        <w:pStyle w:val="Nadpis4"/>
      </w:pPr>
      <w:proofErr w:type="spellStart"/>
      <w:r>
        <w:t>Eko</w:t>
      </w:r>
      <w:proofErr w:type="spellEnd"/>
      <w:r>
        <w:t>-audit</w:t>
      </w:r>
    </w:p>
    <w:p w:rsidR="00A6222D" w:rsidRDefault="00EF6DEB" w:rsidP="00A6222D">
      <w:r>
        <w:t xml:space="preserve">V rámci opatření vedoucích k odstraňování regulatorního zatížení podnikatelů probíhá nadále projekt tzv. </w:t>
      </w:r>
      <w:proofErr w:type="spellStart"/>
      <w:r>
        <w:t>eko</w:t>
      </w:r>
      <w:proofErr w:type="spellEnd"/>
      <w:r>
        <w:t xml:space="preserve">-auditu, jehož cílem je snížení neodůvodněné administrativní a finanční zátěže podnikatelských subjektů v oblasti environmentální legislativy. Vláda schválila navržená opatření v rámci předchozí etapy </w:t>
      </w:r>
      <w:proofErr w:type="spellStart"/>
      <w:r>
        <w:t>eko</w:t>
      </w:r>
      <w:proofErr w:type="spellEnd"/>
      <w:r>
        <w:t xml:space="preserve">-auditu a uložila jejich plnění v termínu do 31. </w:t>
      </w:r>
      <w:r w:rsidR="003D63F9">
        <w:t>prosince</w:t>
      </w:r>
      <w:r>
        <w:t xml:space="preserve"> 2014, a to formou novelizací příslušných právních předpisů z oblasti životního prostředí, přičemž řešení některých úkolů stále probíhá.  V průběhu 2. poloviny roku 2013 byl proveden další </w:t>
      </w:r>
      <w:proofErr w:type="spellStart"/>
      <w:r>
        <w:t>screening</w:t>
      </w:r>
      <w:proofErr w:type="spellEnd"/>
      <w:r>
        <w:t xml:space="preserve"> právních předpisů ČR v oblasti životního prostředí ve spolupráci s podnikatelskou sférou. Jednotlivé konkrétní návrhy na úpravu právních předpisů byly souhrnně zpracovány a nyní probíhají jednání na úrovni resortů o relevanci a způsobech řešení těchto podnětů. Výsledný materiál bude předložen vládě do konce roku 2014.</w:t>
      </w:r>
      <w:r w:rsidR="00A6222D">
        <w:t xml:space="preserve"> </w:t>
      </w:r>
    </w:p>
    <w:p w:rsidR="00F34EA6" w:rsidRDefault="00F34EA6" w:rsidP="00F34EA6">
      <w:pPr>
        <w:pStyle w:val="Nadpis4"/>
      </w:pPr>
      <w:r>
        <w:t>Jednotná data účinnosti</w:t>
      </w:r>
    </w:p>
    <w:p w:rsidR="00F34EA6" w:rsidRDefault="007C6B9F" w:rsidP="00F34EA6">
      <w:r>
        <w:t>Aplikace jednotných dat účinnosti bude znamenat pro podnikatele snížení zátěže</w:t>
      </w:r>
      <w:r w:rsidRPr="00A6222D">
        <w:t xml:space="preserve"> </w:t>
      </w:r>
      <w:r>
        <w:t>prostřednictvím koncentrace právních norem,</w:t>
      </w:r>
      <w:r w:rsidRPr="00A6222D">
        <w:t xml:space="preserve"> </w:t>
      </w:r>
      <w:r>
        <w:t>které mají dopad na podnikatelskou sféru, do dvou termínů, a to 1. ledna a</w:t>
      </w:r>
      <w:r w:rsidR="001A4749">
        <w:t> </w:t>
      </w:r>
      <w:r>
        <w:t>1. července. Zavedení jednotných dat účinnosti bude formou doporučení zahrnuto do Legislativních pravidel vlády při jejich nejbližší novelizaci.</w:t>
      </w:r>
    </w:p>
    <w:p w:rsidR="00F34EA6" w:rsidRDefault="00F34EA6" w:rsidP="00F34EA6">
      <w:pPr>
        <w:pStyle w:val="Nadpis4"/>
      </w:pPr>
      <w:r>
        <w:t>Informovanost podnikatelské sféry</w:t>
      </w:r>
    </w:p>
    <w:p w:rsidR="00F34EA6" w:rsidRDefault="00F34EA6" w:rsidP="00F34EA6">
      <w:r>
        <w:t xml:space="preserve">Vláda bude pokračovat v aktivitách vedoucích ke zvyšování povědomí o nástrojích integrované služby pro podnikatele, tedy Jednotných kontaktních míst (JKM), </w:t>
      </w:r>
      <w:proofErr w:type="spellStart"/>
      <w:r>
        <w:t>ProCoP</w:t>
      </w:r>
      <w:proofErr w:type="spellEnd"/>
      <w:r>
        <w:t xml:space="preserve"> a SOLVIT, mezi českými podnikateli a</w:t>
      </w:r>
      <w:r w:rsidR="001A4749">
        <w:t> </w:t>
      </w:r>
      <w:r>
        <w:t xml:space="preserve">občany. Kromě informačních aktivit zaměřených na zainteresované skupiny i širší veřejnost se zaměří na rozvoj a zkvalitňování těchto služeb (JKM 2. generace) a posilování jejich uživatelské přívětivosti. Pokračovat bude také v informačních aktivitách na podnikatelském serveru Businessinfo.cz, v rámci nějž bude dále rozvíjet služby virtuálního JKM, informovat podnikatele a občany o aktuálních veřejných konzultacích Evropské komise a informovat o aktuálním dění v rámci </w:t>
      </w:r>
      <w:r w:rsidR="004416C2">
        <w:t>vnitřního trhu.</w:t>
      </w:r>
      <w:r>
        <w:t xml:space="preserve"> </w:t>
      </w:r>
    </w:p>
    <w:p w:rsidR="003237CF" w:rsidRDefault="003237CF" w:rsidP="003237CF">
      <w:pPr>
        <w:pStyle w:val="Nadpis3"/>
        <w:numPr>
          <w:ilvl w:val="2"/>
          <w:numId w:val="4"/>
        </w:numPr>
        <w:ind w:left="851" w:hanging="851"/>
      </w:pPr>
      <w:bookmarkStart w:id="50" w:name="_Toc385339520"/>
      <w:r>
        <w:t>Průmyslová politika</w:t>
      </w:r>
      <w:bookmarkEnd w:id="50"/>
    </w:p>
    <w:p w:rsidR="00295318" w:rsidRDefault="004314AA" w:rsidP="00FE3827">
      <w:r>
        <w:t>P</w:t>
      </w:r>
      <w:r w:rsidR="00295318">
        <w:t xml:space="preserve">růmysl tvoří podstatnou část české </w:t>
      </w:r>
      <w:r w:rsidR="003D63F9">
        <w:t>ekonomiky a cílem</w:t>
      </w:r>
      <w:r w:rsidR="00295318">
        <w:t xml:space="preserve"> </w:t>
      </w:r>
      <w:r>
        <w:t xml:space="preserve">vlády </w:t>
      </w:r>
      <w:r w:rsidR="00295318">
        <w:t>je vytvářet atraktivní podmínky pro české i zahraniční investory</w:t>
      </w:r>
      <w:r w:rsidR="00EF6D7F">
        <w:t xml:space="preserve"> a motivovat je </w:t>
      </w:r>
      <w:r w:rsidR="00FE3827">
        <w:t>dlouhodobě podnikat a reinvestovat do české ekonomiky</w:t>
      </w:r>
      <w:r w:rsidR="00EF6D7F">
        <w:t>.</w:t>
      </w:r>
      <w:r w:rsidR="00295318">
        <w:t xml:space="preserve"> </w:t>
      </w:r>
      <w:r w:rsidR="00EF6D7F">
        <w:t>Z</w:t>
      </w:r>
      <w:r w:rsidR="00295318">
        <w:t xml:space="preserve">ároveň </w:t>
      </w:r>
      <w:r w:rsidR="00EF6D7F">
        <w:t xml:space="preserve">vláda bude stimulovat </w:t>
      </w:r>
      <w:r w:rsidR="00EE658D" w:rsidRPr="00EE658D">
        <w:t xml:space="preserve">zavádění </w:t>
      </w:r>
      <w:r w:rsidR="003D63F9" w:rsidRPr="00EE658D">
        <w:t>produktů s vysokou</w:t>
      </w:r>
      <w:r w:rsidR="00295318">
        <w:t xml:space="preserve"> přidanou hodnotou</w:t>
      </w:r>
      <w:r w:rsidR="00EF6D7F">
        <w:t xml:space="preserve"> </w:t>
      </w:r>
      <w:r w:rsidR="00EE658D" w:rsidRPr="00EE658D">
        <w:t>a pokročilých technologií směřujících</w:t>
      </w:r>
      <w:r w:rsidR="00EE658D">
        <w:t xml:space="preserve"> k modernizaci a udržitelnosti </w:t>
      </w:r>
      <w:r w:rsidR="00EE658D" w:rsidRPr="00EE658D">
        <w:t>průmyslové produkce</w:t>
      </w:r>
      <w:r w:rsidR="00295318">
        <w:t xml:space="preserve">. Důležitou součástí hospodářské politiky je maximální využití ekonomické diplomacie, která bude vytvářet vhodné podmínky pro růst </w:t>
      </w:r>
      <w:r w:rsidR="00EF6D7F">
        <w:t xml:space="preserve">obchodní </w:t>
      </w:r>
      <w:r w:rsidR="003D63F9">
        <w:t>výměny na</w:t>
      </w:r>
      <w:r w:rsidR="00295318">
        <w:t xml:space="preserve"> zahraničních trzích. </w:t>
      </w:r>
    </w:p>
    <w:p w:rsidR="00EF6D7F" w:rsidRDefault="00295318" w:rsidP="00295318">
      <w:r>
        <w:t xml:space="preserve">Vláda vnímá pozitivně hlavní poselství obsažené ve sdělení Evropské komise z 22. ledna 2014 </w:t>
      </w:r>
      <w:r w:rsidRPr="00B825BF">
        <w:rPr>
          <w:b/>
        </w:rPr>
        <w:t>Za obnovu evropského průmyslu</w:t>
      </w:r>
      <w:r>
        <w:t>, kterým je uznání zásadního významu průmyslu pro tvorbu pracovních míst a</w:t>
      </w:r>
      <w:r w:rsidR="001A4749">
        <w:t> </w:t>
      </w:r>
      <w:r>
        <w:t>podporu růstu. Nadále podporuje snahu EU o zvýšení podílu průmyslu na evropském HDP, a to na 20 % v</w:t>
      </w:r>
      <w:r w:rsidR="00204478">
        <w:t> </w:t>
      </w:r>
      <w:r>
        <w:t>roce 2020. Z pohledu vlády je stěžejní, aby témata</w:t>
      </w:r>
      <w:r w:rsidRPr="00295318">
        <w:t xml:space="preserve"> </w:t>
      </w:r>
      <w:r w:rsidRPr="00D144E4">
        <w:t>konkurenceschopnosti průmyslu</w:t>
      </w:r>
      <w:r>
        <w:t xml:space="preserve"> </w:t>
      </w:r>
      <w:r w:rsidRPr="00D144E4">
        <w:t>a nové klimaticko-energetické politiky</w:t>
      </w:r>
      <w:r>
        <w:t xml:space="preserve">, která mají pro EU zásadní význam, byla diskutována provázaně.  </w:t>
      </w:r>
    </w:p>
    <w:p w:rsidR="00295318" w:rsidRPr="00911017" w:rsidRDefault="00EF6D7F" w:rsidP="00295318">
      <w:r w:rsidRPr="00911017">
        <w:t xml:space="preserve">Za hlavní priority nutné ke zlepšení průmyslové konkurenceschopnosti ČR i EU vláda považuje realisticky nastavený klimaticko-energetický rámec 2030, konkurenceschopné ceny energií, posilování a stabilitu vnitřního trhu, rozvoj lidského kapitálu, podporu výzkumu, vývoje a inovací a modernizovaná pravidla státní pomoci.   </w:t>
      </w:r>
      <w:r w:rsidR="00295318" w:rsidRPr="00911017">
        <w:t xml:space="preserve"> </w:t>
      </w:r>
    </w:p>
    <w:p w:rsidR="00C06C86" w:rsidRDefault="00C06C86" w:rsidP="00BB380B">
      <w:pPr>
        <w:pStyle w:val="Nadpis4"/>
      </w:pPr>
      <w:r>
        <w:lastRenderedPageBreak/>
        <w:t xml:space="preserve">Podpora malých a středních podniků </w:t>
      </w:r>
    </w:p>
    <w:p w:rsidR="000D34B6" w:rsidRPr="00A65EB1" w:rsidRDefault="000D34B6" w:rsidP="000D34B6">
      <w:r w:rsidRPr="00A65EB1">
        <w:t xml:space="preserve">V prosinci 2012 byla přijata </w:t>
      </w:r>
      <w:r w:rsidRPr="00FF17A7">
        <w:rPr>
          <w:b/>
        </w:rPr>
        <w:t>Koncepce podpory malých a středních podnikatelů na období let 2014–2020</w:t>
      </w:r>
      <w:r>
        <w:t xml:space="preserve"> (Koncepce MSP 2014+)</w:t>
      </w:r>
      <w:r w:rsidRPr="00A65EB1">
        <w:t xml:space="preserve">, která představuje zásadní strategický dokument </w:t>
      </w:r>
      <w:r w:rsidR="00FF17A7">
        <w:t>v oblasti podpory</w:t>
      </w:r>
      <w:r w:rsidRPr="00A65EB1">
        <w:t xml:space="preserve"> malých a</w:t>
      </w:r>
      <w:r w:rsidR="001A4749">
        <w:t> </w:t>
      </w:r>
      <w:r w:rsidRPr="00A65EB1">
        <w:t>středních podnikatelů</w:t>
      </w:r>
      <w:r w:rsidR="00FF17A7">
        <w:t xml:space="preserve"> v ČR</w:t>
      </w:r>
      <w:r w:rsidRPr="00A65EB1">
        <w:t>.</w:t>
      </w:r>
      <w:r w:rsidR="00FF17A7">
        <w:t xml:space="preserve"> </w:t>
      </w:r>
      <w:r w:rsidRPr="00A65EB1">
        <w:t xml:space="preserve">Koncepce </w:t>
      </w:r>
      <w:r>
        <w:t>přináší 50 konkrétních opatření</w:t>
      </w:r>
      <w:r w:rsidRPr="00A65EB1">
        <w:t xml:space="preserve"> rozdělených do čtyř strategických priorit</w:t>
      </w:r>
      <w:r w:rsidR="00FF17A7">
        <w:rPr>
          <w:rStyle w:val="Znakapoznpodarou"/>
        </w:rPr>
        <w:footnoteReference w:id="25"/>
      </w:r>
      <w:r w:rsidRPr="00A65EB1">
        <w:t xml:space="preserve">, </w:t>
      </w:r>
      <w:r w:rsidR="00FF17A7">
        <w:t xml:space="preserve">jejichž cílem </w:t>
      </w:r>
      <w:r w:rsidRPr="003E1787">
        <w:t>je efektivní fungování a celkový rozvoj malých a středních podnikatelů, kteří tvoří významnou část národní ekonomiky.</w:t>
      </w:r>
      <w:r>
        <w:t xml:space="preserve"> </w:t>
      </w:r>
    </w:p>
    <w:p w:rsidR="00FF17A7" w:rsidRDefault="000D34B6" w:rsidP="000D34B6">
      <w:r w:rsidRPr="00A65EB1">
        <w:t>V r</w:t>
      </w:r>
      <w:r>
        <w:t xml:space="preserve">ámci podpory podnikatelů je </w:t>
      </w:r>
      <w:r w:rsidRPr="00A65EB1">
        <w:t>zdůrazňována především podpora rozvojového a provozního financování, podpora exportu, energetiky, rozvoje klíčových dovedností a finanční gramotnosti podnikatelů, technického vzdělávání a také oblasti výzkumu, vývoje a inovací. Koncepce také upozorňuje na důležitost podpory sociálního podnikání a vzdělávání sociálních podnikatelů.</w:t>
      </w:r>
      <w:r>
        <w:t xml:space="preserve"> </w:t>
      </w:r>
      <w:r w:rsidR="00FF17A7">
        <w:t>Její implementace bude probíhat prostřednictvím národních programů na podporu podnikání (např. Záruka, REVIT) a bude mj. realizována v</w:t>
      </w:r>
      <w:r w:rsidR="00204478">
        <w:t> </w:t>
      </w:r>
      <w:r w:rsidR="00FF17A7">
        <w:t xml:space="preserve">rámci </w:t>
      </w:r>
      <w:r w:rsidR="00FF17A7" w:rsidRPr="00B01371">
        <w:t>Operační</w:t>
      </w:r>
      <w:r w:rsidR="00FF17A7">
        <w:t>ho</w:t>
      </w:r>
      <w:r w:rsidR="00FF17A7" w:rsidRPr="00B01371">
        <w:t xml:space="preserve"> program</w:t>
      </w:r>
      <w:r w:rsidR="00FF17A7">
        <w:t>u</w:t>
      </w:r>
      <w:r w:rsidR="00FF17A7" w:rsidRPr="00B01371">
        <w:t xml:space="preserve"> Podnikání a inovace </w:t>
      </w:r>
      <w:r w:rsidR="00FF17A7">
        <w:t>pro konkurenceschopnost.</w:t>
      </w:r>
    </w:p>
    <w:p w:rsidR="00C06C86" w:rsidRDefault="00C06C86" w:rsidP="00C06C86">
      <w:pPr>
        <w:pStyle w:val="Nadpis4"/>
      </w:pPr>
      <w:r>
        <w:t>Podpora exportu</w:t>
      </w:r>
    </w:p>
    <w:p w:rsidR="00BB380B" w:rsidRDefault="00C06C86" w:rsidP="00BB380B">
      <w:r>
        <w:t>V roce 2014 bude vláda pokračovat ve vytváření předpokladů globální diverzifikace českého vývozu a ve spolupráci s podnikatelskou sférou pokračovat v procesu identifikace perspektivních oborů. V rámci podpory exportu vláda plánuje i pro tento rok zajištění podnikatelských misí a účasti na veletrzích a</w:t>
      </w:r>
      <w:r w:rsidR="001A4749">
        <w:t> </w:t>
      </w:r>
      <w:r>
        <w:t>výstavách, zasedání smíšených orgánů pro hospodářskou spolupráci a pořádání odborných s</w:t>
      </w:r>
      <w:r w:rsidR="00BB380B">
        <w:t>eminářů a</w:t>
      </w:r>
      <w:r w:rsidR="001A4749">
        <w:t> </w:t>
      </w:r>
      <w:r w:rsidR="00BB380B">
        <w:t xml:space="preserve">podnikatelských fór. </w:t>
      </w:r>
      <w:r>
        <w:t>Pro zlepšení služeb pro exportéry</w:t>
      </w:r>
      <w:r w:rsidR="00BB380B">
        <w:t>, zejména s ohledem na poskytování ucelených a</w:t>
      </w:r>
      <w:r w:rsidR="001A4749">
        <w:t> </w:t>
      </w:r>
      <w:r w:rsidR="00BB380B">
        <w:t xml:space="preserve">kompletních informací z teritorií či oborů na jednom místě, bude </w:t>
      </w:r>
      <w:r>
        <w:t>zdokonalován internetový portál</w:t>
      </w:r>
      <w:r w:rsidR="00BB380B">
        <w:t>. S cílem zkvalitnit a sjednotit poskytování služeb státu v zahraničí, vláda v nejbližší</w:t>
      </w:r>
      <w:r w:rsidR="00FF17A7">
        <w:t>m</w:t>
      </w:r>
      <w:r w:rsidR="00BB380B">
        <w:t xml:space="preserve"> období připraví </w:t>
      </w:r>
      <w:r w:rsidR="00BB380B" w:rsidRPr="00BB380B">
        <w:rPr>
          <w:b/>
        </w:rPr>
        <w:t>Koncepci ekonomické diplomacie</w:t>
      </w:r>
      <w:r w:rsidR="00BB380B">
        <w:t xml:space="preserve">. </w:t>
      </w:r>
    </w:p>
    <w:p w:rsidR="00C06C86" w:rsidRDefault="00C06C86" w:rsidP="00C06C86">
      <w:pPr>
        <w:pStyle w:val="Nadpis4"/>
      </w:pPr>
      <w:r>
        <w:t>Podpora investic</w:t>
      </w:r>
    </w:p>
    <w:p w:rsidR="00C06C86" w:rsidRDefault="003A42AB" w:rsidP="003A42AB">
      <w:r>
        <w:t xml:space="preserve">Do roku 2015 vláda připraví </w:t>
      </w:r>
      <w:r w:rsidRPr="00BB380B">
        <w:rPr>
          <w:b/>
        </w:rPr>
        <w:t>Koncepci podpory investic</w:t>
      </w:r>
      <w:r>
        <w:t xml:space="preserve">, jež by měla zásadním způsobem přispět ke zlepšení investičního prostředí v ČR. Velmi důležitou součástí bude efektivnější finanční podpora investic v rámci investičních pobídek a zatraktivnění strategických průmyslových zón pro investory. </w:t>
      </w:r>
      <w:r w:rsidR="00EF6D7F">
        <w:t>Pobídky budou formulovány tak</w:t>
      </w:r>
      <w:r w:rsidR="00B11440">
        <w:t>, aby odpovídaly</w:t>
      </w:r>
      <w:r w:rsidR="008A516F" w:rsidRPr="008A516F">
        <w:t xml:space="preserve"> přidané hodnotě jednotlivých ekonomických aktivit a motivoval</w:t>
      </w:r>
      <w:r w:rsidR="008A516F">
        <w:t>y</w:t>
      </w:r>
      <w:r w:rsidR="008A516F" w:rsidRPr="008A516F">
        <w:t xml:space="preserve"> zahraniční investory reinvestovat zpět do české ekonomiky. </w:t>
      </w:r>
      <w:r>
        <w:t xml:space="preserve">Do konce roku 2015 bude připravena </w:t>
      </w:r>
      <w:r w:rsidR="00493AA5">
        <w:t xml:space="preserve">k projednání </w:t>
      </w:r>
      <w:r>
        <w:t>úprava legislativy s cílem zjednodušení povolovacích procesů pro umístění a výstavbu investic, včetně procesu posuzování vlivů staveb na životní prostředí (i v návaznosti na revizi směrnice EIA).</w:t>
      </w:r>
      <w:r w:rsidR="00C06C86">
        <w:t xml:space="preserve"> </w:t>
      </w:r>
    </w:p>
    <w:p w:rsidR="00EF6DEB" w:rsidRDefault="00EF6DEB" w:rsidP="00EF6DEB">
      <w:pPr>
        <w:pStyle w:val="Nadpis4"/>
      </w:pPr>
      <w:r>
        <w:t>Zvýšení společenské odpovědnosti organizací</w:t>
      </w:r>
    </w:p>
    <w:p w:rsidR="00EF6DEB" w:rsidRDefault="00EF6DEB" w:rsidP="00EF6DEB">
      <w:r>
        <w:t xml:space="preserve">S cílem přispět k rozvoji konceptu společenské odpovědnosti organizací v ČR a jeho pozitivních dopadů na společnost, hospodářský rozvoj a konkurenceschopnost ČR vláda dne 2. dubna 2014 schválila strategický dokument </w:t>
      </w:r>
      <w:r w:rsidRPr="00414C5C">
        <w:rPr>
          <w:b/>
        </w:rPr>
        <w:t xml:space="preserve">Národní akční plán společenské odpovědnosti organizací v České republice. </w:t>
      </w:r>
      <w:r w:rsidRPr="00E52A96">
        <w:t>Účelem opatření není zesilování regulační funkce. Záměrem jednotlivých aktivit je především motivovat</w:t>
      </w:r>
      <w:r>
        <w:t xml:space="preserve"> komerční podniky, neziskové organizace i orgány státní správy k uplatňování společenské odpovědnosti, která je definována jako „odpovědnost organizací za dopady jejich činností na společnost</w:t>
      </w:r>
      <w:r w:rsidRPr="008A176B">
        <w:t>".</w:t>
      </w:r>
    </w:p>
    <w:p w:rsidR="00D00966" w:rsidRDefault="003237CF" w:rsidP="00D00966">
      <w:pPr>
        <w:pStyle w:val="Nadpis3"/>
        <w:numPr>
          <w:ilvl w:val="2"/>
          <w:numId w:val="4"/>
        </w:numPr>
        <w:ind w:left="851" w:hanging="851"/>
      </w:pPr>
      <w:bookmarkStart w:id="51" w:name="_Toc385339521"/>
      <w:r>
        <w:t>Dopravní infrastruktura</w:t>
      </w:r>
      <w:bookmarkEnd w:id="51"/>
    </w:p>
    <w:p w:rsidR="00DB5A14" w:rsidRDefault="00DB5A14" w:rsidP="00DB5A14">
      <w:r>
        <w:t>Současný stav české dopravní sítě z pohledu kvality a funkčnosti zdaleka nedosahuje úrovně původních 15 členských států EU</w:t>
      </w:r>
      <w:r w:rsidR="00984D41">
        <w:t>.</w:t>
      </w:r>
      <w:r>
        <w:t xml:space="preserve"> </w:t>
      </w:r>
      <w:r w:rsidR="00984D41">
        <w:t>Tento</w:t>
      </w:r>
      <w:r w:rsidR="00306C71">
        <w:t xml:space="preserve"> stav </w:t>
      </w:r>
      <w:r>
        <w:t xml:space="preserve">je vnímán jako jedna z hlavních překážek dosahování vyššího tempa hospodářského růstu ČR. </w:t>
      </w:r>
      <w:r w:rsidR="00306C71">
        <w:t>Efektivní d</w:t>
      </w:r>
      <w:r>
        <w:t>obudování páteřní dopravní infrastruktury a napojení zbývajících regionů a</w:t>
      </w:r>
      <w:r w:rsidR="001A4749">
        <w:t> </w:t>
      </w:r>
      <w:r>
        <w:t xml:space="preserve">hlavních průmyslových center na hlavní české i evropské trasy </w:t>
      </w:r>
      <w:r w:rsidR="00306C71">
        <w:t xml:space="preserve">považuje vláda </w:t>
      </w:r>
      <w:r w:rsidR="00984D41">
        <w:t>za nezbytnou</w:t>
      </w:r>
      <w:r>
        <w:t xml:space="preserve"> podmínku </w:t>
      </w:r>
      <w:r w:rsidR="00306C71">
        <w:t xml:space="preserve">obnovy trvale udržitelného ekonomického růstu na základě zlepšení konkurenceschopnosti českého hospodářství včetně odstranění bariér pro podnikání v krajích se špatnou dopravní obslužností. </w:t>
      </w:r>
    </w:p>
    <w:p w:rsidR="00A156FC" w:rsidRDefault="00A156FC" w:rsidP="00A156FC">
      <w:pPr>
        <w:pStyle w:val="Nadpis4"/>
      </w:pPr>
      <w:r>
        <w:lastRenderedPageBreak/>
        <w:t>Efektivní strategické plánování a jeho realizace</w:t>
      </w:r>
    </w:p>
    <w:p w:rsidR="00CB0F32" w:rsidRDefault="00A156FC" w:rsidP="00A156FC">
      <w:r>
        <w:t>V roce 2013 v</w:t>
      </w:r>
      <w:r w:rsidR="00DA0B1E">
        <w:t>láda ČR schválila dva</w:t>
      </w:r>
      <w:r>
        <w:t xml:space="preserve"> klíčové strategické dokumenty sektoru </w:t>
      </w:r>
      <w:r w:rsidRPr="005F377C">
        <w:t>– Dopravní politiku ČR pro období 2014 – 2020 s výhledem do roku 2050 a Dopravní sektorové strategie.</w:t>
      </w:r>
      <w:r>
        <w:t xml:space="preserve"> Dokument </w:t>
      </w:r>
      <w:r w:rsidRPr="005F377C">
        <w:rPr>
          <w:b/>
        </w:rPr>
        <w:t>Dopravní sektorové strategie</w:t>
      </w:r>
      <w:r>
        <w:t xml:space="preserve"> je klíčovým strategickým dokumentem pro zajištění provozu a rozvoje české dopravní infrastruktury a zejména je pak východiskem pro stanovení cílů Operačního programu </w:t>
      </w:r>
      <w:r w:rsidR="00984D41">
        <w:t>D</w:t>
      </w:r>
      <w:r>
        <w:t>oprava. Na základě těchto dokumentů bude zajištěno zejména každoroční plánování procesu přípravy staveb, zahájení procesu restrukturalizace investorských organizací a navázání nejdůležitějších investičních projektů dopravní infrastruktury na státní rozpočet. Dokument</w:t>
      </w:r>
      <w:r w:rsidR="00DA0B1E">
        <w:t>em</w:t>
      </w:r>
      <w:r>
        <w:t xml:space="preserve"> </w:t>
      </w:r>
      <w:r w:rsidRPr="005F377C">
        <w:rPr>
          <w:b/>
        </w:rPr>
        <w:t>Dopravní politika ČR</w:t>
      </w:r>
      <w:r>
        <w:t xml:space="preserve"> vláda identifikuje hlavní problémy sektoru a navrhuje opatření na jejich řešení. Navazují na něj jednotlivé </w:t>
      </w:r>
      <w:r w:rsidR="004F48F3">
        <w:t>dílčí strategie</w:t>
      </w:r>
      <w:r>
        <w:t xml:space="preserve">, jež podrobněji rozpracovávají řešení a </w:t>
      </w:r>
      <w:r w:rsidRPr="00CB0F32">
        <w:t xml:space="preserve">způsob financování </w:t>
      </w:r>
      <w:r>
        <w:t xml:space="preserve">v rámci jednotlivých oblastí. Mezi klíčové priority patří mj. </w:t>
      </w:r>
      <w:r w:rsidR="004F48F3">
        <w:t>rozvoj dopravní infrastruktury (</w:t>
      </w:r>
      <w:r w:rsidR="004F48F3" w:rsidRPr="005F377C">
        <w:t>Dopravní sektorové strategie</w:t>
      </w:r>
      <w:r w:rsidR="004F48F3">
        <w:t xml:space="preserve">), </w:t>
      </w:r>
      <w:r>
        <w:t xml:space="preserve">harmonizace podmínek na přepravním trhu, rozvoj železniční a vodní dopravy, zlepšení kvality silniční dopravy, podpora multimodálních přepravních systémů či omezení vlivů dopravy na životní prostředí a veřejné zdraví, s využitím alternativních </w:t>
      </w:r>
      <w:r w:rsidR="003E5967">
        <w:rPr>
          <w:rFonts w:ascii="Calibri" w:hAnsi="Calibri" w:cs="Calibri"/>
          <w:color w:val="000000"/>
        </w:rPr>
        <w:t>druhů paliv (met</w:t>
      </w:r>
      <w:r w:rsidRPr="007D1FAA">
        <w:rPr>
          <w:rFonts w:ascii="Calibri" w:hAnsi="Calibri" w:cs="Calibri"/>
          <w:color w:val="000000"/>
        </w:rPr>
        <w:t>an, elektřina, LPG) a podpory infrast</w:t>
      </w:r>
      <w:r>
        <w:rPr>
          <w:rFonts w:ascii="Calibri" w:hAnsi="Calibri" w:cs="Calibri"/>
          <w:color w:val="000000"/>
        </w:rPr>
        <w:t xml:space="preserve">ruktury pro alternativní paliva. </w:t>
      </w:r>
      <w:r w:rsidR="00CB0F32">
        <w:t xml:space="preserve"> </w:t>
      </w:r>
      <w:r w:rsidR="005F1F91" w:rsidRPr="005F1F91">
        <w:t>Do konce roku 2</w:t>
      </w:r>
      <w:r w:rsidR="005F1F91">
        <w:t xml:space="preserve">014 bude vládě předložen návrh </w:t>
      </w:r>
      <w:r w:rsidR="005F1F91" w:rsidRPr="005F1F91">
        <w:rPr>
          <w:b/>
        </w:rPr>
        <w:t>Národního akčního plánu čisté mobility v České republice</w:t>
      </w:r>
      <w:r w:rsidR="005F1F91" w:rsidRPr="005F1F91">
        <w:t>, ve kterém budou stanoveny cíle pro Českou republiku v oblasti podpory vozidel na alternativní pohon.</w:t>
      </w:r>
    </w:p>
    <w:p w:rsidR="00DB5A14" w:rsidRDefault="00DB5A14" w:rsidP="005F377C">
      <w:pPr>
        <w:pStyle w:val="Nadpis4"/>
      </w:pPr>
      <w:r>
        <w:t>Prioritní projekty v rámci budování infrastruktury</w:t>
      </w:r>
    </w:p>
    <w:p w:rsidR="00DB5A14" w:rsidRDefault="00C65FDF" w:rsidP="00DB5A14">
      <w:r w:rsidRPr="00C65FDF">
        <w:t xml:space="preserve">Mezi prioritní projekty v oblasti železniční infrastruktury patří zejména dobudování tranzitních železničních koridorů včetně železničních uzlů (do roku 2018) a modernizace tratí na hlavní síti TEN-T. Mezi prioritní projekty v oblasti silniční infrastruktury patří zejména výstavba chybějících dálničních a silničních úseků na hlavní a globální síti TEN-T (do roku 2050).  V oblasti vnitrozemské vodní dopravy se bude vláda nadále zabývat řešením problémů splavnosti </w:t>
      </w:r>
      <w:r w:rsidR="00493AA5">
        <w:t xml:space="preserve">(včetně mezinárodních vazeb) </w:t>
      </w:r>
      <w:r w:rsidRPr="00C65FDF">
        <w:t>a spolehlivosti na Labsko-vltavské vodní cestě a důležitou prioritou v oblasti multimodální dopravy pak bude zajištění dostatku prostředků z evropských fondů pro rozvoj logistiky nákladní dopravy</w:t>
      </w:r>
      <w:r w:rsidR="00493AA5" w:rsidRPr="00493AA5">
        <w:t>, zejména v oblasti využívání železniční přepravy</w:t>
      </w:r>
      <w:r w:rsidRPr="00C65FDF">
        <w:t>.  Velká pozornost bude věnována i zlepšení legislativních podmínek v resortu dopravy a rozvoji inteligentních dopravních systémů (ITS), které zvyšují bezpečnost dopravy, zlepšují ří</w:t>
      </w:r>
      <w:r w:rsidR="005657F9">
        <w:t>zení dopravního provozu, zvyšují</w:t>
      </w:r>
      <w:r w:rsidRPr="00C65FDF">
        <w:t xml:space="preserve"> informovanost o situaci v dopravním provozu a zlepšují přístupnost k veřejné osobní dopravě. ITS jsou rovněž nástrojem optimalizace využití kapacity dopravní infrastruktury.</w:t>
      </w:r>
    </w:p>
    <w:p w:rsidR="003237CF" w:rsidRDefault="003237CF" w:rsidP="003237CF">
      <w:pPr>
        <w:pStyle w:val="Nadpis3"/>
        <w:numPr>
          <w:ilvl w:val="2"/>
          <w:numId w:val="4"/>
        </w:numPr>
        <w:ind w:left="851" w:hanging="851"/>
      </w:pPr>
      <w:bookmarkStart w:id="52" w:name="_Toc385339522"/>
      <w:r>
        <w:t>Digitální infrastruktura</w:t>
      </w:r>
      <w:bookmarkEnd w:id="52"/>
    </w:p>
    <w:p w:rsidR="009A3943" w:rsidRDefault="009D7F5C" w:rsidP="00D81DD3">
      <w:r>
        <w:t>Rozvoj digitální infrastruktury je velmi podstatnou oblastí</w:t>
      </w:r>
      <w:r w:rsidR="009A3943">
        <w:t xml:space="preserve"> rozvoje české ekonomiky s pozitivními dopady na technickou připravenost podniků, příliv zahraničních investic, produktivitu práce, ale také celkovou vzdělanost obyvatel.</w:t>
      </w:r>
    </w:p>
    <w:p w:rsidR="00FF17A7" w:rsidRDefault="00FF17A7" w:rsidP="00FF17A7">
      <w:pPr>
        <w:rPr>
          <w:rFonts w:cstheme="minorHAnsi"/>
        </w:rPr>
      </w:pPr>
      <w:r>
        <w:t xml:space="preserve">Dne 20. března 2013 vláda schválila </w:t>
      </w:r>
      <w:r w:rsidR="00DA0B1E">
        <w:t>S</w:t>
      </w:r>
      <w:r>
        <w:t xml:space="preserve">tátní politiku v elektronických komunikacích </w:t>
      </w:r>
      <w:r w:rsidRPr="00D6207A">
        <w:rPr>
          <w:b/>
        </w:rPr>
        <w:t>Dig</w:t>
      </w:r>
      <w:r w:rsidR="00332B8C" w:rsidRPr="00D6207A">
        <w:rPr>
          <w:b/>
        </w:rPr>
        <w:t>itální Česko v. 2.0 -</w:t>
      </w:r>
      <w:r w:rsidRPr="00D6207A">
        <w:rPr>
          <w:b/>
        </w:rPr>
        <w:t>Cesta k digitální ekonomice</w:t>
      </w:r>
      <w:r w:rsidRPr="004A6248">
        <w:t xml:space="preserve">. </w:t>
      </w:r>
      <w:r>
        <w:t xml:space="preserve">V rámci implementace této státní politiky bude vláda mj. usilovat o </w:t>
      </w:r>
      <w:r w:rsidRPr="00617E3F">
        <w:t>posílení digitální ekonomiky s důrazem na samoregulační mechanismy, podporu rozvoje vysokorychlostních přístupových sítí k internetu umožňující</w:t>
      </w:r>
      <w:r>
        <w:t>ch</w:t>
      </w:r>
      <w:r w:rsidRPr="00617E3F">
        <w:t xml:space="preserve"> přenosové rychlosti v souladu s cíli Digitální agendy</w:t>
      </w:r>
      <w:r>
        <w:t xml:space="preserve"> </w:t>
      </w:r>
      <w:r w:rsidRPr="00617E3F">
        <w:rPr>
          <w:rStyle w:val="Znakapoznpodarou"/>
        </w:rPr>
        <w:footnoteReference w:id="26"/>
      </w:r>
      <w:r w:rsidRPr="00617E3F">
        <w:t>, efektivní využ</w:t>
      </w:r>
      <w:r>
        <w:t xml:space="preserve">ívání </w:t>
      </w:r>
      <w:r w:rsidRPr="00617E3F">
        <w:t>rádiového spektra</w:t>
      </w:r>
      <w:r w:rsidRPr="00617E3F">
        <w:rPr>
          <w:rStyle w:val="Znakapoznpodarou"/>
        </w:rPr>
        <w:footnoteReference w:id="27"/>
      </w:r>
      <w:r w:rsidRPr="00617E3F">
        <w:t xml:space="preserve">, zvyšování dostupnosti ICT, </w:t>
      </w:r>
      <w:r>
        <w:t>podporu</w:t>
      </w:r>
      <w:r w:rsidRPr="00617E3F">
        <w:t xml:space="preserve"> digitální gramotnosti</w:t>
      </w:r>
      <w:r>
        <w:t xml:space="preserve"> a podporu legální nabídky audiovizuálních služeb.</w:t>
      </w:r>
      <w:r w:rsidRPr="002B3335">
        <w:rPr>
          <w:rFonts w:cstheme="minorHAnsi"/>
        </w:rPr>
        <w:t xml:space="preserve"> </w:t>
      </w:r>
    </w:p>
    <w:p w:rsidR="00FF17A7" w:rsidRPr="007D1C26" w:rsidRDefault="00FF17A7" w:rsidP="00D6207A">
      <w:r w:rsidRPr="007D1C26">
        <w:t>V reakci na vývoj na mezinárodní úrovni vláda podpor</w:t>
      </w:r>
      <w:r>
        <w:t>uje</w:t>
      </w:r>
      <w:r w:rsidRPr="007D1C26">
        <w:t xml:space="preserve"> otevřenost internetu a svobodu přístupu k němu bez centrálních regulačních zásahů a jeho vývoj za účasti všech dotčených subjektů.</w:t>
      </w:r>
    </w:p>
    <w:p w:rsidR="00FF17A7" w:rsidRPr="002D4D88" w:rsidRDefault="00FF17A7" w:rsidP="00FF17A7">
      <w:pPr>
        <w:pStyle w:val="Nadpis4"/>
        <w:rPr>
          <w:rFonts w:asciiTheme="minorHAnsi" w:hAnsiTheme="minorHAnsi" w:cstheme="minorHAnsi"/>
          <w:color w:val="FF0000"/>
        </w:rPr>
      </w:pPr>
      <w:r w:rsidRPr="008B53B9">
        <w:t>Snižování nákladů na výstavbu vysokorychlostních sítí elektronických komunikací a zjednodu</w:t>
      </w:r>
      <w:r w:rsidR="001A4749">
        <w:softHyphen/>
      </w:r>
      <w:r w:rsidRPr="008B53B9">
        <w:t>šení procesu výstavby</w:t>
      </w:r>
      <w:r w:rsidRPr="002D4D88">
        <w:rPr>
          <w:rFonts w:asciiTheme="minorHAnsi" w:hAnsiTheme="minorHAnsi" w:cstheme="minorHAnsi"/>
          <w:b w:val="0"/>
          <w:color w:val="FF0000"/>
        </w:rPr>
        <w:t xml:space="preserve"> </w:t>
      </w:r>
    </w:p>
    <w:p w:rsidR="00FF17A7" w:rsidRDefault="00C82E57" w:rsidP="00FF17A7">
      <w:pPr>
        <w:rPr>
          <w:rFonts w:eastAsia="Times New Roman"/>
        </w:rPr>
      </w:pPr>
      <w:r w:rsidRPr="007D1C26">
        <w:rPr>
          <w:rFonts w:eastAsia="Times New Roman"/>
        </w:rPr>
        <w:t>Podpora výstavby vysokorychlostních sítí elektronických komunikací formou snižování nákladů na</w:t>
      </w:r>
      <w:r>
        <w:rPr>
          <w:rFonts w:eastAsia="Times New Roman"/>
        </w:rPr>
        <w:t> </w:t>
      </w:r>
      <w:r w:rsidRPr="007D1C26">
        <w:rPr>
          <w:rFonts w:eastAsia="Times New Roman"/>
        </w:rPr>
        <w:t xml:space="preserve">výstavbu je jedním z prioritních úkolů vlády. Překážku v rozvoji sítí lze spatřovat nejen v nutnosti finančních investic, ale zejména ve složitosti administrativy spojené s výstavbou, různorodé praxi </w:t>
      </w:r>
      <w:r w:rsidRPr="007D1C26">
        <w:rPr>
          <w:rFonts w:eastAsia="Times New Roman"/>
        </w:rPr>
        <w:lastRenderedPageBreak/>
        <w:t xml:space="preserve">stavebních úřadů, délce stavebního řízení a nejednotné výši poplatků spojených s věcnými břemeny. Vláda si uvědomuje svou roli v této oblasti a hodlá napomoci řešení těchto problémů nejen například vydáním metodiky pro postup stavebních úřadů, ale případně i legislativními úpravami dotčených právních aktů. </w:t>
      </w:r>
      <w:r>
        <w:rPr>
          <w:rFonts w:eastAsia="Times New Roman"/>
        </w:rPr>
        <w:t>S cílem snižovat náklady na výstavbu bude vláda také t</w:t>
      </w:r>
      <w:r>
        <w:rPr>
          <w:rFonts w:eastAsia="Times New Roman" w:cstheme="minorHAnsi"/>
        </w:rPr>
        <w:t xml:space="preserve">ransponovat směrnici o opatřeních ke snížení nákladů na zavádění vysokorychlostních sítí elektronických komunikací, která byla schválena na evropské úrovni. </w:t>
      </w:r>
    </w:p>
    <w:p w:rsidR="003237CF" w:rsidRDefault="003237CF" w:rsidP="003237CF">
      <w:pPr>
        <w:pStyle w:val="Nadpis3"/>
        <w:numPr>
          <w:ilvl w:val="2"/>
          <w:numId w:val="4"/>
        </w:numPr>
        <w:ind w:left="851" w:hanging="851"/>
      </w:pPr>
      <w:bookmarkStart w:id="53" w:name="_Toc385339523"/>
      <w:r>
        <w:t>Energetika a ochrana klimatu</w:t>
      </w:r>
      <w:bookmarkEnd w:id="53"/>
      <w:r>
        <w:t xml:space="preserve"> </w:t>
      </w:r>
    </w:p>
    <w:p w:rsidR="00FA4142" w:rsidRDefault="0069516E" w:rsidP="00FB6153">
      <w:r w:rsidRPr="0069516E">
        <w:t xml:space="preserve">Cílem </w:t>
      </w:r>
      <w:r w:rsidR="000862A7" w:rsidRPr="0069516E">
        <w:t>vlády v oblasti</w:t>
      </w:r>
      <w:r w:rsidRPr="0069516E">
        <w:t xml:space="preserve"> energetiky a ochrany klimatu je zajištění efektivního přechodu na konkurence</w:t>
      </w:r>
      <w:r w:rsidR="001A4749">
        <w:softHyphen/>
      </w:r>
      <w:r w:rsidRPr="0069516E">
        <w:t>schopné nízkouhlíkové hospodářství a snižování závislosti na fosilních palivech. Klimaticko-energetická politika musí především klást důraz na vyváženost tří hlavních pilířů, kterými jsou udržitelnost, bezpečnost a konkurenceschopnost.</w:t>
      </w:r>
    </w:p>
    <w:p w:rsidR="00454040" w:rsidRDefault="00454040" w:rsidP="00454040">
      <w:pPr>
        <w:pStyle w:val="Nadpis4"/>
      </w:pPr>
      <w:r>
        <w:t>Klimaticko-energetický balíček</w:t>
      </w:r>
      <w:r w:rsidRPr="00FA4142">
        <w:t xml:space="preserve"> </w:t>
      </w:r>
      <w:r>
        <w:t>pro období 2020 - 2030</w:t>
      </w:r>
    </w:p>
    <w:p w:rsidR="00454040" w:rsidRDefault="00454040" w:rsidP="00454040">
      <w:pPr>
        <w:rPr>
          <w:szCs w:val="24"/>
        </w:rPr>
      </w:pPr>
      <w:bookmarkStart w:id="54" w:name="Temp"/>
      <w:r>
        <w:rPr>
          <w:szCs w:val="24"/>
        </w:rPr>
        <w:t xml:space="preserve">V rámci vyjednávání o finální podobě klimaticko-energetického balíčku </w:t>
      </w:r>
      <w:r w:rsidRPr="00F93FC4">
        <w:rPr>
          <w:szCs w:val="24"/>
        </w:rPr>
        <w:t>ČR preferuje jeden závazný cíl n</w:t>
      </w:r>
      <w:r w:rsidR="00332B8C">
        <w:rPr>
          <w:szCs w:val="24"/>
        </w:rPr>
        <w:t>a </w:t>
      </w:r>
      <w:r w:rsidRPr="00F93FC4">
        <w:rPr>
          <w:szCs w:val="24"/>
        </w:rPr>
        <w:t>redukci emis</w:t>
      </w:r>
      <w:r>
        <w:rPr>
          <w:szCs w:val="24"/>
        </w:rPr>
        <w:t>í skleníkových plynů</w:t>
      </w:r>
      <w:r w:rsidRPr="00F93FC4">
        <w:rPr>
          <w:szCs w:val="24"/>
        </w:rPr>
        <w:t xml:space="preserve"> na úrovni EU, doplněný zárukami na spravedlivé rozdělení nákladů mezi </w:t>
      </w:r>
      <w:r>
        <w:rPr>
          <w:szCs w:val="24"/>
        </w:rPr>
        <w:t xml:space="preserve">členské státy </w:t>
      </w:r>
      <w:r w:rsidRPr="00F93FC4">
        <w:rPr>
          <w:szCs w:val="24"/>
        </w:rPr>
        <w:t>s</w:t>
      </w:r>
      <w:r>
        <w:rPr>
          <w:szCs w:val="24"/>
        </w:rPr>
        <w:t> </w:t>
      </w:r>
      <w:r w:rsidRPr="00F93FC4">
        <w:rPr>
          <w:szCs w:val="24"/>
        </w:rPr>
        <w:t>respektem k</w:t>
      </w:r>
      <w:r>
        <w:rPr>
          <w:szCs w:val="24"/>
        </w:rPr>
        <w:t> </w:t>
      </w:r>
      <w:r w:rsidRPr="00F93FC4">
        <w:rPr>
          <w:szCs w:val="24"/>
        </w:rPr>
        <w:t xml:space="preserve">relativně vyšším nákladům pro nízkopříjmové </w:t>
      </w:r>
      <w:r w:rsidR="00332B8C">
        <w:rPr>
          <w:szCs w:val="24"/>
        </w:rPr>
        <w:t>členské státy</w:t>
      </w:r>
      <w:r>
        <w:rPr>
          <w:szCs w:val="24"/>
        </w:rPr>
        <w:t xml:space="preserve"> </w:t>
      </w:r>
      <w:r w:rsidRPr="00F93FC4">
        <w:rPr>
          <w:szCs w:val="24"/>
        </w:rPr>
        <w:t>(dle HDP na obyvatele)</w:t>
      </w:r>
      <w:r>
        <w:rPr>
          <w:szCs w:val="24"/>
        </w:rPr>
        <w:t>. Prioritou ČR je také pokračující</w:t>
      </w:r>
      <w:r w:rsidRPr="00F93FC4">
        <w:rPr>
          <w:szCs w:val="24"/>
        </w:rPr>
        <w:t xml:space="preserve"> platnost opatření na ochranu energeticky náročného průmyslu. </w:t>
      </w:r>
      <w:r>
        <w:rPr>
          <w:szCs w:val="24"/>
        </w:rPr>
        <w:t>V </w:t>
      </w:r>
      <w:r w:rsidRPr="00F93FC4">
        <w:rPr>
          <w:szCs w:val="24"/>
        </w:rPr>
        <w:t>případě</w:t>
      </w:r>
      <w:r>
        <w:rPr>
          <w:szCs w:val="24"/>
        </w:rPr>
        <w:t xml:space="preserve"> dohody</w:t>
      </w:r>
      <w:r w:rsidRPr="00F93FC4">
        <w:rPr>
          <w:szCs w:val="24"/>
        </w:rPr>
        <w:t xml:space="preserve"> hlavních</w:t>
      </w:r>
      <w:r>
        <w:rPr>
          <w:szCs w:val="24"/>
        </w:rPr>
        <w:t xml:space="preserve"> světových</w:t>
      </w:r>
      <w:r w:rsidRPr="00F93FC4">
        <w:rPr>
          <w:szCs w:val="24"/>
        </w:rPr>
        <w:t xml:space="preserve"> emitentů</w:t>
      </w:r>
      <w:r>
        <w:rPr>
          <w:szCs w:val="24"/>
        </w:rPr>
        <w:t xml:space="preserve"> skleníkových plynů na</w:t>
      </w:r>
      <w:r w:rsidR="00CF49CE">
        <w:rPr>
          <w:szCs w:val="24"/>
        </w:rPr>
        <w:t> </w:t>
      </w:r>
      <w:r w:rsidR="002025FA">
        <w:rPr>
          <w:szCs w:val="24"/>
        </w:rPr>
        <w:t xml:space="preserve">zasedání </w:t>
      </w:r>
      <w:r>
        <w:rPr>
          <w:szCs w:val="24"/>
        </w:rPr>
        <w:t>COP 21</w:t>
      </w:r>
      <w:r w:rsidRPr="00F93FC4">
        <w:rPr>
          <w:szCs w:val="24"/>
        </w:rPr>
        <w:t xml:space="preserve"> v</w:t>
      </w:r>
      <w:r>
        <w:rPr>
          <w:szCs w:val="24"/>
        </w:rPr>
        <w:t> Paříži v roce 2015 ČR m</w:t>
      </w:r>
      <w:r w:rsidRPr="00F93FC4">
        <w:rPr>
          <w:szCs w:val="24"/>
        </w:rPr>
        <w:t>ůže akceptovat i</w:t>
      </w:r>
      <w:r>
        <w:rPr>
          <w:szCs w:val="24"/>
        </w:rPr>
        <w:t> </w:t>
      </w:r>
      <w:r w:rsidRPr="00F93FC4">
        <w:rPr>
          <w:szCs w:val="24"/>
        </w:rPr>
        <w:t>jeden závazný cíl na redukci emi</w:t>
      </w:r>
      <w:r>
        <w:rPr>
          <w:szCs w:val="24"/>
        </w:rPr>
        <w:t>sí ve výši 40</w:t>
      </w:r>
      <w:r w:rsidR="00DE692D">
        <w:rPr>
          <w:szCs w:val="24"/>
        </w:rPr>
        <w:t> </w:t>
      </w:r>
      <w:r>
        <w:rPr>
          <w:szCs w:val="24"/>
        </w:rPr>
        <w:t>%.</w:t>
      </w:r>
      <w:bookmarkEnd w:id="54"/>
    </w:p>
    <w:p w:rsidR="00015E9D" w:rsidRDefault="00015E9D" w:rsidP="00015E9D">
      <w:pPr>
        <w:rPr>
          <w:szCs w:val="24"/>
        </w:rPr>
      </w:pPr>
      <w:r>
        <w:rPr>
          <w:szCs w:val="24"/>
        </w:rPr>
        <w:t>V oblasti dalšího rozvoje obnovitelných zdrojů ČR prosazuje i</w:t>
      </w:r>
      <w:r w:rsidRPr="00F93FC4">
        <w:rPr>
          <w:szCs w:val="24"/>
        </w:rPr>
        <w:t>ndikativní</w:t>
      </w:r>
      <w:r>
        <w:rPr>
          <w:szCs w:val="24"/>
        </w:rPr>
        <w:t xml:space="preserve"> (nezávazný)</w:t>
      </w:r>
      <w:r w:rsidRPr="00F93FC4">
        <w:rPr>
          <w:szCs w:val="24"/>
        </w:rPr>
        <w:t xml:space="preserve"> celoevro</w:t>
      </w:r>
      <w:r>
        <w:rPr>
          <w:szCs w:val="24"/>
        </w:rPr>
        <w:t>pský cíl pro OZE ve výši 24 %, který musí být doplněn zárukou</w:t>
      </w:r>
      <w:r w:rsidRPr="00F93FC4">
        <w:rPr>
          <w:szCs w:val="24"/>
        </w:rPr>
        <w:t xml:space="preserve"> suverenity </w:t>
      </w:r>
      <w:r>
        <w:rPr>
          <w:szCs w:val="24"/>
        </w:rPr>
        <w:t>členských států</w:t>
      </w:r>
      <w:r w:rsidRPr="00F93FC4">
        <w:rPr>
          <w:szCs w:val="24"/>
        </w:rPr>
        <w:t xml:space="preserve"> nad energetickým mixem. </w:t>
      </w:r>
      <w:r>
        <w:rPr>
          <w:szCs w:val="24"/>
        </w:rPr>
        <w:t>V</w:t>
      </w:r>
      <w:r w:rsidR="00CF49CE">
        <w:rPr>
          <w:szCs w:val="24"/>
        </w:rPr>
        <w:t> </w:t>
      </w:r>
      <w:r w:rsidRPr="00F93FC4">
        <w:rPr>
          <w:szCs w:val="24"/>
        </w:rPr>
        <w:t>případ</w:t>
      </w:r>
      <w:r>
        <w:rPr>
          <w:szCs w:val="24"/>
        </w:rPr>
        <w:t>ě</w:t>
      </w:r>
      <w:r w:rsidRPr="00F93FC4">
        <w:rPr>
          <w:szCs w:val="24"/>
        </w:rPr>
        <w:t xml:space="preserve"> prosazení vyššího podmíněného cíle pro emise </w:t>
      </w:r>
      <w:r>
        <w:rPr>
          <w:szCs w:val="24"/>
        </w:rPr>
        <w:t>ČR může</w:t>
      </w:r>
      <w:r w:rsidRPr="00F93FC4">
        <w:rPr>
          <w:szCs w:val="24"/>
        </w:rPr>
        <w:t xml:space="preserve"> akceptovat indikativní celoevro</w:t>
      </w:r>
      <w:r>
        <w:rPr>
          <w:szCs w:val="24"/>
        </w:rPr>
        <w:t>pský cíl pro OZE ve výši 27 % společně se zárukou</w:t>
      </w:r>
      <w:r w:rsidRPr="00F93FC4">
        <w:rPr>
          <w:szCs w:val="24"/>
        </w:rPr>
        <w:t xml:space="preserve"> suverenity </w:t>
      </w:r>
      <w:r>
        <w:rPr>
          <w:szCs w:val="24"/>
        </w:rPr>
        <w:t xml:space="preserve">členských států </w:t>
      </w:r>
      <w:r w:rsidRPr="00F93FC4">
        <w:rPr>
          <w:szCs w:val="24"/>
        </w:rPr>
        <w:t>nad energetickým mixem a</w:t>
      </w:r>
      <w:r>
        <w:rPr>
          <w:szCs w:val="24"/>
        </w:rPr>
        <w:t> přípravy</w:t>
      </w:r>
      <w:r w:rsidRPr="00F93FC4">
        <w:rPr>
          <w:szCs w:val="24"/>
        </w:rPr>
        <w:t xml:space="preserve"> Národních plánů na národní úrovni bez iterativního procesu s</w:t>
      </w:r>
      <w:r>
        <w:rPr>
          <w:szCs w:val="24"/>
        </w:rPr>
        <w:t> </w:t>
      </w:r>
      <w:r w:rsidR="000378BF" w:rsidRPr="000378BF">
        <w:rPr>
          <w:szCs w:val="24"/>
        </w:rPr>
        <w:t xml:space="preserve">Evropskou </w:t>
      </w:r>
      <w:r w:rsidR="000378BF">
        <w:rPr>
          <w:szCs w:val="24"/>
        </w:rPr>
        <w:t>k</w:t>
      </w:r>
      <w:r>
        <w:rPr>
          <w:szCs w:val="24"/>
        </w:rPr>
        <w:t>omisí</w:t>
      </w:r>
      <w:r w:rsidRPr="00F93FC4">
        <w:rPr>
          <w:szCs w:val="24"/>
        </w:rPr>
        <w:t xml:space="preserve">, pouhé oznámení </w:t>
      </w:r>
      <w:r w:rsidR="000378BF">
        <w:rPr>
          <w:szCs w:val="24"/>
        </w:rPr>
        <w:t>Evropské k</w:t>
      </w:r>
      <w:r>
        <w:rPr>
          <w:szCs w:val="24"/>
        </w:rPr>
        <w:t>omisi</w:t>
      </w:r>
      <w:r w:rsidRPr="00F93FC4">
        <w:rPr>
          <w:szCs w:val="24"/>
        </w:rPr>
        <w:t xml:space="preserve"> a</w:t>
      </w:r>
      <w:r>
        <w:rPr>
          <w:szCs w:val="24"/>
        </w:rPr>
        <w:t> </w:t>
      </w:r>
      <w:r w:rsidRPr="00F93FC4">
        <w:rPr>
          <w:szCs w:val="24"/>
        </w:rPr>
        <w:t xml:space="preserve">předkládání pravidelných vyhodnocení. </w:t>
      </w:r>
    </w:p>
    <w:p w:rsidR="00AA2F1F" w:rsidRDefault="00AA2F1F" w:rsidP="00AA2F1F">
      <w:pPr>
        <w:rPr>
          <w:rFonts w:ascii="Calibri" w:hAnsi="Calibri" w:cs="Calibri"/>
        </w:rPr>
      </w:pPr>
      <w:r>
        <w:rPr>
          <w:szCs w:val="24"/>
        </w:rPr>
        <w:t xml:space="preserve">Pokrok ve zlepšování energetické účinnosti bude </w:t>
      </w:r>
      <w:r>
        <w:rPr>
          <w:rFonts w:ascii="Calibri" w:hAnsi="Calibri" w:cs="Calibri"/>
        </w:rPr>
        <w:t>analyzován</w:t>
      </w:r>
      <w:r w:rsidRPr="002062B5">
        <w:rPr>
          <w:rFonts w:ascii="Calibri" w:hAnsi="Calibri" w:cs="Calibri"/>
        </w:rPr>
        <w:t xml:space="preserve"> v</w:t>
      </w:r>
      <w:r>
        <w:rPr>
          <w:rFonts w:ascii="Calibri" w:hAnsi="Calibri" w:cs="Calibri"/>
        </w:rPr>
        <w:t> </w:t>
      </w:r>
      <w:r w:rsidRPr="002062B5">
        <w:rPr>
          <w:rFonts w:ascii="Calibri" w:hAnsi="Calibri" w:cs="Calibri"/>
        </w:rPr>
        <w:t xml:space="preserve">létě 2014 na základě přezkumu </w:t>
      </w:r>
      <w:r>
        <w:rPr>
          <w:rFonts w:ascii="Calibri" w:hAnsi="Calibri" w:cs="Calibri"/>
        </w:rPr>
        <w:t xml:space="preserve">naplňování </w:t>
      </w:r>
      <w:r w:rsidRPr="002062B5">
        <w:rPr>
          <w:rFonts w:ascii="Calibri" w:hAnsi="Calibri" w:cs="Calibri"/>
        </w:rPr>
        <w:t>směrnice o</w:t>
      </w:r>
      <w:r>
        <w:rPr>
          <w:rFonts w:ascii="Calibri" w:hAnsi="Calibri" w:cs="Calibri"/>
        </w:rPr>
        <w:t> </w:t>
      </w:r>
      <w:r w:rsidRPr="002062B5">
        <w:rPr>
          <w:rFonts w:ascii="Calibri" w:hAnsi="Calibri" w:cs="Calibri"/>
        </w:rPr>
        <w:t>energetické účinnosti.</w:t>
      </w:r>
      <w:r>
        <w:rPr>
          <w:rFonts w:ascii="Calibri" w:hAnsi="Calibri" w:cs="Calibri"/>
        </w:rPr>
        <w:t xml:space="preserve"> </w:t>
      </w:r>
      <w:r>
        <w:rPr>
          <w:szCs w:val="24"/>
        </w:rPr>
        <w:t>ČR nepodporuje přijetí nového cíle pro energetickou účinnost.</w:t>
      </w:r>
    </w:p>
    <w:p w:rsidR="00E34D32" w:rsidRPr="007A2731" w:rsidRDefault="00AA2F1F" w:rsidP="00454040">
      <w:pPr>
        <w:rPr>
          <w:i/>
        </w:rPr>
      </w:pPr>
      <w:r>
        <w:rPr>
          <w:rFonts w:ascii="Calibri" w:hAnsi="Calibri" w:cs="Calibri"/>
        </w:rPr>
        <w:t xml:space="preserve">ČR se silně zasazuje o </w:t>
      </w:r>
      <w:r w:rsidRPr="00F93FC4">
        <w:rPr>
          <w:szCs w:val="24"/>
        </w:rPr>
        <w:t>odbourání všech tržních distorzí a</w:t>
      </w:r>
      <w:r>
        <w:rPr>
          <w:szCs w:val="24"/>
        </w:rPr>
        <w:t> </w:t>
      </w:r>
      <w:r w:rsidRPr="00F93FC4">
        <w:rPr>
          <w:szCs w:val="24"/>
        </w:rPr>
        <w:t xml:space="preserve">integraci </w:t>
      </w:r>
      <w:r>
        <w:rPr>
          <w:szCs w:val="24"/>
        </w:rPr>
        <w:t xml:space="preserve">energetického </w:t>
      </w:r>
      <w:r w:rsidRPr="00F93FC4">
        <w:rPr>
          <w:szCs w:val="24"/>
        </w:rPr>
        <w:t>trhu do roku 2020</w:t>
      </w:r>
      <w:r>
        <w:rPr>
          <w:szCs w:val="24"/>
        </w:rPr>
        <w:t xml:space="preserve"> proto, </w:t>
      </w:r>
      <w:r>
        <w:rPr>
          <w:rFonts w:ascii="Calibri" w:hAnsi="Calibri" w:cs="Calibri"/>
        </w:rPr>
        <w:t xml:space="preserve">aby </w:t>
      </w:r>
      <w:r w:rsidRPr="002062B5">
        <w:rPr>
          <w:rFonts w:ascii="Calibri" w:hAnsi="Calibri" w:cs="Calibri"/>
        </w:rPr>
        <w:t xml:space="preserve">cíle </w:t>
      </w:r>
      <w:r>
        <w:rPr>
          <w:rFonts w:ascii="Calibri" w:hAnsi="Calibri" w:cs="Calibri"/>
        </w:rPr>
        <w:t>evropské klimaticko-energetické politiky vyvolaly</w:t>
      </w:r>
      <w:r w:rsidRPr="002062B5">
        <w:rPr>
          <w:rFonts w:ascii="Calibri" w:hAnsi="Calibri" w:cs="Calibri"/>
        </w:rPr>
        <w:t xml:space="preserve"> </w:t>
      </w:r>
      <w:r>
        <w:rPr>
          <w:rFonts w:ascii="Calibri" w:hAnsi="Calibri" w:cs="Calibri"/>
        </w:rPr>
        <w:t xml:space="preserve">potřebnou aktivitu ze strany členských států, byly v souladu s evropskými cíli pro obnovení průmyslové základny, podpořily růst nových odvětví, </w:t>
      </w:r>
      <w:r w:rsidRPr="002062B5">
        <w:rPr>
          <w:rFonts w:ascii="Calibri" w:hAnsi="Calibri" w:cs="Calibri"/>
        </w:rPr>
        <w:t>zajistily tržní integraci, nákladovou efektivitu a</w:t>
      </w:r>
      <w:r>
        <w:rPr>
          <w:rFonts w:ascii="Calibri" w:hAnsi="Calibri" w:cs="Calibri"/>
        </w:rPr>
        <w:t> nenarušovaly hospodářskou soutěž</w:t>
      </w:r>
      <w:r>
        <w:rPr>
          <w:szCs w:val="24"/>
        </w:rPr>
        <w:t>.</w:t>
      </w:r>
    </w:p>
    <w:p w:rsidR="00FA4142" w:rsidRDefault="00FA4142" w:rsidP="00FA4142">
      <w:pPr>
        <w:pStyle w:val="Nadpis4"/>
      </w:pPr>
      <w:r>
        <w:t xml:space="preserve">Aktualizace Státní energetické koncepce </w:t>
      </w:r>
    </w:p>
    <w:p w:rsidR="00454040" w:rsidRDefault="00AA2F1F" w:rsidP="00454040">
      <w:r w:rsidRPr="00660A55">
        <w:t>Politika vlády v</w:t>
      </w:r>
      <w:r w:rsidRPr="00FA2A72">
        <w:t xml:space="preserve"> oblasti energetiky je formulována Státní energetickou koncepcí (SEK). </w:t>
      </w:r>
      <w:r w:rsidRPr="00A0524E">
        <w:t>V prvním pololetí roku 2014 se uskutečn</w:t>
      </w:r>
      <w:r>
        <w:t>ilo</w:t>
      </w:r>
      <w:r w:rsidRPr="00A0524E">
        <w:t xml:space="preserve"> mezinárodní projednání aktualizace SEK</w:t>
      </w:r>
      <w:r w:rsidRPr="00FA2A72">
        <w:t xml:space="preserve"> a po vydání stanoviska ze strany příslušného úřadu (MŽP), v souladu s požadavky zákona č. 100/2001 Sb. o posuzování vlivů na životní prostředí, bude aktualizace SEK s tímto stanoviskem a socioekonomickou analýzou dopadů předložena vládě ke schválení</w:t>
      </w:r>
      <w:r>
        <w:t>.</w:t>
      </w:r>
    </w:p>
    <w:p w:rsidR="0032082E" w:rsidRDefault="0032082E" w:rsidP="00F67BF6">
      <w:pPr>
        <w:pStyle w:val="Nadpis4"/>
      </w:pPr>
      <w:r>
        <w:t>Rozvoj energetické infrastruktury</w:t>
      </w:r>
    </w:p>
    <w:p w:rsidR="00FF0BC4" w:rsidRDefault="00FF0BC4" w:rsidP="00FF0BC4">
      <w:r>
        <w:t>Podpora rozvoje kapacit obnovitelných zdrojů energie (OZE) musí být doprovázena přiměřeným rozvojem elektroenergetické infrastruktury tak, aby nedocházelo k přetěžování přenosových soustav, a tedy k potenciálnímu ohrožení dodávek energie. S ohledem na opakované přetěžování české přenosové soustavy neplánovanými toky elektrické energie ze Spolkové republiky Německo, plánuje provozovatel přenosové soustavy ČEPS, a.s. instalaci nových vedení</w:t>
      </w:r>
      <w:r w:rsidRPr="00F67BF6">
        <w:t xml:space="preserve"> </w:t>
      </w:r>
      <w:r>
        <w:t>a transformátorů s řízeným posunem fáze (PST) na česko-německém profilu, jejichž uvedení do provozu se předpokládá v roce 2016.</w:t>
      </w:r>
    </w:p>
    <w:p w:rsidR="00FF0BC4" w:rsidRPr="00D84B88" w:rsidRDefault="00FF0BC4" w:rsidP="00FF0BC4">
      <w:pPr>
        <w:pStyle w:val="Nadpis4"/>
        <w:rPr>
          <w:rFonts w:asciiTheme="minorHAnsi" w:eastAsiaTheme="minorEastAsia" w:hAnsiTheme="minorHAnsi" w:cstheme="minorBidi"/>
          <w:b w:val="0"/>
          <w:i w:val="0"/>
          <w:iCs w:val="0"/>
          <w:color w:val="auto"/>
          <w:szCs w:val="22"/>
        </w:rPr>
      </w:pPr>
      <w:r w:rsidRPr="00D84B88">
        <w:rPr>
          <w:rFonts w:asciiTheme="minorHAnsi" w:eastAsiaTheme="minorEastAsia" w:hAnsiTheme="minorHAnsi" w:cstheme="minorBidi"/>
          <w:b w:val="0"/>
          <w:i w:val="0"/>
          <w:iCs w:val="0"/>
          <w:color w:val="auto"/>
          <w:szCs w:val="22"/>
        </w:rPr>
        <w:t>Dalšími impulzy pro rozvoj české elektrizační soustavy jsou zejména rozvoj zdrojové základny a z toho plynoucí potřeba zajištění vyvedení výkonu nových zdrojů, možný růst spotřeby v souvislosti s </w:t>
      </w:r>
      <w:r w:rsidR="008C59E2">
        <w:rPr>
          <w:rFonts w:asciiTheme="minorHAnsi" w:eastAsiaTheme="minorEastAsia" w:hAnsiTheme="minorHAnsi" w:cstheme="minorBidi"/>
          <w:b w:val="0"/>
          <w:i w:val="0"/>
          <w:iCs w:val="0"/>
          <w:color w:val="auto"/>
          <w:szCs w:val="22"/>
        </w:rPr>
        <w:t xml:space="preserve">předpokládaným </w:t>
      </w:r>
      <w:r w:rsidRPr="00D84B88">
        <w:rPr>
          <w:rFonts w:asciiTheme="minorHAnsi" w:eastAsiaTheme="minorEastAsia" w:hAnsiTheme="minorHAnsi" w:cstheme="minorBidi"/>
          <w:b w:val="0"/>
          <w:i w:val="0"/>
          <w:iCs w:val="0"/>
          <w:color w:val="auto"/>
          <w:szCs w:val="22"/>
        </w:rPr>
        <w:t>hospodářským oživením v ČR a propojení s ostatními přenosovými soustavami v rámci EU.</w:t>
      </w:r>
      <w:r>
        <w:rPr>
          <w:rFonts w:asciiTheme="minorHAnsi" w:eastAsiaTheme="minorEastAsia" w:hAnsiTheme="minorHAnsi" w:cstheme="minorBidi"/>
          <w:b w:val="0"/>
          <w:i w:val="0"/>
          <w:iCs w:val="0"/>
          <w:color w:val="auto"/>
          <w:szCs w:val="22"/>
        </w:rPr>
        <w:t xml:space="preserve"> </w:t>
      </w:r>
    </w:p>
    <w:p w:rsidR="0032082E" w:rsidRDefault="0032082E" w:rsidP="00F67BF6">
      <w:pPr>
        <w:pStyle w:val="Nadpis4"/>
      </w:pPr>
      <w:r>
        <w:lastRenderedPageBreak/>
        <w:t>Obnovitelné zdroje energie</w:t>
      </w:r>
    </w:p>
    <w:p w:rsidR="00015E9D" w:rsidRDefault="00015E9D" w:rsidP="00015E9D">
      <w:r>
        <w:t xml:space="preserve">Dlouhodobě stabilní a udržitelné podmínky podpory výroby energie z OZE jsou nastaveny prostřednictvím </w:t>
      </w:r>
      <w:r w:rsidRPr="0098378A">
        <w:rPr>
          <w:b/>
        </w:rPr>
        <w:t>Národního akčního plánu ČR (NAP) pro energii z OZE</w:t>
      </w:r>
      <w:r>
        <w:t>, který současně slouží jako regulační nástroj k omezení provozní podpory OZE. Další regulační nástroje</w:t>
      </w:r>
      <w:r w:rsidRPr="007541EC">
        <w:t xml:space="preserve"> </w:t>
      </w:r>
      <w:r>
        <w:t xml:space="preserve">jsou zavedeny v </w:t>
      </w:r>
      <w:r w:rsidRPr="0098378A">
        <w:rPr>
          <w:b/>
        </w:rPr>
        <w:t>zákoně o podporovaných zdrojích energie</w:t>
      </w:r>
      <w:r>
        <w:t>, který byl schválen v roce 2012 (s účinností od 1.</w:t>
      </w:r>
      <w:r w:rsidR="00CD5DE8">
        <w:t xml:space="preserve"> ledna </w:t>
      </w:r>
      <w:r>
        <w:t>2013) a novelizován v roce 2013 (s účinností od 1.</w:t>
      </w:r>
      <w:r w:rsidR="00CD5DE8">
        <w:t xml:space="preserve"> ledna </w:t>
      </w:r>
      <w:r>
        <w:t>2014) v souvislosti se zastavením provozní podpory pro nové výrobny elektřiny uvedené do provozu po 1. lednu 2014 a zavedením maximální výše poplatku na podporu obnovitelných zdrojů energie hrazeného v ceně elektřiny zákazníky. V roce 2014 vláda připraví další návrh legislativních změn, který bude především reagovat na očekávané</w:t>
      </w:r>
      <w:r w:rsidR="00CD3D4E">
        <w:t xml:space="preserve"> ukončení notifikačního řízení Evropské k</w:t>
      </w:r>
      <w:r>
        <w:t>omise k</w:t>
      </w:r>
      <w:r w:rsidR="00CF49CE">
        <w:t> </w:t>
      </w:r>
      <w:r>
        <w:t xml:space="preserve">systému podpory zavedenému v zákoně o podporovaných zdrojích energie. V roce 2014 proběhne také další aktualizace NAP pro OZE, která se provádí jednou za </w:t>
      </w:r>
      <w:r w:rsidR="008C59E2">
        <w:t xml:space="preserve">dva </w:t>
      </w:r>
      <w:r>
        <w:t>roky.</w:t>
      </w:r>
    </w:p>
    <w:p w:rsidR="0032082E" w:rsidRDefault="0032082E" w:rsidP="002F65D4">
      <w:pPr>
        <w:pStyle w:val="Nadpis4"/>
      </w:pPr>
      <w:r>
        <w:t>Opatření v oblasti surovin</w:t>
      </w:r>
    </w:p>
    <w:p w:rsidR="007D1FAA" w:rsidRDefault="007D1FAA" w:rsidP="007D1FAA">
      <w:r>
        <w:t xml:space="preserve">Opatření vlády v oblasti nerostných surovin se soustředí na dokončení procesu implementace principů evropské surovinové strategie </w:t>
      </w:r>
      <w:r w:rsidRPr="0098378A">
        <w:rPr>
          <w:b/>
        </w:rPr>
        <w:t>Iniciativa v oblasti surovin</w:t>
      </w:r>
      <w:r>
        <w:t xml:space="preserve"> (</w:t>
      </w:r>
      <w:proofErr w:type="spellStart"/>
      <w:r>
        <w:t>Raw</w:t>
      </w:r>
      <w:proofErr w:type="spellEnd"/>
      <w:r>
        <w:t xml:space="preserve"> </w:t>
      </w:r>
      <w:proofErr w:type="spellStart"/>
      <w:r>
        <w:t>Materials</w:t>
      </w:r>
      <w:proofErr w:type="spellEnd"/>
      <w:r>
        <w:t xml:space="preserve"> </w:t>
      </w:r>
      <w:proofErr w:type="spellStart"/>
      <w:r>
        <w:t>Initiative</w:t>
      </w:r>
      <w:proofErr w:type="spellEnd"/>
      <w:r>
        <w:t>) do české státní surovinové politiky s cílem zvýšit konkurenceschopnost odvětví využívání nerostných surovin. Právní rámec odvětví vyhledávání a těžby nerostů bude zajišťovat vyvážené postavení občanů, samospráv a</w:t>
      </w:r>
      <w:r w:rsidR="00CF49CE">
        <w:t> </w:t>
      </w:r>
      <w:r>
        <w:t xml:space="preserve">báňských podnikatelů s respektováním zájmů státu na zajištění přiměřené míry surovinové a energetické bezpečnosti země a zájmů ochrany životního prostředí. </w:t>
      </w:r>
    </w:p>
    <w:p w:rsidR="007D1FAA" w:rsidRDefault="007D1FAA" w:rsidP="007D1FAA">
      <w:r>
        <w:t xml:space="preserve">S cílem zvýšit materiálové a energetické využití surovin vláda dne 16. října 2013 projednala materiál </w:t>
      </w:r>
      <w:r w:rsidRPr="007D1FAA">
        <w:rPr>
          <w:b/>
        </w:rPr>
        <w:t xml:space="preserve">Politika druhotných surovin ČR - </w:t>
      </w:r>
      <w:r w:rsidRPr="0098378A">
        <w:rPr>
          <w:b/>
        </w:rPr>
        <w:t>Přeměna odpadu na zdroje</w:t>
      </w:r>
      <w:r>
        <w:t xml:space="preserve"> a schválila základní strategické cíle</w:t>
      </w:r>
      <w:r w:rsidRPr="000D1F63">
        <w:t xml:space="preserve"> a</w:t>
      </w:r>
      <w:r w:rsidR="00CF49CE">
        <w:t> </w:t>
      </w:r>
      <w:r w:rsidRPr="000D1F63">
        <w:t>opatření</w:t>
      </w:r>
      <w:r>
        <w:t xml:space="preserve"> v oblasti druhotných surovin. Ty se soustředí především na podporu technologií umožňujících efektivní využívání druhotných surovin, opětovnou přeměnu odpadů na zdroje a podporu recyklace. Zároveň přispějí k zefektivnění životního cyklu přírodních zdrojů a ke zmírnění materiálové a energetické náročnosti české ekonomiky.</w:t>
      </w:r>
    </w:p>
    <w:p w:rsidR="00D24F0E" w:rsidRDefault="00D24F0E" w:rsidP="00D24F0E">
      <w:pPr>
        <w:pStyle w:val="Nadpis4"/>
      </w:pPr>
      <w:r>
        <w:t xml:space="preserve">Využití biomasy </w:t>
      </w:r>
    </w:p>
    <w:p w:rsidR="00295318" w:rsidRDefault="00A85004" w:rsidP="00295318">
      <w:r w:rsidRPr="00A85004">
        <w:t xml:space="preserve">Vláda vnímá pěstování a energetické využívání biomasy jako jeden z důležitých prvků nejen pro zemědělské hospodaření v krajině zajišťující při správné technologii pěstování a výběru pozemků funkci </w:t>
      </w:r>
      <w:proofErr w:type="spellStart"/>
      <w:r w:rsidRPr="00A85004">
        <w:t>půdoochrannou</w:t>
      </w:r>
      <w:proofErr w:type="spellEnd"/>
      <w:r w:rsidRPr="00A85004">
        <w:t xml:space="preserve"> a protipovodňovou, ale její produkce též může přispět k podpoře biodiverzity české krajiny. Její přínos v oblasti energetiky lze spatřovat především v diverzifikaci energetického mixu a bezpečnosti distribuční soustavy</w:t>
      </w:r>
      <w:r>
        <w:t xml:space="preserve">. </w:t>
      </w:r>
      <w:r w:rsidR="00295318" w:rsidRPr="00C0768A">
        <w:rPr>
          <w:rFonts w:ascii="Calibri" w:eastAsia="Times New Roman" w:hAnsi="Calibri" w:cs="Times New Roman"/>
        </w:rPr>
        <w:t xml:space="preserve">Vedle </w:t>
      </w:r>
      <w:r w:rsidR="00295318">
        <w:t>toho</w:t>
      </w:r>
      <w:r w:rsidR="00295318" w:rsidRPr="00C0768A">
        <w:rPr>
          <w:rFonts w:ascii="Calibri" w:eastAsia="Times New Roman" w:hAnsi="Calibri" w:cs="Times New Roman"/>
        </w:rPr>
        <w:t xml:space="preserve"> lze příno</w:t>
      </w:r>
      <w:r w:rsidR="00295318">
        <w:rPr>
          <w:rFonts w:ascii="Calibri" w:eastAsia="Times New Roman" w:hAnsi="Calibri" w:cs="Times New Roman"/>
        </w:rPr>
        <w:t xml:space="preserve">s využívání biomasy </w:t>
      </w:r>
      <w:r w:rsidR="00295318" w:rsidRPr="00C0768A">
        <w:rPr>
          <w:rFonts w:ascii="Calibri" w:eastAsia="Times New Roman" w:hAnsi="Calibri" w:cs="Times New Roman"/>
        </w:rPr>
        <w:t xml:space="preserve">spatřovat </w:t>
      </w:r>
      <w:r w:rsidR="00295318">
        <w:rPr>
          <w:rFonts w:ascii="Calibri" w:eastAsia="Times New Roman" w:hAnsi="Calibri" w:cs="Times New Roman"/>
        </w:rPr>
        <w:t xml:space="preserve">především </w:t>
      </w:r>
      <w:r w:rsidR="00295318" w:rsidRPr="00C0768A">
        <w:rPr>
          <w:rFonts w:ascii="Calibri" w:eastAsia="Times New Roman" w:hAnsi="Calibri" w:cs="Times New Roman"/>
        </w:rPr>
        <w:t>v rozvoji lokální ekonomiky</w:t>
      </w:r>
      <w:r w:rsidR="00295318">
        <w:rPr>
          <w:rFonts w:ascii="Calibri" w:eastAsia="Times New Roman" w:hAnsi="Calibri" w:cs="Times New Roman"/>
        </w:rPr>
        <w:t xml:space="preserve"> a přispění k</w:t>
      </w:r>
      <w:r w:rsidR="00295318" w:rsidRPr="00C0768A">
        <w:rPr>
          <w:rFonts w:ascii="Calibri" w:eastAsia="Times New Roman" w:hAnsi="Calibri" w:cs="Times New Roman"/>
        </w:rPr>
        <w:t xml:space="preserve"> lokální energetické soběstačnosti, v pozitivním v</w:t>
      </w:r>
      <w:r w:rsidR="00295318">
        <w:rPr>
          <w:rFonts w:ascii="Calibri" w:eastAsia="Times New Roman" w:hAnsi="Calibri" w:cs="Times New Roman"/>
        </w:rPr>
        <w:t>livu na zaměstnanost</w:t>
      </w:r>
      <w:r w:rsidR="00295318">
        <w:t xml:space="preserve"> na venkově</w:t>
      </w:r>
      <w:r w:rsidR="00295318">
        <w:rPr>
          <w:rFonts w:ascii="Calibri" w:eastAsia="Times New Roman" w:hAnsi="Calibri" w:cs="Times New Roman"/>
        </w:rPr>
        <w:t>,</w:t>
      </w:r>
      <w:r w:rsidR="00295318" w:rsidRPr="00C0768A">
        <w:rPr>
          <w:rFonts w:ascii="Calibri" w:eastAsia="Times New Roman" w:hAnsi="Calibri" w:cs="Times New Roman"/>
        </w:rPr>
        <w:t xml:space="preserve"> ale také i z hlediska environmentálního.</w:t>
      </w:r>
      <w:r w:rsidR="005B0A88">
        <w:t xml:space="preserve"> </w:t>
      </w:r>
      <w:r w:rsidR="00295318">
        <w:t xml:space="preserve">Opatření vlády v této oblasti vycházejí zejména z </w:t>
      </w:r>
      <w:r w:rsidR="00295318" w:rsidRPr="0098378A">
        <w:rPr>
          <w:b/>
        </w:rPr>
        <w:t>Akčního plánu pro biomasu v ČR na období 2012 – 2020</w:t>
      </w:r>
      <w:r w:rsidR="00295318">
        <w:t xml:space="preserve"> (dále APB), jež byl schválen vládou 12. září 2012. K hlavním cílům APB patří stanovení kvantifikovaného energetického potenciálu zemědělské biomasy a lesní </w:t>
      </w:r>
      <w:proofErr w:type="spellStart"/>
      <w:r w:rsidR="00295318">
        <w:t>dendromasy</w:t>
      </w:r>
      <w:proofErr w:type="spellEnd"/>
      <w:r w:rsidR="00295318">
        <w:t xml:space="preserve"> a kvantifikace množství energie, která může být reálně vyrobená v ČR z biomasy s výhledem do roku 2020 a zároveň vymezuje vhodná opatření a</w:t>
      </w:r>
      <w:r w:rsidR="00CF49CE">
        <w:t> </w:t>
      </w:r>
      <w:r w:rsidR="00295318">
        <w:t>principy k zajištění efektivního a účelného využití energetického potenciálu biomasy.</w:t>
      </w:r>
    </w:p>
    <w:p w:rsidR="000D1F63" w:rsidRDefault="000D1F63" w:rsidP="00295318">
      <w:pPr>
        <w:pStyle w:val="Nadpis4"/>
      </w:pPr>
      <w:r>
        <w:t xml:space="preserve">Snižování emisí skleníkových plynů </w:t>
      </w:r>
    </w:p>
    <w:p w:rsidR="0032082E" w:rsidRDefault="0032082E" w:rsidP="0032082E">
      <w:r>
        <w:t>Pro emise skleníkových plynů, které nespadají do systému obchodování emisních povolenek EU ETS (</w:t>
      </w:r>
      <w:proofErr w:type="spellStart"/>
      <w:r>
        <w:t>Emissions</w:t>
      </w:r>
      <w:proofErr w:type="spellEnd"/>
      <w:r>
        <w:t xml:space="preserve"> </w:t>
      </w:r>
      <w:proofErr w:type="spellStart"/>
      <w:r>
        <w:t>Trading</w:t>
      </w:r>
      <w:proofErr w:type="spellEnd"/>
      <w:r>
        <w:t xml:space="preserve"> </w:t>
      </w:r>
      <w:proofErr w:type="spellStart"/>
      <w:r>
        <w:t>System</w:t>
      </w:r>
      <w:proofErr w:type="spellEnd"/>
      <w:r>
        <w:t>), je maximální přípustný nárůst pro ČR d</w:t>
      </w:r>
      <w:r w:rsidR="007D1FAA">
        <w:t xml:space="preserve">o konce roku 2020 stanoven na 9 </w:t>
      </w:r>
      <w:r w:rsidR="005B0A88">
        <w:t>%</w:t>
      </w:r>
      <w:r>
        <w:t xml:space="preserve"> v porovnání s rokem 2005. ČR přispívá k naplňování schváleného redukčního cíle EU především prostřednictvím trh</w:t>
      </w:r>
      <w:r w:rsidR="00E24571">
        <w:t>u s emisními povolenkami EU ETS</w:t>
      </w:r>
      <w:r w:rsidR="00E24571" w:rsidRPr="00E24571">
        <w:t>, kde platí cíl snížení emisí o 21 % oproti referenčnímu roku 2005</w:t>
      </w:r>
    </w:p>
    <w:p w:rsidR="0032082E" w:rsidRDefault="00AA2F1F" w:rsidP="0032082E">
      <w:r>
        <w:t>V oblasti ochrany klimatu ČR naplňuje cíle Strategie Evropa 2020 (tj. 20-20-20). Na základě projekcí se předpokládá, že ČR splní své závazky do roku 2020 již na základě efektivní implementace stávajících opatření, bez nutnosti přijímat opatření nová. Naopak očekávaný přebytek emisních práv v rámci plnění cíle pro oblast mimo EU ETS zdrojem dodatečných příjmů, proto</w:t>
      </w:r>
      <w:r w:rsidR="005B0A88">
        <w:t xml:space="preserve">že s ním bude možno obchodovat. </w:t>
      </w:r>
      <w:r w:rsidRPr="00B51F61">
        <w:t xml:space="preserve">Z pohledu </w:t>
      </w:r>
      <w:r w:rsidRPr="00036692">
        <w:t>snižování</w:t>
      </w:r>
      <w:r w:rsidRPr="00B51F61">
        <w:t xml:space="preserve"> emis</w:t>
      </w:r>
      <w:r w:rsidRPr="00036692">
        <w:t>í</w:t>
      </w:r>
      <w:r w:rsidRPr="00B51F61">
        <w:t xml:space="preserve"> skleníkových plynů do roku 2040, je stěžejní aktualizace SEK</w:t>
      </w:r>
      <w:r w:rsidR="008F1C7F">
        <w:t>.</w:t>
      </w:r>
    </w:p>
    <w:p w:rsidR="003237CF" w:rsidRDefault="003237CF" w:rsidP="003237CF">
      <w:pPr>
        <w:pStyle w:val="Nadpis3"/>
        <w:numPr>
          <w:ilvl w:val="2"/>
          <w:numId w:val="4"/>
        </w:numPr>
        <w:ind w:left="851" w:hanging="851"/>
      </w:pPr>
      <w:bookmarkStart w:id="55" w:name="_Toc385339524"/>
      <w:r>
        <w:lastRenderedPageBreak/>
        <w:t>Environmentální politika</w:t>
      </w:r>
      <w:bookmarkEnd w:id="55"/>
    </w:p>
    <w:p w:rsidR="00E641EE" w:rsidRDefault="00B95332" w:rsidP="007A2731">
      <w:r>
        <w:t>Zdravé a kvalitní</w:t>
      </w:r>
      <w:r w:rsidR="007A2731">
        <w:t xml:space="preserve"> životní prostředí</w:t>
      </w:r>
      <w:r>
        <w:t xml:space="preserve"> je ned</w:t>
      </w:r>
      <w:r w:rsidR="00015E9D">
        <w:t>ělitelnou součástí dobré životní</w:t>
      </w:r>
      <w:r>
        <w:t xml:space="preserve"> úrovně obyvatel ČR. Prioritou vlády je minimalizovat </w:t>
      </w:r>
      <w:r w:rsidR="00CD021E">
        <w:t xml:space="preserve">negativní dopady lidské a průmyslové činnosti </w:t>
      </w:r>
      <w:r w:rsidR="00E641EE">
        <w:t xml:space="preserve">na životní prostředí, a to nejen na národní, ale také na mezinárodní úrovni. Za důležitou vláda také považuje oblast </w:t>
      </w:r>
      <w:r w:rsidR="007A2731">
        <w:t>environmentálních inovací</w:t>
      </w:r>
      <w:r w:rsidR="00E641EE">
        <w:t xml:space="preserve">, jakožto potenciálního zdroje podpory růstu ekonomiky a </w:t>
      </w:r>
      <w:r w:rsidR="00E24571" w:rsidRPr="00E24571">
        <w:t>zaměstnanosti a dále oblast environmentálního vzdělávání, výchovy, osvěty a poradenství.</w:t>
      </w:r>
      <w:r w:rsidR="007A2731">
        <w:t xml:space="preserve"> </w:t>
      </w:r>
    </w:p>
    <w:p w:rsidR="007D1FAA" w:rsidRPr="001842E1" w:rsidRDefault="007D1FAA" w:rsidP="007D1FAA">
      <w:pPr>
        <w:pStyle w:val="Nadpis4"/>
      </w:pPr>
      <w:r w:rsidRPr="001842E1">
        <w:t>Ochrana ovzduší</w:t>
      </w:r>
    </w:p>
    <w:p w:rsidR="007D1FAA" w:rsidRDefault="007D1FAA" w:rsidP="007D1FAA">
      <w:pPr>
        <w:rPr>
          <w:rFonts w:ascii="Calibri" w:hAnsi="Calibri" w:cs="Calibri"/>
          <w:color w:val="000000"/>
        </w:rPr>
      </w:pPr>
      <w:r w:rsidRPr="003B7C35">
        <w:t xml:space="preserve">Do konce července 2014 bude dokončena Střednědobá strategie (do roku 2020) zlepšení kvality ovzduší v ČR, jejíž součástí je také Národní program snižování emisí a programy zlepšování kvality ovzduší pro jednotlivé zóny a aglomerace. Cílem Strategie je zlepšení kvality ovzduší v České republice minimálně do té míry, aby byly dodržovány platné imisní limity pro ochranu lidského zdraví, ekosystémů a vegetace a navržení opatření k plnění národních emisních stropů platných od roku 2020 dle revidovaného </w:t>
      </w:r>
      <w:r w:rsidRPr="007D1FAA">
        <w:t xml:space="preserve">Göteborského protokolu (CLRTAP) s výhledem do roku 2030. Vzhledem k tomu, že 18. prosince 2013 Evropská komise zveřejnila balíček opatření k ochraně ovzduší, jehož součástí jsou i návrhy nové legislativy, budou tato opatření ve Strategii (zejména v Národním programu snižování emisí) také zohledněna. </w:t>
      </w:r>
    </w:p>
    <w:p w:rsidR="00B81377" w:rsidRDefault="00B81377" w:rsidP="00B81377">
      <w:pPr>
        <w:pStyle w:val="Nadpis4"/>
      </w:pPr>
      <w:r>
        <w:t>Nakládání s odpady</w:t>
      </w:r>
    </w:p>
    <w:p w:rsidR="00B81377" w:rsidRDefault="007D1FAA" w:rsidP="00435A78">
      <w:r>
        <w:t>Cílem vlády je především předcházení vzniku odpadů a snižování měrné produkce odpadů, minimalizace nepříznivých účinků vzniku odpadů a nakládání s nimi na lidské zdraví a životní prostředí, udržitelný rozvoj společnosti a přiblížení se k evropské „recyklační společnosti“ a v neposlední řadě maximální využívání odpadů jako náhrady primárních zdrojů. Kvantifikované cíle ČR vychází zejména z povinností stanovených příslušnými směrnicemi EU pro oblast nakládání</w:t>
      </w:r>
      <w:r w:rsidR="00983BC6">
        <w:t xml:space="preserve"> </w:t>
      </w:r>
      <w:r>
        <w:t>s odpady</w:t>
      </w:r>
      <w:r>
        <w:rPr>
          <w:rStyle w:val="Znakapoznpodarou"/>
        </w:rPr>
        <w:footnoteReference w:id="28"/>
      </w:r>
      <w:r>
        <w:t xml:space="preserve">. Aby mohly být naplněny výše uvedené cíle, vláda do </w:t>
      </w:r>
      <w:r w:rsidR="00493AA5">
        <w:t xml:space="preserve">konce </w:t>
      </w:r>
      <w:r>
        <w:t xml:space="preserve">roku </w:t>
      </w:r>
      <w:r w:rsidR="00493AA5">
        <w:t xml:space="preserve">2014 </w:t>
      </w:r>
      <w:r>
        <w:t>zajistí přípravu věcného záměru nového zákona o odpadech</w:t>
      </w:r>
      <w:r w:rsidR="00983BC6">
        <w:t xml:space="preserve"> </w:t>
      </w:r>
      <w:r w:rsidR="00983BC6" w:rsidRPr="00983BC6">
        <w:t>a věcného záměru zákona o výrobcích s ukončenou životností</w:t>
      </w:r>
      <w:r>
        <w:t xml:space="preserve">. Vláda také podpoří Program předcházení vzniku odpadů, jehož cíle a opatření </w:t>
      </w:r>
      <w:r w:rsidRPr="00925BD6">
        <w:t xml:space="preserve">budou reflektovány </w:t>
      </w:r>
      <w:r>
        <w:t>rovněž</w:t>
      </w:r>
      <w:r w:rsidRPr="00D71576">
        <w:t xml:space="preserve"> </w:t>
      </w:r>
      <w:r w:rsidR="00CC1156">
        <w:t xml:space="preserve">v nově připravovaném </w:t>
      </w:r>
      <w:r w:rsidRPr="00CC1156">
        <w:rPr>
          <w:b/>
        </w:rPr>
        <w:t>Plánu odpadového hospodářství ČR pro roky 2015 - 2024</w:t>
      </w:r>
      <w:r>
        <w:t xml:space="preserve">. Vláda podpoří </w:t>
      </w:r>
      <w:r w:rsidRPr="00925BD6">
        <w:t>naklá</w:t>
      </w:r>
      <w:r w:rsidRPr="003B25E9">
        <w:t>dání s</w:t>
      </w:r>
      <w:r>
        <w:t> </w:t>
      </w:r>
      <w:r w:rsidRPr="003B25E9">
        <w:t>odpady</w:t>
      </w:r>
      <w:r>
        <w:t>, jehož</w:t>
      </w:r>
      <w:r w:rsidRPr="00925BD6">
        <w:t xml:space="preserve"> cílem </w:t>
      </w:r>
      <w:r>
        <w:t xml:space="preserve">je </w:t>
      </w:r>
      <w:r w:rsidRPr="00925BD6">
        <w:t xml:space="preserve">zvýšit materiálové a energetické využití odpadů </w:t>
      </w:r>
      <w:r>
        <w:t xml:space="preserve">a také napomůže vytvořit systém poplatků, které budou motivovat občany k třídění odpadu. </w:t>
      </w:r>
    </w:p>
    <w:p w:rsidR="007A2731" w:rsidRDefault="007A2731" w:rsidP="007A2731">
      <w:pPr>
        <w:pStyle w:val="Nadpis4"/>
      </w:pPr>
      <w:r>
        <w:t xml:space="preserve">Snižování rizika povodní </w:t>
      </w:r>
      <w:r w:rsidR="005F2D7A" w:rsidRPr="005F2D7A">
        <w:t>a dopadů sucha</w:t>
      </w:r>
    </w:p>
    <w:p w:rsidR="007A2731" w:rsidRDefault="007A2731" w:rsidP="007A2731">
      <w:r>
        <w:t>Zásadní bude pro ČR další snižování rizika povodní především v oblastech s významným povodňovým rizikem. Za tímto účelem bude vláda podporovat realizaci technických a přírodě blízkých protipovodňo</w:t>
      </w:r>
      <w:r w:rsidR="001A4749">
        <w:softHyphen/>
      </w:r>
      <w:r>
        <w:t>vých opatření, další zlepšení úrovně předpovědní a hlásné povodňové služby a obecnou dostupnost informací o povodňovém ohrožení, riziku a připravenosti povodňových orgánů.</w:t>
      </w:r>
    </w:p>
    <w:p w:rsidR="007A2731" w:rsidRDefault="007A2731" w:rsidP="007A2731">
      <w:r>
        <w:t>Koncem roku 2013 bylo dokončeno mapování povodňového nebezpečí a povodňových rizik pro všechny oblasti s významným povodňovým rizikem. Také bylo dokončeno velké množství lokálních varovných systémů a došlo k modernizaci hlásného povodň</w:t>
      </w:r>
      <w:r w:rsidR="007D1FAA">
        <w:t>ového systému v povodí Odry. V roce 2014</w:t>
      </w:r>
      <w:r>
        <w:t xml:space="preserve"> budou připraveny návrhy možných protipovodňových opatření pro oblasti s významným povodňovým rizikem, která by měla být realizována v období 2016 až 2022. Návrhy budou předloženy vládě ČR ke schválení</w:t>
      </w:r>
      <w:r w:rsidR="005B7384">
        <w:t xml:space="preserve"> do konce roku 2015</w:t>
      </w:r>
      <w:r>
        <w:t>.</w:t>
      </w:r>
    </w:p>
    <w:p w:rsidR="005F2D7A" w:rsidRDefault="005F2D7A" w:rsidP="007A2731">
      <w:r w:rsidRPr="005F2D7A">
        <w:t xml:space="preserve">Klíčovou oblastí je pro ČR i problematika sucha a jeho dopadů.  V roce 2014 bude připraveno a vládě předloženo ke schválení nařízení vlády, stanovující minimální zůstatkové průtoky a také připraveny možné návrhy k zmírnění rizika sucha, které budou součástí aktualizovaných Plánů povodí. Tato opatření by měla být realizována v období 2016 -2022. </w:t>
      </w:r>
      <w:r w:rsidR="001717BD" w:rsidRPr="005F2D7A">
        <w:t>Problematika sucha v </w:t>
      </w:r>
      <w:r w:rsidR="001717BD" w:rsidRPr="001717BD">
        <w:t xml:space="preserve">kontextu pozorovaných a předpokládaných dopadů změny klimatu bude též předmětem připravované </w:t>
      </w:r>
      <w:r w:rsidR="001717BD" w:rsidRPr="001717BD">
        <w:rPr>
          <w:b/>
        </w:rPr>
        <w:t>Strategie přizpůsobení se změně klimatu v podmínkách ČR.</w:t>
      </w:r>
    </w:p>
    <w:p w:rsidR="003237CF" w:rsidRDefault="003237CF" w:rsidP="003237CF">
      <w:pPr>
        <w:pStyle w:val="Nadpis3"/>
        <w:numPr>
          <w:ilvl w:val="2"/>
          <w:numId w:val="4"/>
        </w:numPr>
        <w:ind w:left="851" w:hanging="851"/>
      </w:pPr>
      <w:bookmarkStart w:id="56" w:name="_Toc385339525"/>
      <w:r>
        <w:lastRenderedPageBreak/>
        <w:t>Zemědělská politika</w:t>
      </w:r>
      <w:bookmarkEnd w:id="56"/>
    </w:p>
    <w:p w:rsidR="00D842FD" w:rsidRDefault="00D842FD" w:rsidP="00D842FD">
      <w:r>
        <w:t xml:space="preserve">Směr zemědělské politiky ČR udává především přijatá podoba nové </w:t>
      </w:r>
      <w:r w:rsidRPr="00B825BF">
        <w:rPr>
          <w:b/>
        </w:rPr>
        <w:t>Společné zemědělské politiky EU</w:t>
      </w:r>
      <w:r>
        <w:t xml:space="preserve"> (SZP) na období 2014–2020 a národní strategie vytvářené s cílem dalšího rozvoje českého zemědělství. Hlavním strategickým cílem vlády ČR je podílet se na zajištění potravinové bezpečnosti, potravinové soběstačnosti, zvýšení konkurenceschopnosti českého zemědělství, a to v souladu s </w:t>
      </w:r>
      <w:r w:rsidR="00E9710E">
        <w:rPr>
          <w:sz w:val="22"/>
        </w:rPr>
        <w:t xml:space="preserve">cíli připravované </w:t>
      </w:r>
      <w:r w:rsidR="00E9710E">
        <w:t xml:space="preserve">koncepce Politika ochrany klimatu v ČR </w:t>
      </w:r>
      <w:r w:rsidR="00E9710E" w:rsidRPr="00F7397E">
        <w:rPr>
          <w:sz w:val="22"/>
        </w:rPr>
        <w:t xml:space="preserve">a její provázaností s </w:t>
      </w:r>
      <w:r>
        <w:t>udržitelným zacházením s přírodními zdroji, zejména s akcentem na zamezení degradace půdního fondu, snížení míry znečištění vod ze zemědělských zdrojů a zvýšení retence vody v krajině, a důrazem na jeho mimoprodukční funkce, včetně podpory rozvoje venkova a celkového zlepšování kvality života ve venkovských oblastech.</w:t>
      </w:r>
    </w:p>
    <w:p w:rsidR="00D842FD" w:rsidRDefault="00D842FD" w:rsidP="00D842FD">
      <w:pPr>
        <w:pStyle w:val="Nadpis4"/>
      </w:pPr>
      <w:r>
        <w:t>Rozvoj venkova a podpora zaměstnanosti</w:t>
      </w:r>
    </w:p>
    <w:p w:rsidR="00D842FD" w:rsidRDefault="00D842FD" w:rsidP="00D842FD">
      <w:r>
        <w:t>Jednou z priorit vlády ČR je v rámci rozvoje venkova podpora odvětví s vyššími nároky na objem lidské práce a s vysokou přidanou hodnotou, aby na venkově došlo k tvorbě nových pracovních míst a následně i zvýšení životní úrovně. Prioritními odvětvími jsou proto živočišná výroba, specializovaná rostlinná produkce</w:t>
      </w:r>
      <w:r w:rsidR="00205923" w:rsidRPr="00205923">
        <w:rPr>
          <w:sz w:val="22"/>
        </w:rPr>
        <w:t xml:space="preserve"> </w:t>
      </w:r>
      <w:r w:rsidR="00205923">
        <w:rPr>
          <w:sz w:val="22"/>
        </w:rPr>
        <w:t>včetně pěstování některých energetických plodin zohledňující zlepšování funkčních vlastností krajiny a zvyšování biodiverzity</w:t>
      </w:r>
      <w:r>
        <w:t>, zpracovatelský sektor a šetrné technologie v lesích. Vláda posílí význam drobného a středního lesnického a dřevozpracujícího průmyslu s cílem zvýšení zaměstn</w:t>
      </w:r>
      <w:r>
        <w:t>a</w:t>
      </w:r>
      <w:r>
        <w:t>nosti v horských a podhorských oblastech. Vláda</w:t>
      </w:r>
      <w:r w:rsidR="00E73597">
        <w:t xml:space="preserve"> obnoví tzv. zelenou naftu pro aktivní zemědělce a</w:t>
      </w:r>
      <w:r>
        <w:t xml:space="preserve"> </w:t>
      </w:r>
      <w:r w:rsidR="00FA5673">
        <w:t xml:space="preserve">zachová </w:t>
      </w:r>
      <w:r>
        <w:t>nulovou spotřební daň na tichá vína.</w:t>
      </w:r>
    </w:p>
    <w:p w:rsidR="00D842FD" w:rsidRDefault="00D842FD" w:rsidP="00D842FD">
      <w:r>
        <w:t>Bude podporován rozvoj a modernizace zemědělských, potravinářských a lesnických podniků, stejně tak i malých a středních podniků</w:t>
      </w:r>
      <w:r w:rsidR="00AE647D">
        <w:t xml:space="preserve"> </w:t>
      </w:r>
      <w:r w:rsidR="00AE647D" w:rsidRPr="00AE647D">
        <w:t>včetně subjektů sociální ekonomiky</w:t>
      </w:r>
      <w:r>
        <w:t>, a to zejména v hospodářsky citlivých regionech. Vláda podporuje i rozvoj zpracovatelských forem tzv. krátkých řetězců včetně dalšího rozvoje regionálních a místních trhů. S ohledem na nutnost ekonomické stabilizace sektoru vláda také podpoří diverzifikaci příjmů zemědělců, např. podporou bioplynových stanic.</w:t>
      </w:r>
    </w:p>
    <w:p w:rsidR="00D842FD" w:rsidRDefault="00D842FD" w:rsidP="00D842FD">
      <w:pPr>
        <w:pStyle w:val="Nadpis4"/>
      </w:pPr>
      <w:r>
        <w:t>Ochrana spotřebitelů a bezpečnost potravin</w:t>
      </w:r>
    </w:p>
    <w:p w:rsidR="00D842FD" w:rsidRDefault="00D842FD" w:rsidP="00D842FD">
      <w:r>
        <w:t xml:space="preserve">Za účelem zvýšení ochrany spotřebitelů a bezpečnosti potravin bude vláda podporovat producenty kvalitních místních potravin i zavedené systémy </w:t>
      </w:r>
      <w:r w:rsidR="00205923">
        <w:t xml:space="preserve">hodnocení </w:t>
      </w:r>
      <w:r>
        <w:t xml:space="preserve">kvality potravin a přijme přísnější pravidla </w:t>
      </w:r>
      <w:r w:rsidR="00205923" w:rsidRPr="00205923">
        <w:t>nejen pro produkci a distribuci potravin včetně nápojů (nealkoh</w:t>
      </w:r>
      <w:r w:rsidR="00205923">
        <w:t>olických i alkoholických), ale také</w:t>
      </w:r>
      <w:r w:rsidR="00205923" w:rsidRPr="00205923">
        <w:t xml:space="preserve"> </w:t>
      </w:r>
      <w:r>
        <w:t>pro obchodní řetězce včetně transparentního značení původu potravin</w:t>
      </w:r>
      <w:r w:rsidR="00205923" w:rsidRPr="00205923">
        <w:rPr>
          <w:sz w:val="22"/>
        </w:rPr>
        <w:t xml:space="preserve"> </w:t>
      </w:r>
      <w:r w:rsidR="00205923" w:rsidRPr="00F7397E">
        <w:rPr>
          <w:sz w:val="22"/>
        </w:rPr>
        <w:t>tak, aby se na minimum sn</w:t>
      </w:r>
      <w:r w:rsidR="00205923">
        <w:rPr>
          <w:sz w:val="22"/>
        </w:rPr>
        <w:t>í</w:t>
      </w:r>
      <w:r w:rsidR="00205923" w:rsidRPr="00F7397E">
        <w:rPr>
          <w:sz w:val="22"/>
        </w:rPr>
        <w:t>žilo riziko</w:t>
      </w:r>
      <w:r w:rsidR="00205923" w:rsidRPr="00205923">
        <w:rPr>
          <w:sz w:val="22"/>
        </w:rPr>
        <w:t xml:space="preserve"> </w:t>
      </w:r>
      <w:r w:rsidR="00205923" w:rsidRPr="00F7397E">
        <w:rPr>
          <w:sz w:val="22"/>
        </w:rPr>
        <w:t>jejich zdravotní závadnosti</w:t>
      </w:r>
      <w:r>
        <w:t>. Vláda zvýší sankce za klamavé informace o složení výrobků, přičemž pokuty budou udělovány se zohledněním obratu společností. S cílem dosažení efektivního dozoru nad trhem dojde k navýšení počtu inspektorů v terénu. Dozorové orgány kontrolující kvalitu potravin budou nově spadat pod Ministerstvo zemědělství</w:t>
      </w:r>
      <w:r w:rsidR="00205923" w:rsidRPr="00205923">
        <w:t>, které zajistí integrovaný výkon kontroly za účasti dalších složek státní správy, včetně spolupráce s Celní správou a Policií ČR</w:t>
      </w:r>
      <w:r>
        <w:t>. Vláda přijme i opatření ke zvýšení informovanosti spotřebitelů.</w:t>
      </w:r>
    </w:p>
    <w:p w:rsidR="00D842FD" w:rsidRDefault="00D842FD" w:rsidP="00D842FD">
      <w:pPr>
        <w:pStyle w:val="Nadpis4"/>
      </w:pPr>
      <w:r>
        <w:t>Posílení exportu</w:t>
      </w:r>
    </w:p>
    <w:p w:rsidR="00D842FD" w:rsidRDefault="00D842FD" w:rsidP="00D842FD">
      <w:r>
        <w:t xml:space="preserve">S cílem posílení výkonnosti a diverzifikace zemědělsko-potravinářského exportu vláda sjednotí a zefektivní provádění proexportních opatření v oblasti vývozu zemědělských výrobků a potravin do zemí mimo EU, zejména s důrazem na produkty s vyšší přidanou hodnotou a </w:t>
      </w:r>
      <w:r w:rsidR="00205923">
        <w:t xml:space="preserve">na </w:t>
      </w:r>
      <w:r>
        <w:t>trhy, u nichž byl identifikován exportní potenciál.</w:t>
      </w:r>
    </w:p>
    <w:p w:rsidR="00E775E6" w:rsidRDefault="00E775E6" w:rsidP="00DF0228">
      <w:pPr>
        <w:pStyle w:val="Nadpis2"/>
        <w:keepNext/>
        <w:keepLines/>
        <w:numPr>
          <w:ilvl w:val="1"/>
          <w:numId w:val="4"/>
        </w:numPr>
        <w:ind w:left="851" w:hanging="851"/>
      </w:pPr>
      <w:bookmarkStart w:id="57" w:name="_Toc385339526"/>
      <w:r w:rsidRPr="00E775E6">
        <w:lastRenderedPageBreak/>
        <w:t>Fungující trh práce, vzdělávací systém a sociální začleňování</w:t>
      </w:r>
      <w:bookmarkEnd w:id="57"/>
      <w:r w:rsidRPr="00E775E6">
        <w:t xml:space="preserve"> </w:t>
      </w:r>
    </w:p>
    <w:p w:rsidR="00E504FB" w:rsidRDefault="003237CF" w:rsidP="00DF0228">
      <w:pPr>
        <w:pStyle w:val="Nadpis3"/>
        <w:keepNext/>
        <w:keepLines/>
        <w:numPr>
          <w:ilvl w:val="2"/>
          <w:numId w:val="4"/>
        </w:numPr>
        <w:ind w:left="851" w:hanging="851"/>
      </w:pPr>
      <w:bookmarkStart w:id="58" w:name="_Toc385339527"/>
      <w:r>
        <w:t>Rozvoj trhu práce a aktivní politika zaměstnanosti, zvyšování produktivity práce</w:t>
      </w:r>
      <w:bookmarkEnd w:id="58"/>
    </w:p>
    <w:p w:rsidR="0015571D" w:rsidRDefault="00E56590" w:rsidP="00DF0228">
      <w:pPr>
        <w:keepNext/>
        <w:keepLines/>
      </w:pPr>
      <w:r>
        <w:t xml:space="preserve">Cílem vlády je aktivně rozvíjet fungování </w:t>
      </w:r>
      <w:r w:rsidR="0015571D">
        <w:t>trh</w:t>
      </w:r>
      <w:r>
        <w:t>u</w:t>
      </w:r>
      <w:r w:rsidR="0015571D">
        <w:t xml:space="preserve"> práce</w:t>
      </w:r>
      <w:r>
        <w:t xml:space="preserve">, tak aby umožňoval efektivní využívání zdrojů ekonomického a společenského rozvoje. V posledních letech přetrvává na trhu práce řada strukturálních problémů, k nimž náleží nízká zaměstnanost některých skupin obyvatelstva, zejména mladých lidí, žen </w:t>
      </w:r>
      <w:r w:rsidR="00911017">
        <w:t xml:space="preserve">s malými dětmi </w:t>
      </w:r>
      <w:r>
        <w:t xml:space="preserve">či osob v předdůchodovém věku. Na trhu práce obtížně hledají uplatnění také uchazeči s nízkou kvalifikací či zaměřením neodpovídajícím potřebám ekonomiky. </w:t>
      </w:r>
      <w:r w:rsidR="00887F62">
        <w:t>Svými kroky vláda hodlá vytvářet</w:t>
      </w:r>
      <w:r>
        <w:t xml:space="preserve"> podmínky pro </w:t>
      </w:r>
      <w:r w:rsidR="00353FC5">
        <w:t>dlouhodobě udržitelnou</w:t>
      </w:r>
      <w:r w:rsidRPr="00E56590">
        <w:t xml:space="preserve"> zaměstnanost</w:t>
      </w:r>
      <w:r>
        <w:t>, jež bude založená na koordinovaném přístupu státu územní veřejné správy a zaměstnavatelů</w:t>
      </w:r>
      <w:r w:rsidR="007C2582">
        <w:t xml:space="preserve"> a neziskového sektoru, </w:t>
      </w:r>
      <w:r w:rsidR="0067162F">
        <w:t xml:space="preserve">cílené </w:t>
      </w:r>
      <w:r w:rsidR="007C2582">
        <w:t xml:space="preserve">aktivní politice zaměstnanosti a </w:t>
      </w:r>
      <w:r>
        <w:t>efektivním a smysluplném</w:t>
      </w:r>
      <w:r w:rsidR="007C2582">
        <w:t xml:space="preserve"> </w:t>
      </w:r>
      <w:r>
        <w:t>rozvoji kvalifikace</w:t>
      </w:r>
      <w:r w:rsidR="007C2582">
        <w:t xml:space="preserve"> občanů. Nad rámec reakce na doporučení č. 4 vláda v této oblasti chystá </w:t>
      </w:r>
      <w:r w:rsidR="00594342">
        <w:t xml:space="preserve">přijmout </w:t>
      </w:r>
      <w:r w:rsidR="007C2582">
        <w:t>několi</w:t>
      </w:r>
      <w:r w:rsidR="00594342">
        <w:t>k dalších opatření vedoucích k plnění dlouhodobých cílů</w:t>
      </w:r>
      <w:r w:rsidR="00D80B15">
        <w:t xml:space="preserve">, </w:t>
      </w:r>
      <w:r w:rsidR="00D80B15" w:rsidRPr="00D80B15">
        <w:t>včetně obnovy náplně práce početně posílených Úřadů práce</w:t>
      </w:r>
    </w:p>
    <w:p w:rsidR="005A0B08" w:rsidRDefault="005A0B08" w:rsidP="005A0B08">
      <w:pPr>
        <w:pStyle w:val="Nadpis4"/>
      </w:pPr>
      <w:r>
        <w:t>Úprava systému investičních pobídek</w:t>
      </w:r>
    </w:p>
    <w:p w:rsidR="005A0B08" w:rsidRDefault="006439FE" w:rsidP="006439FE">
      <w:r w:rsidRPr="00541350">
        <w:t>Novelou zákona č. 72/2000 Sb., o investičních pobídkách a zákona č. 435/2004 Sb., o zaměstnanosti, vláda zvýší motivaci pro zaměstnavatele investovat v regionech s mírou nezaměstnanosti nad průměrem ČR a na území zvýhodněných průmyslových zón.  Výše hmotné podpory na vytváření nových pracovních míst a školení (rekvalifikace) bude odstupňo</w:t>
      </w:r>
      <w:r>
        <w:t>vána dle míry nezaměstnanosti v </w:t>
      </w:r>
      <w:r w:rsidRPr="00541350">
        <w:t>podporovaných regionech. Zvýhodněné podpory tvorby nových pracovních míst a školení se budou rovněž vztahovat na území státem podporovaných regionů</w:t>
      </w:r>
      <w:r w:rsidRPr="006439FE">
        <w:rPr>
          <w:rStyle w:val="Znakapoznpodarou"/>
        </w:rPr>
        <w:footnoteReference w:id="29"/>
      </w:r>
      <w:r w:rsidRPr="00541350">
        <w:t>. V souladu s Plánem legislativních prací vlády bude návrh souhrnné novely zákona o investičních pobídkách, zahrnující i novelu zákona o zaměstnanosti, předložen vládě do konce června 2014.</w:t>
      </w:r>
      <w:r w:rsidR="005A0B08">
        <w:t xml:space="preserve"> </w:t>
      </w:r>
    </w:p>
    <w:p w:rsidR="005A0B08" w:rsidRDefault="005A0B08" w:rsidP="005A0B08">
      <w:pPr>
        <w:pStyle w:val="Nadpis4"/>
      </w:pPr>
      <w:r>
        <w:t>Program Záruky pro mládež</w:t>
      </w:r>
    </w:p>
    <w:p w:rsidR="006439FE" w:rsidRDefault="006439FE" w:rsidP="006439FE">
      <w:r>
        <w:t>ČR přijala program Záruky pro mládež, jehož cílem je nabídnout zaměstnání, další vzdělávání, odbornou přípravu nebo stáž, každému mladému člověku do 25 let, a to do čtyř měsíců poté, co se stal nezaměstna</w:t>
      </w:r>
      <w:r w:rsidR="001A4749">
        <w:softHyphen/>
      </w:r>
      <w:r>
        <w:t>ným, ukončil formální vzdělávání nebo odešel ze systému formálního vzdělávání.</w:t>
      </w:r>
      <w:r w:rsidRPr="00020F22">
        <w:t xml:space="preserve"> </w:t>
      </w:r>
      <w:r>
        <w:t>V současné době se program naplňuje a realizuje prostřednictvím 31 stávajících projektů pro mládež v rámci OP Lidské zdroje a zaměstnanost, z nich</w:t>
      </w:r>
      <w:r w:rsidR="00496F69">
        <w:t>ž</w:t>
      </w:r>
      <w:r>
        <w:t xml:space="preserve"> největší podíl a aktivaci zapojení představuje 14 regionálních projektů „Odborné praxe pro mladé do 30 let“. Tyto projekty jsou určené pro mladé bez pracovní zkušenosti nebo minimálními zkušenostmi, kteří jsou evidováni na Úřadu práce ČR. Od roku 2015 budou do realizace programu zapojeny i opatření a projekty financované v rámci investiční priority 1.1 nového OP Zaměstnanost. </w:t>
      </w:r>
      <w:r w:rsidR="00181F42">
        <w:t>Záměrem vlády je rovněž předcházet nezaměstnanosti mladých lidí lepším provazováním vzdělávací nabídky s dlouhodobými potřebami trhu práce.</w:t>
      </w:r>
    </w:p>
    <w:p w:rsidR="005A0B08" w:rsidRDefault="005A0B08" w:rsidP="005A0B08">
      <w:pPr>
        <w:pStyle w:val="Nadpis4"/>
      </w:pPr>
      <w:r>
        <w:t>Snížení míry nezaměstnanosti mladých oso</w:t>
      </w:r>
      <w:r w:rsidR="009315A5">
        <w:t>b v regionu NUTS II Severozápad</w:t>
      </w:r>
    </w:p>
    <w:p w:rsidR="006439FE" w:rsidRDefault="006439FE" w:rsidP="006439FE">
      <w:r>
        <w:t>Iniciativa EU na podporu zaměstnanosti mládeže se realizuje v regionu NUTS 2 Severozápad, který jako jediný splnil podmínku iniciativy, tj. že v roce 2012 byla míra nezaměstnanosti mládeže do 25 let vyšší než 25 % (konkrétně 28,2 %). ČR se zavazuje</w:t>
      </w:r>
      <w:r w:rsidR="00496F69">
        <w:t>, že nabídne zaměstnání, další vzdělávání, odbornou</w:t>
      </w:r>
      <w:r>
        <w:t xml:space="preserve"> příprav</w:t>
      </w:r>
      <w:r w:rsidR="00496F69">
        <w:t>u</w:t>
      </w:r>
      <w:r>
        <w:t xml:space="preserve"> nebo stáž, každému mladému člověku do 25 let v Karlovarském a Ústeckém kraji, který není zaměstnaný, ani není zařazen do systému dalšího vzdělávání nebo do odborné přípravy (tzv. </w:t>
      </w:r>
      <w:proofErr w:type="spellStart"/>
      <w:r>
        <w:t>NEETs</w:t>
      </w:r>
      <w:proofErr w:type="spellEnd"/>
      <w:r>
        <w:t>).</w:t>
      </w:r>
      <w:r w:rsidRPr="00020F22">
        <w:t xml:space="preserve"> </w:t>
      </w:r>
      <w:r>
        <w:t>V roce 2014 se</w:t>
      </w:r>
      <w:r w:rsidRPr="00146026">
        <w:t xml:space="preserve"> </w:t>
      </w:r>
      <w:r>
        <w:t>opatření Iniciativy</w:t>
      </w:r>
      <w:r w:rsidRPr="00146026">
        <w:t xml:space="preserve"> </w:t>
      </w:r>
      <w:r>
        <w:t>realizují v rámci projektů aktivní politiky zaměstnanosti financovaných ze státního rozpočtu nebo projektů OP Lidské zdroje a zaměstnanost. Od roku 2015 budou k dispozici finanční prostředky</w:t>
      </w:r>
      <w:r w:rsidRPr="00146026">
        <w:t xml:space="preserve"> v rámci Investiční priority 1.5 nového Operačního programu Zaměstnanost na léta 2014-20.</w:t>
      </w:r>
    </w:p>
    <w:p w:rsidR="00C34672" w:rsidRDefault="00C34672" w:rsidP="00C34672">
      <w:pPr>
        <w:pStyle w:val="Nadpis4"/>
      </w:pPr>
      <w:r>
        <w:t xml:space="preserve">Podpora regionální spolupráce na trhu práce </w:t>
      </w:r>
    </w:p>
    <w:p w:rsidR="00C34672" w:rsidRPr="00E81050" w:rsidRDefault="00C34672" w:rsidP="00C34672">
      <w:pPr>
        <w:rPr>
          <w:highlight w:val="yellow"/>
        </w:rPr>
      </w:pPr>
      <w:r w:rsidRPr="00E81050">
        <w:t xml:space="preserve">Vytvoření fungujícího systému spolupráce na trhu práce je základním předpokladem prevence vzniku nezaměstnanosti a posílení konkurenceschopnosti českého hospodářství. Vhodným výchozím bodem ke </w:t>
      </w:r>
      <w:r w:rsidRPr="00E81050">
        <w:lastRenderedPageBreak/>
        <w:t>vzájemné spolupráci ÚP ČR a dalších partnerů na trhu práce jsou existující poradní sbory, týmy monitoringu práce apod.</w:t>
      </w:r>
    </w:p>
    <w:p w:rsidR="00C34672" w:rsidRDefault="00C34672" w:rsidP="00DF0228">
      <w:pPr>
        <w:pStyle w:val="Nadpis4"/>
        <w:keepNext/>
        <w:keepLines/>
      </w:pPr>
      <w:r>
        <w:t xml:space="preserve">Cílenější poskytování aktivní politiky </w:t>
      </w:r>
      <w:r w:rsidRPr="00C34672">
        <w:t>zaměstnanosti</w:t>
      </w:r>
    </w:p>
    <w:p w:rsidR="00C34672" w:rsidRDefault="00C34672" w:rsidP="00DF0228">
      <w:pPr>
        <w:keepNext/>
        <w:keepLines/>
      </w:pPr>
      <w:r w:rsidRPr="002D629B">
        <w:t xml:space="preserve">Nástroje aktivní politiky zaměstnanosti, zejména podpora vytváření pracovních příležitostí, bude zohledňovat délku vedení uchazeče o zaměstnání v evidenci ÚP ČR a míru znevýhodnění podpořených osob na trhu práce, zejména kumulaci jednotlivých </w:t>
      </w:r>
      <w:r w:rsidR="00496F69">
        <w:t>znevýhodnění</w:t>
      </w:r>
      <w:r w:rsidRPr="002D629B">
        <w:t>, a to tak, aby příspěvky motivovaly zaměstnavatele k umisťování skutečně znevýhodněných osob.</w:t>
      </w:r>
    </w:p>
    <w:p w:rsidR="007E5C6D" w:rsidRDefault="007E5C6D" w:rsidP="007E5C6D">
      <w:pPr>
        <w:pStyle w:val="Nadpis4"/>
      </w:pPr>
      <w:r>
        <w:t>Národní soustava povolání a Národní soustava kvalifikací</w:t>
      </w:r>
    </w:p>
    <w:p w:rsidR="00D80B15" w:rsidRPr="00DF0228" w:rsidRDefault="007E5C6D" w:rsidP="007E5C6D">
      <w:pPr>
        <w:rPr>
          <w:highlight w:val="yellow"/>
        </w:rPr>
      </w:pPr>
      <w:r w:rsidRPr="00DF0228">
        <w:t xml:space="preserve">Vláda bude podporovat další rozvoj </w:t>
      </w:r>
      <w:r w:rsidRPr="00CC1156">
        <w:rPr>
          <w:b/>
        </w:rPr>
        <w:t>Národní soustavy povolání a Národní soustavy kvalifikací</w:t>
      </w:r>
      <w:r w:rsidRPr="00DF0228">
        <w:t>, které se prostřednictvím zapojení významných činitelů na trhu práce velmi významnou měrou podílejí na snížení nesouladu mezi nabídkou a poptávkou na trhu práce. Obsahuje informace o povoláních uplatnitelných na trhu práce a požadovaných kompetencích, jež se následně promítají do všech úrovní vzdělávání, do oblastí lidských zdrojů a profesního vzdělávání ve všech jeho stupních.</w:t>
      </w:r>
      <w:r w:rsidR="00D80B15" w:rsidRPr="00DF0228">
        <w:t xml:space="preserve">  </w:t>
      </w:r>
    </w:p>
    <w:p w:rsidR="002739C4" w:rsidRDefault="00BA2EA2" w:rsidP="003237CF">
      <w:pPr>
        <w:pStyle w:val="Nadpis3"/>
        <w:numPr>
          <w:ilvl w:val="2"/>
          <w:numId w:val="4"/>
        </w:numPr>
        <w:ind w:left="851" w:hanging="851"/>
      </w:pPr>
      <w:bookmarkStart w:id="59" w:name="_Toc385339528"/>
      <w:r>
        <w:t>Kvalitní a dostupná zdravotní péče</w:t>
      </w:r>
      <w:bookmarkEnd w:id="59"/>
    </w:p>
    <w:p w:rsidR="006F5768" w:rsidRDefault="006F5768" w:rsidP="006F5768">
      <w:r w:rsidRPr="00F547AF">
        <w:t>Vláda chápe zdravotnictví jako veřejnou službu, jež je založena na principu solidarity, neziskovosti, rovnosti a všeobecné dostupnosti. Prioritou je přitom zajištění kvalitní a efektivní péče všem občanům</w:t>
      </w:r>
      <w:r w:rsidR="007068A3">
        <w:t xml:space="preserve"> včetně dětí a </w:t>
      </w:r>
      <w:r w:rsidR="007068A3" w:rsidRPr="008A49A4">
        <w:t>seniorů</w:t>
      </w:r>
      <w:r w:rsidRPr="00F547AF">
        <w:t>.</w:t>
      </w:r>
      <w:r>
        <w:t xml:space="preserve"> Politika vlády v oblasti zdravotní péče vychází mj. i z </w:t>
      </w:r>
      <w:r w:rsidRPr="00F547AF">
        <w:t>p</w:t>
      </w:r>
      <w:r>
        <w:t xml:space="preserve">riorit definovaných národní strategií </w:t>
      </w:r>
      <w:r w:rsidRPr="00D9159F">
        <w:rPr>
          <w:b/>
        </w:rPr>
        <w:t>Zdraví 2020</w:t>
      </w:r>
      <w:r>
        <w:t>, jež představuje rámcový souhrn opatření pro zlepšení zdravotního stavu populace ČR a snižování výskytu nemocí a předčasných úmrtí, kterým lze předcházet. Nad rámec reakce na doporučení Rady č. 3, hodlá vláda realizovat další opatření vedoucí ke zlepšení kvality a dostupnosti zdravotní péče v ČR.</w:t>
      </w:r>
    </w:p>
    <w:p w:rsidR="006F5768" w:rsidRPr="006F5768" w:rsidRDefault="006F5768" w:rsidP="006F5768">
      <w:pPr>
        <w:pStyle w:val="Nadpis4"/>
      </w:pPr>
      <w:r w:rsidRPr="006F5768">
        <w:t>Prevence jako předpoklad zdravé populace</w:t>
      </w:r>
    </w:p>
    <w:p w:rsidR="002E1155" w:rsidRDefault="006F5768" w:rsidP="006F5768">
      <w:r>
        <w:t>Prevence je tvoří nejen jeden ze základů zlepšování zdravotního stavu populace, ale také přináší významné úspory nákladů na zdravotní služby a další ekonomické přínosy. Vláda hodlá podporovat realizaci projektů podpory zdraví se zaměřením na podporu zvyšování a optimalizace pohybových aktivit u široké veřejnosti i definovaných cílových skupin. Stejně tak bude podporovat projekty podpory zdraví se zaměřením na dosažení změn ve stravovacích návycích a zvyšování zdravotní gramotnosti, a to zejména u dětí a mládeže. Zaměří se také na snižování zdravotních rizik ze životního a pracovního prostředí a omezování zdravotně rizikového chování, zejména pokud jde o ochranu před návykovými látkami.</w:t>
      </w:r>
      <w:r w:rsidR="002E1155">
        <w:t xml:space="preserve"> Vláda bude také prosazovat prevenci</w:t>
      </w:r>
      <w:r w:rsidR="002E1155" w:rsidRPr="002E1155">
        <w:t xml:space="preserve"> infekčních onemocnění</w:t>
      </w:r>
      <w:r w:rsidR="002E1155">
        <w:t xml:space="preserve">, zejména prostřednictvím </w:t>
      </w:r>
      <w:r w:rsidR="002E1155" w:rsidRPr="002E1155">
        <w:t xml:space="preserve">opatření </w:t>
      </w:r>
      <w:r w:rsidR="002E1155">
        <w:t>zaměřených na a</w:t>
      </w:r>
      <w:r w:rsidR="002E1155" w:rsidRPr="002E1155">
        <w:t>ntimikrobiální rezistenci a vakcinační</w:t>
      </w:r>
      <w:r w:rsidR="002E1155">
        <w:t>mi</w:t>
      </w:r>
      <w:r w:rsidR="002E1155" w:rsidRPr="002E1155">
        <w:t xml:space="preserve"> programy</w:t>
      </w:r>
      <w:r w:rsidR="002E1155">
        <w:t>.</w:t>
      </w:r>
    </w:p>
    <w:p w:rsidR="006F5768" w:rsidRPr="00D501C5" w:rsidRDefault="006F5768" w:rsidP="006F5768">
      <w:pPr>
        <w:pStyle w:val="Nadpis4"/>
      </w:pPr>
      <w:r w:rsidRPr="00D501C5">
        <w:t>Elektronizace zdravotnictví (</w:t>
      </w:r>
      <w:proofErr w:type="spellStart"/>
      <w:r w:rsidRPr="00D501C5">
        <w:t>eHealth</w:t>
      </w:r>
      <w:proofErr w:type="spellEnd"/>
      <w:r w:rsidRPr="00D501C5">
        <w:t>)</w:t>
      </w:r>
    </w:p>
    <w:p w:rsidR="006F5768" w:rsidRDefault="006F5768" w:rsidP="006F5768">
      <w:r>
        <w:t>Cílem vlády je zajistit bezpečné sdílení důležitých zdravotních i ekonomických informací, čímž dosáhne zvýšení kvality, komfortu, bezpečnosti a transparentnosti systému poskytování zdravotní péče. Elektronizace umožní profesionálům i pacientům dělat správná rozhodnutí na základě správných informací. Plné využití moderních komunikační technologií přispěje k lepší a nákladově efektivnější péči. V tomto kontextu je cílem vlády vytvoření funkční strategie, jež zajistí standardy nutné pro rozvoj a dlouhodobou udržitelnost elektronického zdravotnictví a dohlídne na jejich uplatňování.</w:t>
      </w:r>
    </w:p>
    <w:p w:rsidR="006F5768" w:rsidRPr="001C03BA" w:rsidRDefault="006F5768" w:rsidP="006F5768">
      <w:pPr>
        <w:pStyle w:val="Nadpis4"/>
      </w:pPr>
      <w:r w:rsidRPr="001C03BA">
        <w:t>Zavádění systému hodnocení zdravotnických technologií (HTA)</w:t>
      </w:r>
    </w:p>
    <w:p w:rsidR="006F5768" w:rsidRPr="006F5768" w:rsidRDefault="006F5768" w:rsidP="006F5768">
      <w:r w:rsidRPr="009B26B5">
        <w:rPr>
          <w:color w:val="000000"/>
        </w:rPr>
        <w:t>I nadále pokračuje snaha vlády efektivně vymezit proces vstupu nových technologií do zdravotnického systému. V rámci projektu zavádění systému hodnocení zdravotnických technologií (HTA) vznikla metodika, jež by měla zajistit, aby nové technologie, které mají být hrazeny ze systému veřejného zdravotního pojištění, přinášely odpovídající a zdokumentovanou protihodnotu. Je potřeba rozhodnout o formě institucionálního zajištění HTA a o způsobu jeho začlenění do procesu stanovování rozsahu zdravotní péče hrazené z veřejného zdravotního pojištění.</w:t>
      </w:r>
      <w:r w:rsidRPr="001C03BA">
        <w:t xml:space="preserve"> </w:t>
      </w:r>
      <w:r>
        <w:t>V roce 2014 bude dále testována použitelnost metodiky a její případné nasazení prostřednictvím zákonné úpravy.</w:t>
      </w:r>
    </w:p>
    <w:p w:rsidR="003237CF" w:rsidRDefault="003237CF" w:rsidP="003237CF">
      <w:pPr>
        <w:pStyle w:val="Nadpis3"/>
        <w:numPr>
          <w:ilvl w:val="2"/>
          <w:numId w:val="4"/>
        </w:numPr>
        <w:ind w:left="851" w:hanging="851"/>
      </w:pPr>
      <w:bookmarkStart w:id="60" w:name="_Toc385339529"/>
      <w:r>
        <w:lastRenderedPageBreak/>
        <w:t>Sociální začleňování a boj s chudobou</w:t>
      </w:r>
      <w:bookmarkEnd w:id="60"/>
    </w:p>
    <w:p w:rsidR="00C95EE8" w:rsidRDefault="00C95EE8" w:rsidP="00C95EE8">
      <w:r w:rsidRPr="00C95EE8">
        <w:t>Vláda bude v souladu s evropským konceptem aktivního začleňování podporovat opatření přispívající k začleňování osob ohrožených sociálním vyloučením nebo sociálně vyloučených do společnosti, a to jak prostřednictvím inkluzivního trhu práce, tak skrze zvyšování dostupnosti, kvality a udržitelnosti základních zdrojů a služeb včetně důstojného příjmu, bydlení a vzdělání. Ve svém důsledku má osobám sociálně vyloučeným či sociálním vyloučením ohroženým přinést možnost participovat na otevřeném trhu zboží a služeb, přispět ke zmírňování sociálního napětí a předcházení jeho negativním sociálním a ekonomickým dopadům a ke snižování výdajů na řešení nepříznivých sociálních důsledků vyloučení.</w:t>
      </w:r>
    </w:p>
    <w:p w:rsidR="00C95EE8" w:rsidRPr="00947585" w:rsidRDefault="00947585" w:rsidP="00C95EE8">
      <w:r>
        <w:t xml:space="preserve">Zastřešujícím dokumentem pro hlavní oblasti </w:t>
      </w:r>
      <w:r w:rsidRPr="00947585">
        <w:t>sociální</w:t>
      </w:r>
      <w:r>
        <w:t>ho</w:t>
      </w:r>
      <w:r w:rsidRPr="00947585">
        <w:t xml:space="preserve"> začleňování osob sociálně vyloučených nebo </w:t>
      </w:r>
      <w:r>
        <w:t xml:space="preserve">sociálním vyloučením ohrožených je </w:t>
      </w:r>
      <w:r w:rsidRPr="00947585">
        <w:rPr>
          <w:b/>
        </w:rPr>
        <w:t>Strategie sociálního začleňování 2014 – 2020</w:t>
      </w:r>
      <w:r>
        <w:t>, jež</w:t>
      </w:r>
      <w:r w:rsidRPr="00833A4B">
        <w:t xml:space="preserve"> stanov</w:t>
      </w:r>
      <w:r>
        <w:t>uje</w:t>
      </w:r>
      <w:r w:rsidRPr="00833A4B">
        <w:t xml:space="preserve"> prioritní témata ČR v oblastech důležitých pro sociální začleňování pro období </w:t>
      </w:r>
      <w:r w:rsidR="00040742">
        <w:t xml:space="preserve">2014 až </w:t>
      </w:r>
      <w:r w:rsidRPr="00833A4B">
        <w:t>2020</w:t>
      </w:r>
      <w:r>
        <w:t xml:space="preserve"> a o</w:t>
      </w:r>
      <w:r w:rsidRPr="00833A4B">
        <w:t xml:space="preserve">bsahuje přehled opatření majících vliv </w:t>
      </w:r>
      <w:r>
        <w:t>na sociální začleňování a boj s </w:t>
      </w:r>
      <w:r w:rsidRPr="00833A4B">
        <w:t>chudobou.</w:t>
      </w:r>
      <w:r>
        <w:t xml:space="preserve"> </w:t>
      </w:r>
      <w:r w:rsidR="00C95EE8">
        <w:t xml:space="preserve">Dále </w:t>
      </w:r>
      <w:r w:rsidR="00C95EE8" w:rsidRPr="00833A4B">
        <w:t xml:space="preserve">ukazuje směr, kterým se řešení sociálního vyloučení </w:t>
      </w:r>
      <w:r w:rsidR="00C95EE8">
        <w:t xml:space="preserve">mají </w:t>
      </w:r>
      <w:r w:rsidR="00C95EE8" w:rsidRPr="00833A4B">
        <w:t xml:space="preserve">ubírat, prosazuje společensky odpovědné hodnoty vztahující se k sociálnímu vyloučení, upozorňuje na nedostatky při hledání řešení sociálního vyloučení a zasazuje se o šíření principu </w:t>
      </w:r>
      <w:proofErr w:type="spellStart"/>
      <w:r w:rsidR="00C95EE8" w:rsidRPr="00833A4B">
        <w:t>mainstreamingu</w:t>
      </w:r>
      <w:proofErr w:type="spellEnd"/>
      <w:r w:rsidR="00C95EE8" w:rsidRPr="00833A4B">
        <w:t xml:space="preserve"> sociálního začleňování na všech správních úrovních. </w:t>
      </w:r>
    </w:p>
    <w:p w:rsidR="00C95EE8" w:rsidRPr="002832A6" w:rsidRDefault="00F11F32" w:rsidP="00C95EE8">
      <w:pPr>
        <w:pStyle w:val="Nadpis4"/>
        <w:rPr>
          <w:rFonts w:asciiTheme="minorHAnsi" w:hAnsiTheme="minorHAnsi"/>
        </w:rPr>
      </w:pPr>
      <w:r>
        <w:rPr>
          <w:rFonts w:asciiTheme="minorHAnsi" w:hAnsiTheme="minorHAnsi"/>
        </w:rPr>
        <w:t xml:space="preserve">Dostupná </w:t>
      </w:r>
      <w:r w:rsidR="009C6A23">
        <w:rPr>
          <w:rFonts w:asciiTheme="minorHAnsi" w:hAnsiTheme="minorHAnsi"/>
        </w:rPr>
        <w:t xml:space="preserve">a profesionální </w:t>
      </w:r>
      <w:r>
        <w:rPr>
          <w:rFonts w:asciiTheme="minorHAnsi" w:hAnsiTheme="minorHAnsi"/>
        </w:rPr>
        <w:t>s</w:t>
      </w:r>
      <w:r w:rsidR="00C95EE8" w:rsidRPr="002832A6">
        <w:rPr>
          <w:rFonts w:asciiTheme="minorHAnsi" w:hAnsiTheme="minorHAnsi"/>
        </w:rPr>
        <w:t>ociální práce</w:t>
      </w:r>
    </w:p>
    <w:p w:rsidR="00C95EE8" w:rsidRPr="00C34672" w:rsidRDefault="00C34672" w:rsidP="00C95EE8">
      <w:r w:rsidRPr="00833A4B">
        <w:t xml:space="preserve">Jako základní nástroj pro sociální začleňování osob sociálně vyloučených nebo sociálním vyloučením ohrožených </w:t>
      </w:r>
      <w:r>
        <w:t>slouží</w:t>
      </w:r>
      <w:r w:rsidRPr="00833A4B">
        <w:t xml:space="preserve"> sociální práce. V rámci posílení </w:t>
      </w:r>
      <w:r>
        <w:t>této její role</w:t>
      </w:r>
      <w:r w:rsidRPr="00833A4B">
        <w:t xml:space="preserve"> </w:t>
      </w:r>
      <w:r w:rsidR="00F11F32">
        <w:t xml:space="preserve">bude docházet k postupnému </w:t>
      </w:r>
      <w:r w:rsidRPr="00833A4B">
        <w:t xml:space="preserve">navýšení počtu sociálních pracovníků </w:t>
      </w:r>
      <w:r>
        <w:t xml:space="preserve">v </w:t>
      </w:r>
      <w:r w:rsidRPr="00833A4B">
        <w:t>obcí</w:t>
      </w:r>
      <w:r>
        <w:t>ch</w:t>
      </w:r>
      <w:r w:rsidRPr="00833A4B">
        <w:t xml:space="preserve"> s rozšířenou působností</w:t>
      </w:r>
      <w:r w:rsidR="00F11F32">
        <w:t xml:space="preserve"> tak,</w:t>
      </w:r>
      <w:r w:rsidRPr="00833A4B">
        <w:t xml:space="preserve"> </w:t>
      </w:r>
      <w:r>
        <w:t>a</w:t>
      </w:r>
      <w:r w:rsidRPr="00833A4B">
        <w:t>by d</w:t>
      </w:r>
      <w:r w:rsidR="00F11F32">
        <w:t>ošlo k zajištění</w:t>
      </w:r>
      <w:r w:rsidRPr="00833A4B">
        <w:t xml:space="preserve"> </w:t>
      </w:r>
      <w:r w:rsidR="006F7D27">
        <w:t xml:space="preserve">jejich </w:t>
      </w:r>
      <w:r w:rsidR="00F11F32">
        <w:t xml:space="preserve">optimálního </w:t>
      </w:r>
      <w:r w:rsidRPr="00833A4B">
        <w:t xml:space="preserve">stavu. </w:t>
      </w:r>
      <w:r>
        <w:rPr>
          <w:rFonts w:cs="Arial"/>
        </w:rPr>
        <w:t xml:space="preserve">Vláda </w:t>
      </w:r>
      <w:r w:rsidR="00BF6814">
        <w:rPr>
          <w:rFonts w:cs="Arial"/>
        </w:rPr>
        <w:t xml:space="preserve">zároveň </w:t>
      </w:r>
      <w:r w:rsidRPr="002832A6">
        <w:rPr>
          <w:rFonts w:cs="Arial"/>
        </w:rPr>
        <w:t>př</w:t>
      </w:r>
      <w:r>
        <w:rPr>
          <w:rFonts w:cs="Arial"/>
        </w:rPr>
        <w:t>i</w:t>
      </w:r>
      <w:r w:rsidRPr="002832A6">
        <w:rPr>
          <w:rFonts w:cs="Arial"/>
        </w:rPr>
        <w:t>prav</w:t>
      </w:r>
      <w:r>
        <w:rPr>
          <w:rFonts w:cs="Arial"/>
        </w:rPr>
        <w:t>í</w:t>
      </w:r>
      <w:r w:rsidRPr="002832A6">
        <w:rPr>
          <w:rFonts w:cs="Arial"/>
        </w:rPr>
        <w:t xml:space="preserve"> věcn</w:t>
      </w:r>
      <w:r>
        <w:rPr>
          <w:rFonts w:cs="Arial"/>
        </w:rPr>
        <w:t>ý</w:t>
      </w:r>
      <w:r w:rsidRPr="002832A6">
        <w:rPr>
          <w:rFonts w:cs="Arial"/>
        </w:rPr>
        <w:t xml:space="preserve"> záměr zákona o sociálních pracovnících</w:t>
      </w:r>
      <w:r>
        <w:rPr>
          <w:rFonts w:cs="Arial"/>
        </w:rPr>
        <w:t>,</w:t>
      </w:r>
      <w:r w:rsidRPr="009A40C7">
        <w:rPr>
          <w:rFonts w:cs="Arial"/>
        </w:rPr>
        <w:t xml:space="preserve"> </w:t>
      </w:r>
      <w:r>
        <w:rPr>
          <w:rFonts w:cs="Arial"/>
        </w:rPr>
        <w:t xml:space="preserve">v němž bude </w:t>
      </w:r>
      <w:r w:rsidRPr="002832A6">
        <w:rPr>
          <w:rFonts w:cs="Arial"/>
        </w:rPr>
        <w:t>sociální práce profesn</w:t>
      </w:r>
      <w:r>
        <w:rPr>
          <w:rFonts w:cs="Arial"/>
        </w:rPr>
        <w:t>ě</w:t>
      </w:r>
      <w:r w:rsidRPr="002832A6">
        <w:rPr>
          <w:rFonts w:cs="Arial"/>
        </w:rPr>
        <w:t xml:space="preserve"> ukotven</w:t>
      </w:r>
      <w:r>
        <w:rPr>
          <w:rFonts w:cs="Arial"/>
        </w:rPr>
        <w:t>a, včetně posílení k</w:t>
      </w:r>
      <w:r w:rsidR="00624E5D">
        <w:rPr>
          <w:rFonts w:cs="Arial"/>
        </w:rPr>
        <w:t>ompetencí sociálních pracovníků</w:t>
      </w:r>
      <w:r w:rsidR="00BF6814">
        <w:rPr>
          <w:rFonts w:cs="Arial"/>
        </w:rPr>
        <w:t xml:space="preserve"> a </w:t>
      </w:r>
      <w:r w:rsidR="00624E5D">
        <w:rPr>
          <w:rFonts w:cs="Arial"/>
        </w:rPr>
        <w:t>dojde k </w:t>
      </w:r>
      <w:r>
        <w:rPr>
          <w:rFonts w:cs="Arial"/>
        </w:rPr>
        <w:t>noveliz</w:t>
      </w:r>
      <w:r w:rsidR="00624E5D">
        <w:rPr>
          <w:rFonts w:cs="Arial"/>
        </w:rPr>
        <w:t xml:space="preserve">aci </w:t>
      </w:r>
      <w:r>
        <w:rPr>
          <w:rFonts w:cs="Arial"/>
        </w:rPr>
        <w:t>zákon</w:t>
      </w:r>
      <w:r w:rsidR="00624E5D">
        <w:rPr>
          <w:rFonts w:cs="Arial"/>
        </w:rPr>
        <w:t>a</w:t>
      </w:r>
      <w:r>
        <w:rPr>
          <w:rFonts w:cs="Arial"/>
        </w:rPr>
        <w:t xml:space="preserve"> o sociálních službách</w:t>
      </w:r>
      <w:r w:rsidRPr="002832A6">
        <w:rPr>
          <w:rFonts w:cs="Arial"/>
        </w:rPr>
        <w:t>.</w:t>
      </w:r>
    </w:p>
    <w:p w:rsidR="00C95EE8" w:rsidRPr="002832A6" w:rsidRDefault="00C95EE8" w:rsidP="00C95EE8">
      <w:pPr>
        <w:pStyle w:val="Nadpis4"/>
        <w:rPr>
          <w:rFonts w:asciiTheme="minorHAnsi" w:hAnsiTheme="minorHAnsi"/>
        </w:rPr>
      </w:pPr>
      <w:r w:rsidRPr="002832A6">
        <w:rPr>
          <w:rFonts w:asciiTheme="minorHAnsi" w:hAnsiTheme="minorHAnsi"/>
        </w:rPr>
        <w:t>Úprava systému sociálních služeb</w:t>
      </w:r>
    </w:p>
    <w:p w:rsidR="00C95EE8" w:rsidRPr="00177D3D" w:rsidRDefault="00C95EE8" w:rsidP="00C95EE8">
      <w:r>
        <w:t>V</w:t>
      </w:r>
      <w:r w:rsidRPr="002832A6">
        <w:t>lád</w:t>
      </w:r>
      <w:r>
        <w:t xml:space="preserve">a </w:t>
      </w:r>
      <w:r w:rsidR="00FA01DE">
        <w:t>hodlá upravovat systém</w:t>
      </w:r>
      <w:r w:rsidRPr="002832A6">
        <w:t xml:space="preserve"> sociálních služeb </w:t>
      </w:r>
      <w:r>
        <w:t xml:space="preserve">tak, aby došlo k provázání financování s jeho </w:t>
      </w:r>
      <w:r w:rsidRPr="002832A6">
        <w:t>sít</w:t>
      </w:r>
      <w:r>
        <w:t xml:space="preserve">í, aby odpovídal </w:t>
      </w:r>
      <w:r w:rsidRPr="002832A6">
        <w:t>princip</w:t>
      </w:r>
      <w:r>
        <w:t>u</w:t>
      </w:r>
      <w:r w:rsidRPr="002832A6">
        <w:t xml:space="preserve"> subsidiarity. </w:t>
      </w:r>
      <w:r>
        <w:t>V</w:t>
      </w:r>
      <w:r w:rsidRPr="002832A6">
        <w:t> roce 2014 dojde ke zpřesnění postupů přípravy a obsahu střednědobých plánů rozvoje sociálních služeb a parametrů, podle nichž se sítě finančně podporovaných soc</w:t>
      </w:r>
      <w:r>
        <w:t>iálních</w:t>
      </w:r>
      <w:r w:rsidRPr="002832A6">
        <w:t xml:space="preserve"> služeb</w:t>
      </w:r>
      <w:r w:rsidRPr="00043A36">
        <w:t xml:space="preserve"> </w:t>
      </w:r>
      <w:r w:rsidRPr="002832A6">
        <w:t>budou vytvářet.</w:t>
      </w:r>
    </w:p>
    <w:p w:rsidR="00C95EE8" w:rsidRPr="002832A6" w:rsidRDefault="00C95EE8" w:rsidP="00C95EE8">
      <w:pPr>
        <w:pStyle w:val="Nadpis4"/>
        <w:rPr>
          <w:rFonts w:asciiTheme="minorHAnsi" w:hAnsiTheme="minorHAnsi"/>
        </w:rPr>
      </w:pPr>
      <w:r w:rsidRPr="002832A6">
        <w:rPr>
          <w:rFonts w:asciiTheme="minorHAnsi" w:hAnsiTheme="minorHAnsi"/>
        </w:rPr>
        <w:t>Systém sociálních dávek</w:t>
      </w:r>
    </w:p>
    <w:p w:rsidR="00C95EE8" w:rsidRDefault="00C95EE8" w:rsidP="00C95EE8">
      <w:pPr>
        <w:rPr>
          <w:rFonts w:cs="Arial"/>
        </w:rPr>
      </w:pPr>
      <w:r w:rsidRPr="002832A6">
        <w:rPr>
          <w:rFonts w:cs="Arial"/>
        </w:rPr>
        <w:t>Vláda bude pokračovat ve stabilizaci a zajištění bezproblémové administrace nepojistných sociálních dávek, jimiž jsou podporovány rodiny s dětmi, osoby a domácnosti s nízkými příjmy, osoby se zdravotním postižením. V systému státní sociální podpory budou nově koncipovány dávky zaměřené především na rodinné chování (porodné) a hledány možnosti uplatnění prvků stimulujících vyšší zaměstnanost rodičů-žen. U dávek pomoci v hmotné nouzi budou zpřesněny podmínky nároku (na doplatek na bydlení) a diskutovány způsoby, jak prohloubit působení aktivizačních prvků a přispět k začlenění osob ohrožených chudobou a sociálním vyloučením na trhu práce. U dávek zohledňujících zdravotní stav bude pozornost zaměřena především na pravidla pro přiznání příspěvku na péči.</w:t>
      </w:r>
    </w:p>
    <w:p w:rsidR="00C95EE8" w:rsidRDefault="00C95EE8" w:rsidP="00C95EE8">
      <w:pPr>
        <w:pStyle w:val="Nadpis4"/>
      </w:pPr>
      <w:r w:rsidRPr="0029301D">
        <w:t>Péče o ohrožené děti</w:t>
      </w:r>
    </w:p>
    <w:p w:rsidR="00C95EE8" w:rsidRPr="00913C55" w:rsidRDefault="00015E9D" w:rsidP="00C95EE8">
      <w:r>
        <w:t>Vláda bude p</w:t>
      </w:r>
      <w:r w:rsidRPr="00C14279">
        <w:t xml:space="preserve">odporovat </w:t>
      </w:r>
      <w:r>
        <w:t xml:space="preserve">další </w:t>
      </w:r>
      <w:r w:rsidRPr="00C14279">
        <w:t xml:space="preserve">zvyšování kvality činnosti </w:t>
      </w:r>
      <w:r>
        <w:t>orgánů sociálně-právní ochrany dětí</w:t>
      </w:r>
      <w:r w:rsidRPr="00C14279">
        <w:t xml:space="preserve"> ve vztahu k ohroženým dětem nebo rodinám</w:t>
      </w:r>
      <w:r>
        <w:t xml:space="preserve"> tak, jak je zakotveno v Národní strategii ochrany práv dětí. Bude připraven věcný záměr zákona </w:t>
      </w:r>
      <w:r>
        <w:rPr>
          <w:rFonts w:ascii="Calibri" w:eastAsia="Calibri" w:hAnsi="Calibri"/>
        </w:rPr>
        <w:t>o podpoře rodin, náhradní rodinné péči a systému ochrany práv dětí</w:t>
      </w:r>
      <w:r>
        <w:t xml:space="preserve">, který sjednotí oblast péče o ohrožené děti. Nadále bude podporována profesionalizace výkonu náhradní rodinné péče, participace dětí v procesech, které se jich týkají, a </w:t>
      </w:r>
      <w:proofErr w:type="spellStart"/>
      <w:r>
        <w:t>deinstitucionalizace</w:t>
      </w:r>
      <w:proofErr w:type="spellEnd"/>
      <w:r>
        <w:t xml:space="preserve"> péče. Během roku 2014 dojde ke standardizaci činnosti orgánů sociálně-právní ochrany dětí. </w:t>
      </w:r>
      <w:r w:rsidR="00C95EE8">
        <w:t xml:space="preserve"> </w:t>
      </w:r>
    </w:p>
    <w:p w:rsidR="00C95EE8" w:rsidRPr="0029301D" w:rsidRDefault="00C95EE8" w:rsidP="00C95EE8">
      <w:pPr>
        <w:pStyle w:val="Nadpis4"/>
      </w:pPr>
      <w:r w:rsidRPr="0029301D">
        <w:t>Sociálně vyloučené lokality</w:t>
      </w:r>
    </w:p>
    <w:p w:rsidR="00C95EE8" w:rsidRDefault="00C95EE8" w:rsidP="00C95EE8">
      <w:r>
        <w:t>V</w:t>
      </w:r>
      <w:r w:rsidRPr="0029301D">
        <w:t>láda</w:t>
      </w:r>
      <w:r>
        <w:t xml:space="preserve"> bude</w:t>
      </w:r>
      <w:r w:rsidRPr="0029301D">
        <w:t xml:space="preserve"> i nadále přijímat opatření zaměřená na zapojení sociálně znevýhodněných dětí do hlavního vzdělávacího proudu, prevenci rozpadu rodin a odebírání dětí do ústavní péče, podporu zaměstnanosti či bezpečnost uvnitř a v okolí sociálně vyloučených lokalit. Vzhledem k růstu nezaměstnanosti a rostoucímu počtu obyvatel ohrožených chudobou bude kladen důraz na podporu sociálního začleňování a sociální </w:t>
      </w:r>
      <w:r w:rsidRPr="0029301D">
        <w:lastRenderedPageBreak/>
        <w:t>soudržnost ve strukturálně nedostatečně rozvinutých regionech s vyšší nezaměstnaností a výskytem sociálně vyloučených lokalit.</w:t>
      </w:r>
    </w:p>
    <w:p w:rsidR="00C95EE8" w:rsidRPr="002832A6" w:rsidRDefault="00C95EE8" w:rsidP="00C95EE8">
      <w:pPr>
        <w:pStyle w:val="Nadpis4"/>
        <w:rPr>
          <w:rFonts w:asciiTheme="minorHAnsi" w:hAnsiTheme="minorHAnsi"/>
        </w:rPr>
      </w:pPr>
      <w:r w:rsidRPr="002832A6">
        <w:rPr>
          <w:rFonts w:asciiTheme="minorHAnsi" w:hAnsiTheme="minorHAnsi"/>
        </w:rPr>
        <w:t>Úprava systému dlouhodobé péče</w:t>
      </w:r>
    </w:p>
    <w:p w:rsidR="00C95EE8" w:rsidRPr="002832A6" w:rsidRDefault="00C95EE8" w:rsidP="00C95EE8">
      <w:r w:rsidRPr="002832A6">
        <w:t xml:space="preserve">Cílem </w:t>
      </w:r>
      <w:r w:rsidRPr="00574979">
        <w:t>úpravy systému dlouhodobé péče</w:t>
      </w:r>
      <w:r>
        <w:t xml:space="preserve"> </w:t>
      </w:r>
      <w:r w:rsidRPr="002832A6">
        <w:t xml:space="preserve">je řešit dlouhodobou sociální péči u uživatelů, kteří zároveň potřebují zajistit dlouhodobou ošetřovatelskou péči. </w:t>
      </w:r>
      <w:r w:rsidR="00124087">
        <w:t>Byla</w:t>
      </w:r>
      <w:r>
        <w:t xml:space="preserve"> vytvoř</w:t>
      </w:r>
      <w:r w:rsidR="00124087">
        <w:t>ena meziresortní pracovní skupina</w:t>
      </w:r>
      <w:r>
        <w:t>, jejímž cílem je nalézt řešení problematiky sociá</w:t>
      </w:r>
      <w:r w:rsidR="00124087">
        <w:t xml:space="preserve">lně zdravotního pomezí. V návaznosti na výsledky šetření </w:t>
      </w:r>
      <w:r>
        <w:t>bude</w:t>
      </w:r>
      <w:r w:rsidR="00124087">
        <w:t xml:space="preserve"> provedena</w:t>
      </w:r>
      <w:r>
        <w:t xml:space="preserve"> </w:t>
      </w:r>
      <w:r w:rsidR="00124087">
        <w:t>novelizace</w:t>
      </w:r>
      <w:r>
        <w:t xml:space="preserve"> stávajících právních předpisů upravujících jak systém sociálních služeb, tak zdravotních služeb a zdravotního pojištění.</w:t>
      </w:r>
    </w:p>
    <w:p w:rsidR="00C95EE8" w:rsidRPr="002832A6" w:rsidRDefault="00C95EE8" w:rsidP="00C95EE8">
      <w:pPr>
        <w:pStyle w:val="Nadpis4"/>
        <w:rPr>
          <w:rFonts w:asciiTheme="minorHAnsi" w:hAnsiTheme="minorHAnsi"/>
        </w:rPr>
      </w:pPr>
      <w:r w:rsidRPr="002832A6">
        <w:rPr>
          <w:rFonts w:asciiTheme="minorHAnsi" w:hAnsiTheme="minorHAnsi"/>
        </w:rPr>
        <w:t>Úprava systému rehabilitace osob se zdravotním postižením</w:t>
      </w:r>
    </w:p>
    <w:p w:rsidR="00C95EE8" w:rsidRPr="002832A6" w:rsidRDefault="00C95EE8" w:rsidP="00C95EE8">
      <w:r w:rsidRPr="002832A6">
        <w:t xml:space="preserve">V roce 2014 bude pokračovat příprava </w:t>
      </w:r>
      <w:r>
        <w:t>návrhů na řešení</w:t>
      </w:r>
      <w:r w:rsidRPr="002832A6">
        <w:t xml:space="preserve"> systému koordinace rehabilitace</w:t>
      </w:r>
      <w:r>
        <w:t>, jež vymezí</w:t>
      </w:r>
      <w:r w:rsidRPr="002832A6">
        <w:t xml:space="preserve"> právo oprávněných osob na využití všech prostředků rehabilitace, na poradenství v této oblasti</w:t>
      </w:r>
      <w:r>
        <w:t xml:space="preserve"> a</w:t>
      </w:r>
      <w:r w:rsidRPr="002832A6">
        <w:t xml:space="preserve"> na poskytnutí součinnosti s institucemi zajišťujícími podporu</w:t>
      </w:r>
      <w:r>
        <w:t>. Návrhy na řešení budou připravovány v rámci</w:t>
      </w:r>
      <w:r w:rsidR="00405E38">
        <w:t xml:space="preserve"> meziresortní pracovní skupiny </w:t>
      </w:r>
      <w:r>
        <w:t>(viz odstavec Úprava systému dlouhodobé péče).</w:t>
      </w:r>
    </w:p>
    <w:p w:rsidR="00C95EE8" w:rsidRPr="002832A6" w:rsidRDefault="00C95EE8" w:rsidP="00C95EE8">
      <w:pPr>
        <w:pStyle w:val="Nadpis4"/>
        <w:rPr>
          <w:rFonts w:asciiTheme="minorHAnsi" w:hAnsiTheme="minorHAnsi"/>
        </w:rPr>
      </w:pPr>
      <w:r w:rsidRPr="002832A6">
        <w:rPr>
          <w:rFonts w:asciiTheme="minorHAnsi" w:hAnsiTheme="minorHAnsi"/>
        </w:rPr>
        <w:t>Sociální bydlení</w:t>
      </w:r>
    </w:p>
    <w:p w:rsidR="00C95EE8" w:rsidRDefault="00D2177E" w:rsidP="00015E9D">
      <w:r>
        <w:t>B</w:t>
      </w:r>
      <w:r w:rsidR="003036A1" w:rsidRPr="003036A1">
        <w:t>ude pokračovat příprava návrhu koncepčního řešení problematiky sociálního bydlení, jež bude vládě předložen do září 2014. Vláda zároveň zahájí přípravu věcného záměru zákona o sociálním bydlení, jehož obsahem bude identifikace, definice a zakotvení synergického působení jednotlivých segmentů veřejných politik a vymezení podmínek jejich fungování.</w:t>
      </w:r>
    </w:p>
    <w:p w:rsidR="00C95EE8" w:rsidRDefault="00C95EE8" w:rsidP="00C95EE8">
      <w:pPr>
        <w:pStyle w:val="Nadpis4"/>
      </w:pPr>
      <w:r w:rsidRPr="000B5440">
        <w:t>Dostupnost nájemního bydlení a zvýšení mobility pracovní síly</w:t>
      </w:r>
    </w:p>
    <w:p w:rsidR="00582E4F" w:rsidRDefault="00582E4F" w:rsidP="00E20311">
      <w:r>
        <w:t>V</w:t>
      </w:r>
      <w:r w:rsidR="007A5404">
        <w:t xml:space="preserve"> souladu s cíli </w:t>
      </w:r>
      <w:r w:rsidR="007A5404" w:rsidRPr="00582E4F">
        <w:rPr>
          <w:b/>
        </w:rPr>
        <w:t>Koncepce bydlení ČR do roku 2020</w:t>
      </w:r>
      <w:r w:rsidR="007A5404">
        <w:t xml:space="preserve"> </w:t>
      </w:r>
      <w:r>
        <w:t xml:space="preserve">bude vláda nadále poskytovat dotace na vznik nájemních bytů </w:t>
      </w:r>
      <w:r w:rsidRPr="00582E4F">
        <w:t>sloužících k poskytování sociálního bydlení pro osoby, které mají ztížený přístup k bydlení v důsledku zvláštních potřeb vyplývajících z jej</w:t>
      </w:r>
      <w:r>
        <w:t xml:space="preserve">ich nepříznivé sociální situace. </w:t>
      </w:r>
      <w:r w:rsidR="00F30069">
        <w:t>V roce 2014 bude realizováno nařízení vlády č. 284/2011 Sb., o podmínkách poskytnutí a použití finančních prostředků Státního fondu rozvoje bydlení formou úvěru na podporu výstavby nájemních bytů na území ČR.</w:t>
      </w:r>
    </w:p>
    <w:p w:rsidR="00C95EE8" w:rsidRPr="002832A6" w:rsidRDefault="00C95EE8" w:rsidP="00C95EE8">
      <w:pPr>
        <w:pStyle w:val="Nadpis4"/>
        <w:rPr>
          <w:rFonts w:asciiTheme="minorHAnsi" w:hAnsiTheme="minorHAnsi"/>
        </w:rPr>
      </w:pPr>
      <w:r>
        <w:rPr>
          <w:rFonts w:asciiTheme="minorHAnsi" w:hAnsiTheme="minorHAnsi"/>
        </w:rPr>
        <w:t>Prevence a řešení problematiky bezdomovectví</w:t>
      </w:r>
    </w:p>
    <w:p w:rsidR="00C95EE8" w:rsidRDefault="00C95EE8" w:rsidP="00C95EE8">
      <w:r>
        <w:rPr>
          <w:bCs/>
          <w:iCs/>
        </w:rPr>
        <w:t xml:space="preserve">Vláda v srpnu 2013 schválila </w:t>
      </w:r>
      <w:r w:rsidRPr="00582E4F">
        <w:rPr>
          <w:b/>
        </w:rPr>
        <w:t>Koncepci prevence a řešení problematiky bezdomovectví</w:t>
      </w:r>
      <w:r w:rsidR="00582E4F" w:rsidRPr="00582E4F">
        <w:rPr>
          <w:b/>
        </w:rPr>
        <w:t xml:space="preserve"> v České republice do roku 2020</w:t>
      </w:r>
      <w:r w:rsidR="00582E4F">
        <w:t>,</w:t>
      </w:r>
      <w:r>
        <w:t xml:space="preserve"> která z</w:t>
      </w:r>
      <w:r w:rsidRPr="00CA7884">
        <w:t>ahrnuje témata od podpory přístupu k bydlení a zdravotní péči až po podporu zvyšování informovanosti a spolupráce všech relevantních aktérů</w:t>
      </w:r>
      <w:r w:rsidRPr="00496F69">
        <w:t>. Jedním z opatření Koncepce je i uspořádání národní konsensuální konference o bezdomovectví za účelem nalezení shody a všeobecné podpory pro další směřování politiky v oblasti řešení bezdomovectví. V návaznosti na tuto Koncepci vláda v květnu 2014 projedná návrh konkrétních kroků naplňujících cíle Koncepce a harmonogram jejich plnění.</w:t>
      </w:r>
    </w:p>
    <w:p w:rsidR="00D97ADA" w:rsidRDefault="00D97ADA" w:rsidP="00735126">
      <w:pPr>
        <w:pStyle w:val="Nadpis4"/>
      </w:pPr>
      <w:r>
        <w:t xml:space="preserve">Boj proti zadluženosti </w:t>
      </w:r>
    </w:p>
    <w:p w:rsidR="00D97ADA" w:rsidRDefault="00D97ADA" w:rsidP="00D97ADA">
      <w:r>
        <w:t>Vláda bude věnovat zvýšenou pozornost rychle se rozšiřující tzv. industrii chudoby</w:t>
      </w:r>
      <w:r>
        <w:rPr>
          <w:rStyle w:val="Znakapoznpodarou"/>
        </w:rPr>
        <w:footnoteReference w:id="30"/>
      </w:r>
      <w:r>
        <w:t>. Důvodem znepokojení je zejména rapidně narůstající počet domácností, jež se dostávají do pasti chudoby a různého stupně sociálního vyloučení, a to s významnými regionálními rozdíly. Vláda dále vyhodnotí změny nové právní úpravy týkající se ochrany spotřebitele a oddlužení po 1. lednu 2014 a vymáhání pohledávek po 1. lednu 2013, zanalyzuje jejich efektivitu a navrhne opatření k odstranění zjištěných nedostatků nebo k zefektivnění již zavedených opatření.</w:t>
      </w:r>
    </w:p>
    <w:p w:rsidR="00C95EE8" w:rsidRPr="002832A6" w:rsidRDefault="00C95EE8" w:rsidP="00C95EE8">
      <w:pPr>
        <w:pStyle w:val="Nadpis4"/>
        <w:rPr>
          <w:rFonts w:asciiTheme="minorHAnsi" w:hAnsiTheme="minorHAnsi"/>
        </w:rPr>
      </w:pPr>
      <w:r>
        <w:rPr>
          <w:rFonts w:asciiTheme="minorHAnsi" w:hAnsiTheme="minorHAnsi"/>
        </w:rPr>
        <w:t>Aktivní</w:t>
      </w:r>
      <w:r w:rsidRPr="001C5BD8">
        <w:rPr>
          <w:rFonts w:asciiTheme="minorHAnsi" w:hAnsiTheme="minorHAnsi"/>
        </w:rPr>
        <w:t xml:space="preserve"> stárnutí</w:t>
      </w:r>
    </w:p>
    <w:p w:rsidR="00D57670" w:rsidRDefault="00C95EE8" w:rsidP="00D57670">
      <w:r>
        <w:t xml:space="preserve">V únoru </w:t>
      </w:r>
      <w:r w:rsidRPr="00833A4B">
        <w:t>2013 schválila vláda Č</w:t>
      </w:r>
      <w:r>
        <w:t xml:space="preserve">R </w:t>
      </w:r>
      <w:r w:rsidRPr="00833A4B">
        <w:t xml:space="preserve">dokument </w:t>
      </w:r>
      <w:r w:rsidRPr="000E1B61">
        <w:rPr>
          <w:b/>
        </w:rPr>
        <w:t xml:space="preserve">Národní akční plán podporující pozitivní stárnutí pro období let 2013 až 2017 </w:t>
      </w:r>
      <w:r w:rsidRPr="00833A4B">
        <w:t>(NAP)</w:t>
      </w:r>
      <w:r>
        <w:t>, který p</w:t>
      </w:r>
      <w:r w:rsidRPr="00833A4B">
        <w:t>ro</w:t>
      </w:r>
      <w:r w:rsidR="002224F7">
        <w:t xml:space="preserve"> nadcházející období stanoví</w:t>
      </w:r>
      <w:r w:rsidRPr="00833A4B">
        <w:t xml:space="preserve"> priority a opatření v oblastech významných z hlediska kvality života seniorů a stárnutí populace</w:t>
      </w:r>
      <w:r>
        <w:t xml:space="preserve">. </w:t>
      </w:r>
      <w:r w:rsidR="00D57670">
        <w:t xml:space="preserve">Základními prioritami jsou zajištění a ochrana práv starších osob, celoživotní učení, zaměstnávání starších pracovníků, dobrovolnictví a mezigenerační spolupráce, kvalitní prostředí pro život seniorů, zdravé stárnutí a péče o nejkřehčí seniory. NAP je </w:t>
      </w:r>
      <w:r w:rsidR="00D57670">
        <w:lastRenderedPageBreak/>
        <w:t>mezirezortním dokumentem, odpovědnost za plnění opatření v oblasti stárnutí populace mají všechna ministerstva a další subjekty. Dokument má být v roce 2014 doplněn mechanismem hodnocení včetně měřitelných indikátorů,</w:t>
      </w:r>
      <w:r>
        <w:t xml:space="preserve"> jež umožní efektivn</w:t>
      </w:r>
      <w:r w:rsidR="00496F69">
        <w:t xml:space="preserve">í hodnocení dosaženého pokroku. </w:t>
      </w:r>
      <w:r>
        <w:t xml:space="preserve">V souvislosti se změnou politik v kontextu demografického stárnutí </w:t>
      </w:r>
      <w:r w:rsidR="00496F69">
        <w:t>se také počítá s jeho případnou aktualizací</w:t>
      </w:r>
      <w:r>
        <w:t>.</w:t>
      </w:r>
      <w:r w:rsidR="00D57670">
        <w:t xml:space="preserve"> </w:t>
      </w:r>
    </w:p>
    <w:p w:rsidR="00D57670" w:rsidRDefault="00D57670" w:rsidP="00D57670">
      <w:r>
        <w:t xml:space="preserve">Za účelem řešení problematiky stárnutí populace vláda bude podporovat aktivity a projekty, které jsou zaměřeny na posílení uplatnění seniorů ve společnosti, prosazování Age Managementu, posílení zaměstnanosti starších osob, podporu mezigenerační solidarity a zapojení seniorů do dobrovolnických aktivit. Důležitou součástí by měla být podpora zdravého životního stylu a prevence nemocí jako základní předpoklad pro zvýšení kvality a prodloužení aktivního života ve stáří. </w:t>
      </w:r>
    </w:p>
    <w:p w:rsidR="00D57670" w:rsidRDefault="00D57670" w:rsidP="00D57670">
      <w:r>
        <w:t>V oblasti profesionální péče bude vláda usilovat o provázání zdravotnických, sociálních a dalších služeb poskytovaných v domácím prostředí. Zejména bude řešena slučitelnost nebo komparativnost systémů financování sociálních a zdravotních služeb, jako hlavní bariéra konceptualizace dlouhodobé péče.</w:t>
      </w:r>
    </w:p>
    <w:p w:rsidR="00384669" w:rsidRDefault="00D57670" w:rsidP="00D57670">
      <w:r>
        <w:t xml:space="preserve">Vláda bude usilovat o systémovou podporu terénních sociálních a zdravotních služeb včetně jejich komunitního začleňování. Vláda bude podporovat rozvoj a využívání </w:t>
      </w:r>
      <w:proofErr w:type="spellStart"/>
      <w:r>
        <w:t>asistivních</w:t>
      </w:r>
      <w:proofErr w:type="spellEnd"/>
      <w:r>
        <w:t xml:space="preserve"> technologií, které mohou zvýšit kvalitu života a nezávislost seniorů</w:t>
      </w:r>
      <w:r w:rsidR="00384669">
        <w:t>.</w:t>
      </w:r>
    </w:p>
    <w:p w:rsidR="00384669" w:rsidRDefault="00384669" w:rsidP="00735126">
      <w:pPr>
        <w:pStyle w:val="Nadpis4"/>
      </w:pPr>
      <w:r>
        <w:t>Rozvoj služeb asistovaného života</w:t>
      </w:r>
    </w:p>
    <w:p w:rsidR="0024721C" w:rsidRDefault="00384669" w:rsidP="00384669">
      <w:r>
        <w:t xml:space="preserve">Jedním z cílů vlády je realizovávat „Koncepci rozvoje technologií a služeb asistovaného života pro seniory“, jež významně přispěje k síťování sociálních služeb, zefektivnění systému, vytváření nových pracovních míst a úsporám v systému sociálních služeb. Součástí koncepce je mj. zpracování analýzy informačních a komunikačních technologií a služeb asistovaného života pro seniory, na základě které bude možné předložit návrh řešení služeb v dané oblasti, vytvoření standardů a rozhraní, potřebných pro další efektivní rozvoj a využívání informačních technologií pro seniory a služeb asistovaného života pro seniory. </w:t>
      </w:r>
    </w:p>
    <w:p w:rsidR="00C95EE8" w:rsidRDefault="00C95EE8" w:rsidP="00C95EE8">
      <w:pPr>
        <w:pStyle w:val="Nadpis3"/>
        <w:numPr>
          <w:ilvl w:val="2"/>
          <w:numId w:val="4"/>
        </w:numPr>
        <w:ind w:left="851" w:hanging="851"/>
      </w:pPr>
      <w:bookmarkStart w:id="61" w:name="_Toc385339530"/>
      <w:r>
        <w:t>Slučitelnost rodinného a pracovního života a problematika genderové rovnosti</w:t>
      </w:r>
      <w:bookmarkEnd w:id="61"/>
    </w:p>
    <w:p w:rsidR="00C95EE8" w:rsidRDefault="00C95EE8" w:rsidP="00C95EE8">
      <w:r w:rsidRPr="002832A6">
        <w:rPr>
          <w:u w:color="000000"/>
        </w:rPr>
        <w:t>Dostupné a kvalitní služby péče o děti jsou jedním z významných nástrojů při udržení kontaktu se zaměstnáním v době mateřské a rodičovské dovolené a vstupu rodičů na trh práce. Z</w:t>
      </w:r>
      <w:r w:rsidRPr="002832A6">
        <w:rPr>
          <w:rFonts w:cs="Arial"/>
          <w:color w:val="000000"/>
          <w:lang w:eastAsia="cs-CZ"/>
        </w:rPr>
        <w:t>aměstnanost žen s dětmi do 12 let věku je v</w:t>
      </w:r>
      <w:r>
        <w:rPr>
          <w:rFonts w:cs="Arial"/>
          <w:color w:val="000000"/>
          <w:lang w:eastAsia="cs-CZ"/>
        </w:rPr>
        <w:t> </w:t>
      </w:r>
      <w:r w:rsidRPr="002832A6">
        <w:rPr>
          <w:rFonts w:cs="Arial"/>
          <w:color w:val="000000"/>
          <w:lang w:eastAsia="cs-CZ"/>
        </w:rPr>
        <w:t>ČR</w:t>
      </w:r>
      <w:r>
        <w:rPr>
          <w:rFonts w:cs="Arial"/>
          <w:color w:val="000000"/>
          <w:lang w:eastAsia="cs-CZ"/>
        </w:rPr>
        <w:t xml:space="preserve"> velmi</w:t>
      </w:r>
      <w:r w:rsidRPr="002832A6">
        <w:rPr>
          <w:rFonts w:cs="Arial"/>
          <w:color w:val="000000"/>
          <w:lang w:eastAsia="cs-CZ"/>
        </w:rPr>
        <w:t xml:space="preserve"> nízká</w:t>
      </w:r>
      <w:r>
        <w:rPr>
          <w:rFonts w:cs="Arial"/>
          <w:color w:val="000000"/>
          <w:lang w:eastAsia="cs-CZ"/>
        </w:rPr>
        <w:t>, což</w:t>
      </w:r>
      <w:r w:rsidRPr="002832A6">
        <w:rPr>
          <w:rFonts w:cs="Arial"/>
          <w:color w:val="000000"/>
          <w:lang w:eastAsia="cs-CZ"/>
        </w:rPr>
        <w:t xml:space="preserve"> má vliv na ztrátu profesní kvalifikace, zaměstnání a tedy negativní dopad z hlediska </w:t>
      </w:r>
      <w:r>
        <w:rPr>
          <w:rFonts w:cs="Arial"/>
          <w:color w:val="000000"/>
          <w:lang w:eastAsia="cs-CZ"/>
        </w:rPr>
        <w:t xml:space="preserve">rovnosti žen a mužů na trhu práce a </w:t>
      </w:r>
      <w:r w:rsidRPr="002832A6">
        <w:rPr>
          <w:rFonts w:cs="Arial"/>
          <w:color w:val="000000"/>
          <w:lang w:eastAsia="cs-CZ"/>
        </w:rPr>
        <w:t>ohrožení rodin s dětmi chudobou.</w:t>
      </w:r>
      <w:r w:rsidRPr="002832A6">
        <w:rPr>
          <w:u w:color="000000"/>
        </w:rPr>
        <w:t xml:space="preserve"> V souvislosti s doporučením Rady č. 4 budou podporována opatření směřující k </w:t>
      </w:r>
      <w:r>
        <w:rPr>
          <w:u w:color="000000"/>
        </w:rPr>
        <w:t xml:space="preserve">podpoře sladění pracovního, soukromého a rodinného života a </w:t>
      </w:r>
      <w:r w:rsidRPr="002832A6">
        <w:rPr>
          <w:lang w:eastAsia="cs-CZ"/>
        </w:rPr>
        <w:t xml:space="preserve">udržení kontaktu rodiče se zaměstnáním v době péče o dítě a postupnému návratu nebo vstupu na trh práce. </w:t>
      </w:r>
      <w:r>
        <w:rPr>
          <w:u w:color="000000"/>
        </w:rPr>
        <w:t>S ohledem na výše uvedené vláda připravila návrh zákona o poskytování služby péče o dítě v dětské skupině, který je v současné době projednáván v Parlamentu ČR. Předpokládá se, že úprava by mohla pomoci zvýšit dostupnost péče o dítě zejména do 4 let věku.</w:t>
      </w:r>
      <w:r w:rsidR="0006780C" w:rsidRPr="0006780C">
        <w:t xml:space="preserve"> </w:t>
      </w:r>
      <w:r w:rsidR="0006780C" w:rsidRPr="0006780C">
        <w:rPr>
          <w:u w:color="000000"/>
        </w:rPr>
        <w:t>S cílem zvyšovat zaměstnanost a sociální začleňování pečujících osob (především žen) bude vláda podporovat i účinnou podporou sdílené péče o děti a seniory.</w:t>
      </w:r>
    </w:p>
    <w:p w:rsidR="00C95EE8" w:rsidRPr="002832A6" w:rsidRDefault="00C95EE8" w:rsidP="00C95EE8">
      <w:pPr>
        <w:pStyle w:val="Nadpis4"/>
        <w:rPr>
          <w:rFonts w:asciiTheme="minorHAnsi" w:hAnsiTheme="minorHAnsi"/>
        </w:rPr>
      </w:pPr>
      <w:r w:rsidRPr="002832A6">
        <w:rPr>
          <w:rFonts w:asciiTheme="minorHAnsi" w:hAnsiTheme="minorHAnsi"/>
        </w:rPr>
        <w:t>Metodika pro podporu sladění pracovního a rodinného života</w:t>
      </w:r>
    </w:p>
    <w:p w:rsidR="00C95EE8" w:rsidRDefault="00C95EE8" w:rsidP="00C95EE8">
      <w:r w:rsidRPr="002832A6">
        <w:t>Za účelem zvýšení schopnosti orgánů veřejné správy poskytovat svým zaměstnancům opatření zaměřená na sladění pracovního a soukromého života bude do konce roku 2014</w:t>
      </w:r>
      <w:r>
        <w:t xml:space="preserve"> </w:t>
      </w:r>
      <w:r w:rsidRPr="002832A6">
        <w:t>zpracována metodická příručka vycházející z příkladů dobré praxe a sdílení zkušeností s privátní sférou.</w:t>
      </w:r>
    </w:p>
    <w:p w:rsidR="00C95EE8" w:rsidRDefault="00C95EE8" w:rsidP="00C95EE8">
      <w:pPr>
        <w:pStyle w:val="Nadpis4"/>
      </w:pPr>
      <w:r>
        <w:t>Odstranění diskriminace v přístupu k zaměstnání</w:t>
      </w:r>
    </w:p>
    <w:p w:rsidR="00C95EE8" w:rsidRPr="002832A6" w:rsidRDefault="00C95EE8" w:rsidP="00C95EE8">
      <w:r>
        <w:t>V rámci zvyšování efektivity služeb zaměstnanosti se bude pokračovat v proškolování pracovníků Úřadu práce ČR a Státního úřadu inspekce práce v oblasti rovných příležitostí žen a mužů. Dojde rovněž k podpoře kapacit těchto orgánů uplatňovat v rámci své činnosti hledisko rovnosti žen a mužů a potírat diskriminaci v přístupu k zaměstnání.</w:t>
      </w:r>
    </w:p>
    <w:p w:rsidR="00C95EE8" w:rsidRDefault="00C95EE8" w:rsidP="00C95EE8">
      <w:pPr>
        <w:pStyle w:val="Nadpis4"/>
      </w:pPr>
      <w:r>
        <w:t>Strategie</w:t>
      </w:r>
      <w:r w:rsidRPr="002832A6">
        <w:t xml:space="preserve"> pro rovnost žen a mužů na léta 2014 – 2020</w:t>
      </w:r>
    </w:p>
    <w:p w:rsidR="00C95EE8" w:rsidRDefault="00C95EE8" w:rsidP="00C95EE8">
      <w:r>
        <w:lastRenderedPageBreak/>
        <w:t>Za účelem prosazování rovných příležitostí žen a mužů</w:t>
      </w:r>
      <w:r w:rsidRPr="002832A6" w:rsidDel="00985F68">
        <w:t xml:space="preserve"> </w:t>
      </w:r>
      <w:r w:rsidR="002E01F9">
        <w:t>v</w:t>
      </w:r>
      <w:r w:rsidRPr="002832A6">
        <w:t xml:space="preserve">láda přijme Strategii pro rovnost žen a mužů na léta 2014 – 2020, která bude směřovat ke komplexní podpoře </w:t>
      </w:r>
      <w:r>
        <w:t>genderové rovnosti</w:t>
      </w:r>
      <w:r w:rsidRPr="002832A6">
        <w:t>, včetně podpory vyšší míry zaměstnanosti žen a podpory opatření pro sladění pracovního a soukromého života</w:t>
      </w:r>
      <w:r>
        <w:t>.</w:t>
      </w:r>
    </w:p>
    <w:p w:rsidR="00C95EE8" w:rsidRDefault="00C95EE8" w:rsidP="00C95EE8">
      <w:pPr>
        <w:pStyle w:val="Nadpis4"/>
      </w:pPr>
      <w:r w:rsidRPr="00EB426D">
        <w:t>Genderové aspekty ohrožení chudobou</w:t>
      </w:r>
    </w:p>
    <w:p w:rsidR="001276A8" w:rsidRPr="002832A6" w:rsidRDefault="00C95EE8" w:rsidP="00C95EE8">
      <w:r>
        <w:t xml:space="preserve">Vláda rovněž </w:t>
      </w:r>
      <w:r w:rsidRPr="002832A6">
        <w:t>provede analýz</w:t>
      </w:r>
      <w:r>
        <w:t>u</w:t>
      </w:r>
      <w:r w:rsidRPr="002832A6">
        <w:t xml:space="preserve"> dopadu rozvodu manželů na jejich příjmy v produktivním a post-produktivním věku s formulací případných opatření pro snížení rizika ohrožení chudobou</w:t>
      </w:r>
      <w:r>
        <w:t xml:space="preserve">, neboť </w:t>
      </w:r>
      <w:r w:rsidRPr="002832A6">
        <w:t>ženy (zejména v pokročilém věku) čelí riziku chudoby ve výrazně vyšší míře</w:t>
      </w:r>
      <w:r>
        <w:t>,</w:t>
      </w:r>
      <w:r w:rsidRPr="002832A6">
        <w:t xml:space="preserve"> než muži.</w:t>
      </w:r>
    </w:p>
    <w:p w:rsidR="003237CF" w:rsidRDefault="00014914" w:rsidP="003237CF">
      <w:pPr>
        <w:pStyle w:val="Nadpis3"/>
        <w:numPr>
          <w:ilvl w:val="2"/>
          <w:numId w:val="4"/>
        </w:numPr>
        <w:ind w:left="851" w:hanging="851"/>
      </w:pPr>
      <w:bookmarkStart w:id="62" w:name="_Toc385339531"/>
      <w:r>
        <w:t>Kvalitní a inkluz</w:t>
      </w:r>
      <w:r w:rsidR="00635F58">
        <w:t xml:space="preserve">ivní </w:t>
      </w:r>
      <w:r w:rsidR="0066720C">
        <w:t>vzdělávání</w:t>
      </w:r>
      <w:bookmarkEnd w:id="62"/>
    </w:p>
    <w:p w:rsidR="00CF745F" w:rsidRDefault="00CF745F" w:rsidP="00CF745F">
      <w:r>
        <w:t xml:space="preserve">Základním předpokladem pro dosažení úspěchu českého hospodářství je kvalifikovaná a flexibilní pracovní síla schopná obstát v globální konkurenci. Vzdělávání považuje vláda za jeden za základních pilířů své politiky. Bude </w:t>
      </w:r>
      <w:r w:rsidR="00CC1156">
        <w:t xml:space="preserve">také </w:t>
      </w:r>
      <w:r>
        <w:t>usilovat o rozvoj kompetencí a potenciálu lidí</w:t>
      </w:r>
      <w:r w:rsidR="00181F42">
        <w:t xml:space="preserve"> prostřednictvím celoživotního učení</w:t>
      </w:r>
      <w:r>
        <w:t>. Cílem je posílit rovný přístup ke kvalitnímu vzdělávání v klíčových kompetencích, podporovat a vést školy k lepším výsledkům žáků, zlepšit kariérové poradenství a zvýšit relevanci středoškolského vzdělávání k požadavkům trhu práce, posílit význam vzdělání ve vztahu k celkovému rozvoji jedince, jeho občanské odpovědnosti, schopnosti orientovat se v rychle měnícím se světě a schopnosti kritického myšlení. Vysokoškolské vzdělávání a jeho akreditované obory studia je třeba nastavit tak, aby odrážely potřeby pracovního trhu a zaměstnavatelů. Je nezbytné, aby v rámci svého studia měli studenti možnost nabýt praktické zkušenosti a dovednosti.</w:t>
      </w:r>
    </w:p>
    <w:p w:rsidR="00694D37" w:rsidRDefault="00694D37" w:rsidP="00694D37">
      <w:pPr>
        <w:pStyle w:val="Nadpis4"/>
      </w:pPr>
      <w:r>
        <w:t>Strategie vzdělávací politiky ČR do roku 2020</w:t>
      </w:r>
    </w:p>
    <w:p w:rsidR="00694D37" w:rsidRDefault="00694D37" w:rsidP="00694D37">
      <w:r>
        <w:t xml:space="preserve">V roce 2014 vláda připraví Strategii vzdělávací politiky ČR do roku 2020, jež </w:t>
      </w:r>
      <w:r w:rsidRPr="00310E1F">
        <w:t>vymezí základní priority rozvoje vzdělávacího systému, o jejichž dosažení bude stát a další tvůrci vzdělávací politiky systematicky usilovat. Strategie bude založena na rozvoji konceptu celoživotního učení s cílem přispět k naplňování všech hlavních cílů vzdělávání, kterými jsou osobnostní rozvoj přispívající ke zvyšování kvality lidského života, udržování a rozvoj kultury jako soustavy sdílených hodnot, rozvoj aktivního občanství vytvářející předpoklady pro sociálně soudržnou společnost a demokratické vládnutí a přípravu na pracovní uplatnění. Intervence budou zaměřeny především na podporu učitelů a kvalitní výuky, zlepšení průchodnosti školského systému, dotvoření uceleného rámce hodnocení a modernizaci hodnoticích postupů ve vzdělávání a vytváření podmínek pro odpovědné a efektivní řízení decentralizovaného vzdělávacího systému.</w:t>
      </w:r>
    </w:p>
    <w:p w:rsidR="00694D37" w:rsidRDefault="00694D37" w:rsidP="00694D37">
      <w:pPr>
        <w:pStyle w:val="Nadpis4"/>
      </w:pPr>
      <w:r>
        <w:t xml:space="preserve">Rovný přístup ke vzdělávání </w:t>
      </w:r>
    </w:p>
    <w:p w:rsidR="00694D37" w:rsidRDefault="00694D37" w:rsidP="00694D37">
      <w:r>
        <w:t xml:space="preserve">Vláda realizuje projekty na podporu rovného přístupu a kvality ve vzdělávání, které jsou </w:t>
      </w:r>
      <w:r w:rsidR="00CC1156">
        <w:t xml:space="preserve">mj. </w:t>
      </w:r>
      <w:r>
        <w:t xml:space="preserve">podpořeny z kohezních prostředků. Rovněž jsou realizovány projekty vedoucí k vytvoření a ověření </w:t>
      </w:r>
      <w:r>
        <w:rPr>
          <w:rFonts w:ascii="Calibri" w:eastAsia="Times New Roman" w:hAnsi="Calibri" w:cs="Times New Roman"/>
        </w:rPr>
        <w:t xml:space="preserve">návrhu systému </w:t>
      </w:r>
      <w:r>
        <w:t xml:space="preserve">podpůrných a vyrovnávacích opatření, jež podpoří souběžně připravovanou novelu zákona č. 561/2004 Sb., o předškolním, základním, středním, vyšším odborném a jiném vzdělávání, zejména s ohledem na speciální vzdělávací potřeby a vzdělávání nadaných žáků a studentů. </w:t>
      </w:r>
      <w:r w:rsidR="009A28AC">
        <w:t>S</w:t>
      </w:r>
      <w:r>
        <w:t xml:space="preserve">oučasně </w:t>
      </w:r>
      <w:r w:rsidR="009A28AC">
        <w:t>se ověřují</w:t>
      </w:r>
      <w:r>
        <w:t xml:space="preserve"> možnosti realizace strategií rozvoje místních vzdělávacích soustav v </w:t>
      </w:r>
      <w:r w:rsidR="009A28AC">
        <w:t xml:space="preserve">obcích s rozšířenou působností s cílem </w:t>
      </w:r>
      <w:r>
        <w:t xml:space="preserve">podpořit rovné příležitosti ve vzdělávání a zajistit inkluzivní vzdělávání v oblasti regionálního školství. </w:t>
      </w:r>
    </w:p>
    <w:p w:rsidR="00694D37" w:rsidRDefault="00694D37" w:rsidP="00694D37">
      <w:pPr>
        <w:pStyle w:val="Nadpis4"/>
      </w:pPr>
      <w:r>
        <w:t>Novela školského zákona</w:t>
      </w:r>
    </w:p>
    <w:p w:rsidR="00694D37" w:rsidRDefault="00694D37" w:rsidP="00694D37">
      <w:r>
        <w:t>V roce 2013 byly zahájeny práce na novelizaci zákona č. 561/2004 Sb., o předškolním, základním, středním, vyšším odborném a jiném vzdělávání (školský zákon), které budou dokončeny</w:t>
      </w:r>
      <w:r w:rsidRPr="005241CC">
        <w:t xml:space="preserve"> </w:t>
      </w:r>
      <w:r>
        <w:t xml:space="preserve">v roce 2014. Novela, </w:t>
      </w:r>
      <w:r w:rsidR="009A28AC">
        <w:t>s jejímž předložením vládě se počítá nejpozději</w:t>
      </w:r>
      <w:r>
        <w:t xml:space="preserve"> do června 2014, upravuje organizaci vzdělávání dětí, žáků a studentů se speciálními vzdělávacími potřebami a dětí, žáků a studentů nadaných, a to zrušením z členění na kategorie dětí se zdravotním znevýhodněním, zdravotním postižením a sociálním znevýhodněním. Ty budou nahrazeny principem individuální podpory každého žáka s potřebou podpůrných opatření </w:t>
      </w:r>
      <w:proofErr w:type="spellStart"/>
      <w:r>
        <w:t>priorizací</w:t>
      </w:r>
      <w:proofErr w:type="spellEnd"/>
      <w:r>
        <w:t xml:space="preserve"> individuální integrace v rámci hlavního výchovně-vzdělávacího proudu. </w:t>
      </w:r>
    </w:p>
    <w:p w:rsidR="006A4831" w:rsidRDefault="00C12878" w:rsidP="009A28AC">
      <w:pPr>
        <w:pStyle w:val="Nadpis4"/>
        <w:keepNext/>
        <w:keepLines/>
      </w:pPr>
      <w:r>
        <w:lastRenderedPageBreak/>
        <w:t>Podpora odborného vzdělávání</w:t>
      </w:r>
      <w:r w:rsidR="006A4831" w:rsidRPr="006A4831">
        <w:t xml:space="preserve"> </w:t>
      </w:r>
      <w:r w:rsidR="006A4831">
        <w:t>a spolupráce mezi školami a zaměstnavateli</w:t>
      </w:r>
    </w:p>
    <w:p w:rsidR="006A4831" w:rsidRDefault="00407A7F" w:rsidP="009A28AC">
      <w:pPr>
        <w:keepNext/>
        <w:keepLines/>
      </w:pPr>
      <w:r>
        <w:t>Od roku 2014 je v účinnosti zvýšení daňového zvýhodnění na podporu odborného vzdělávání</w:t>
      </w:r>
      <w:r w:rsidR="009A28AC">
        <w:t xml:space="preserve"> spočívající </w:t>
      </w:r>
      <w:r>
        <w:t xml:space="preserve">ve zvýšení limitů pro daňovou uznatelnost motivačního příspěvku. Motivace zaměstnavatelů pro vzdělávání žáků středních škol je zvýšena také zavedením nové odčitatelné položky či možnost dodatečného odpočtu u majetku pořízeného a využívaného pro účely odborného vzdělávání. </w:t>
      </w:r>
    </w:p>
    <w:p w:rsidR="000B456D" w:rsidRDefault="000B456D" w:rsidP="005241CC">
      <w:r>
        <w:t xml:space="preserve">S cílem více </w:t>
      </w:r>
      <w:r w:rsidRPr="00B75C3F">
        <w:t xml:space="preserve">podpořit technické a učební obory vláda hodlá upravit systém financování regionálního školství tak, aby lépe reflektoval dlouhodobou uplatnitelnost absolventů na trhu práce.  Vláda </w:t>
      </w:r>
      <w:r w:rsidR="00F328C1" w:rsidRPr="00B75C3F">
        <w:t xml:space="preserve">podpoří úpravu rámcových vzdělávacích programů v oblasti středního vzdělávání </w:t>
      </w:r>
      <w:r w:rsidR="007656C9" w:rsidRPr="00B75C3F">
        <w:t xml:space="preserve">s důrazem na </w:t>
      </w:r>
      <w:r w:rsidR="004068B8" w:rsidRPr="00B75C3F">
        <w:t>odbornou</w:t>
      </w:r>
      <w:r w:rsidR="007656C9" w:rsidRPr="00B75C3F">
        <w:t xml:space="preserve"> </w:t>
      </w:r>
      <w:r w:rsidR="004068B8" w:rsidRPr="00B75C3F">
        <w:t>přípravu</w:t>
      </w:r>
      <w:r w:rsidR="007656C9" w:rsidRPr="00B75C3F">
        <w:t xml:space="preserve"> v reálném pracovním prostředí </w:t>
      </w:r>
      <w:r w:rsidR="00F328C1" w:rsidRPr="00B75C3F">
        <w:t>tak, aby byly</w:t>
      </w:r>
      <w:r w:rsidRPr="00B75C3F">
        <w:t xml:space="preserve"> efektivněji zacíleny na zlepšení kvality odborného vzdělávání a dlouhodobou uplatnitelnost absolventů středních odborných</w:t>
      </w:r>
      <w:r w:rsidRPr="006A4831">
        <w:t xml:space="preserve"> škol. </w:t>
      </w:r>
      <w:r w:rsidRPr="00F8122F">
        <w:t>Pro absolventy učňovských oborů bude připravena koncepce mistrovské zkoušky, jako nového prvku celoživotního učení.</w:t>
      </w:r>
      <w:r w:rsidR="006A4831" w:rsidRPr="006A4831">
        <w:t xml:space="preserve"> </w:t>
      </w:r>
    </w:p>
    <w:p w:rsidR="005241CC" w:rsidRDefault="000838BC" w:rsidP="005241CC">
      <w:r>
        <w:t>Bude také</w:t>
      </w:r>
      <w:r w:rsidR="00635F58">
        <w:t xml:space="preserve"> posílena r</w:t>
      </w:r>
      <w:r w:rsidR="006A4831" w:rsidRPr="006A4831">
        <w:t>ole zaměstnavatelů v oblasti kariérového poradenství, kdy bude cílem zvýšit motivaci žáků studovat a v praxi uplatnit odborné dovednosti a zároveň zvýšit informovanost žáků a učitelů o požadavcích na výkon povolání, pracovní prostředí a perspektivě uplatnění.</w:t>
      </w:r>
    </w:p>
    <w:p w:rsidR="006A4831" w:rsidRDefault="006A4831" w:rsidP="006A4831">
      <w:pPr>
        <w:pStyle w:val="Nadpis4"/>
      </w:pPr>
      <w:r>
        <w:t>Vytvoření kariérního řádu</w:t>
      </w:r>
    </w:p>
    <w:p w:rsidR="00310E1F" w:rsidRDefault="000B456D" w:rsidP="006A4831">
      <w:r w:rsidRPr="00310E1F">
        <w:t>Do konce roku 2014 bude v rámci realizace individuálního projektu národního připraven kariérní systém učitelů umožňující profesní růst a celoživotní zvyšování kvality práce, propojený s atestacemi a navázaný na motivující systém odměňování. Kariérní systém má pomoci zvýšit prestiž učitelského povolání ve společnosti, podnítit zájem o učitelské povolání mezi mladými lidmi a dát začínajícím i zkušeným učitelům perspektivu odborného růstu během jejich profesního života. Kariérní systém bude založen na principu provázanosti profesního rozvoje s kariérním systémem a odměňováním, na právu a povinnosti učitele rozvíjet své profesní kompetence a na právu na volbu možné kariérní cesty</w:t>
      </w:r>
      <w:r>
        <w:t xml:space="preserve"> (cesta rozvoje profesních kompetencí, cesta rozvoje specializovaných pozic, cesta rozvoje řídících pozic)</w:t>
      </w:r>
      <w:r w:rsidRPr="00310E1F">
        <w:t xml:space="preserve">. </w:t>
      </w:r>
      <w:r>
        <w:t>V případě cesty</w:t>
      </w:r>
      <w:r>
        <w:rPr>
          <w:color w:val="1F497D"/>
        </w:rPr>
        <w:t xml:space="preserve"> </w:t>
      </w:r>
      <w:r w:rsidRPr="007111BC">
        <w:t>rozvoje profesních kompetencí je navrhována gradace ve 4 stupních. Jednotlivé stupně jsou navázány na standard učitele, v němž jsou popsány kompetence a jejich úroveň požadovaná pro každý kariérní stupeň.</w:t>
      </w:r>
      <w:r>
        <w:t xml:space="preserve"> </w:t>
      </w:r>
      <w:r w:rsidRPr="00310E1F">
        <w:t>Předpokládá se povinnost absolvovat adaptační období zakončené hodnocením před vstupem do 2. kariérního stupně, od 2. kariérního stupně dobrovolnost zapojení do kariérního systému. Od roku 2015 začnou legislativní práce umožňující uvedení kariérního systému do praxe.</w:t>
      </w:r>
    </w:p>
    <w:p w:rsidR="00181F42" w:rsidRDefault="00181F42" w:rsidP="00181F42">
      <w:pPr>
        <w:pStyle w:val="Nadpis4"/>
      </w:pPr>
      <w:r>
        <w:t>Podpora vyššího odborného a vysokoškolského vzdělávání</w:t>
      </w:r>
    </w:p>
    <w:p w:rsidR="00181F42" w:rsidRPr="00181F42" w:rsidRDefault="00181F42" w:rsidP="006A4831">
      <w:r>
        <w:t>Stejně jako v oblasti středoškolského vzdělávání, tak i v oblasti vyššího odborného a vysokoškolského vzdělávání vláda podpořila firemní investice do vzdělávání prostřednictvím novely zákona o daních z příjmů. Metodický pokyn k těmto odpočtům je připravován i pro oblast vyššího odborného a vysokoškol</w:t>
      </w:r>
      <w:r>
        <w:softHyphen/>
        <w:t>ského vzdělání. Opatření zahrnují jak zvýšení motiva</w:t>
      </w:r>
      <w:r w:rsidRPr="00B75C3F">
        <w:t>ce firem k umožnění odborné praxe a praktického vyučování v co nejvyšší míře, tak podporu firemních stipendií.</w:t>
      </w:r>
      <w:r w:rsidR="007656C9" w:rsidRPr="00B75C3F">
        <w:t xml:space="preserve"> Vláda bude podporovat spolupráci zaměstnavatelů a vyšších odborných i vysokých škol.</w:t>
      </w:r>
    </w:p>
    <w:p w:rsidR="00CF6CB4" w:rsidRDefault="00CF6CB4" w:rsidP="00CF6CB4">
      <w:pPr>
        <w:pStyle w:val="Nadpis4"/>
      </w:pPr>
      <w:r>
        <w:t>Další vzdělávání</w:t>
      </w:r>
    </w:p>
    <w:p w:rsidR="00CF6CB4" w:rsidRDefault="00CF6CB4" w:rsidP="00CF6CB4">
      <w:r>
        <w:rPr>
          <w:rFonts w:ascii="Calibri" w:eastAsia="Times New Roman" w:hAnsi="Calibri" w:cs="Times New Roman"/>
        </w:rPr>
        <w:t xml:space="preserve">Vláda považuje za </w:t>
      </w:r>
      <w:r w:rsidRPr="001D272B">
        <w:rPr>
          <w:rFonts w:ascii="Calibri" w:eastAsia="Times New Roman" w:hAnsi="Calibri" w:cs="Times New Roman"/>
        </w:rPr>
        <w:t>nezbytné nadále rozvíjet koncept celoživotního učení, konkrétně oblasti dalšího vzdělávání, které by mělo být chápáno nejen jako osobnostní rozvoj, ale zejména jako nástroj podporující zaměstnatelnost jednotlivců a jejich uplatitelnosti na trhu práce. Je potřeba podporovat a rozvíjet nástroje pro ověřování a uznávání výsledků předchozího učení (zákon 179/2006 Sb. o uznávání výsledků dalšího vzdělávání) včetně nutnosti zajištění provázanosti Národní soustavy kvalifikací a Národní soustavy povolání.</w:t>
      </w:r>
    </w:p>
    <w:p w:rsidR="000838BC" w:rsidRDefault="00407A7F" w:rsidP="000838BC">
      <w:pPr>
        <w:pStyle w:val="Nadpis3"/>
        <w:numPr>
          <w:ilvl w:val="2"/>
          <w:numId w:val="4"/>
        </w:numPr>
        <w:ind w:left="851" w:hanging="851"/>
      </w:pPr>
      <w:bookmarkStart w:id="63" w:name="_Toc385339532"/>
      <w:r>
        <w:t>Podpora příchodu kvalifikovaných pracovníků ze zahraničí</w:t>
      </w:r>
      <w:bookmarkEnd w:id="63"/>
    </w:p>
    <w:p w:rsidR="00820CBC" w:rsidRDefault="00407A7F" w:rsidP="008B6FB8">
      <w:r>
        <w:t xml:space="preserve">Kvalifikovaná pracovní síla je jedním ze základních předpokladů konkurenceschopnosti a obchodní úspěšnosti zaměstnavatelů. Tvoří nutnou podmínku pro investice, neboť zajišťuje přenos znalostí, rozvoj inovací, zavádění nových technologií a vede k tvorbě nových pracovních míst. Vzhledem k otevřenosti a charakteru české ekonomiky vláda přijímá taková opatření, která vedou k efektivní migrační politice, jež dokáže reflektovat ekonomické potřeby ČR. </w:t>
      </w:r>
    </w:p>
    <w:p w:rsidR="00C95EE8" w:rsidRDefault="00C95EE8" w:rsidP="00C95EE8">
      <w:pPr>
        <w:pStyle w:val="Nadpis4"/>
      </w:pPr>
      <w:r>
        <w:lastRenderedPageBreak/>
        <w:t xml:space="preserve">Zrychlená procedura pro vnitropodnikově převáděné a lokalizované zaměstnance a projekt </w:t>
      </w:r>
      <w:proofErr w:type="spellStart"/>
      <w:r>
        <w:t>Welcome</w:t>
      </w:r>
      <w:proofErr w:type="spellEnd"/>
      <w:r>
        <w:t xml:space="preserve"> </w:t>
      </w:r>
      <w:proofErr w:type="spellStart"/>
      <w:r>
        <w:t>Package</w:t>
      </w:r>
      <w:proofErr w:type="spellEnd"/>
    </w:p>
    <w:p w:rsidR="00C95EE8" w:rsidRDefault="00C95EE8" w:rsidP="00C95EE8">
      <w:r>
        <w:t xml:space="preserve">Vláda bude v roce </w:t>
      </w:r>
      <w:r w:rsidR="009A28AC">
        <w:t xml:space="preserve">2014 pokračovat v projektu </w:t>
      </w:r>
      <w:r w:rsidRPr="009A28AC">
        <w:rPr>
          <w:b/>
        </w:rPr>
        <w:t>Zrychlená procedura pro vnitropodnikově převáděné a lokalizované zaměstnance a statutárn</w:t>
      </w:r>
      <w:r w:rsidR="009A28AC" w:rsidRPr="009A28AC">
        <w:rPr>
          <w:b/>
        </w:rPr>
        <w:t>í orgány zahraničních investorů</w:t>
      </w:r>
      <w:r>
        <w:t xml:space="preserve">, který stanovuje pravidla pro zrychlený převod a lokalizaci vnitropodnikových zaměstnanců, příp. statutárních orgánů zahraničních investorů na výkon práce v ČR a pomáhá zabezpečit dostatek kvalifikované pracovní síly. Projekt má probíhat až do nabytí účinnosti nové právní úpravy vstupu a pobytu cizinců na území ČR. Od 1. července 2013 probíhá také projekt </w:t>
      </w:r>
      <w:proofErr w:type="spellStart"/>
      <w:r w:rsidRPr="000616A2">
        <w:rPr>
          <w:b/>
        </w:rPr>
        <w:t>Welcome</w:t>
      </w:r>
      <w:proofErr w:type="spellEnd"/>
      <w:r w:rsidRPr="000616A2">
        <w:rPr>
          <w:b/>
        </w:rPr>
        <w:t xml:space="preserve"> </w:t>
      </w:r>
      <w:proofErr w:type="spellStart"/>
      <w:r w:rsidRPr="000616A2">
        <w:rPr>
          <w:b/>
        </w:rPr>
        <w:t>Package</w:t>
      </w:r>
      <w:proofErr w:type="spellEnd"/>
      <w:r>
        <w:t xml:space="preserve"> pro investory, který zefektivňuje procedury vstupu a zaměstnávání klíčových cizinců, kteří v rámci umístění investice do ČR potřebují rychle a hladce získat potřebná pobytová a pracovní povolení. </w:t>
      </w:r>
    </w:p>
    <w:p w:rsidR="00407A7F" w:rsidRDefault="00407A7F" w:rsidP="00C666EA">
      <w:pPr>
        <w:pStyle w:val="Nadpis4"/>
      </w:pPr>
      <w:r>
        <w:t>Nová právní úprava vstupu a pobytu cizinců na území ČR</w:t>
      </w:r>
    </w:p>
    <w:p w:rsidR="00D82BDB" w:rsidRDefault="008144AC" w:rsidP="00D82BDB">
      <w:r>
        <w:t>Vláda pokračuje v přípravě nové právní úpravy</w:t>
      </w:r>
      <w:r w:rsidRPr="008144AC">
        <w:t xml:space="preserve"> vstupu a pobytu cizinců na území ČR</w:t>
      </w:r>
      <w:r>
        <w:t xml:space="preserve">. </w:t>
      </w:r>
      <w:r w:rsidR="00407A7F">
        <w:t>Návrh normativního textu nové právní úpravy byl v roce 2013 rozeslán do meziresortního připomínkového řízení</w:t>
      </w:r>
      <w:r>
        <w:t xml:space="preserve"> a v průběhu roku 2014 dojde k postupnému vypořádávání připomínek. </w:t>
      </w:r>
      <w:r w:rsidR="00D82BDB">
        <w:t>Nová úprava bude zahrnovat mj. zavedení nových typů jednotných povolení k dlouhodobém</w:t>
      </w:r>
      <w:r w:rsidR="009A28AC">
        <w:t>u pobytu za účelem zaměstnání (zaměstnaneckých karet</w:t>
      </w:r>
      <w:r w:rsidR="00D82BDB">
        <w:t xml:space="preserve">), což významně přispěje ke snížení byrokratické zátěže spojené s povolováním pobytu a výkonu práce občanů třetích států v ČR. </w:t>
      </w:r>
    </w:p>
    <w:p w:rsidR="00E775E6" w:rsidRDefault="00E775E6" w:rsidP="00E775E6">
      <w:pPr>
        <w:pStyle w:val="Nadpis2"/>
        <w:numPr>
          <w:ilvl w:val="1"/>
          <w:numId w:val="4"/>
        </w:numPr>
        <w:ind w:left="851" w:hanging="851"/>
      </w:pPr>
      <w:bookmarkStart w:id="64" w:name="_Toc385339533"/>
      <w:r w:rsidRPr="00E775E6">
        <w:t xml:space="preserve">Růst založený na </w:t>
      </w:r>
      <w:r w:rsidR="00E65560">
        <w:t xml:space="preserve">výzkumu a </w:t>
      </w:r>
      <w:r w:rsidRPr="00E775E6">
        <w:t>inovacích</w:t>
      </w:r>
      <w:bookmarkEnd w:id="64"/>
      <w:r w:rsidRPr="00E775E6">
        <w:t xml:space="preserve"> </w:t>
      </w:r>
    </w:p>
    <w:p w:rsidR="00721E66" w:rsidRDefault="00721E66" w:rsidP="00721E66">
      <w:r>
        <w:t xml:space="preserve">Dlouhodobá udržitelnost ekonomického růstu je z velké míry závislá </w:t>
      </w:r>
      <w:r w:rsidR="00233BC2">
        <w:t xml:space="preserve">také </w:t>
      </w:r>
      <w:r>
        <w:t xml:space="preserve">na schopnosti </w:t>
      </w:r>
      <w:r w:rsidR="00233BC2">
        <w:t xml:space="preserve">efektivně </w:t>
      </w:r>
      <w:r>
        <w:t xml:space="preserve">inovovat, což vyžaduje nutnost vytváření prostředí podporujícího </w:t>
      </w:r>
      <w:r w:rsidR="00CF6CB4">
        <w:t>výzkum a inovace</w:t>
      </w:r>
      <w:r>
        <w:t>. Cílem je systemati</w:t>
      </w:r>
      <w:r>
        <w:t>c</w:t>
      </w:r>
      <w:r>
        <w:t xml:space="preserve">kým způsobem posilovat význam </w:t>
      </w:r>
      <w:r w:rsidR="00CF6CB4">
        <w:t xml:space="preserve">výzkumných a </w:t>
      </w:r>
      <w:r>
        <w:t xml:space="preserve">inovačních aktivit a produkce s vyšší přidanou hodnotou jako klíčových předpokladů pro zvyšování konkurenceschopnosti českých firem. Tyto aktivity musí zároveň reagovat na změny v požadavcích spotřebitelů a v poptávce na zahraničních trzích. Stěžejním faktorem přitom je posílení </w:t>
      </w:r>
      <w:r w:rsidR="0045329A">
        <w:t xml:space="preserve">oboustranně výhodného </w:t>
      </w:r>
      <w:r>
        <w:t xml:space="preserve">partnerství mezi podnikovou sférou a výzkumnými a vzdělávacími institucemi. </w:t>
      </w:r>
    </w:p>
    <w:p w:rsidR="0062799B" w:rsidRDefault="00721E66" w:rsidP="00721E66">
      <w:r>
        <w:t xml:space="preserve">Vláda se v nejbližší době zaměří zejména na zlepšování kvality </w:t>
      </w:r>
      <w:r w:rsidR="007A741E">
        <w:t xml:space="preserve">řízení, </w:t>
      </w:r>
      <w:proofErr w:type="spellStart"/>
      <w:r w:rsidR="00934CDE">
        <w:t>VaVaI</w:t>
      </w:r>
      <w:proofErr w:type="spellEnd"/>
      <w:r>
        <w:t xml:space="preserve"> a zvyšování motivace pro využívání výsledků výzkumu, vývoje a inovací ze strany soukromého i veřejného sektoru. Důraz bude přitom kladem na posilování kvality výzkumu a jeho aplikovatelnosti v praxi, rozvoj lidských zdrojů a prohlubování mezinárodní spolupráce.</w:t>
      </w:r>
    </w:p>
    <w:p w:rsidR="00265747" w:rsidRDefault="00265747" w:rsidP="00265747">
      <w:pPr>
        <w:pStyle w:val="Nadpis3"/>
        <w:numPr>
          <w:ilvl w:val="2"/>
          <w:numId w:val="4"/>
        </w:numPr>
        <w:ind w:left="851" w:hanging="851"/>
      </w:pPr>
      <w:bookmarkStart w:id="65" w:name="_Toc385339534"/>
      <w:r>
        <w:t>Rozvoj podmínek pro excelentní výzkum</w:t>
      </w:r>
      <w:bookmarkEnd w:id="65"/>
    </w:p>
    <w:p w:rsidR="00022360" w:rsidRDefault="009E0BB2" w:rsidP="001111B8">
      <w:r w:rsidRPr="00721E66">
        <w:t xml:space="preserve">Podmínkou zvyšování efektivity výzkumného a inovačního systému ČR je zavedení progresivních metod hodnocení institucionálního a účelového financování </w:t>
      </w:r>
      <w:proofErr w:type="spellStart"/>
      <w:r w:rsidRPr="00721E66">
        <w:t>VaVaI</w:t>
      </w:r>
      <w:proofErr w:type="spellEnd"/>
      <w:r w:rsidRPr="00721E66">
        <w:t xml:space="preserve">, rozvoj lidských zdrojů reflektující potřeby znalostní ekonomiky ČR, zlepšení managementu </w:t>
      </w:r>
      <w:proofErr w:type="spellStart"/>
      <w:r w:rsidRPr="00721E66">
        <w:t>VaVaI</w:t>
      </w:r>
      <w:proofErr w:type="spellEnd"/>
      <w:r w:rsidRPr="00721E66">
        <w:t xml:space="preserve"> na všech jeho úrovních, pokračující modernizace výzkumné infrastruktury ČR a prohloubení její integrace do Evropského výzkumného prostoru</w:t>
      </w:r>
      <w:r>
        <w:t>.</w:t>
      </w:r>
    </w:p>
    <w:p w:rsidR="00140D92" w:rsidRDefault="00140D92" w:rsidP="00140D92">
      <w:pPr>
        <w:pStyle w:val="Nadpis4"/>
      </w:pPr>
      <w:r>
        <w:t>Národní programy udržitelnosti I a II</w:t>
      </w:r>
    </w:p>
    <w:p w:rsidR="00140D92" w:rsidRDefault="00140D92" w:rsidP="00140D92">
      <w:r>
        <w:t xml:space="preserve">Za účelem zajištění dlouhodobé udržitelnosti center </w:t>
      </w:r>
      <w:proofErr w:type="spellStart"/>
      <w:r>
        <w:t>VaVaI</w:t>
      </w:r>
      <w:proofErr w:type="spellEnd"/>
      <w:r>
        <w:t xml:space="preserve"> budovaných v ČR za využití strukturálních fondů EU bude vláda pokračovat v realizaci Národních programů udržitelnosti I a II.  Důraz bude při realizaci programů kladen zejména na účinnou spolupráci center s podnikovou sférou a jejich zapojení do mezinárodní spolupráce. </w:t>
      </w:r>
      <w:r w:rsidRPr="007509B8">
        <w:t>Současně bude vláda usilovat o snížení disproporcionality v možnostech modernizace výzkumné infrastruktury v Praze a ostatních regionech ČR.</w:t>
      </w:r>
    </w:p>
    <w:p w:rsidR="00140D92" w:rsidRDefault="00140D92" w:rsidP="00140D92">
      <w:pPr>
        <w:pStyle w:val="Nadpis4"/>
      </w:pPr>
      <w:r>
        <w:t xml:space="preserve">Internacionalizace vysokého školství, </w:t>
      </w:r>
      <w:proofErr w:type="spellStart"/>
      <w:r>
        <w:t>VaVaI</w:t>
      </w:r>
      <w:proofErr w:type="spellEnd"/>
      <w:r>
        <w:t xml:space="preserve"> a podnikání</w:t>
      </w:r>
    </w:p>
    <w:p w:rsidR="00B33A15" w:rsidRDefault="00140D92" w:rsidP="00140D92">
      <w:r>
        <w:t xml:space="preserve">Vláda vypracuje Strategii internacionalizace vysokého školství, </w:t>
      </w:r>
      <w:proofErr w:type="spellStart"/>
      <w:r>
        <w:t>VaVaI</w:t>
      </w:r>
      <w:proofErr w:type="spellEnd"/>
      <w:r>
        <w:t xml:space="preserve"> a podnikání, jež bude mj. zahrnovat koncepci členství v mezinárodních výzkumných organizacích, strategii podpory a stimulace účasti subjektů ČR v rámcovém programu EU pro výzkum a inovace Horizont 2020, principy zapojování ČR do mezinárodních iniciativ a programů </w:t>
      </w:r>
      <w:proofErr w:type="spellStart"/>
      <w:r>
        <w:t>VaVaI</w:t>
      </w:r>
      <w:proofErr w:type="spellEnd"/>
      <w:r>
        <w:t xml:space="preserve"> realizovaných v rámci Evropského výzkumného prostoru a cíle </w:t>
      </w:r>
      <w:r>
        <w:lastRenderedPageBreak/>
        <w:t xml:space="preserve">pro rozvoj mezinárodní spolupráce ČR ve </w:t>
      </w:r>
      <w:proofErr w:type="spellStart"/>
      <w:r>
        <w:t>VaVaI</w:t>
      </w:r>
      <w:proofErr w:type="spellEnd"/>
      <w:r>
        <w:t xml:space="preserve"> se státy mimo EU. </w:t>
      </w:r>
      <w:r w:rsidRPr="00721E66">
        <w:t>Hlavním cílem strategie bude zejména vytvoření adekvátních rámcových podmínek podporujících integraci výzkumné infrastruktury ČR do Evropského výzkumného prostoru a stimulujících zvýšení účasti výzkumných organizací a podniků ČR v</w:t>
      </w:r>
      <w:r>
        <w:t> </w:t>
      </w:r>
      <w:r w:rsidRPr="00721E66">
        <w:t xml:space="preserve">komunitárních programech podpory </w:t>
      </w:r>
      <w:proofErr w:type="spellStart"/>
      <w:r w:rsidRPr="00721E66">
        <w:t>VaVaI</w:t>
      </w:r>
      <w:proofErr w:type="spellEnd"/>
      <w:r w:rsidRPr="00721E66">
        <w:t>.</w:t>
      </w:r>
      <w:r w:rsidR="00721E66" w:rsidRPr="00721E66">
        <w:t xml:space="preserve">    </w:t>
      </w:r>
    </w:p>
    <w:p w:rsidR="00AB259E" w:rsidRDefault="00AB259E" w:rsidP="00AB259E">
      <w:pPr>
        <w:pStyle w:val="Nadpis4"/>
      </w:pPr>
      <w:r>
        <w:t xml:space="preserve">Legislativní rámec podpory </w:t>
      </w:r>
      <w:proofErr w:type="spellStart"/>
      <w:r>
        <w:t>VaVaI</w:t>
      </w:r>
      <w:proofErr w:type="spellEnd"/>
      <w:r>
        <w:t xml:space="preserve"> </w:t>
      </w:r>
    </w:p>
    <w:p w:rsidR="00AB259E" w:rsidRDefault="00AB259E" w:rsidP="00AB259E">
      <w:pPr>
        <w:pStyle w:val="Nadpis4"/>
        <w:rPr>
          <w:rFonts w:asciiTheme="minorHAnsi" w:eastAsiaTheme="minorEastAsia" w:hAnsiTheme="minorHAnsi" w:cstheme="minorBidi"/>
          <w:b w:val="0"/>
          <w:i w:val="0"/>
          <w:iCs w:val="0"/>
          <w:color w:val="auto"/>
          <w:szCs w:val="22"/>
        </w:rPr>
      </w:pPr>
      <w:r w:rsidRPr="0065144A">
        <w:rPr>
          <w:rFonts w:asciiTheme="minorHAnsi" w:eastAsiaTheme="minorEastAsia" w:hAnsiTheme="minorHAnsi" w:cstheme="minorBidi"/>
          <w:b w:val="0"/>
          <w:i w:val="0"/>
          <w:iCs w:val="0"/>
          <w:color w:val="auto"/>
          <w:szCs w:val="22"/>
        </w:rPr>
        <w:t>Vláda připravuje novelu zákona č. 130/2002 Sb., o podpoře výzkumu, experimentálního vývoje a inovací z</w:t>
      </w:r>
      <w:r>
        <w:rPr>
          <w:rFonts w:asciiTheme="minorHAnsi" w:eastAsiaTheme="minorEastAsia" w:hAnsiTheme="minorHAnsi" w:cstheme="minorBidi"/>
          <w:b w:val="0"/>
          <w:i w:val="0"/>
          <w:iCs w:val="0"/>
          <w:color w:val="auto"/>
          <w:szCs w:val="22"/>
        </w:rPr>
        <w:t> </w:t>
      </w:r>
      <w:r w:rsidRPr="0065144A">
        <w:rPr>
          <w:rFonts w:asciiTheme="minorHAnsi" w:eastAsiaTheme="minorEastAsia" w:hAnsiTheme="minorHAnsi" w:cstheme="minorBidi"/>
          <w:b w:val="0"/>
          <w:i w:val="0"/>
          <w:iCs w:val="0"/>
          <w:color w:val="auto"/>
          <w:szCs w:val="22"/>
        </w:rPr>
        <w:t>veřejných prostředků a o změně některých souvisejících zákonů (zákon o podpoře výzkumu, experimentálního vývoje a inovací)</w:t>
      </w:r>
      <w:r>
        <w:rPr>
          <w:rFonts w:asciiTheme="minorHAnsi" w:eastAsiaTheme="minorEastAsia" w:hAnsiTheme="minorHAnsi" w:cstheme="minorBidi"/>
          <w:b w:val="0"/>
          <w:i w:val="0"/>
          <w:iCs w:val="0"/>
          <w:color w:val="auto"/>
          <w:szCs w:val="22"/>
        </w:rPr>
        <w:t>, ve znění pozdějších předpisů</w:t>
      </w:r>
      <w:r w:rsidRPr="0065144A">
        <w:rPr>
          <w:rFonts w:asciiTheme="minorHAnsi" w:eastAsiaTheme="minorEastAsia" w:hAnsiTheme="minorHAnsi" w:cstheme="minorBidi"/>
          <w:b w:val="0"/>
          <w:i w:val="0"/>
          <w:iCs w:val="0"/>
          <w:color w:val="auto"/>
          <w:szCs w:val="22"/>
        </w:rPr>
        <w:t xml:space="preserve">. Novela se týká především nových nástrojů podpory financování </w:t>
      </w:r>
      <w:proofErr w:type="spellStart"/>
      <w:r w:rsidRPr="0065144A">
        <w:rPr>
          <w:rFonts w:asciiTheme="minorHAnsi" w:eastAsiaTheme="minorEastAsia" w:hAnsiTheme="minorHAnsi" w:cstheme="minorBidi"/>
          <w:b w:val="0"/>
          <w:i w:val="0"/>
          <w:iCs w:val="0"/>
          <w:color w:val="auto"/>
          <w:szCs w:val="22"/>
        </w:rPr>
        <w:t>VaVaI</w:t>
      </w:r>
      <w:proofErr w:type="spellEnd"/>
      <w:r w:rsidRPr="0065144A">
        <w:rPr>
          <w:rFonts w:asciiTheme="minorHAnsi" w:eastAsiaTheme="minorEastAsia" w:hAnsiTheme="minorHAnsi" w:cstheme="minorBidi"/>
          <w:b w:val="0"/>
          <w:i w:val="0"/>
          <w:iCs w:val="0"/>
          <w:color w:val="auto"/>
          <w:szCs w:val="22"/>
        </w:rPr>
        <w:t xml:space="preserve">, které by měly přinést snížení administrativy a účinnější podporu </w:t>
      </w:r>
      <w:r>
        <w:rPr>
          <w:rFonts w:asciiTheme="minorHAnsi" w:eastAsiaTheme="minorEastAsia" w:hAnsiTheme="minorHAnsi" w:cstheme="minorBidi"/>
          <w:b w:val="0"/>
          <w:i w:val="0"/>
          <w:iCs w:val="0"/>
          <w:color w:val="auto"/>
          <w:szCs w:val="22"/>
        </w:rPr>
        <w:t>aplikovaného</w:t>
      </w:r>
      <w:r w:rsidRPr="0065144A">
        <w:rPr>
          <w:rFonts w:asciiTheme="minorHAnsi" w:eastAsiaTheme="minorEastAsia" w:hAnsiTheme="minorHAnsi" w:cstheme="minorBidi"/>
          <w:b w:val="0"/>
          <w:i w:val="0"/>
          <w:iCs w:val="0"/>
          <w:color w:val="auto"/>
          <w:szCs w:val="22"/>
        </w:rPr>
        <w:t xml:space="preserve"> výzkumu a inovací. Zejména se předpokládá rozšíření možností účelové podpory na infrastrukturu a studie proveditelnosti, dále výrazné rozšíření forem účelové podpory, včetně implikace tzv. SBIR, odstranění některých byrokratických překážek při podávání </w:t>
      </w:r>
      <w:r>
        <w:rPr>
          <w:rFonts w:asciiTheme="minorHAnsi" w:eastAsiaTheme="minorEastAsia" w:hAnsiTheme="minorHAnsi" w:cstheme="minorBidi"/>
          <w:b w:val="0"/>
          <w:i w:val="0"/>
          <w:iCs w:val="0"/>
          <w:color w:val="auto"/>
          <w:szCs w:val="22"/>
        </w:rPr>
        <w:t xml:space="preserve">návrhů </w:t>
      </w:r>
      <w:r w:rsidRPr="0065144A">
        <w:rPr>
          <w:rFonts w:asciiTheme="minorHAnsi" w:eastAsiaTheme="minorEastAsia" w:hAnsiTheme="minorHAnsi" w:cstheme="minorBidi"/>
          <w:b w:val="0"/>
          <w:i w:val="0"/>
          <w:iCs w:val="0"/>
          <w:color w:val="auto"/>
          <w:szCs w:val="22"/>
        </w:rPr>
        <w:t xml:space="preserve">projektů a v neposlední řadě zakotvení odpovědného orgánu </w:t>
      </w:r>
      <w:r>
        <w:rPr>
          <w:rFonts w:asciiTheme="minorHAnsi" w:eastAsiaTheme="minorEastAsia" w:hAnsiTheme="minorHAnsi" w:cstheme="minorBidi"/>
          <w:b w:val="0"/>
          <w:i w:val="0"/>
          <w:iCs w:val="0"/>
          <w:color w:val="auto"/>
          <w:szCs w:val="22"/>
        </w:rPr>
        <w:t xml:space="preserve">státní správy </w:t>
      </w:r>
      <w:r w:rsidRPr="0065144A">
        <w:rPr>
          <w:rFonts w:asciiTheme="minorHAnsi" w:eastAsiaTheme="minorEastAsia" w:hAnsiTheme="minorHAnsi" w:cstheme="minorBidi"/>
          <w:b w:val="0"/>
          <w:i w:val="0"/>
          <w:iCs w:val="0"/>
          <w:color w:val="auto"/>
          <w:szCs w:val="22"/>
        </w:rPr>
        <w:t xml:space="preserve">za inovace.  </w:t>
      </w:r>
    </w:p>
    <w:p w:rsidR="00AB259E" w:rsidRDefault="00AB259E" w:rsidP="00AB259E">
      <w:pPr>
        <w:pStyle w:val="Nadpis4"/>
      </w:pPr>
      <w:r>
        <w:t xml:space="preserve">Podpora strategických oborů </w:t>
      </w:r>
      <w:proofErr w:type="spellStart"/>
      <w:r>
        <w:t>VaVaI</w:t>
      </w:r>
      <w:proofErr w:type="spellEnd"/>
    </w:p>
    <w:p w:rsidR="00AB259E" w:rsidRDefault="00AB259E" w:rsidP="00AB259E">
      <w:r>
        <w:t xml:space="preserve">V návaznosti na </w:t>
      </w:r>
      <w:r w:rsidRPr="002D0F54">
        <w:t>implementaci národních priorit orientovaného výzkumu, experimentálního vývoje a</w:t>
      </w:r>
      <w:r>
        <w:t> </w:t>
      </w:r>
      <w:r w:rsidRPr="002D0F54">
        <w:t>inovací</w:t>
      </w:r>
      <w:r>
        <w:t xml:space="preserve"> schválených vládou, jsou nové programy </w:t>
      </w:r>
      <w:proofErr w:type="spellStart"/>
      <w:r>
        <w:t>VaVaI</w:t>
      </w:r>
      <w:proofErr w:type="spellEnd"/>
      <w:r>
        <w:t xml:space="preserve"> připravovány</w:t>
      </w:r>
      <w:r w:rsidRPr="00285453">
        <w:t xml:space="preserve"> tak, aby byly s těmito prioritami v</w:t>
      </w:r>
      <w:r>
        <w:t> </w:t>
      </w:r>
      <w:r w:rsidRPr="00285453">
        <w:t>souladu</w:t>
      </w:r>
      <w:r>
        <w:t>.</w:t>
      </w:r>
      <w:r w:rsidRPr="00285453">
        <w:t xml:space="preserve"> V programech účelové podpory </w:t>
      </w:r>
      <w:proofErr w:type="spellStart"/>
      <w:r w:rsidRPr="00285453">
        <w:t>VaVaI</w:t>
      </w:r>
      <w:proofErr w:type="spellEnd"/>
      <w:r w:rsidRPr="00285453">
        <w:t xml:space="preserve"> a při rozdělování institucionální podpory </w:t>
      </w:r>
      <w:proofErr w:type="spellStart"/>
      <w:r w:rsidRPr="00285453">
        <w:t>VaVaI</w:t>
      </w:r>
      <w:proofErr w:type="spellEnd"/>
      <w:r w:rsidRPr="00285453">
        <w:t xml:space="preserve"> jsou podporovány strategické obory, ve kterých má ČR potenciál dosahovat kvalitních výsledků výzkumu a</w:t>
      </w:r>
      <w:r>
        <w:t> </w:t>
      </w:r>
      <w:r w:rsidRPr="00285453">
        <w:t xml:space="preserve">průmyslových aplikací. </w:t>
      </w:r>
      <w:r>
        <w:t>P</w:t>
      </w:r>
      <w:r w:rsidRPr="00285453">
        <w:t xml:space="preserve">riority </w:t>
      </w:r>
      <w:r>
        <w:t>také v</w:t>
      </w:r>
      <w:r w:rsidRPr="00285453">
        <w:t xml:space="preserve">ycházejí z aktuálních socioekonomických potřeb společnosti a jejich nedílnou součást tvoří </w:t>
      </w:r>
      <w:r>
        <w:t xml:space="preserve">i </w:t>
      </w:r>
      <w:r w:rsidRPr="00285453">
        <w:t>společenskovědní obory.</w:t>
      </w:r>
    </w:p>
    <w:p w:rsidR="003237CF" w:rsidRDefault="003237CF" w:rsidP="003237CF">
      <w:pPr>
        <w:pStyle w:val="Nadpis3"/>
        <w:numPr>
          <w:ilvl w:val="2"/>
          <w:numId w:val="4"/>
        </w:numPr>
        <w:ind w:left="851" w:hanging="851"/>
      </w:pPr>
      <w:bookmarkStart w:id="66" w:name="_Toc385339535"/>
      <w:r>
        <w:t xml:space="preserve">Rozvoj spolupráce mezi podnikovou sférou a výzkumnými </w:t>
      </w:r>
      <w:r w:rsidR="00E65560">
        <w:t>organizacemi</w:t>
      </w:r>
      <w:bookmarkEnd w:id="66"/>
    </w:p>
    <w:p w:rsidR="00E16489" w:rsidRPr="00381A5A" w:rsidRDefault="00AB259E" w:rsidP="00F927CC">
      <w:r w:rsidRPr="00E16489">
        <w:t xml:space="preserve">Přetrvávající slabinou </w:t>
      </w:r>
      <w:r>
        <w:t xml:space="preserve">výzkumného a </w:t>
      </w:r>
      <w:r w:rsidRPr="00E16489">
        <w:t xml:space="preserve">inovačního systému </w:t>
      </w:r>
      <w:r>
        <w:t xml:space="preserve">ČR </w:t>
      </w:r>
      <w:r w:rsidRPr="00E16489">
        <w:t>je nedostatečná spolupráce veřejného výzkumného sektoru s</w:t>
      </w:r>
      <w:r>
        <w:t> aplikační sférou, zejména podnikovou</w:t>
      </w:r>
      <w:r w:rsidRPr="00E16489">
        <w:t xml:space="preserve">. </w:t>
      </w:r>
      <w:r>
        <w:t>P</w:t>
      </w:r>
      <w:r w:rsidRPr="002F442B">
        <w:t xml:space="preserve">odnikatelský sektor </w:t>
      </w:r>
      <w:r>
        <w:t xml:space="preserve">sice </w:t>
      </w:r>
      <w:r w:rsidRPr="002F442B">
        <w:t>provádí nejv</w:t>
      </w:r>
      <w:r>
        <w:t xml:space="preserve">ětší část </w:t>
      </w:r>
      <w:proofErr w:type="spellStart"/>
      <w:r>
        <w:t>VaVaI</w:t>
      </w:r>
      <w:proofErr w:type="spellEnd"/>
      <w:r>
        <w:t xml:space="preserve"> v ČR</w:t>
      </w:r>
      <w:r>
        <w:rPr>
          <w:rStyle w:val="Znakapoznpodarou"/>
        </w:rPr>
        <w:footnoteReference w:id="31"/>
      </w:r>
      <w:r>
        <w:t xml:space="preserve">, avšak </w:t>
      </w:r>
      <w:r w:rsidRPr="00E16489">
        <w:t xml:space="preserve">podíl soukromých výdajů na </w:t>
      </w:r>
      <w:r w:rsidR="00A02074">
        <w:t xml:space="preserve">celkovém </w:t>
      </w:r>
      <w:r w:rsidRPr="00E16489">
        <w:t xml:space="preserve">financování </w:t>
      </w:r>
      <w:proofErr w:type="spellStart"/>
      <w:r w:rsidRPr="00E16489">
        <w:t>VaVaI</w:t>
      </w:r>
      <w:proofErr w:type="spellEnd"/>
      <w:r w:rsidRPr="00E16489">
        <w:t xml:space="preserve"> prováděného </w:t>
      </w:r>
      <w:r w:rsidR="00A02074">
        <w:t xml:space="preserve">v </w:t>
      </w:r>
      <w:proofErr w:type="spellStart"/>
      <w:r w:rsidR="00A02074">
        <w:t>ČR</w:t>
      </w:r>
      <w:r>
        <w:t>je</w:t>
      </w:r>
      <w:proofErr w:type="spellEnd"/>
      <w:r>
        <w:t xml:space="preserve"> relativně nízký</w:t>
      </w:r>
      <w:r w:rsidR="00A02074">
        <w:t xml:space="preserve">, </w:t>
      </w:r>
      <w:r w:rsidR="007656C9">
        <w:t>z toho</w:t>
      </w:r>
      <w:r w:rsidR="00A02074">
        <w:t xml:space="preserve"> pouze část </w:t>
      </w:r>
      <w:proofErr w:type="spellStart"/>
      <w:r w:rsidR="00A02074" w:rsidRPr="00E16489">
        <w:t>VaVaI</w:t>
      </w:r>
      <w:proofErr w:type="spellEnd"/>
      <w:r w:rsidR="00A02074">
        <w:t xml:space="preserve"> je prováděna </w:t>
      </w:r>
      <w:r w:rsidR="00A02074" w:rsidRPr="00E16489">
        <w:t xml:space="preserve">ve </w:t>
      </w:r>
      <w:r w:rsidR="00A02074">
        <w:t>spolupráci veřejného a soukromého</w:t>
      </w:r>
      <w:r w:rsidR="00A02074" w:rsidRPr="00E16489">
        <w:t xml:space="preserve"> sektoru</w:t>
      </w:r>
      <w:r>
        <w:t>. To může indikovat přetrvávající nedůvěru v partnerství podniků a vysokých škol</w:t>
      </w:r>
      <w:r w:rsidRPr="00E16489">
        <w:t xml:space="preserve"> a veř</w:t>
      </w:r>
      <w:r>
        <w:t>ejných výzkumných institucí.</w:t>
      </w:r>
      <w:r w:rsidR="00381A5A">
        <w:t xml:space="preserve"> </w:t>
      </w:r>
    </w:p>
    <w:p w:rsidR="00F927CC" w:rsidRDefault="00F927CC" w:rsidP="00F927CC">
      <w:pPr>
        <w:pStyle w:val="Titulek"/>
        <w:keepNext/>
      </w:pPr>
      <w:r>
        <w:t xml:space="preserve">Graf </w:t>
      </w:r>
      <w:fldSimple w:instr=" SEQ Graf \* ARABIC ">
        <w:r w:rsidR="001439D0">
          <w:rPr>
            <w:noProof/>
          </w:rPr>
          <w:t>11</w:t>
        </w:r>
      </w:fldSimple>
      <w:r>
        <w:t xml:space="preserve">: </w:t>
      </w:r>
      <w:r w:rsidRPr="00F927CC">
        <w:t xml:space="preserve">Výdaje na </w:t>
      </w:r>
      <w:proofErr w:type="spellStart"/>
      <w:r w:rsidRPr="00F927CC">
        <w:t>VaV</w:t>
      </w:r>
      <w:proofErr w:type="spellEnd"/>
      <w:r w:rsidRPr="00F927CC">
        <w:t xml:space="preserve"> v sektorech provádění podle druhu pracoviště</w:t>
      </w:r>
      <w:r>
        <w:t xml:space="preserve"> </w:t>
      </w:r>
    </w:p>
    <w:p w:rsidR="002E01F9" w:rsidRDefault="002F442B" w:rsidP="002E01F9">
      <w:pPr>
        <w:keepNext/>
      </w:pPr>
      <w:r>
        <w:rPr>
          <w:noProof/>
          <w:lang w:eastAsia="cs-CZ"/>
        </w:rPr>
        <w:drawing>
          <wp:inline distT="0" distB="0" distL="0" distR="0" wp14:anchorId="019EFA68" wp14:editId="4AF921ED">
            <wp:extent cx="5762445" cy="2268747"/>
            <wp:effectExtent l="0" t="0" r="10160" b="1778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F442B" w:rsidRDefault="002E01F9" w:rsidP="002E01F9">
      <w:pPr>
        <w:pStyle w:val="Titulek"/>
        <w:jc w:val="right"/>
      </w:pPr>
      <w:r>
        <w:t xml:space="preserve">Zdroj: </w:t>
      </w:r>
      <w:r w:rsidRPr="0062799B">
        <w:t>Český statistický úřad 2013, Roční statistické šetření výzkumu a vývoje VTR 5-01</w:t>
      </w:r>
    </w:p>
    <w:p w:rsidR="002F442B" w:rsidRDefault="002F442B" w:rsidP="002F442B"/>
    <w:p w:rsidR="002F442B" w:rsidRDefault="002F442B" w:rsidP="00414B7E">
      <w:pPr>
        <w:rPr>
          <w:highlight w:val="yellow"/>
        </w:rPr>
      </w:pPr>
    </w:p>
    <w:p w:rsidR="0062799B" w:rsidRDefault="0062799B" w:rsidP="0062799B">
      <w:pPr>
        <w:pStyle w:val="Titulek"/>
        <w:keepNext/>
      </w:pPr>
      <w:r>
        <w:t xml:space="preserve">Graf </w:t>
      </w:r>
      <w:fldSimple w:instr=" SEQ Graf \* ARABIC ">
        <w:r w:rsidR="001439D0">
          <w:rPr>
            <w:noProof/>
          </w:rPr>
          <w:t>12</w:t>
        </w:r>
      </w:fldSimple>
      <w:r>
        <w:t xml:space="preserve">: </w:t>
      </w:r>
      <w:r w:rsidRPr="0062799B">
        <w:t xml:space="preserve">Výdaje na </w:t>
      </w:r>
      <w:proofErr w:type="spellStart"/>
      <w:r w:rsidRPr="0062799B">
        <w:t>VaV</w:t>
      </w:r>
      <w:proofErr w:type="spellEnd"/>
      <w:r w:rsidRPr="0062799B">
        <w:t xml:space="preserve"> v sektorech provádění podle zdrojů jejich financování</w:t>
      </w:r>
      <w:r>
        <w:t xml:space="preserve"> v roce 2012</w:t>
      </w:r>
    </w:p>
    <w:p w:rsidR="0062799B" w:rsidRDefault="0062799B" w:rsidP="0062799B">
      <w:pPr>
        <w:keepNext/>
      </w:pPr>
      <w:r>
        <w:rPr>
          <w:noProof/>
          <w:lang w:eastAsia="cs-CZ"/>
        </w:rPr>
        <w:drawing>
          <wp:inline distT="0" distB="0" distL="0" distR="0" wp14:anchorId="52975924" wp14:editId="1343896E">
            <wp:extent cx="5762445" cy="2191109"/>
            <wp:effectExtent l="0" t="0" r="10160" b="1905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C04289" w:rsidRDefault="0062799B" w:rsidP="002E01F9">
      <w:pPr>
        <w:pStyle w:val="Titulek"/>
        <w:jc w:val="right"/>
      </w:pPr>
      <w:r>
        <w:t xml:space="preserve">Zdroj: </w:t>
      </w:r>
      <w:r w:rsidRPr="0062799B">
        <w:t>Český statistický úřad 2013, Roční statistické šetření výzkumu a vývoje VTR 5-01</w:t>
      </w:r>
    </w:p>
    <w:p w:rsidR="00C04289" w:rsidRDefault="00C04289" w:rsidP="00414B7E"/>
    <w:p w:rsidR="00B10071" w:rsidRDefault="00F927CC" w:rsidP="00F927CC">
      <w:r>
        <w:t xml:space="preserve">Podpora </w:t>
      </w:r>
      <w:proofErr w:type="spellStart"/>
      <w:r>
        <w:t>VaVaI</w:t>
      </w:r>
      <w:proofErr w:type="spellEnd"/>
      <w:r>
        <w:t xml:space="preserve"> z prostředků státního rozpočtu by proto měla stimulovat synergii financování </w:t>
      </w:r>
      <w:proofErr w:type="spellStart"/>
      <w:r>
        <w:t>VaVaI</w:t>
      </w:r>
      <w:proofErr w:type="spellEnd"/>
      <w:r>
        <w:t xml:space="preserve"> z veřejných a soukromých zdrojů, podporovat formování dlouhodobých strategických partnerství výzkumných organizací s podniky (technologické platformy, klastry), komercionalizaci výsledků </w:t>
      </w:r>
      <w:proofErr w:type="spellStart"/>
      <w:r>
        <w:t>VaVaI</w:t>
      </w:r>
      <w:proofErr w:type="spellEnd"/>
      <w:r>
        <w:t xml:space="preserve"> dosažených ve veřejném sektoru, transfer znalostí do praxe a odstraňovat bariéry provádění smluvního výzkumu.  </w:t>
      </w:r>
    </w:p>
    <w:p w:rsidR="00317DE6" w:rsidRDefault="00317DE6" w:rsidP="00317DE6">
      <w:r>
        <w:t xml:space="preserve">S cílem zlepšit spolupráci mezi </w:t>
      </w:r>
      <w:r w:rsidRPr="00E16489">
        <w:t>výzkumným</w:t>
      </w:r>
      <w:r>
        <w:t xml:space="preserve"> sektorem</w:t>
      </w:r>
      <w:r w:rsidRPr="00E16489">
        <w:t xml:space="preserve"> </w:t>
      </w:r>
      <w:r>
        <w:t>a aplikační sférou vláda v roce 2013 schválila novelu zákona č. 586/19</w:t>
      </w:r>
      <w:r w:rsidR="001D71C4">
        <w:t>9</w:t>
      </w:r>
      <w:r>
        <w:t xml:space="preserve">2/Sb., o daních z příjmu pro účely technického vzdělávání a smluvního výzkumu, jež umožňuje </w:t>
      </w:r>
      <w:r w:rsidRPr="007362EB">
        <w:t xml:space="preserve">daňové zvýhodnění pořízení výsledků výzkumu a vývoje od </w:t>
      </w:r>
      <w:r>
        <w:t>výzkumných organizací</w:t>
      </w:r>
      <w:r w:rsidRPr="007362EB">
        <w:t xml:space="preserve"> a firemních investic do vzdělávání.</w:t>
      </w:r>
      <w:r>
        <w:t xml:space="preserve"> </w:t>
      </w:r>
      <w:r w:rsidRPr="00FF682F">
        <w:t xml:space="preserve">Vzhledem k tomu, že významná část velkých firem v ČR je součástí zahraničních a nadnárodních korporací, </w:t>
      </w:r>
      <w:r>
        <w:t xml:space="preserve">vláda se bude snažit motivovat investory k provádění </w:t>
      </w:r>
      <w:proofErr w:type="spellStart"/>
      <w:r>
        <w:t>VaVaI</w:t>
      </w:r>
      <w:proofErr w:type="spellEnd"/>
      <w:r w:rsidRPr="00FF682F">
        <w:t xml:space="preserve"> </w:t>
      </w:r>
      <w:r>
        <w:t>na území ČR</w:t>
      </w:r>
      <w:r w:rsidRPr="00FF682F">
        <w:t>.</w:t>
      </w:r>
    </w:p>
    <w:p w:rsidR="00073235" w:rsidRDefault="00073235" w:rsidP="00073235">
      <w:pPr>
        <w:pStyle w:val="Nadpis4"/>
      </w:pPr>
      <w:r>
        <w:t>Strategie pro inteligentní specializaci ČR (RIS3)</w:t>
      </w:r>
    </w:p>
    <w:p w:rsidR="00414B7E" w:rsidRDefault="00317DE6" w:rsidP="00414B7E">
      <w:r>
        <w:t xml:space="preserve">Za účelem koordinace tvorby a realizace regionální inovační politiky pokračuje vláda v přípravě Výzkumné a inovační strategie pro inteligentní specializaci ČR (RIS3). Cílem RIS3 je identifikovat konkurenční výhody jednotlivých regionů ČR, stanovit jejich strategické priority ve </w:t>
      </w:r>
      <w:proofErr w:type="spellStart"/>
      <w:r>
        <w:t>VaVaI</w:t>
      </w:r>
      <w:proofErr w:type="spellEnd"/>
      <w:r>
        <w:t xml:space="preserve"> a koncentrovat do nich omezené finanční a lidské zdroje, tzn. nastavit směr dlouhodobého rozvoje regionů ČR v souladu s jejich znalostním potenciálem. Výstupem bude ucelená národní RIS3 doplněná o 14 „krajských“ příloh a akční plán pro jejich implementaci.</w:t>
      </w:r>
    </w:p>
    <w:p w:rsidR="00317DE6" w:rsidRDefault="00317DE6" w:rsidP="00317DE6">
      <w:pPr>
        <w:pStyle w:val="Nadpis4"/>
      </w:pPr>
      <w:r>
        <w:t>Program Centra kompetence</w:t>
      </w:r>
    </w:p>
    <w:p w:rsidR="00317DE6" w:rsidRDefault="00317DE6" w:rsidP="00317DE6">
      <w:r>
        <w:t xml:space="preserve">Vláda bude i nadále pokračovat v realizaci programu účelové podpory </w:t>
      </w:r>
      <w:proofErr w:type="spellStart"/>
      <w:r>
        <w:t>VaVaI</w:t>
      </w:r>
      <w:proofErr w:type="spellEnd"/>
      <w:r>
        <w:t xml:space="preserve"> Centra kompetence. Program je zaměřen na podporu vytváření strategických partnerství mezi veřejným výzkumným a podnikovým sektorem a stimuluje vznik a činnost center interdisciplinárního </w:t>
      </w:r>
      <w:proofErr w:type="spellStart"/>
      <w:r>
        <w:t>VaVaI</w:t>
      </w:r>
      <w:proofErr w:type="spellEnd"/>
      <w:r>
        <w:t xml:space="preserve"> v progresivních oborech s vysokým aplikačním potenciálem.</w:t>
      </w:r>
      <w:r w:rsidR="00366DD7">
        <w:t xml:space="preserve"> </w:t>
      </w:r>
    </w:p>
    <w:p w:rsidR="00721E66" w:rsidRDefault="00721E66" w:rsidP="00CD10AD">
      <w:pPr>
        <w:pStyle w:val="Nadpis4"/>
      </w:pPr>
      <w:r w:rsidRPr="00721E66">
        <w:t>Program EPSILON</w:t>
      </w:r>
    </w:p>
    <w:p w:rsidR="00414B7E" w:rsidRDefault="00721E66" w:rsidP="00414B7E">
      <w:r w:rsidRPr="00721E66">
        <w:t xml:space="preserve">Vláda zahájí realizaci programu účelové podpory </w:t>
      </w:r>
      <w:proofErr w:type="spellStart"/>
      <w:r w:rsidRPr="00721E66">
        <w:t>VaVaI</w:t>
      </w:r>
      <w:proofErr w:type="spellEnd"/>
      <w:r w:rsidRPr="00721E66">
        <w:t xml:space="preserve"> EPSILON, který se zaměří na podporu aplikova</w:t>
      </w:r>
      <w:r w:rsidR="001A4749">
        <w:softHyphen/>
      </w:r>
      <w:r w:rsidRPr="00721E66">
        <w:t>ného výzkumu a experimentálního vývoje pro potřeby průmyslu za účelem posílení jeho konkurenc</w:t>
      </w:r>
      <w:r w:rsidRPr="00721E66">
        <w:t>e</w:t>
      </w:r>
      <w:r w:rsidRPr="00721E66">
        <w:t>schop</w:t>
      </w:r>
      <w:r w:rsidR="001A4749">
        <w:softHyphen/>
      </w:r>
      <w:r w:rsidRPr="00721E66">
        <w:t xml:space="preserve">nosti v evropském a globálním kontextu. V rámci programu budou podporovány projekty vedoucí k výsledkům majícím vysoký potenciál pro rychlé uplatnění v nových produktech, výrobních postupech a službách, a to zejména v oblastech souvisejících s využitím nových technologií a nových materiálů v energetice, životním prostředí a dopravě. </w:t>
      </w:r>
      <w:r w:rsidR="00414B7E">
        <w:t xml:space="preserve"> </w:t>
      </w:r>
    </w:p>
    <w:p w:rsidR="00317DE6" w:rsidRDefault="00317DE6" w:rsidP="00317DE6">
      <w:pPr>
        <w:pStyle w:val="Nadpis4"/>
      </w:pPr>
      <w:r>
        <w:t>Program GAMA</w:t>
      </w:r>
    </w:p>
    <w:p w:rsidR="00317DE6" w:rsidRDefault="00317DE6" w:rsidP="00317DE6">
      <w:r>
        <w:lastRenderedPageBreak/>
        <w:t xml:space="preserve">Za účelem podpory </w:t>
      </w:r>
      <w:r w:rsidRPr="00E07BCE">
        <w:t>zefektivn</w:t>
      </w:r>
      <w:r>
        <w:t>ění</w:t>
      </w:r>
      <w:r w:rsidRPr="00E07BCE">
        <w:t xml:space="preserve"> </w:t>
      </w:r>
      <w:r>
        <w:t>transferu a komerčního využití</w:t>
      </w:r>
      <w:r w:rsidRPr="00E07BCE">
        <w:t xml:space="preserve"> výsledků </w:t>
      </w:r>
      <w:proofErr w:type="spellStart"/>
      <w:r w:rsidRPr="00E07BCE">
        <w:t>VaV</w:t>
      </w:r>
      <w:proofErr w:type="spellEnd"/>
      <w:r w:rsidRPr="00E07BCE">
        <w:t xml:space="preserve"> </w:t>
      </w:r>
      <w:r>
        <w:t>dosažených výzkumnými organizacemi nebo ve spolupráci mezi výzkumnými organizacemi a podniky zahájí vláda implementaci programu GAMA.</w:t>
      </w:r>
      <w:r w:rsidRPr="00E07BCE">
        <w:t xml:space="preserve"> </w:t>
      </w:r>
      <w:r>
        <w:t>C</w:t>
      </w:r>
      <w:r w:rsidRPr="00E07BCE">
        <w:t>íl</w:t>
      </w:r>
      <w:r>
        <w:t>e</w:t>
      </w:r>
      <w:r w:rsidRPr="00E07BCE">
        <w:t xml:space="preserve">m programu </w:t>
      </w:r>
      <w:r>
        <w:t>bude také</w:t>
      </w:r>
      <w:r w:rsidRPr="00E07BCE">
        <w:t xml:space="preserve"> stimulovat inovace v podnicích (zejména malých a středních) s</w:t>
      </w:r>
      <w:r>
        <w:t> </w:t>
      </w:r>
      <w:r w:rsidRPr="00E07BCE">
        <w:t xml:space="preserve">využitím výsledků </w:t>
      </w:r>
      <w:proofErr w:type="spellStart"/>
      <w:r w:rsidRPr="00E07BCE">
        <w:t>VaV</w:t>
      </w:r>
      <w:proofErr w:type="spellEnd"/>
      <w:r w:rsidRPr="00E07BCE">
        <w:t xml:space="preserve"> vzniklých za podpory z veřejných prostředků.</w:t>
      </w:r>
    </w:p>
    <w:p w:rsidR="00DA2BC7" w:rsidRDefault="00DA2BC7" w:rsidP="00DA2BC7">
      <w:pPr>
        <w:pStyle w:val="Nadpis4"/>
      </w:pPr>
      <w:r>
        <w:t>Podpora</w:t>
      </w:r>
      <w:r w:rsidRPr="00DA2BC7">
        <w:t xml:space="preserve"> exportu výsledků </w:t>
      </w:r>
      <w:proofErr w:type="spellStart"/>
      <w:r w:rsidRPr="00DA2BC7">
        <w:t>VaV</w:t>
      </w:r>
      <w:proofErr w:type="spellEnd"/>
    </w:p>
    <w:p w:rsidR="00DA2BC7" w:rsidRDefault="00DA2BC7" w:rsidP="00414B7E">
      <w:r w:rsidRPr="00DA2BC7">
        <w:t>Dalším krokem pro zvýšení spolupráce mezi výzkumnými organizacemi a soukromými podniky bude navázání spolupráce Technologické agentury ČR (TAČR)</w:t>
      </w:r>
      <w:r w:rsidR="00366DD7">
        <w:t>,</w:t>
      </w:r>
      <w:r w:rsidRPr="00DA2BC7">
        <w:t xml:space="preserve"> </w:t>
      </w:r>
      <w:r w:rsidR="00366DD7" w:rsidRPr="00366DD7">
        <w:t>Ministerstva zahraničních věcí (MZV)</w:t>
      </w:r>
      <w:r w:rsidR="00366DD7">
        <w:t>, Ministerstva průmyslu a obchodu (MPO)</w:t>
      </w:r>
      <w:r w:rsidR="00366DD7" w:rsidRPr="00366DD7">
        <w:t xml:space="preserve"> </w:t>
      </w:r>
      <w:r w:rsidRPr="00DA2BC7">
        <w:t xml:space="preserve">a Exportní a garanční pojišťovací společnosti (EGAP). Pomocí pojištění úvěrů na komerční implementaci výsledků </w:t>
      </w:r>
      <w:proofErr w:type="spellStart"/>
      <w:r w:rsidRPr="00DA2BC7">
        <w:t>VaV</w:t>
      </w:r>
      <w:proofErr w:type="spellEnd"/>
      <w:r w:rsidRPr="00DA2BC7">
        <w:t xml:space="preserve"> bude možné exportovat české inovace prostřednictvím tuzemských podniků na globální trh. Vzájemná výměna kontaktů mezi TAČR</w:t>
      </w:r>
      <w:r w:rsidR="00366DD7">
        <w:t>, MZV, MPO</w:t>
      </w:r>
      <w:r w:rsidRPr="00DA2BC7">
        <w:t xml:space="preserve"> a EGAP umožní navázat spolupráci mezi privátním sektorem zaměřeným na inovace s výzkumnými organizacemi a výsledky jejich činnosti se tak dočkají častější komercionalizace, než je tomu nyní.</w:t>
      </w:r>
    </w:p>
    <w:p w:rsidR="003237CF" w:rsidRDefault="003237CF" w:rsidP="003237CF">
      <w:pPr>
        <w:pStyle w:val="Nadpis3"/>
        <w:numPr>
          <w:ilvl w:val="2"/>
          <w:numId w:val="4"/>
        </w:numPr>
        <w:ind w:left="851" w:hanging="851"/>
      </w:pPr>
      <w:bookmarkStart w:id="67" w:name="_Toc385339536"/>
      <w:r>
        <w:t xml:space="preserve">Inovační podnikání a rozvoj </w:t>
      </w:r>
      <w:proofErr w:type="spellStart"/>
      <w:r>
        <w:t>startupů</w:t>
      </w:r>
      <w:bookmarkEnd w:id="67"/>
      <w:proofErr w:type="spellEnd"/>
      <w:r>
        <w:t xml:space="preserve"> </w:t>
      </w:r>
    </w:p>
    <w:p w:rsidR="001E28C2" w:rsidRDefault="004C45D4" w:rsidP="001E28C2">
      <w:r>
        <w:t>Vláda si je vědoma, že inovační aktivity podniků jsou důležitou podmínkou dlouhodobé konkurenceschop</w:t>
      </w:r>
      <w:r w:rsidR="001A4749">
        <w:softHyphen/>
      </w:r>
      <w:r>
        <w:t>nosti české ekonomiky. Jejím cílem je proto vytvářet potřebné předpoklady</w:t>
      </w:r>
      <w:r w:rsidR="001E28C2">
        <w:t xml:space="preserve"> pro inovační procesy podniků a rozvoj nových technologií a modernizaci produkce. Důraz přitom musí být kladen nejen na vznik inovačního potenciálu, ale také </w:t>
      </w:r>
      <w:r w:rsidR="00F60A5D">
        <w:t xml:space="preserve">na </w:t>
      </w:r>
      <w:r w:rsidR="001E28C2">
        <w:t xml:space="preserve">zavádění inovací na trh, jež je výsledným obrazem inovační výkonnosti a úspěšnosti českých podniků. </w:t>
      </w:r>
    </w:p>
    <w:p w:rsidR="00CD7A66" w:rsidRDefault="00CD7A66" w:rsidP="00CD7A66">
      <w:pPr>
        <w:pStyle w:val="Titulek"/>
        <w:keepNext/>
      </w:pPr>
      <w:r>
        <w:t xml:space="preserve">Graf </w:t>
      </w:r>
      <w:fldSimple w:instr=" SEQ Graf \* ARABIC ">
        <w:r w:rsidR="001439D0">
          <w:rPr>
            <w:noProof/>
          </w:rPr>
          <w:t>13</w:t>
        </w:r>
      </w:fldSimple>
      <w:r>
        <w:t>:</w:t>
      </w:r>
      <w:r w:rsidRPr="00CD7A66">
        <w:t xml:space="preserve"> Inovační výkonnost členských států EU</w:t>
      </w:r>
    </w:p>
    <w:p w:rsidR="00CD7A66" w:rsidRDefault="001055FA" w:rsidP="00CD7A66">
      <w:pPr>
        <w:keepNext/>
      </w:pPr>
      <w:r>
        <w:rPr>
          <w:noProof/>
          <w:lang w:eastAsia="cs-CZ"/>
        </w:rPr>
        <mc:AlternateContent>
          <mc:Choice Requires="wps">
            <w:drawing>
              <wp:anchor distT="0" distB="0" distL="114300" distR="114300" simplePos="0" relativeHeight="251664384" behindDoc="0" locked="0" layoutInCell="1" allowOverlap="1" wp14:anchorId="20FC0227" wp14:editId="7EEB46B0">
                <wp:simplePos x="0" y="0"/>
                <wp:positionH relativeFrom="column">
                  <wp:posOffset>824865</wp:posOffset>
                </wp:positionH>
                <wp:positionV relativeFrom="paragraph">
                  <wp:posOffset>2372995</wp:posOffset>
                </wp:positionV>
                <wp:extent cx="4252823" cy="370936"/>
                <wp:effectExtent l="0" t="0" r="0" b="0"/>
                <wp:wrapNone/>
                <wp:docPr id="15" name="Textové pole 15"/>
                <wp:cNvGraphicFramePr/>
                <a:graphic xmlns:a="http://schemas.openxmlformats.org/drawingml/2006/main">
                  <a:graphicData uri="http://schemas.microsoft.com/office/word/2010/wordprocessingShape">
                    <wps:wsp>
                      <wps:cNvSpPr txBox="1"/>
                      <wps:spPr>
                        <a:xfrm>
                          <a:off x="0" y="0"/>
                          <a:ext cx="4252823" cy="3709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22DB0" w:rsidRPr="00C257EE" w:rsidRDefault="00622DB0" w:rsidP="001055FA">
                            <w:pPr>
                              <w:jc w:val="left"/>
                              <w:rPr>
                                <w:color w:val="FFC000"/>
                                <w:sz w:val="20"/>
                                <w:szCs w:val="20"/>
                              </w:rPr>
                            </w:pPr>
                            <w:r w:rsidRPr="00C257EE">
                              <w:rPr>
                                <w:b/>
                                <w:color w:val="FFC000"/>
                                <w:sz w:val="32"/>
                                <w:szCs w:val="32"/>
                              </w:rPr>
                              <w:t>▪</w:t>
                            </w:r>
                            <w:r w:rsidRPr="00C257EE">
                              <w:rPr>
                                <w:b/>
                                <w:color w:val="FFC000"/>
                                <w:sz w:val="20"/>
                                <w:szCs w:val="20"/>
                              </w:rPr>
                              <w:t xml:space="preserve"> </w:t>
                            </w:r>
                            <w:r w:rsidRPr="00C257EE">
                              <w:rPr>
                                <w:sz w:val="20"/>
                                <w:szCs w:val="20"/>
                              </w:rPr>
                              <w:t>Slabí inovátoři</w:t>
                            </w:r>
                            <w:r w:rsidRPr="00C257EE">
                              <w:rPr>
                                <w:b/>
                                <w:sz w:val="20"/>
                                <w:szCs w:val="20"/>
                              </w:rPr>
                              <w:t xml:space="preserve">  </w:t>
                            </w:r>
                            <w:r w:rsidRPr="00C257EE">
                              <w:rPr>
                                <w:b/>
                                <w:color w:val="FF0000"/>
                                <w:sz w:val="32"/>
                                <w:szCs w:val="32"/>
                              </w:rPr>
                              <w:t>▪</w:t>
                            </w:r>
                            <w:r w:rsidRPr="00C257EE">
                              <w:rPr>
                                <w:b/>
                                <w:color w:val="FF0000"/>
                                <w:sz w:val="28"/>
                                <w:szCs w:val="20"/>
                              </w:rPr>
                              <w:t xml:space="preserve"> </w:t>
                            </w:r>
                            <w:r w:rsidRPr="00C257EE">
                              <w:rPr>
                                <w:sz w:val="20"/>
                                <w:szCs w:val="20"/>
                              </w:rPr>
                              <w:t>Mírní inovátoři</w:t>
                            </w:r>
                            <w:r w:rsidRPr="00C257EE">
                              <w:rPr>
                                <w:b/>
                                <w:color w:val="FFC000"/>
                                <w:sz w:val="20"/>
                                <w:szCs w:val="20"/>
                              </w:rPr>
                              <w:t xml:space="preserve"> </w:t>
                            </w:r>
                            <w:r w:rsidRPr="00C257EE">
                              <w:rPr>
                                <w:b/>
                                <w:color w:val="0070C0"/>
                                <w:sz w:val="32"/>
                                <w:szCs w:val="32"/>
                              </w:rPr>
                              <w:t>▪</w:t>
                            </w:r>
                            <w:r w:rsidRPr="00C257EE">
                              <w:rPr>
                                <w:b/>
                                <w:color w:val="FF0000"/>
                                <w:sz w:val="28"/>
                                <w:szCs w:val="20"/>
                              </w:rPr>
                              <w:t xml:space="preserve"> </w:t>
                            </w:r>
                            <w:r w:rsidRPr="00C257EE">
                              <w:rPr>
                                <w:sz w:val="20"/>
                                <w:szCs w:val="20"/>
                              </w:rPr>
                              <w:t>Úspěšní inovátoři</w:t>
                            </w:r>
                            <w:r w:rsidRPr="00C257EE">
                              <w:rPr>
                                <w:b/>
                                <w:sz w:val="20"/>
                                <w:szCs w:val="20"/>
                              </w:rPr>
                              <w:t xml:space="preserve"> </w:t>
                            </w:r>
                            <w:r w:rsidRPr="00C257EE">
                              <w:rPr>
                                <w:b/>
                                <w:color w:val="00B050"/>
                                <w:sz w:val="32"/>
                                <w:szCs w:val="20"/>
                              </w:rPr>
                              <w:t>▪</w:t>
                            </w:r>
                            <w:r w:rsidRPr="00C257EE">
                              <w:rPr>
                                <w:b/>
                                <w:color w:val="FF0000"/>
                                <w:sz w:val="32"/>
                                <w:szCs w:val="20"/>
                              </w:rPr>
                              <w:t xml:space="preserve"> </w:t>
                            </w:r>
                            <w:r w:rsidRPr="00C257EE">
                              <w:rPr>
                                <w:sz w:val="20"/>
                                <w:szCs w:val="20"/>
                              </w:rPr>
                              <w:t>Vynikající inovátoři</w:t>
                            </w:r>
                          </w:p>
                          <w:p w:rsidR="00622DB0" w:rsidRPr="00C257EE" w:rsidRDefault="00622DB0">
                            <w:pPr>
                              <w:rPr>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5" o:spid="_x0000_s1033" type="#_x0000_t202" style="position:absolute;left:0;text-align:left;margin-left:64.95pt;margin-top:186.85pt;width:334.85pt;height:2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" filled="f" stroked="f" strokeweight=".5pt">
                <v:textbox>
                  <w:txbxContent>
                    <w:p w:rsidR="00622DB0" w:rsidRPr="00C257EE" w:rsidRDefault="00622DB0" w:rsidP="001055FA">
                      <w:pPr>
                        <w:jc w:val="left"/>
                        <w:rPr>
                          <w:color w:val="FFC000"/>
                          <w:sz w:val="20"/>
                          <w:szCs w:val="20"/>
                        </w:rPr>
                      </w:pPr>
                      <w:r w:rsidRPr="00C257EE">
                        <w:rPr>
                          <w:b/>
                          <w:color w:val="FFC000"/>
                          <w:sz w:val="32"/>
                          <w:szCs w:val="32"/>
                        </w:rPr>
                        <w:t>▪</w:t>
                      </w:r>
                      <w:r w:rsidRPr="00C257EE">
                        <w:rPr>
                          <w:b/>
                          <w:color w:val="FFC000"/>
                          <w:sz w:val="20"/>
                          <w:szCs w:val="20"/>
                        </w:rPr>
                        <w:t xml:space="preserve"> </w:t>
                      </w:r>
                      <w:r w:rsidRPr="00C257EE">
                        <w:rPr>
                          <w:sz w:val="20"/>
                          <w:szCs w:val="20"/>
                        </w:rPr>
                        <w:t>Slabí inovátoři</w:t>
                      </w:r>
                      <w:r w:rsidRPr="00C257EE">
                        <w:rPr>
                          <w:b/>
                          <w:sz w:val="20"/>
                          <w:szCs w:val="20"/>
                        </w:rPr>
                        <w:t xml:space="preserve">  </w:t>
                      </w:r>
                      <w:r w:rsidRPr="00C257EE">
                        <w:rPr>
                          <w:b/>
                          <w:color w:val="FF0000"/>
                          <w:sz w:val="32"/>
                          <w:szCs w:val="32"/>
                        </w:rPr>
                        <w:t>▪</w:t>
                      </w:r>
                      <w:r w:rsidRPr="00C257EE">
                        <w:rPr>
                          <w:b/>
                          <w:color w:val="FF0000"/>
                          <w:sz w:val="28"/>
                          <w:szCs w:val="20"/>
                        </w:rPr>
                        <w:t xml:space="preserve"> </w:t>
                      </w:r>
                      <w:r w:rsidRPr="00C257EE">
                        <w:rPr>
                          <w:sz w:val="20"/>
                          <w:szCs w:val="20"/>
                        </w:rPr>
                        <w:t>Mírní inovátoři</w:t>
                      </w:r>
                      <w:r w:rsidRPr="00C257EE">
                        <w:rPr>
                          <w:b/>
                          <w:color w:val="FFC000"/>
                          <w:sz w:val="20"/>
                          <w:szCs w:val="20"/>
                        </w:rPr>
                        <w:t xml:space="preserve"> </w:t>
                      </w:r>
                      <w:r w:rsidRPr="00C257EE">
                        <w:rPr>
                          <w:b/>
                          <w:color w:val="0070C0"/>
                          <w:sz w:val="32"/>
                          <w:szCs w:val="32"/>
                        </w:rPr>
                        <w:t>▪</w:t>
                      </w:r>
                      <w:r w:rsidRPr="00C257EE">
                        <w:rPr>
                          <w:b/>
                          <w:color w:val="FF0000"/>
                          <w:sz w:val="28"/>
                          <w:szCs w:val="20"/>
                        </w:rPr>
                        <w:t xml:space="preserve"> </w:t>
                      </w:r>
                      <w:r w:rsidRPr="00C257EE">
                        <w:rPr>
                          <w:sz w:val="20"/>
                          <w:szCs w:val="20"/>
                        </w:rPr>
                        <w:t>Úspěšní inovátoři</w:t>
                      </w:r>
                      <w:r w:rsidRPr="00C257EE">
                        <w:rPr>
                          <w:b/>
                          <w:sz w:val="20"/>
                          <w:szCs w:val="20"/>
                        </w:rPr>
                        <w:t xml:space="preserve"> </w:t>
                      </w:r>
                      <w:r w:rsidRPr="00C257EE">
                        <w:rPr>
                          <w:b/>
                          <w:color w:val="00B050"/>
                          <w:sz w:val="32"/>
                          <w:szCs w:val="20"/>
                        </w:rPr>
                        <w:t>▪</w:t>
                      </w:r>
                      <w:r w:rsidRPr="00C257EE">
                        <w:rPr>
                          <w:b/>
                          <w:color w:val="FF0000"/>
                          <w:sz w:val="32"/>
                          <w:szCs w:val="20"/>
                        </w:rPr>
                        <w:t xml:space="preserve"> </w:t>
                      </w:r>
                      <w:r w:rsidRPr="00C257EE">
                        <w:rPr>
                          <w:sz w:val="20"/>
                          <w:szCs w:val="20"/>
                        </w:rPr>
                        <w:t>Vynikající inovátoři</w:t>
                      </w:r>
                    </w:p>
                    <w:p w:rsidR="00622DB0" w:rsidRPr="00C257EE" w:rsidRDefault="00622DB0">
                      <w:pPr>
                        <w:rPr>
                          <w:b/>
                          <w:sz w:val="24"/>
                        </w:rPr>
                      </w:pPr>
                    </w:p>
                  </w:txbxContent>
                </v:textbox>
              </v:shape>
            </w:pict>
          </mc:Fallback>
        </mc:AlternateContent>
      </w:r>
      <w:r w:rsidR="00CD7A66">
        <w:rPr>
          <w:noProof/>
          <w:lang w:eastAsia="cs-CZ"/>
        </w:rPr>
        <w:drawing>
          <wp:inline distT="0" distB="0" distL="0" distR="0" wp14:anchorId="2303DACE" wp14:editId="65EDD6E4">
            <wp:extent cx="5762625" cy="2829560"/>
            <wp:effectExtent l="0" t="0" r="9525" b="2794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055FA" w:rsidRPr="001055FA" w:rsidRDefault="00CD7A66" w:rsidP="00541CDE">
      <w:pPr>
        <w:pStyle w:val="Titulek"/>
        <w:jc w:val="right"/>
      </w:pPr>
      <w:r>
        <w:t xml:space="preserve">Zdroj: </w:t>
      </w:r>
      <w:proofErr w:type="spellStart"/>
      <w:r w:rsidR="001055FA" w:rsidRPr="001055FA">
        <w:t>Innovation</w:t>
      </w:r>
      <w:proofErr w:type="spellEnd"/>
      <w:r w:rsidR="001055FA" w:rsidRPr="001055FA">
        <w:t xml:space="preserve"> Union </w:t>
      </w:r>
      <w:proofErr w:type="spellStart"/>
      <w:r w:rsidR="001055FA" w:rsidRPr="001055FA">
        <w:t>Scoreboard</w:t>
      </w:r>
      <w:proofErr w:type="spellEnd"/>
      <w:r w:rsidR="001055FA" w:rsidRPr="001055FA">
        <w:t xml:space="preserve"> 2014</w:t>
      </w:r>
    </w:p>
    <w:p w:rsidR="001E28C2" w:rsidRDefault="001E28C2" w:rsidP="001E28C2">
      <w:r>
        <w:t xml:space="preserve">Většina silně inovativních „domácích“ firem jsou malé a střední podniky, pro něž jsou ale investice do ambicióznějších inovativních projektů vysoce rizikové. Cílem efektivní politiky státu v této oblasti proto musí být podpora výzkumných oborů orientovaných na bezprostřední využití v aplikační oblasti, vytvoření a efektivní využívání inovační infrastruktury stimulující komercializaci výzkumných poznatků směrem k rozvoji inovačních podnikatelských aktivit, vybudování systému podpůrných poradenských a </w:t>
      </w:r>
      <w:proofErr w:type="spellStart"/>
      <w:r>
        <w:t>koučovacích</w:t>
      </w:r>
      <w:proofErr w:type="spellEnd"/>
      <w:r>
        <w:t xml:space="preserve"> služeb a rovněž zpřístupnění dostatečných finančních zdrojů pro vznik a rozjezd nových firem a expanzi firem stávajících.</w:t>
      </w:r>
    </w:p>
    <w:p w:rsidR="00121EF3" w:rsidRDefault="00121EF3" w:rsidP="00121EF3">
      <w:pPr>
        <w:pStyle w:val="Nadpis4"/>
      </w:pPr>
      <w:proofErr w:type="spellStart"/>
      <w:r>
        <w:t>Seed</w:t>
      </w:r>
      <w:proofErr w:type="spellEnd"/>
      <w:r>
        <w:t xml:space="preserve"> fond</w:t>
      </w:r>
    </w:p>
    <w:p w:rsidR="00F60A5D" w:rsidRDefault="00F60A5D" w:rsidP="00F60A5D">
      <w:r>
        <w:t xml:space="preserve">V rámci přípravy projektu byla založena společnost Český rozvojový, uzavřený investiční fond, a.s. ve 100% vlastnictví státu a schváleno schéma podpory z hlediska slučitelnosti s vnitřním trhem EU. Ukončena byla také veřejná soutěž na depozitáře fondu, avšak nedošlo dosud k ukončení veřejné soutěže na výběr </w:t>
      </w:r>
      <w:r>
        <w:lastRenderedPageBreak/>
        <w:t xml:space="preserve">správce fondu, a to z důvodu probíhajícího správního řízení vyvolaného odvoláním neúspěšného uchazeče k Úřadu na ochranu hospodářské soutěže. </w:t>
      </w:r>
    </w:p>
    <w:p w:rsidR="00121EF3" w:rsidRDefault="005976AF" w:rsidP="00121EF3">
      <w:r>
        <w:t xml:space="preserve">Vzhledem ke značné časové prodlevě bude vláda v r. 2014 hledat jiný způsob pro využití finančních zdrojů Evropského fondu pro regionální rozvoj určených na projekt </w:t>
      </w:r>
      <w:proofErr w:type="spellStart"/>
      <w:r>
        <w:t>Seed</w:t>
      </w:r>
      <w:proofErr w:type="spellEnd"/>
      <w:r>
        <w:t xml:space="preserve"> fond, jehož realizace byla z výše uvedených důvodů pozastavena. V krizovém plánu operačních programů, který byl přílohou usnesení č. 144 z 5.3.2014, vláda vyhodnotila projekt </w:t>
      </w:r>
      <w:proofErr w:type="spellStart"/>
      <w:r>
        <w:t>Seed</w:t>
      </w:r>
      <w:proofErr w:type="spellEnd"/>
      <w:r>
        <w:t xml:space="preserve"> fond jako rizikový, schválila jeho zrušení a přesunutí přípravy programu podpory podnikání rizikovým kapitálem až do OP PIK. Prostředky OPPI určené pro rizikový kapitál budou použity pro jiný nástroj podpory inovačně orientovaných podnikatelů včetně začínajících. Zároveň budou vyhodnocovány výsledky z dosud podpořených </w:t>
      </w:r>
      <w:proofErr w:type="spellStart"/>
      <w:r>
        <w:t>pre-seed</w:t>
      </w:r>
      <w:proofErr w:type="spellEnd"/>
      <w:r>
        <w:t xml:space="preserve"> aktivit, které tvoří nedílnou součást aktivit na podporu nových, zejména technologických, firem.</w:t>
      </w:r>
    </w:p>
    <w:p w:rsidR="00E82E51" w:rsidRDefault="00E82E51" w:rsidP="00121EF3">
      <w:r w:rsidRPr="00E82E51">
        <w:t xml:space="preserve">V OP PIK se počítá s širším využitím finančních nástrojů včetně rizikového kapitálu. Předpokládá se zapojení jak standardizovaných finančních (tzv. </w:t>
      </w:r>
      <w:proofErr w:type="spellStart"/>
      <w:r w:rsidRPr="00E82E51">
        <w:t>off-the-shelf</w:t>
      </w:r>
      <w:proofErr w:type="spellEnd"/>
      <w:r w:rsidRPr="00E82E51">
        <w:t>) nástrojů připravených na úrovni Evropské komise, tak speciálně navržených finančních nástrojů pro řešení specifických potřeb ČR. Konkrétní programy využívající finanční nástroje budou předloženy po zpracování ex-</w:t>
      </w:r>
      <w:proofErr w:type="spellStart"/>
      <w:r w:rsidRPr="00E82E51">
        <w:t>ente</w:t>
      </w:r>
      <w:proofErr w:type="spellEnd"/>
      <w:r w:rsidRPr="00E82E51">
        <w:t xml:space="preserve"> analýzy tržního selhání a s využitím dosavadních zkušeností při jejich implementaci.</w:t>
      </w:r>
    </w:p>
    <w:p w:rsidR="00F60A5D" w:rsidRDefault="00F60A5D" w:rsidP="00F60A5D">
      <w:pPr>
        <w:pStyle w:val="Nadpis4"/>
      </w:pPr>
      <w:r>
        <w:t>Programy podpory pro poskytování finančních nástrojů včetně rizikového kapitálu</w:t>
      </w:r>
    </w:p>
    <w:p w:rsidR="00F60A5D" w:rsidRDefault="00F60A5D" w:rsidP="00F60A5D">
      <w:r>
        <w:t>Pro období 2014-2020 připraví vláda v roce 2014 nové programy podpory využívající zejména finanční nástroje, jako jsou úvěry, záruky a rovněž rizikový kapitál. Bude se opírat nejen o dosavadní zkušenosti, ale zejména o ex ante analýzu situace na trhu v ČR. Nový zákon o investičních společnostech a investičních fondech nabízí nyní širší možnosti vytváření různých fondových struktur (např. SICAV), které mohou lépe motivovat zapojení soukromých investorů do financování inovací v různých fázích jejich životního cyklu. Vláda v tomto kontextu zváží úpravu zákona o rozpočtových pravidlech tak, aby transfery prostředků ze státního rozpočtu lépe odpovídaly charakteru finančních nástrojů</w:t>
      </w:r>
      <w:r>
        <w:rPr>
          <w:rStyle w:val="Znakapoznpodarou"/>
        </w:rPr>
        <w:footnoteReference w:id="32"/>
      </w:r>
      <w:r>
        <w:t xml:space="preserve">, což by usnadnilo </w:t>
      </w:r>
      <w:r w:rsidR="00FE7AA4">
        <w:t>jejich implementaci</w:t>
      </w:r>
      <w:r>
        <w:t>.</w:t>
      </w:r>
    </w:p>
    <w:p w:rsidR="00F60A5D" w:rsidRDefault="00F60A5D" w:rsidP="00F60A5D">
      <w:pPr>
        <w:pStyle w:val="Nadpis4"/>
      </w:pPr>
      <w:r>
        <w:t>Další programy podpory rozvoje inovačního podnikání</w:t>
      </w:r>
    </w:p>
    <w:p w:rsidR="002C7045" w:rsidRDefault="002C7045" w:rsidP="002C7045">
      <w:r>
        <w:t xml:space="preserve">Vláda podpořila návrh na rozšíření implementace programu INOSTART na podporu inovačního podnikání začínajících firem, který je financován z Fondu Partnerství česko-švýcarské spolupráce. Program bude rozšířen na všechny regiony ČR a na segment středních podniků. Vláda bude rovněž podporovat aktivity vládních agentur </w:t>
      </w:r>
      <w:proofErr w:type="spellStart"/>
      <w:r>
        <w:t>CzechInvest</w:t>
      </w:r>
      <w:proofErr w:type="spellEnd"/>
      <w:r>
        <w:t xml:space="preserve">, </w:t>
      </w:r>
      <w:proofErr w:type="spellStart"/>
      <w:r>
        <w:t>CzechTrade</w:t>
      </w:r>
      <w:proofErr w:type="spellEnd"/>
      <w:r>
        <w:t xml:space="preserve"> a TA ČR při stimulaci projektů s vysokou přidanou hodnotu a s vysokým podílem výzkumu a vývoje, které mají předpoklady pro komerční využití, disponují vysokým potenciálem růstu a příslibem expanze na zahraniční trhy.  </w:t>
      </w:r>
    </w:p>
    <w:p w:rsidR="00121EF3" w:rsidRDefault="00121EF3" w:rsidP="004A5263">
      <w:pPr>
        <w:pStyle w:val="Nadpis4"/>
      </w:pPr>
      <w:r>
        <w:t>Využití potenciálu průmyslového vlastnictví</w:t>
      </w:r>
    </w:p>
    <w:p w:rsidR="00881AD9" w:rsidRDefault="00121EF3" w:rsidP="00121EF3">
      <w:r>
        <w:t xml:space="preserve">Vláda bude pokračovat v úsilí o zlepšení znalostí o optimálních způsobech využívání systému ochrany průmyslového vlastnictví k získání konkurenční výhody. Vedle zvyšování znalosti podnikatelů, pracovníků </w:t>
      </w:r>
      <w:proofErr w:type="spellStart"/>
      <w:r>
        <w:t>VaV</w:t>
      </w:r>
      <w:proofErr w:type="spellEnd"/>
      <w:r>
        <w:t xml:space="preserve">, pedagogů, a studentů o jednotlivých průmyslově právních nástrojích a jejich optimálním využití se zaměří na objasňování významu, způsobů získávání a vytěžování technických informací z patentových zdrojů. V roce 2014 bude pokračovat popularizační kampaň přinášející argumenty a návody proč a jak užívat ochrany průmyslového vlastnictví, jak postupovat při přihlašování do zahraničí a využívat přitom s výhodou zejména mezinárodní systém Smlouvy o patentové spolupráci. </w:t>
      </w:r>
    </w:p>
    <w:p w:rsidR="006D1507" w:rsidRDefault="006D1507" w:rsidP="00121EF3">
      <w:r>
        <w:rPr>
          <w:rFonts w:eastAsia="Times New Roman"/>
        </w:rPr>
        <w:t>Zvláštní pozornost bude věnována akademickým, výzkumným a vývojo</w:t>
      </w:r>
      <w:r w:rsidR="00F14EEF">
        <w:rPr>
          <w:rFonts w:eastAsia="Times New Roman"/>
        </w:rPr>
        <w:t>vým</w:t>
      </w:r>
      <w:r>
        <w:rPr>
          <w:rFonts w:eastAsia="Times New Roman"/>
        </w:rPr>
        <w:t xml:space="preserve"> pracovištím s cílem předcházet neoprávněnému užití výsledků jejich činnosti. Bude ozřejmován systém podle Smlouvy o patentové spolupráci, kde podáním jediné přihlášky lze získat delší časový prostor pro rozhodnutí, zda pokračovat v úsilí o získání patentu v zahraničí, současně tak navýšit možnost získat finanční prostředky z prodeje řešení v zahraničí.</w:t>
      </w:r>
    </w:p>
    <w:p w:rsidR="00121EF3" w:rsidRDefault="00121EF3" w:rsidP="00121EF3">
      <w:r>
        <w:t xml:space="preserve">Vláda bude nadále podporovat práce směrem k dokončení jednotného patentu EU a vytvoření Jednotného patentového soudu, včetně podpory vytvoření společné regionální komory soudu se Slovenskou republikou. Zvýší se pozornost poskytování komplexních, důvěryhodných a pro uživatele snadno dosažitelných a srozumitelných informací o špičkových technických řešeních a o předmětech </w:t>
      </w:r>
      <w:r>
        <w:lastRenderedPageBreak/>
        <w:t>průmyslových práv a způsobech jejich nejlepšího využití. Uživatelům budou nabízeny služby poskytující informace o nejnovějším stavu techniky v jejich oboru převzaté z nově zveřejněných patentových přihlášek, bude propagován průmyslově právní audit a technologický foresight umožňující sledovat trendy a odhadnout budoucí směřování dané oblasti techniky. Bude zlepšena dostupnost informací o průběhu zápisných a dalších řízení. S cílem podtrhnout význam patentové a známkové ochrany pro společnost založenou na inovacích a kreativitě bude v druhé polovině roku 2014 uspořádána mezinárodní konference za účasti vrcholných představitelů odborných mezinárodních institucí.</w:t>
      </w:r>
    </w:p>
    <w:p w:rsidR="00121EF3" w:rsidRDefault="00121EF3" w:rsidP="004A5263">
      <w:pPr>
        <w:pStyle w:val="Nadpis4"/>
      </w:pPr>
      <w:r>
        <w:t>Foresight a technologické oblasti strategického významu pro ekonomický růst ČR</w:t>
      </w:r>
    </w:p>
    <w:p w:rsidR="00160A83" w:rsidRDefault="00121EF3" w:rsidP="00121EF3">
      <w:r>
        <w:t xml:space="preserve">Jako součást efektivní inovační politiky podporuje vláda rozvoj systému monitoringu světových trhů a vývoje na poli výzkumu a technologií, který umožní odborně identifikovat sociální, ekonomické a technologické trendy na cizích trzích. Na základě </w:t>
      </w:r>
      <w:proofErr w:type="spellStart"/>
      <w:r>
        <w:t>foresightových</w:t>
      </w:r>
      <w:proofErr w:type="spellEnd"/>
      <w:r>
        <w:t xml:space="preserve"> aktivit analyzujících vývoj světové poptávky, kvalifikovaného odhadu scénáře možného budoucího vývoje analýz přidané hodnoty českého obchodu v globální ekonomice a mapování inovačního potenciálu organizací v ČR může vláda určovat klíčové technologické oblasti pro podporu v ČR. Zaměřovat se bude především na oblasti, ve kterých lze do budoucna očekávat vysoký potenciál z hlediska přínosu pro konkurenční výhodu podnikového sektoru na území ČR, a proto do nich bude zacílena veřejná podpora podnikání a výzkumu a vývoje.</w:t>
      </w:r>
      <w:r w:rsidR="00B404BA">
        <w:t xml:space="preserve"> </w:t>
      </w:r>
      <w:r w:rsidR="00160A83">
        <w:t xml:space="preserve">Jako součást zefektivnění inovačních aktivit </w:t>
      </w:r>
      <w:r w:rsidR="00317DE6">
        <w:t xml:space="preserve">a intervencí v oblasti </w:t>
      </w:r>
      <w:proofErr w:type="spellStart"/>
      <w:r w:rsidR="00317DE6">
        <w:t>VaVaI</w:t>
      </w:r>
      <w:proofErr w:type="spellEnd"/>
      <w:r w:rsidR="00317DE6">
        <w:t xml:space="preserve"> </w:t>
      </w:r>
      <w:r w:rsidR="00160A83">
        <w:t>současně probíhá mapování inovační kapacity ČR v rámci projektu INKA.</w:t>
      </w:r>
    </w:p>
    <w:p w:rsidR="003237CF" w:rsidRDefault="003237CF" w:rsidP="003237CF">
      <w:pPr>
        <w:pStyle w:val="Nadpis3"/>
        <w:numPr>
          <w:ilvl w:val="2"/>
          <w:numId w:val="4"/>
        </w:numPr>
        <w:ind w:left="851" w:hanging="851"/>
      </w:pPr>
      <w:bookmarkStart w:id="68" w:name="_Toc385339537"/>
      <w:r>
        <w:t>Kosmické aktivity</w:t>
      </w:r>
      <w:bookmarkEnd w:id="68"/>
    </w:p>
    <w:p w:rsidR="00881AD9" w:rsidRDefault="00881AD9" w:rsidP="00881AD9">
      <w:r>
        <w:t>Kosmické aktivit</w:t>
      </w:r>
      <w:r w:rsidR="00F60A5D">
        <w:t>y jsou dynamicky se rozvíjející</w:t>
      </w:r>
      <w:r>
        <w:t xml:space="preserve"> oblastí, jejíž pokroky se promítají do mnoha odvětví lidské činnosti. Vláda ČR si je vědoma významu kosmických aktivit pro národní hospodářství a významu úzké </w:t>
      </w:r>
      <w:r w:rsidR="00532AE6">
        <w:t>spolupráce s Evropskou</w:t>
      </w:r>
      <w:r>
        <w:t xml:space="preserve"> kosmickou agenturou (ESA) a Evropskou agenturou pro GNSS (GSA) zejména pro zvýšení technologické úrovně českého průmyslu a jeho konkurenceschopnosti. </w:t>
      </w:r>
    </w:p>
    <w:p w:rsidR="00881AD9" w:rsidRDefault="00881AD9" w:rsidP="00881AD9">
      <w:r>
        <w:t>Vláda chápe kosmické aktivity jako str</w:t>
      </w:r>
      <w:r w:rsidR="00F60A5D">
        <w:t>ategickopolitickou disciplínu s</w:t>
      </w:r>
      <w:r>
        <w:t xml:space="preserve"> nezanedbatelným hospodářským dopadem. Do kosmických aktivit se ve stále větším měřítku zapojují firmy a instituce, které vyvíjejí nové technologie, software, hardware a služby s vysokou přidanou hodnotou. Aplikace v oblasti kosmických technologií a družicové navigace stimulují další rozvoj v širokém spektru nejrůznějších odvětví.</w:t>
      </w:r>
    </w:p>
    <w:p w:rsidR="00881AD9" w:rsidRDefault="00881AD9" w:rsidP="00881AD9">
      <w:r>
        <w:t xml:space="preserve">V této souvislosti vláda připravuje opatření, která pomohou českým </w:t>
      </w:r>
      <w:r w:rsidR="00DF2666">
        <w:t xml:space="preserve">se </w:t>
      </w:r>
      <w:r>
        <w:t>firmám více zapojit do oblasti výše uvedených aktivit a umožní další zefektivnění koordinace kosmických aktivit na národní evropské a světové úrovni. Tato forma koordinace přispěje nejen k efektivnějšímu vynakládání finančních prostředků, ale ve svém důsledku i ke zvýšení návratnosti investic a konkurenceschopnosti ČR.</w:t>
      </w:r>
    </w:p>
    <w:p w:rsidR="00881AD9" w:rsidRDefault="00A55DEC" w:rsidP="00881AD9">
      <w:pPr>
        <w:pStyle w:val="Nadpis4"/>
      </w:pPr>
      <w:r>
        <w:t>Investice do kosmických aktivit</w:t>
      </w:r>
    </w:p>
    <w:p w:rsidR="00881AD9" w:rsidRDefault="00721E66" w:rsidP="00881AD9">
      <w:r>
        <w:t>Investice</w:t>
      </w:r>
      <w:r w:rsidR="00881AD9">
        <w:t xml:space="preserve"> do volitelných programů ESA musí probíhat v souladu s rostoucí kapacitou českého průmyslu v této oblasti a dosaženými dílčími úspěchy v přenášení know-how do komerční průmyslové sféry. Investicemi do kosmických aktivit, zejména prostřednictvím ESA ve formě účasti na jejích volitelných programech </w:t>
      </w:r>
      <w:r w:rsidR="00532AE6">
        <w:t>může v</w:t>
      </w:r>
      <w:r w:rsidR="00881AD9">
        <w:t xml:space="preserve">láda </w:t>
      </w:r>
      <w:r w:rsidR="00532AE6">
        <w:t>efektivně podpořit</w:t>
      </w:r>
      <w:r w:rsidR="00881AD9">
        <w:t xml:space="preserve"> konkurenceschopnost českého průmyslu, exc</w:t>
      </w:r>
      <w:r w:rsidR="00532AE6">
        <w:t>elenci výzkumu a přispět</w:t>
      </w:r>
      <w:r w:rsidR="00881AD9">
        <w:t xml:space="preserve"> </w:t>
      </w:r>
      <w:r w:rsidR="00532AE6">
        <w:t xml:space="preserve">k </w:t>
      </w:r>
      <w:r w:rsidR="00881AD9">
        <w:t>udržitelnému růst hospodářství.</w:t>
      </w:r>
    </w:p>
    <w:p w:rsidR="00881AD9" w:rsidRDefault="0071388C" w:rsidP="00881AD9">
      <w:pPr>
        <w:pStyle w:val="Nadpis4"/>
      </w:pPr>
      <w:r>
        <w:t>V</w:t>
      </w:r>
      <w:r w:rsidR="00881AD9">
        <w:t>ytvoření víceletého Národního kosmického programu</w:t>
      </w:r>
    </w:p>
    <w:p w:rsidR="00881AD9" w:rsidRDefault="00BD6EEA" w:rsidP="00881AD9">
      <w:r>
        <w:t>Vláda v roce 2014 počítá s vytvořením Národního kosmického programu, je</w:t>
      </w:r>
      <w:r w:rsidR="00DF2666">
        <w:t>n</w:t>
      </w:r>
      <w:r>
        <w:t xml:space="preserve">ž </w:t>
      </w:r>
      <w:r w:rsidR="005907E3">
        <w:t xml:space="preserve">bude </w:t>
      </w:r>
      <w:r w:rsidR="00734652">
        <w:t>představovat soubor</w:t>
      </w:r>
      <w:r w:rsidR="00881AD9">
        <w:t xml:space="preserve"> věcných, časových a finančních podmínek pro činnosti potřebné k naplnění cílů a priorit stanovených Národním kosmickým plánem ČR. </w:t>
      </w:r>
    </w:p>
    <w:p w:rsidR="00881AD9" w:rsidRDefault="005907E3" w:rsidP="00881AD9">
      <w:pPr>
        <w:pStyle w:val="Nadpis4"/>
      </w:pPr>
      <w:r>
        <w:t>Z</w:t>
      </w:r>
      <w:r w:rsidR="00881AD9">
        <w:t>říze</w:t>
      </w:r>
      <w:r>
        <w:t>ní České kosmické agentury</w:t>
      </w:r>
    </w:p>
    <w:p w:rsidR="0008156A" w:rsidRDefault="005907E3" w:rsidP="00DA21F5">
      <w:r>
        <w:t>Záměrem vlády je zřízení České kosmické agentury (ČKA), jež by měla</w:t>
      </w:r>
      <w:r w:rsidR="00881AD9">
        <w:t xml:space="preserve"> být </w:t>
      </w:r>
      <w:r w:rsidR="00672D16">
        <w:t>mezirezortním</w:t>
      </w:r>
      <w:r w:rsidR="00881AD9">
        <w:t xml:space="preserve"> orgánem ve věcech kosmických aktivit</w:t>
      </w:r>
      <w:r>
        <w:t xml:space="preserve"> v ČR</w:t>
      </w:r>
      <w:r w:rsidR="00881AD9">
        <w:t xml:space="preserve">. </w:t>
      </w:r>
      <w:r>
        <w:t>Tímto krokem dojde k zefektivnění</w:t>
      </w:r>
      <w:r w:rsidR="00881AD9">
        <w:t xml:space="preserve"> </w:t>
      </w:r>
      <w:r>
        <w:t>koordinace</w:t>
      </w:r>
      <w:r w:rsidR="00881AD9">
        <w:t xml:space="preserve"> kosmických aktivit vlády </w:t>
      </w:r>
      <w:r>
        <w:t xml:space="preserve">a zjednodušení mezinárodní spolupráce a </w:t>
      </w:r>
      <w:r w:rsidR="00881AD9">
        <w:t>transfer</w:t>
      </w:r>
      <w:r w:rsidR="00F60A5D">
        <w:t>u</w:t>
      </w:r>
      <w:r w:rsidR="00881AD9">
        <w:t xml:space="preserve"> v oblasti technologií s vysokou přidanou hodnotou. </w:t>
      </w:r>
    </w:p>
    <w:p w:rsidR="00AC5600" w:rsidRDefault="00AC5600">
      <w:pPr>
        <w:spacing w:after="0"/>
        <w:ind w:firstLine="360"/>
        <w:jc w:val="left"/>
        <w:rPr>
          <w:rFonts w:asciiTheme="majorHAnsi" w:eastAsiaTheme="majorEastAsia" w:hAnsiTheme="majorHAnsi" w:cstheme="majorBidi"/>
          <w:b/>
          <w:bCs/>
          <w:color w:val="9D3511" w:themeColor="accent1" w:themeShade="BF"/>
          <w:sz w:val="30"/>
          <w:szCs w:val="24"/>
        </w:rPr>
      </w:pPr>
      <w:r>
        <w:br w:type="page"/>
      </w:r>
    </w:p>
    <w:p w:rsidR="00AC5600" w:rsidRDefault="00AC5600" w:rsidP="00AC5600">
      <w:pPr>
        <w:pStyle w:val="Nadpis1"/>
        <w:numPr>
          <w:ilvl w:val="0"/>
          <w:numId w:val="4"/>
        </w:numPr>
      </w:pPr>
      <w:bookmarkStart w:id="69" w:name="_Toc385339538"/>
      <w:r w:rsidRPr="00AC5600">
        <w:lastRenderedPageBreak/>
        <w:t>Implementace politiky soudržnosti a využití programů Evropských strukturálních a investičních fondů jako nástrojů uskutečňování priorit Strategie Evropa 2020</w:t>
      </w:r>
      <w:bookmarkEnd w:id="69"/>
      <w:r>
        <w:t xml:space="preserve"> </w:t>
      </w:r>
    </w:p>
    <w:p w:rsidR="00786E6B" w:rsidRDefault="00786E6B" w:rsidP="00786E6B">
      <w:pPr>
        <w:pStyle w:val="Nadpis3"/>
        <w:numPr>
          <w:ilvl w:val="2"/>
          <w:numId w:val="4"/>
        </w:numPr>
        <w:ind w:left="851" w:hanging="851"/>
      </w:pPr>
      <w:bookmarkStart w:id="70" w:name="_Toc385339539"/>
      <w:r w:rsidRPr="00AC5600">
        <w:t>Programové období 2007-2013</w:t>
      </w:r>
      <w:bookmarkEnd w:id="70"/>
    </w:p>
    <w:p w:rsidR="009546FC" w:rsidRPr="00AC5600" w:rsidRDefault="009546FC" w:rsidP="009546FC">
      <w:pPr>
        <w:rPr>
          <w:rFonts w:eastAsia="ArialNarrow"/>
        </w:rPr>
      </w:pPr>
      <w:r w:rsidRPr="00AC5600">
        <w:rPr>
          <w:rFonts w:eastAsia="ArialNarrow"/>
        </w:rPr>
        <w:t xml:space="preserve">Vláda považuje politiku soudržnosti za nástroj, který může významně posílit </w:t>
      </w:r>
      <w:r>
        <w:rPr>
          <w:rFonts w:eastAsia="ArialNarrow"/>
        </w:rPr>
        <w:t xml:space="preserve">nejen ekonomický </w:t>
      </w:r>
      <w:r w:rsidRPr="00AC5600">
        <w:rPr>
          <w:rFonts w:eastAsia="ArialNarrow"/>
        </w:rPr>
        <w:t>růst a konkurencesc</w:t>
      </w:r>
      <w:r>
        <w:rPr>
          <w:rFonts w:eastAsia="ArialNarrow"/>
        </w:rPr>
        <w:t>hopnost, ale také vnitřní sociální a politickou stabilitu</w:t>
      </w:r>
      <w:r w:rsidRPr="00AC5600">
        <w:rPr>
          <w:rFonts w:eastAsia="ArialNarrow"/>
        </w:rPr>
        <w:t xml:space="preserve">. V období 2007–2013 </w:t>
      </w:r>
      <w:r>
        <w:rPr>
          <w:rFonts w:eastAsia="ArialNarrow"/>
        </w:rPr>
        <w:t xml:space="preserve">mohla </w:t>
      </w:r>
      <w:r w:rsidRPr="00AC5600">
        <w:rPr>
          <w:rFonts w:eastAsia="ArialNarrow"/>
        </w:rPr>
        <w:t>ČR investovat z prost</w:t>
      </w:r>
      <w:r>
        <w:rPr>
          <w:rFonts w:eastAsia="ArialNarrow"/>
        </w:rPr>
        <w:t>ředků této politiky celkem 26,8</w:t>
      </w:r>
      <w:r w:rsidRPr="00AC5600">
        <w:rPr>
          <w:rFonts w:eastAsia="ArialNarrow"/>
        </w:rPr>
        <w:t xml:space="preserve"> mld. EUR. Proto vláda</w:t>
      </w:r>
      <w:r>
        <w:rPr>
          <w:rFonts w:eastAsia="ArialNarrow"/>
        </w:rPr>
        <w:t xml:space="preserve"> přijala operativní rozhodnutí o monitoringu dočerpávání zbývajících prostředků ve snaze hrozící výpadek minimalizovat. Zkušenosti z programového</w:t>
      </w:r>
      <w:r w:rsidRPr="00AC5600">
        <w:rPr>
          <w:rFonts w:eastAsia="ArialNarrow"/>
        </w:rPr>
        <w:t xml:space="preserve"> období 2007–2013</w:t>
      </w:r>
      <w:r>
        <w:rPr>
          <w:rFonts w:eastAsia="ArialNarrow"/>
        </w:rPr>
        <w:t xml:space="preserve"> pak sloužily při změně </w:t>
      </w:r>
      <w:r w:rsidRPr="00AC5600">
        <w:rPr>
          <w:rFonts w:eastAsia="ArialNarrow"/>
        </w:rPr>
        <w:t>př</w:t>
      </w:r>
      <w:r>
        <w:rPr>
          <w:rFonts w:eastAsia="ArialNarrow"/>
        </w:rPr>
        <w:t>í</w:t>
      </w:r>
      <w:r w:rsidRPr="00AC5600">
        <w:rPr>
          <w:rFonts w:eastAsia="ArialNarrow"/>
        </w:rPr>
        <w:t>stup</w:t>
      </w:r>
      <w:r>
        <w:rPr>
          <w:rFonts w:eastAsia="ArialNarrow"/>
        </w:rPr>
        <w:t>ů</w:t>
      </w:r>
      <w:r w:rsidRPr="00AC5600">
        <w:rPr>
          <w:rFonts w:eastAsia="ArialNarrow"/>
        </w:rPr>
        <w:t xml:space="preserve"> k přípravě politiky soudržnosti v příštím programovém období 2014-2020 v rámci přípravy programů spolufinancovaných z Evropských strukturálních a investičních fondů („ESI fondů”).</w:t>
      </w:r>
    </w:p>
    <w:p w:rsidR="009546FC" w:rsidRDefault="009546FC" w:rsidP="009546FC">
      <w:pPr>
        <w:rPr>
          <w:rFonts w:eastAsia="ArialNarrow"/>
          <w:highlight w:val="yellow"/>
        </w:rPr>
      </w:pPr>
    </w:p>
    <w:p w:rsidR="009546FC" w:rsidRPr="00956E06" w:rsidRDefault="009546FC" w:rsidP="009546FC">
      <w:pPr>
        <w:rPr>
          <w:rFonts w:eastAsia="ArialNarrow"/>
        </w:rPr>
      </w:pPr>
      <w:r w:rsidRPr="00956E06">
        <w:rPr>
          <w:rFonts w:eastAsia="ArialNarrow"/>
        </w:rPr>
        <w:t>Národní strategický referenční rámec ČR („NSRR“) pro politiku soudržnosti v období 2007–2013 primárně reflektuje Lisabonskou strategii, kterou Evropská rada přijala na jaře 2000. NSRR byl formulován v souladu s touto strategií a současně s ohledem na česká specifika a priority. Kromě informací o programech k implementaci politiky soudržnosti zahrnuje NSRR i doplňkovost poskytovaných podpor prostřednictvím Programu rozvoje venkova na období 2007-2013 a Operačního programu Rybářství 2007-2013.</w:t>
      </w:r>
    </w:p>
    <w:p w:rsidR="009546FC" w:rsidRDefault="009546FC" w:rsidP="009546FC">
      <w:r w:rsidRPr="00956E06">
        <w:rPr>
          <w:rFonts w:eastAsia="ArialNarrow"/>
        </w:rPr>
        <w:t>V červnu 2010 Evropská rada schválila Strategii Evropa 2020, ve které definuje cíle EU, jichž chce dosáhnout do konce roku 2020, a to v oblasti zaměstnanosti, výzkumu a vývoje, inovací, změn klimatu a energetiky, vzdělávání a sociální oblasti. Každý členský stát specifikoval vlastní vnitrostátní cíle. Za účelem provázání NSRR se Strategií Evropa 2020 byla vybrána prioritní témata, která jsou naplňována realizací NSRR (resp. jednotlivými operačními programy a projekty v nich realizovanými) v programovém období 2007–2013. V Obecném nařízení je definováno celkem 86 prioritních témat; realizací NSRR je naplňováno 70 z nich. Potenciální vazba na cíle Strategie Evropa 2020 byla identifikována u 19 z naplňovaných témat NSRR.</w:t>
      </w:r>
    </w:p>
    <w:p w:rsidR="009546FC" w:rsidRDefault="009546FC" w:rsidP="009546FC">
      <w:pPr>
        <w:pStyle w:val="Nadpis3"/>
        <w:numPr>
          <w:ilvl w:val="2"/>
          <w:numId w:val="4"/>
        </w:numPr>
        <w:ind w:left="851" w:hanging="851"/>
      </w:pPr>
      <w:bookmarkStart w:id="71" w:name="_Toc384023894"/>
      <w:bookmarkStart w:id="72" w:name="_Toc385339540"/>
      <w:r>
        <w:t>Programové období 2014</w:t>
      </w:r>
      <w:r w:rsidRPr="00AC5600">
        <w:t>-</w:t>
      </w:r>
      <w:r>
        <w:t>2020 a stav jeho příprav</w:t>
      </w:r>
      <w:bookmarkEnd w:id="71"/>
      <w:r>
        <w:t>y</w:t>
      </w:r>
      <w:bookmarkEnd w:id="72"/>
    </w:p>
    <w:p w:rsidR="009546FC" w:rsidRPr="00DF2D00" w:rsidRDefault="009546FC" w:rsidP="009546FC">
      <w:pPr>
        <w:rPr>
          <w:b/>
          <w:i/>
        </w:rPr>
      </w:pPr>
      <w:r w:rsidRPr="00E14C73">
        <w:t>Do společného balíčku evropských fondů byly v</w:t>
      </w:r>
      <w:r w:rsidRPr="00DF2D00">
        <w:rPr>
          <w:b/>
          <w:i/>
        </w:rPr>
        <w:t xml:space="preserve"> </w:t>
      </w:r>
      <w:r w:rsidRPr="00E14C73">
        <w:t xml:space="preserve">souladu s rozpočtovým rámcem </w:t>
      </w:r>
      <w:r>
        <w:t>EU</w:t>
      </w:r>
      <w:r w:rsidRPr="00E14C73">
        <w:t xml:space="preserve"> pro období 2014 - 2020</w:t>
      </w:r>
      <w:r w:rsidR="001A6B58">
        <w:rPr>
          <w:b/>
          <w:i/>
        </w:rPr>
        <w:t xml:space="preserve"> zařazeny kromě </w:t>
      </w:r>
      <w:r w:rsidRPr="00DF2D00">
        <w:rPr>
          <w:b/>
          <w:i/>
        </w:rPr>
        <w:t xml:space="preserve">Evropského fondu pro regionální rozvoj (EFRR), Evropského sociálního fondu (ESF) a Fondu soudržnosti (FS) také Evropský zemědělský fond pro rozvoj venkova (EZFRV) a Evropský námořní a rybářský fond (ENRF). </w:t>
      </w:r>
      <w:r w:rsidRPr="00DF2D00">
        <w:rPr>
          <w:color w:val="000000"/>
        </w:rPr>
        <w:t>Souhrnně tyto fondy zaměřené na podporu politiky soudržnosti, politiky rozvoje venkova a společné rybářské politiky tvoří jednu z nejvýznamnějších kapitol evropského rozpočtu v novém rozpočtovém období EU.</w:t>
      </w:r>
    </w:p>
    <w:p w:rsidR="009546FC" w:rsidRPr="00DF2D00" w:rsidRDefault="009546FC" w:rsidP="009546FC">
      <w:pPr>
        <w:rPr>
          <w:color w:val="000000"/>
        </w:rPr>
      </w:pPr>
      <w:r w:rsidRPr="00DF2D00">
        <w:rPr>
          <w:color w:val="000000"/>
        </w:rPr>
        <w:t xml:space="preserve">Dne 20. listopadu 2013 byl schválen plénem Evropského parlamentu balíček nařízení EU k politice soudržnosti. Dne 17. prosince 2013 byl formálně schválen i Radou pro obecné záležitosti. Nařízení vymezují pravidla pro nadcházející programové období 2014-2020 a řídí se jimi příprava programového období na úrovni jednotlivých členských států. Indikativní částka spolufinancování ESI fondy pro Českou republiku pro nadcházející programové období byla stanovena na 23,8 mld. EUR (bez ENRF). </w:t>
      </w:r>
      <w:r>
        <w:t>Definitivní stanovení příspěvku jednotlivých fondů pro programy bude určeno v návaznosti na debatu ČR a Evropské komise k Dohodě o partnerství (viz níže).</w:t>
      </w:r>
    </w:p>
    <w:p w:rsidR="009546FC" w:rsidRPr="00616FDE" w:rsidRDefault="009546FC" w:rsidP="009546FC">
      <w:pPr>
        <w:rPr>
          <w:color w:val="000000"/>
        </w:rPr>
      </w:pPr>
      <w:r w:rsidRPr="00616FDE">
        <w:rPr>
          <w:color w:val="000000"/>
        </w:rPr>
        <w:t xml:space="preserve">Přestože jedním z hlavních principů pro </w:t>
      </w:r>
      <w:r>
        <w:rPr>
          <w:color w:val="000000"/>
        </w:rPr>
        <w:t>nové</w:t>
      </w:r>
      <w:r w:rsidRPr="00616FDE">
        <w:rPr>
          <w:color w:val="000000"/>
        </w:rPr>
        <w:t xml:space="preserve"> programové období je pokračovat v nastaveném systému využívání evropských fondů, v systému se objevují některé novinky. Kromě rozšíření počtu zapojených fondů je to zejména jejich nasměrování k naplňování cílů </w:t>
      </w:r>
      <w:r>
        <w:rPr>
          <w:color w:val="000000"/>
        </w:rPr>
        <w:t>S</w:t>
      </w:r>
      <w:r w:rsidRPr="00616FDE">
        <w:rPr>
          <w:color w:val="000000"/>
        </w:rPr>
        <w:t>trategie E</w:t>
      </w:r>
      <w:r>
        <w:rPr>
          <w:color w:val="000000"/>
        </w:rPr>
        <w:t xml:space="preserve">vropa </w:t>
      </w:r>
      <w:r w:rsidRPr="00616FDE">
        <w:rPr>
          <w:color w:val="000000"/>
        </w:rPr>
        <w:t xml:space="preserve">2020 a dále pak následující: </w:t>
      </w:r>
    </w:p>
    <w:p w:rsidR="009546FC" w:rsidRPr="00E14C73" w:rsidRDefault="009546FC" w:rsidP="009546FC">
      <w:pPr>
        <w:pStyle w:val="Odstavecseseznamem"/>
        <w:numPr>
          <w:ilvl w:val="0"/>
          <w:numId w:val="13"/>
        </w:numPr>
      </w:pPr>
      <w:r w:rsidRPr="00E14C73">
        <w:t xml:space="preserve">snížení počtu cílů </w:t>
      </w:r>
      <w:r>
        <w:t xml:space="preserve">pouze </w:t>
      </w:r>
      <w:r w:rsidRPr="00E14C73">
        <w:t xml:space="preserve">na </w:t>
      </w:r>
      <w:r>
        <w:t>dva</w:t>
      </w:r>
      <w:r w:rsidRPr="00E14C73">
        <w:t xml:space="preserve"> (</w:t>
      </w:r>
      <w:r w:rsidRPr="00B04011">
        <w:rPr>
          <w:i/>
        </w:rPr>
        <w:t>Investice pro růst a zaměstnanost</w:t>
      </w:r>
      <w:r w:rsidRPr="00E14C73">
        <w:t xml:space="preserve"> a </w:t>
      </w:r>
      <w:r w:rsidRPr="00B04011">
        <w:rPr>
          <w:i/>
        </w:rPr>
        <w:t>Evropská územní spolupráce</w:t>
      </w:r>
      <w:r w:rsidRPr="00E14C73">
        <w:t>);</w:t>
      </w:r>
    </w:p>
    <w:p w:rsidR="009546FC" w:rsidRPr="00E14C73" w:rsidRDefault="009546FC" w:rsidP="009546FC">
      <w:pPr>
        <w:pStyle w:val="Odstavecseseznamem"/>
        <w:numPr>
          <w:ilvl w:val="0"/>
          <w:numId w:val="13"/>
        </w:numPr>
      </w:pPr>
      <w:r>
        <w:t>vyčlenění tří</w:t>
      </w:r>
      <w:r w:rsidRPr="00E14C73">
        <w:t xml:space="preserve"> kategorií regionů podle parametrů jejich ekonomické výkonnosti;</w:t>
      </w:r>
    </w:p>
    <w:p w:rsidR="009546FC" w:rsidRDefault="009546FC" w:rsidP="009546FC">
      <w:pPr>
        <w:pStyle w:val="Odstavecseseznamem"/>
        <w:numPr>
          <w:ilvl w:val="0"/>
          <w:numId w:val="13"/>
        </w:numPr>
      </w:pPr>
      <w:r w:rsidRPr="00E14C73">
        <w:t>nastavení systému předběžných podmínek;</w:t>
      </w:r>
    </w:p>
    <w:p w:rsidR="009546FC" w:rsidRPr="00E14C73" w:rsidRDefault="009546FC" w:rsidP="009546FC">
      <w:pPr>
        <w:pStyle w:val="Odstavecseseznamem"/>
        <w:numPr>
          <w:ilvl w:val="0"/>
          <w:numId w:val="13"/>
        </w:numPr>
      </w:pPr>
      <w:r>
        <w:lastRenderedPageBreak/>
        <w:t>nastavení a sledování synergií a komplementarit mezi programy a ESI fondy,</w:t>
      </w:r>
    </w:p>
    <w:p w:rsidR="009546FC" w:rsidRPr="00E14C73" w:rsidRDefault="009546FC" w:rsidP="009546FC">
      <w:pPr>
        <w:pStyle w:val="Odstavecseseznamem"/>
        <w:numPr>
          <w:ilvl w:val="0"/>
          <w:numId w:val="13"/>
        </w:numPr>
      </w:pPr>
      <w:r w:rsidRPr="00E14C73">
        <w:t>vyšší měřitelnost přínosu podpořených operací (důraz na plnění stanovených indikátorů);</w:t>
      </w:r>
    </w:p>
    <w:p w:rsidR="009546FC" w:rsidRPr="00E14C73" w:rsidRDefault="009546FC" w:rsidP="009546FC">
      <w:pPr>
        <w:pStyle w:val="Odstavecseseznamem"/>
        <w:numPr>
          <w:ilvl w:val="0"/>
          <w:numId w:val="13"/>
        </w:numPr>
      </w:pPr>
      <w:r w:rsidRPr="00E14C73">
        <w:t>finanční závislost na rychlosti a kvalitě čerpání (výkonnostní rámec);</w:t>
      </w:r>
    </w:p>
    <w:p w:rsidR="009546FC" w:rsidRPr="00E14C73" w:rsidRDefault="009546FC" w:rsidP="009546FC">
      <w:pPr>
        <w:pStyle w:val="Odstavecseseznamem"/>
        <w:numPr>
          <w:ilvl w:val="0"/>
          <w:numId w:val="13"/>
        </w:numPr>
      </w:pPr>
      <w:r w:rsidRPr="00E14C73">
        <w:t xml:space="preserve">znovuzavedení pravidla </w:t>
      </w:r>
      <w:r>
        <w:t>n</w:t>
      </w:r>
      <w:r w:rsidRPr="00E14C73">
        <w:t>+3 pro časovou způsobilost výdajů;</w:t>
      </w:r>
    </w:p>
    <w:p w:rsidR="009546FC" w:rsidRPr="00E14C73" w:rsidRDefault="009546FC" w:rsidP="009546FC">
      <w:pPr>
        <w:pStyle w:val="Odstavecseseznamem"/>
        <w:numPr>
          <w:ilvl w:val="0"/>
          <w:numId w:val="13"/>
        </w:numPr>
      </w:pPr>
      <w:r w:rsidRPr="00E14C73">
        <w:t>vyšší míra uplatnění územně specifického přístupu a využití integrovaných nástrojů;</w:t>
      </w:r>
    </w:p>
    <w:p w:rsidR="009546FC" w:rsidRPr="00E14C73" w:rsidRDefault="009546FC" w:rsidP="009546FC">
      <w:pPr>
        <w:pStyle w:val="Odstavecseseznamem"/>
        <w:numPr>
          <w:ilvl w:val="0"/>
          <w:numId w:val="13"/>
        </w:numPr>
      </w:pPr>
      <w:r w:rsidRPr="00E14C73">
        <w:t>vyšší míra uplatnění finančních nástrojů na úkor dotací;</w:t>
      </w:r>
    </w:p>
    <w:p w:rsidR="009546FC" w:rsidRPr="00E14C73" w:rsidRDefault="009546FC" w:rsidP="009546FC">
      <w:pPr>
        <w:pStyle w:val="Odstavecseseznamem"/>
        <w:numPr>
          <w:ilvl w:val="0"/>
          <w:numId w:val="13"/>
        </w:numPr>
      </w:pPr>
      <w:r w:rsidRPr="00E14C73">
        <w:t>rozšíření a specifikace způsobů zjednodušeného vykazování nákladů;</w:t>
      </w:r>
    </w:p>
    <w:p w:rsidR="009546FC" w:rsidRPr="00E14C73" w:rsidRDefault="009546FC" w:rsidP="009546FC">
      <w:pPr>
        <w:pStyle w:val="Odstavecseseznamem"/>
        <w:numPr>
          <w:ilvl w:val="0"/>
          <w:numId w:val="13"/>
        </w:numPr>
      </w:pPr>
      <w:r w:rsidRPr="00E14C73">
        <w:t>zjednodušená a mezi fondy sblížená pravidla pro způsobilost výdajů;</w:t>
      </w:r>
    </w:p>
    <w:p w:rsidR="009546FC" w:rsidRPr="00E14C73" w:rsidRDefault="009546FC" w:rsidP="009546FC">
      <w:pPr>
        <w:pStyle w:val="Odstavecseseznamem"/>
        <w:numPr>
          <w:ilvl w:val="0"/>
          <w:numId w:val="13"/>
        </w:numPr>
      </w:pPr>
      <w:r w:rsidRPr="00E14C73">
        <w:t>zpřísnění pravidel pro vyplácení záloh členským státům.</w:t>
      </w:r>
    </w:p>
    <w:p w:rsidR="009546FC" w:rsidRPr="00B04011" w:rsidRDefault="009546FC" w:rsidP="009546FC">
      <w:r w:rsidRPr="00B04011">
        <w:t>Zásadním „zastřešujícím“ dokumentem pro programové období 2014–2020 na národní úrovni, jenž</w:t>
      </w:r>
      <w:r w:rsidRPr="00616FDE">
        <w:t xml:space="preserve"> bude plnit obdobnou roli, jakou v programovém období 2007–2013 plní Národní strategický referenční rámec, </w:t>
      </w:r>
      <w:r w:rsidRPr="00B04011">
        <w:t xml:space="preserve">je </w:t>
      </w:r>
      <w:r w:rsidRPr="00B04011">
        <w:rPr>
          <w:i/>
        </w:rPr>
        <w:t>Dohoda o partnerství (</w:t>
      </w:r>
      <w:proofErr w:type="spellStart"/>
      <w:r w:rsidRPr="00B04011">
        <w:rPr>
          <w:i/>
        </w:rPr>
        <w:t>DoP</w:t>
      </w:r>
      <w:proofErr w:type="spellEnd"/>
      <w:r w:rsidRPr="00B04011">
        <w:rPr>
          <w:i/>
        </w:rPr>
        <w:t>)</w:t>
      </w:r>
      <w:r w:rsidRPr="00B04011">
        <w:t xml:space="preserve">. Přípravou </w:t>
      </w:r>
      <w:proofErr w:type="spellStart"/>
      <w:r w:rsidRPr="00B04011">
        <w:t>DoP</w:t>
      </w:r>
      <w:proofErr w:type="spellEnd"/>
      <w:r w:rsidRPr="00B04011">
        <w:t xml:space="preserve"> je na základě usnesení vlády ze dne 28. listopadu 2012 č.</w:t>
      </w:r>
      <w:r w:rsidRPr="00616FDE">
        <w:t xml:space="preserve"> 867 a ze dne 31. srpna 2013 č. 650 pověřeno M</w:t>
      </w:r>
      <w:r>
        <w:t>inisterstvo pro místní rozvoj</w:t>
      </w:r>
      <w:r w:rsidRPr="00616FDE">
        <w:t xml:space="preserve">. Příprava samotného </w:t>
      </w:r>
      <w:r w:rsidRPr="00B04011">
        <w:t xml:space="preserve">dokumentu, jehož forma a obsah jsou dány Nařízením EU, začala v létě 2012. </w:t>
      </w:r>
    </w:p>
    <w:p w:rsidR="009546FC" w:rsidRDefault="009546FC" w:rsidP="009546FC">
      <w:r w:rsidRPr="00B04011">
        <w:t>Přípravné práce na programovém období 2014–2020 však byly v ČR započaty v širokém partnerství mnohem dříve - již v průběhu roku 2010.</w:t>
      </w:r>
      <w:r w:rsidRPr="00E14C73">
        <w:t xml:space="preserve"> </w:t>
      </w:r>
      <w:r w:rsidRPr="00616FDE">
        <w:t>V rámci disku</w:t>
      </w:r>
      <w:r w:rsidR="001A6B58">
        <w:t>z</w:t>
      </w:r>
      <w:r w:rsidRPr="00616FDE">
        <w:t xml:space="preserve">í byla identifikována potřeba aktualizace, případně vypracování nových strategických dokumentů pro období 2014–2020 a byly stanoveny hlavní principy </w:t>
      </w:r>
      <w:r w:rsidRPr="00B04011">
        <w:t xml:space="preserve">programového období 2014–2020 a následně </w:t>
      </w:r>
      <w:r>
        <w:t>N</w:t>
      </w:r>
      <w:r w:rsidRPr="00B04011">
        <w:t xml:space="preserve">árodní rozvojové priority, které mimo jiné vycházejí právě z klíčových strategických dokumentů. Celkem bylo definováno pět národních rozvojových priorit: </w:t>
      </w:r>
    </w:p>
    <w:p w:rsidR="009546FC" w:rsidRDefault="009546FC" w:rsidP="009546FC">
      <w:pPr>
        <w:numPr>
          <w:ilvl w:val="0"/>
          <w:numId w:val="18"/>
        </w:numPr>
      </w:pPr>
      <w:r w:rsidRPr="00B04011">
        <w:t xml:space="preserve">Zvýšení konkurenceschopnosti ekonomiky, </w:t>
      </w:r>
    </w:p>
    <w:p w:rsidR="009546FC" w:rsidRDefault="009546FC" w:rsidP="009546FC">
      <w:pPr>
        <w:numPr>
          <w:ilvl w:val="0"/>
          <w:numId w:val="18"/>
        </w:numPr>
      </w:pPr>
      <w:r>
        <w:t>R</w:t>
      </w:r>
      <w:r w:rsidRPr="00B04011">
        <w:t xml:space="preserve">ozvoj páteřní infrastruktury, </w:t>
      </w:r>
    </w:p>
    <w:p w:rsidR="009546FC" w:rsidRDefault="009546FC" w:rsidP="009546FC">
      <w:pPr>
        <w:numPr>
          <w:ilvl w:val="0"/>
          <w:numId w:val="18"/>
        </w:numPr>
      </w:pPr>
      <w:r w:rsidRPr="00B04011">
        <w:t xml:space="preserve">Zvyšování kvality a efektivity veřejné správy, </w:t>
      </w:r>
    </w:p>
    <w:p w:rsidR="009546FC" w:rsidRDefault="009546FC" w:rsidP="009546FC">
      <w:pPr>
        <w:numPr>
          <w:ilvl w:val="0"/>
          <w:numId w:val="18"/>
        </w:numPr>
      </w:pPr>
      <w:r w:rsidRPr="00B04011">
        <w:t>Podpora sociálního začleňování, boje s ch</w:t>
      </w:r>
      <w:r>
        <w:t xml:space="preserve">udobou a systému péče o zdraví </w:t>
      </w:r>
      <w:r w:rsidRPr="00B04011">
        <w:t xml:space="preserve"> </w:t>
      </w:r>
    </w:p>
    <w:p w:rsidR="009546FC" w:rsidRPr="00B04011" w:rsidRDefault="009546FC" w:rsidP="009546FC">
      <w:pPr>
        <w:numPr>
          <w:ilvl w:val="0"/>
          <w:numId w:val="18"/>
        </w:numPr>
        <w:rPr>
          <w:i/>
        </w:rPr>
      </w:pPr>
      <w:r w:rsidRPr="00B04011">
        <w:t xml:space="preserve">Integrovaný rozvoj území. </w:t>
      </w:r>
    </w:p>
    <w:p w:rsidR="009546FC" w:rsidRPr="00B04011" w:rsidRDefault="009546FC" w:rsidP="009546FC">
      <w:r w:rsidRPr="00B04011">
        <w:t xml:space="preserve">Usnesením vlády č. 650/2011 </w:t>
      </w:r>
      <w:r>
        <w:t>byly tyto priority</w:t>
      </w:r>
      <w:r w:rsidRPr="00B04011">
        <w:t xml:space="preserve"> vzaty na vědomí a zároveň byl stanoven úkol rozpracovat </w:t>
      </w:r>
      <w:r w:rsidRPr="00B04011">
        <w:rPr>
          <w:bCs/>
        </w:rPr>
        <w:t xml:space="preserve">je do úrovně vymezení programů. </w:t>
      </w:r>
      <w:r w:rsidRPr="00B04011">
        <w:t xml:space="preserve">Z důvodu správného nastavení a reálného řízení intervencí bylo rozhodnuto o vytvoření úrovně </w:t>
      </w:r>
      <w:r>
        <w:t>tematických okruhů, kt</w:t>
      </w:r>
      <w:r w:rsidRPr="00B04011">
        <w:t xml:space="preserve">eré podrobněji rozpracovávají sociální a ekonomickou situaci v ČR. Jejich smyslem bylo vytvořit základ pro vymezení programů směřujících k naplňování cílů </w:t>
      </w:r>
      <w:r>
        <w:t>vymezených v prioritách</w:t>
      </w:r>
      <w:r w:rsidRPr="00B04011">
        <w:t xml:space="preserve">. Kromě </w:t>
      </w:r>
      <w:r>
        <w:t xml:space="preserve">priorit </w:t>
      </w:r>
      <w:r w:rsidRPr="00B04011">
        <w:t xml:space="preserve">vycházelo MMR při přípravě </w:t>
      </w:r>
      <w:r>
        <w:t xml:space="preserve">tematických okruhů i </w:t>
      </w:r>
      <w:r w:rsidRPr="00B04011">
        <w:t>z problémových analýz</w:t>
      </w:r>
      <w:r>
        <w:t xml:space="preserve">. Ty byly </w:t>
      </w:r>
      <w:r w:rsidRPr="00B04011">
        <w:t>zpracov</w:t>
      </w:r>
      <w:r>
        <w:t xml:space="preserve">ány na </w:t>
      </w:r>
      <w:r w:rsidRPr="00B04011">
        <w:t>všech</w:t>
      </w:r>
      <w:r>
        <w:t xml:space="preserve"> relevantních resortech</w:t>
      </w:r>
      <w:r w:rsidRPr="00B04011">
        <w:t>, kraj</w:t>
      </w:r>
      <w:r>
        <w:t>ích</w:t>
      </w:r>
      <w:r w:rsidRPr="00B04011">
        <w:t xml:space="preserve"> a </w:t>
      </w:r>
      <w:r>
        <w:t xml:space="preserve">u </w:t>
      </w:r>
      <w:r w:rsidRPr="00B04011">
        <w:t>další</w:t>
      </w:r>
      <w:r>
        <w:t xml:space="preserve">ch aktérů (např. v </w:t>
      </w:r>
      <w:r w:rsidRPr="00B04011">
        <w:t>region</w:t>
      </w:r>
      <w:r>
        <w:t xml:space="preserve">ech a neziskových </w:t>
      </w:r>
      <w:r w:rsidRPr="00B04011">
        <w:t>organizac</w:t>
      </w:r>
      <w:r>
        <w:t>ích)</w:t>
      </w:r>
      <w:r w:rsidRPr="00B04011">
        <w:t xml:space="preserve">. Na tyto aktivity pak navazovala příprava samotných programů současně s přípravou </w:t>
      </w:r>
      <w:proofErr w:type="spellStart"/>
      <w:r w:rsidRPr="00B04011">
        <w:t>DoP.</w:t>
      </w:r>
      <w:proofErr w:type="spellEnd"/>
    </w:p>
    <w:p w:rsidR="009546FC" w:rsidRPr="00B04011" w:rsidRDefault="009546FC" w:rsidP="009546FC">
      <w:r w:rsidRPr="00B04011">
        <w:t xml:space="preserve">Příprava </w:t>
      </w:r>
      <w:proofErr w:type="spellStart"/>
      <w:r w:rsidRPr="00B04011">
        <w:t>DoP</w:t>
      </w:r>
      <w:proofErr w:type="spellEnd"/>
      <w:r w:rsidRPr="00B04011">
        <w:t xml:space="preserve"> </w:t>
      </w:r>
      <w:r>
        <w:t>proběhla</w:t>
      </w:r>
      <w:r w:rsidRPr="00B04011">
        <w:t xml:space="preserve"> na klíčových platformách vytvořených jak MMR, tak řídícími orgány programů. </w:t>
      </w:r>
      <w:r>
        <w:t xml:space="preserve">Členy platforem jsou zástupci </w:t>
      </w:r>
      <w:r w:rsidRPr="00B04011">
        <w:t>ministerstev, regionálních partnerů (kraje, města, obce, místní akční skupiny, atd.), akademické sféry, neziskové sféry, sociálních a hospodářských partnerů, aj. MMR během celého období pří</w:t>
      </w:r>
      <w:r>
        <w:t xml:space="preserve">pravy </w:t>
      </w:r>
      <w:r w:rsidRPr="00B04011">
        <w:t>zaji</w:t>
      </w:r>
      <w:r>
        <w:t>stilo funkčnost principu</w:t>
      </w:r>
      <w:r w:rsidRPr="00B04011">
        <w:t xml:space="preserve"> partnerství</w:t>
      </w:r>
      <w:r>
        <w:t xml:space="preserve">, což se nakonec odrazilo v hladkém schválení </w:t>
      </w:r>
      <w:proofErr w:type="spellStart"/>
      <w:r>
        <w:t>DoP</w:t>
      </w:r>
      <w:proofErr w:type="spellEnd"/>
      <w:r>
        <w:t xml:space="preserve"> na Radě pro </w:t>
      </w:r>
      <w:r w:rsidR="00F14EEF">
        <w:t>Evropské strukturální</w:t>
      </w:r>
      <w:r>
        <w:t xml:space="preserve"> a investiční fondy dne 3. </w:t>
      </w:r>
      <w:r w:rsidR="00F14EEF">
        <w:t>dubna a následně</w:t>
      </w:r>
      <w:r>
        <w:t xml:space="preserve"> 9. dubna 2014 na jednání vlády ČR.</w:t>
      </w:r>
    </w:p>
    <w:p w:rsidR="009546FC" w:rsidRPr="00B04011" w:rsidRDefault="009546FC" w:rsidP="009546FC">
      <w:r w:rsidRPr="00B04011">
        <w:t xml:space="preserve">Základem </w:t>
      </w:r>
      <w:proofErr w:type="spellStart"/>
      <w:r w:rsidRPr="00B04011">
        <w:t>DoP</w:t>
      </w:r>
      <w:proofErr w:type="spellEnd"/>
      <w:r w:rsidRPr="00B04011">
        <w:t xml:space="preserve"> je analyticko</w:t>
      </w:r>
      <w:r>
        <w:t>-strategická část. Ta obsahuje pět</w:t>
      </w:r>
      <w:r w:rsidRPr="00B04011">
        <w:t xml:space="preserve"> problémových oblastí, v nichž musí za účelem zachování soudržnosti a udržitelnosti a docílení růstu dojít k výraznému zlepšení, má-li ČR rozvinout svůj celý potenciál. Rozdělení problémů do těchto pěti oblastí vychází z kombinace </w:t>
      </w:r>
      <w:r w:rsidR="00F14EEF" w:rsidRPr="00B04011">
        <w:t xml:space="preserve">cílů </w:t>
      </w:r>
      <w:r w:rsidR="00F14EEF">
        <w:t>tematických</w:t>
      </w:r>
      <w:r>
        <w:t xml:space="preserve"> okruhů</w:t>
      </w:r>
      <w:r w:rsidRPr="00B04011">
        <w:t>, Strategie Evropa 2020</w:t>
      </w:r>
      <w:r w:rsidR="00F14EEF">
        <w:t>,</w:t>
      </w:r>
      <w:r w:rsidRPr="00B04011">
        <w:t xml:space="preserve"> a tedy i </w:t>
      </w:r>
      <w:r>
        <w:t xml:space="preserve">tohoto </w:t>
      </w:r>
      <w:r w:rsidRPr="00B04011">
        <w:t>Národního programu reforem, Specifických doporučení Rady, Strategie mezinárodní konkurenceschopnosti ČR pro období 2012-2020 a tzv. P</w:t>
      </w:r>
      <w:r w:rsidR="001A6B58">
        <w:t>ozičního dokumentu Evropské k</w:t>
      </w:r>
      <w:r w:rsidRPr="00B04011">
        <w:t>omise</w:t>
      </w:r>
      <w:r w:rsidRPr="00B04011">
        <w:rPr>
          <w:rStyle w:val="Znakapoznpodarou"/>
          <w:rFonts w:ascii="Arial" w:hAnsi="Arial" w:cs="Arial"/>
          <w:color w:val="000000"/>
        </w:rPr>
        <w:footnoteReference w:id="33"/>
      </w:r>
      <w:r w:rsidRPr="00B04011">
        <w:t>. Jednotlivé problémové oblasti byly rozpracovány do problémů a potřeb rozvoje, na základě nichž byly poté stanoveny následující priority financování:</w:t>
      </w:r>
    </w:p>
    <w:p w:rsidR="009546FC" w:rsidRPr="00E14C73" w:rsidRDefault="009546FC" w:rsidP="009546FC">
      <w:pPr>
        <w:pStyle w:val="Odstavecseseznamem"/>
        <w:numPr>
          <w:ilvl w:val="0"/>
          <w:numId w:val="12"/>
        </w:numPr>
        <w:rPr>
          <w:lang w:eastAsia="cs-CZ"/>
        </w:rPr>
      </w:pPr>
      <w:r w:rsidRPr="00E14C73">
        <w:rPr>
          <w:lang w:eastAsia="cs-CZ"/>
        </w:rPr>
        <w:t>Účinné a efektivní služby zaměstnanosti, které přispějí ke zvýšení zaměstnanosti zejména ohrožených skupin.</w:t>
      </w:r>
    </w:p>
    <w:p w:rsidR="009546FC" w:rsidRPr="00E14C73" w:rsidRDefault="009546FC" w:rsidP="009546FC">
      <w:pPr>
        <w:pStyle w:val="Odstavecseseznamem"/>
        <w:numPr>
          <w:ilvl w:val="0"/>
          <w:numId w:val="12"/>
        </w:numPr>
        <w:rPr>
          <w:lang w:eastAsia="cs-CZ"/>
        </w:rPr>
      </w:pPr>
      <w:r w:rsidRPr="00E14C73">
        <w:rPr>
          <w:lang w:eastAsia="cs-CZ"/>
        </w:rPr>
        <w:lastRenderedPageBreak/>
        <w:t>Kvalitní vzdělávací systém (celoživotní učení) produkující kvalifikovanou a adaptabilní pracovní sílu.</w:t>
      </w:r>
    </w:p>
    <w:p w:rsidR="009546FC" w:rsidRPr="00E14C73" w:rsidRDefault="009546FC" w:rsidP="009546FC">
      <w:pPr>
        <w:pStyle w:val="Odstavecseseznamem"/>
        <w:numPr>
          <w:ilvl w:val="0"/>
          <w:numId w:val="12"/>
        </w:numPr>
        <w:rPr>
          <w:lang w:eastAsia="cs-CZ"/>
        </w:rPr>
      </w:pPr>
      <w:r w:rsidRPr="00E14C73">
        <w:rPr>
          <w:lang w:eastAsia="cs-CZ"/>
        </w:rPr>
        <w:t>Výzkumný a inovační systém založený na kvalitním výzkumu propojeném s aplikační sférou a směřujícím ke komerčně využitelným výsledkům.</w:t>
      </w:r>
    </w:p>
    <w:p w:rsidR="009546FC" w:rsidRPr="00E14C73" w:rsidRDefault="009546FC" w:rsidP="009546FC">
      <w:pPr>
        <w:pStyle w:val="Odstavecseseznamem"/>
        <w:numPr>
          <w:ilvl w:val="0"/>
          <w:numId w:val="12"/>
        </w:numPr>
        <w:rPr>
          <w:lang w:eastAsia="cs-CZ"/>
        </w:rPr>
      </w:pPr>
      <w:r w:rsidRPr="00E14C73">
        <w:rPr>
          <w:lang w:eastAsia="cs-CZ"/>
        </w:rPr>
        <w:t xml:space="preserve">Podniky využívající výsledků </w:t>
      </w:r>
      <w:r>
        <w:rPr>
          <w:lang w:eastAsia="cs-CZ"/>
        </w:rPr>
        <w:t>výzkumu a vývoje</w:t>
      </w:r>
      <w:r w:rsidRPr="00E14C73">
        <w:rPr>
          <w:lang w:eastAsia="cs-CZ"/>
        </w:rPr>
        <w:t>, konkurenceschopné na globálním trhu a</w:t>
      </w:r>
      <w:r>
        <w:rPr>
          <w:lang w:eastAsia="cs-CZ"/>
        </w:rPr>
        <w:t> </w:t>
      </w:r>
      <w:r w:rsidRPr="00E14C73">
        <w:rPr>
          <w:lang w:eastAsia="cs-CZ"/>
        </w:rPr>
        <w:t>přispívající k nízkouhlíkovému hospodářství.</w:t>
      </w:r>
    </w:p>
    <w:p w:rsidR="009546FC" w:rsidRPr="00E14C73" w:rsidRDefault="009546FC" w:rsidP="009546FC">
      <w:pPr>
        <w:pStyle w:val="Odstavecseseznamem"/>
        <w:numPr>
          <w:ilvl w:val="0"/>
          <w:numId w:val="12"/>
        </w:numPr>
        <w:rPr>
          <w:lang w:eastAsia="cs-CZ"/>
        </w:rPr>
      </w:pPr>
      <w:r w:rsidRPr="00E14C73">
        <w:rPr>
          <w:lang w:eastAsia="cs-CZ"/>
        </w:rPr>
        <w:t>Udržitelná infrastruktura umožňující konkurenceschopnost ekonomiky a odpovídající obslužnost území.</w:t>
      </w:r>
    </w:p>
    <w:p w:rsidR="009546FC" w:rsidRPr="00E14C73" w:rsidRDefault="009546FC" w:rsidP="009546FC">
      <w:pPr>
        <w:pStyle w:val="Odstavecseseznamem"/>
        <w:numPr>
          <w:ilvl w:val="0"/>
          <w:numId w:val="12"/>
        </w:numPr>
        <w:rPr>
          <w:lang w:eastAsia="cs-CZ"/>
        </w:rPr>
      </w:pPr>
      <w:r w:rsidRPr="00E14C73">
        <w:rPr>
          <w:lang w:eastAsia="cs-CZ"/>
        </w:rPr>
        <w:t>Transparentní a efektivní veřejná správa s nízkou mírou administrativní a regulační zátěže a účinně reagující na mimořádné události.</w:t>
      </w:r>
    </w:p>
    <w:p w:rsidR="009546FC" w:rsidRPr="00E14C73" w:rsidRDefault="009546FC" w:rsidP="009546FC">
      <w:pPr>
        <w:pStyle w:val="Odstavecseseznamem"/>
        <w:numPr>
          <w:ilvl w:val="0"/>
          <w:numId w:val="12"/>
        </w:numPr>
        <w:rPr>
          <w:lang w:eastAsia="cs-CZ"/>
        </w:rPr>
      </w:pPr>
      <w:r w:rsidRPr="00E14C73">
        <w:rPr>
          <w:lang w:eastAsia="cs-CZ"/>
        </w:rPr>
        <w:t>Sociální systém začleňující sociálně vyloučené skupiny a působící preventivně proti chudobě.</w:t>
      </w:r>
    </w:p>
    <w:p w:rsidR="009546FC" w:rsidRPr="00E14C73" w:rsidRDefault="009546FC" w:rsidP="009546FC">
      <w:pPr>
        <w:pStyle w:val="Odstavecseseznamem"/>
        <w:numPr>
          <w:ilvl w:val="0"/>
          <w:numId w:val="12"/>
        </w:numPr>
        <w:rPr>
          <w:lang w:eastAsia="cs-CZ"/>
        </w:rPr>
      </w:pPr>
      <w:r w:rsidRPr="00E14C73">
        <w:rPr>
          <w:lang w:eastAsia="cs-CZ"/>
        </w:rPr>
        <w:t>Ochrana životního prostředí a krajiny a přizpůsobení se změně klimatu.</w:t>
      </w:r>
    </w:p>
    <w:p w:rsidR="009546FC" w:rsidRPr="00E14C73" w:rsidRDefault="009546FC" w:rsidP="009546FC">
      <w:r w:rsidRPr="00E14C73">
        <w:t xml:space="preserve">Priority financování jsou dále rozpracovány do očekávaných výsledků intervencí, které byly zkoordinovány s cíli jednotlivých programů. </w:t>
      </w:r>
    </w:p>
    <w:p w:rsidR="009546FC" w:rsidRPr="00E14C73" w:rsidRDefault="009546FC" w:rsidP="009546FC">
      <w:r w:rsidRPr="00CF57F4">
        <w:t xml:space="preserve">V souladu s příslušnými pokyny Evropské komise obsahuje </w:t>
      </w:r>
      <w:proofErr w:type="spellStart"/>
      <w:r w:rsidRPr="00CF57F4">
        <w:t>DoP</w:t>
      </w:r>
      <w:proofErr w:type="spellEnd"/>
      <w:r w:rsidRPr="00CF57F4">
        <w:t xml:space="preserve"> rozsáhlý soubor kapitol, jež se věnují zejména důležitým aspektům její implementace, konkrétně např.: koordinace fondů a dalších finančních zdrojů na úrovni jednotlivých států i Evropské unie, určení pozitivní synergie a její maximální využití, plnění předběžných podmínek, opatření zaměřená na snížení administrativní zátěže příjemců dotací z evropských fondů a další. </w:t>
      </w:r>
      <w:proofErr w:type="spellStart"/>
      <w:r w:rsidRPr="00CF57F4">
        <w:t>DoP</w:t>
      </w:r>
      <w:proofErr w:type="spellEnd"/>
      <w:r w:rsidRPr="00CF57F4">
        <w:t xml:space="preserve"> obsahuje rovněž stanovení alokací pro jednotlivé </w:t>
      </w:r>
      <w:r>
        <w:t xml:space="preserve">tematické cíle a </w:t>
      </w:r>
      <w:r w:rsidRPr="00CF57F4">
        <w:t>programy, které jsou členěné podle jednotlivých fondů.</w:t>
      </w:r>
    </w:p>
    <w:p w:rsidR="009546FC" w:rsidRPr="00A466B8" w:rsidRDefault="009546FC" w:rsidP="009546FC">
      <w:r w:rsidRPr="00A466B8">
        <w:rPr>
          <w:color w:val="000000"/>
        </w:rPr>
        <w:t xml:space="preserve">Dalším důležitým principem, který se prolíná celou </w:t>
      </w:r>
      <w:proofErr w:type="spellStart"/>
      <w:r w:rsidRPr="00A466B8">
        <w:rPr>
          <w:color w:val="000000"/>
        </w:rPr>
        <w:t>DoP</w:t>
      </w:r>
      <w:proofErr w:type="spellEnd"/>
      <w:r w:rsidRPr="00A466B8">
        <w:rPr>
          <w:color w:val="000000"/>
        </w:rPr>
        <w:t xml:space="preserve"> i přípravou programového období, je zohlednění územní dimenze v rámci priorit financování s cílem snížení regionálních rozdílů a posílení růstového potenciálu jednotlivých krajů a regionů ČR. Přístup k zohlednění priorit a potřeb jednotlivých regionů je zohledněn jak v analyticko-strategické části </w:t>
      </w:r>
      <w:proofErr w:type="spellStart"/>
      <w:r w:rsidRPr="00A466B8">
        <w:rPr>
          <w:color w:val="000000"/>
        </w:rPr>
        <w:t>DoP</w:t>
      </w:r>
      <w:proofErr w:type="spellEnd"/>
      <w:r w:rsidRPr="00A466B8">
        <w:rPr>
          <w:color w:val="000000"/>
        </w:rPr>
        <w:t>, tak také v samostatné kapitole, která popisuje klíčové</w:t>
      </w:r>
      <w:r w:rsidRPr="00A466B8">
        <w:t xml:space="preserve"> mechanismy zaměřené na územní koordinaci plánovaných intervencí. Klíčovou metodu pro uplatnění územní dimenze zde představují integrované přístupy, jejichž cílem je dosažení vyšší účinnosti strategického plánování, zajištění synergií intervencí ve více oblastech a efektivnější řízení a vynakládání finančních prostředků. Rámcový strategický dokument pro uplatnění územní dimenze představuje Strategie regionálního rozvoje 2014-2020, která je nastavena tak, aby významně přispívala k naplňování stanovených národních priorit i cílů Strategie Evropa 2020.</w:t>
      </w:r>
    </w:p>
    <w:p w:rsidR="009546FC" w:rsidRPr="00E14C73" w:rsidRDefault="009546FC" w:rsidP="009546FC">
      <w:r w:rsidRPr="00A466B8">
        <w:t>Vládou schválená struktura programů spolufinancovaných z ESI fondů v ČR je v souladu s </w:t>
      </w:r>
      <w:proofErr w:type="spellStart"/>
      <w:r w:rsidRPr="00A466B8">
        <w:t>DoP</w:t>
      </w:r>
      <w:proofErr w:type="spellEnd"/>
      <w:r w:rsidRPr="00A466B8">
        <w:t xml:space="preserve"> a je detailním odrazem priorit indikovaných v předchozích fázích přípravy a analýz a zároveň odrazem</w:t>
      </w:r>
      <w:r w:rsidRPr="00E14C73">
        <w:t xml:space="preserve"> pozitivních i negativních zkušeností s čerpáním prostředků EU od okamžiku vstupu ČR do EU:</w:t>
      </w:r>
    </w:p>
    <w:p w:rsidR="009546FC" w:rsidRPr="00E14C73" w:rsidRDefault="009546FC" w:rsidP="009546FC">
      <w:pPr>
        <w:pStyle w:val="Odstavecseseznamem"/>
        <w:numPr>
          <w:ilvl w:val="0"/>
          <w:numId w:val="11"/>
        </w:numPr>
      </w:pPr>
      <w:r w:rsidRPr="00E14C73">
        <w:t>Oblast ekonomiky a podpory konkurenceschopnosti je koncentrována do tří operačních programů („OP“), které integrují investice a potřeby vzdělávání pro ekonomiku a její konkurenceschopnost: OP Podnikání a inovace pro konkurenceschopnost, OP Výzkum, vývoj a vzdělávání a OP Zaměstna</w:t>
      </w:r>
      <w:r>
        <w:softHyphen/>
      </w:r>
      <w:r w:rsidRPr="00E14C73">
        <w:t>nost.</w:t>
      </w:r>
    </w:p>
    <w:p w:rsidR="009546FC" w:rsidRPr="00E14C73" w:rsidRDefault="009546FC" w:rsidP="009546FC">
      <w:pPr>
        <w:pStyle w:val="Odstavecseseznamem"/>
        <w:numPr>
          <w:ilvl w:val="0"/>
          <w:numId w:val="11"/>
        </w:numPr>
      </w:pPr>
      <w:r w:rsidRPr="00E14C73">
        <w:t>Potřeba budování dopravní a environmentální infrastruktury je koncentrována do OP Doprava a OP Životní prostředí.</w:t>
      </w:r>
    </w:p>
    <w:p w:rsidR="009546FC" w:rsidRPr="00E14C73" w:rsidRDefault="009546FC" w:rsidP="009546FC">
      <w:pPr>
        <w:pStyle w:val="Odstavecseseznamem"/>
        <w:numPr>
          <w:ilvl w:val="0"/>
          <w:numId w:val="11"/>
        </w:numPr>
      </w:pPr>
      <w:r w:rsidRPr="00E14C73">
        <w:t>Soustředěná podpora růstu a konkurenceschopnosti na úrovni regionů je zajištěna jednak  územní dimenzí tematických OP a jednak centrálním Integrovaným regionálním OP.</w:t>
      </w:r>
    </w:p>
    <w:p w:rsidR="009546FC" w:rsidRPr="00E14C73" w:rsidRDefault="009546FC" w:rsidP="009546FC">
      <w:pPr>
        <w:pStyle w:val="Odstavecseseznamem"/>
        <w:numPr>
          <w:ilvl w:val="0"/>
          <w:numId w:val="11"/>
        </w:numPr>
      </w:pPr>
      <w:r w:rsidRPr="00E14C73">
        <w:t xml:space="preserve">Z důvodů odlišných věcných i formálních podmínek je oddělen program pro Prahu OP Praha – pól růstu ČR, který podporuje region nejvýznamnější pro ekonomiku celého státu. </w:t>
      </w:r>
    </w:p>
    <w:p w:rsidR="009546FC" w:rsidRPr="00E14C73" w:rsidRDefault="009546FC" w:rsidP="009546FC">
      <w:pPr>
        <w:pStyle w:val="Odstavecseseznamem"/>
        <w:numPr>
          <w:ilvl w:val="0"/>
          <w:numId w:val="11"/>
        </w:numPr>
      </w:pPr>
      <w:r w:rsidRPr="00E14C73">
        <w:t>Řízení a koordinace budoucí intervence bude zajištěna prostřednictvím OP Technická pomoc pro celou soustavu OP.</w:t>
      </w:r>
    </w:p>
    <w:p w:rsidR="009546FC" w:rsidRPr="00E14C73" w:rsidRDefault="009546FC" w:rsidP="009546FC">
      <w:pPr>
        <w:pStyle w:val="Odstavecseseznamem"/>
        <w:numPr>
          <w:ilvl w:val="0"/>
          <w:numId w:val="11"/>
        </w:numPr>
      </w:pPr>
      <w:r w:rsidRPr="00E14C73">
        <w:t>Pro rozvoj venkova byl schválen Program rozvoje venkova 2014–2020 a pro oblast rybářství OP Rybářství</w:t>
      </w:r>
      <w:r>
        <w:t xml:space="preserve"> </w:t>
      </w:r>
      <w:r w:rsidRPr="00707108">
        <w:t>2014–2020.</w:t>
      </w:r>
    </w:p>
    <w:p w:rsidR="009546FC" w:rsidRPr="00E14C73" w:rsidRDefault="009546FC" w:rsidP="009546FC">
      <w:r w:rsidRPr="00A466B8">
        <w:t>Základní předpoklad úspěšné realizace celého příštího programového období spočívá v nastavení systému administrace a finančních toků na jednotných závazných pravidlech platných pro celý implementační systém. Pro zajištění samotného systému implementace z hlediska procesů je připravováno jednotné</w:t>
      </w:r>
      <w:r w:rsidRPr="00E14C73">
        <w:t xml:space="preserve"> </w:t>
      </w:r>
      <w:r w:rsidRPr="00E14C73">
        <w:lastRenderedPageBreak/>
        <w:t>metodické prostředí. Jednotné metodické prostředí bude zahrnovat jak úroveň řízení Dohody o partnerství, tak úroveň řízení programů. Jeho cílem je:</w:t>
      </w:r>
    </w:p>
    <w:p w:rsidR="009546FC" w:rsidRDefault="009546FC" w:rsidP="009546FC">
      <w:pPr>
        <w:pStyle w:val="Odstavecseseznamem"/>
        <w:numPr>
          <w:ilvl w:val="0"/>
          <w:numId w:val="10"/>
        </w:numPr>
      </w:pPr>
      <w:r w:rsidRPr="00E14C73">
        <w:t>zjed</w:t>
      </w:r>
      <w:r>
        <w:t xml:space="preserve">nodušit administrativní postupy a s tímto cílem </w:t>
      </w:r>
      <w:r w:rsidRPr="00E14C73">
        <w:t>upravit legislativ</w:t>
      </w:r>
      <w:r>
        <w:t>u</w:t>
      </w:r>
      <w:r w:rsidRPr="00E14C73">
        <w:t>,</w:t>
      </w:r>
    </w:p>
    <w:p w:rsidR="009546FC" w:rsidRPr="00E14C73" w:rsidRDefault="009546FC" w:rsidP="009546FC">
      <w:pPr>
        <w:pStyle w:val="Odstavecseseznamem"/>
        <w:numPr>
          <w:ilvl w:val="0"/>
          <w:numId w:val="10"/>
        </w:numPr>
      </w:pPr>
      <w:r w:rsidRPr="00E14C73">
        <w:t>nastavit j</w:t>
      </w:r>
      <w:r>
        <w:t>ednotná a srozumitelná pravidla nejen pro celý systém</w:t>
      </w:r>
      <w:r w:rsidRPr="00E14C73">
        <w:t xml:space="preserve"> přidělování podpory</w:t>
      </w:r>
      <w:r>
        <w:t>, ale i obecně, mj. jiné i ve snaze minimalizovat riziko vědomého či bezděčného zneužívání peněz z Evropských fondů</w:t>
      </w:r>
    </w:p>
    <w:p w:rsidR="009546FC" w:rsidRPr="00E14C73" w:rsidRDefault="009546FC" w:rsidP="009546FC">
      <w:pPr>
        <w:pStyle w:val="Odstavecseseznamem"/>
        <w:numPr>
          <w:ilvl w:val="0"/>
          <w:numId w:val="10"/>
        </w:numPr>
      </w:pPr>
      <w:r w:rsidRPr="00E14C73">
        <w:t>umožnit snadnější orientaci žadatele/příjemce v systému přidělování podpory,</w:t>
      </w:r>
    </w:p>
    <w:p w:rsidR="009546FC" w:rsidRPr="00E14C73" w:rsidRDefault="009546FC" w:rsidP="009546FC">
      <w:pPr>
        <w:pStyle w:val="Odstavecseseznamem"/>
        <w:numPr>
          <w:ilvl w:val="0"/>
          <w:numId w:val="10"/>
        </w:numPr>
      </w:pPr>
      <w:r w:rsidRPr="00E14C73">
        <w:t>zlepšit komunikaci mezi žadatelem/příjemcem a poskytovatelem podpory,</w:t>
      </w:r>
    </w:p>
    <w:p w:rsidR="009546FC" w:rsidRPr="00E14C73" w:rsidRDefault="009546FC" w:rsidP="009546FC">
      <w:pPr>
        <w:pStyle w:val="Odstavecseseznamem"/>
        <w:numPr>
          <w:ilvl w:val="0"/>
          <w:numId w:val="10"/>
        </w:numPr>
      </w:pPr>
      <w:r w:rsidRPr="00E14C73">
        <w:t>opti</w:t>
      </w:r>
      <w:r>
        <w:t>malizovat administrativní lhůty.</w:t>
      </w:r>
    </w:p>
    <w:p w:rsidR="009546FC" w:rsidRPr="00E14C73" w:rsidRDefault="009546FC" w:rsidP="009546FC">
      <w:r w:rsidRPr="00E14C73">
        <w:t>Pro sledování realizace programů ESI</w:t>
      </w:r>
      <w:r>
        <w:t xml:space="preserve"> fondů</w:t>
      </w:r>
      <w:r w:rsidRPr="00E14C73">
        <w:t xml:space="preserve"> </w:t>
      </w:r>
      <w:r>
        <w:t xml:space="preserve">je dokončován </w:t>
      </w:r>
      <w:r w:rsidRPr="00E14C73">
        <w:t xml:space="preserve">ČR koncept </w:t>
      </w:r>
      <w:r>
        <w:rPr>
          <w:i/>
        </w:rPr>
        <w:t>J</w:t>
      </w:r>
      <w:r w:rsidRPr="00A466B8">
        <w:rPr>
          <w:i/>
        </w:rPr>
        <w:t>ednotného monitorovacího systému</w:t>
      </w:r>
      <w:r w:rsidRPr="00E14C73">
        <w:t xml:space="preserve">. </w:t>
      </w:r>
      <w:r>
        <w:t xml:space="preserve">Jde </w:t>
      </w:r>
      <w:r w:rsidRPr="00E14C73">
        <w:t>o metodicky, procesně i technologicky jednotný systém, pokrývající celou implemen</w:t>
      </w:r>
      <w:r>
        <w:softHyphen/>
      </w:r>
      <w:r w:rsidRPr="00E14C73">
        <w:t>tační strukturu. Klíčovou úlohu při zajištění funkčního provozu takového monitorovacího systému hraje parametrizace vnitřních i vnějších procesů a</w:t>
      </w:r>
      <w:r>
        <w:t> </w:t>
      </w:r>
      <w:r w:rsidRPr="00E14C73">
        <w:t>postupů pro úroveň řízení, kontroly a auditu</w:t>
      </w:r>
      <w:r>
        <w:t xml:space="preserve">, </w:t>
      </w:r>
      <w:r w:rsidRPr="00E14C73">
        <w:t>definování povinných vazeb a</w:t>
      </w:r>
      <w:r>
        <w:t> </w:t>
      </w:r>
      <w:r w:rsidRPr="00E14C73">
        <w:t>klíčových procesů a pravidel, včetně definování rozsahu sdílených služeb s kompletními vazbami na externí systémy na úrovni služeb e-</w:t>
      </w:r>
      <w:proofErr w:type="spellStart"/>
      <w:r w:rsidRPr="00E14C73">
        <w:t>Governmentu</w:t>
      </w:r>
      <w:proofErr w:type="spellEnd"/>
      <w:r w:rsidRPr="00E14C73">
        <w:t>. Důraz při přípravě je kladen na srozumitelnost i jednotnou formální úpravu a znění. Logické uspořádání jednotlivých oblastí umožní reflexi programového a projektového cyklu i potřebám centrálního řízení a</w:t>
      </w:r>
      <w:r>
        <w:t> </w:t>
      </w:r>
      <w:r w:rsidRPr="00E14C73">
        <w:t>koordinace programů ESI</w:t>
      </w:r>
      <w:r>
        <w:t xml:space="preserve"> fondů</w:t>
      </w:r>
      <w:r w:rsidRPr="00E14C73">
        <w:t xml:space="preserve"> v podmínkách ČR. </w:t>
      </w:r>
    </w:p>
    <w:p w:rsidR="009546FC" w:rsidRPr="00E14C73" w:rsidRDefault="009546FC" w:rsidP="009546FC">
      <w:r w:rsidRPr="00E14C73">
        <w:t xml:space="preserve">Snižování administrativní zátěže pro příjemce bude nastaveno v souladu s </w:t>
      </w:r>
      <w:r w:rsidRPr="00E14C73">
        <w:rPr>
          <w:color w:val="000000"/>
          <w:u w:color="000000"/>
        </w:rPr>
        <w:t xml:space="preserve">usnesením vlády </w:t>
      </w:r>
      <w:r w:rsidRPr="00E14C73">
        <w:t>o doporučeních ke zjednodušení administrativní zátěže pro žadatele a příjemce při čerpání finančních prostředků z fondů EU v programovém období</w:t>
      </w:r>
      <w:r w:rsidRPr="00E14C73">
        <w:rPr>
          <w:color w:val="000000"/>
          <w:u w:color="000000"/>
        </w:rPr>
        <w:t xml:space="preserve"> </w:t>
      </w:r>
      <w:r w:rsidRPr="00E14C73">
        <w:t xml:space="preserve">2014–2020. </w:t>
      </w:r>
    </w:p>
    <w:p w:rsidR="009546FC" w:rsidRPr="00956E06" w:rsidRDefault="009546FC" w:rsidP="009546FC">
      <w:proofErr w:type="spellStart"/>
      <w:r w:rsidRPr="00956E06">
        <w:t>DoP</w:t>
      </w:r>
      <w:proofErr w:type="spellEnd"/>
      <w:r w:rsidRPr="00956E06">
        <w:t xml:space="preserve"> byla v souladu s nařízením zaslána na EK v dubnu 2014. V roce 2014 se MMR zaměří na intenzivní přípravu implementačních struktur, dopracování </w:t>
      </w:r>
      <w:proofErr w:type="spellStart"/>
      <w:r w:rsidRPr="00956E06">
        <w:t>DoP</w:t>
      </w:r>
      <w:proofErr w:type="spellEnd"/>
      <w:r w:rsidRPr="00956E06">
        <w:t xml:space="preserve"> i programů spolufinancovaných z ESIF, na jejich předložení a schválení vládou ČR, následné předložení Evropské komisi a v rámci formálního dialogu na zajištění jejich schválení ze strany Evropské komise.</w:t>
      </w:r>
    </w:p>
    <w:p w:rsidR="00AC5600" w:rsidRDefault="00AC5600" w:rsidP="00AE51CF">
      <w:pPr>
        <w:spacing w:after="180"/>
      </w:pPr>
    </w:p>
    <w:p w:rsidR="00AC5600" w:rsidRDefault="00AC5600" w:rsidP="00AE51CF">
      <w:pPr>
        <w:spacing w:after="180"/>
      </w:pPr>
    </w:p>
    <w:p w:rsidR="00AC5600" w:rsidRDefault="00AC5600" w:rsidP="00AE51CF">
      <w:pPr>
        <w:spacing w:after="180"/>
      </w:pPr>
    </w:p>
    <w:p w:rsidR="00AC5600" w:rsidRDefault="00AC5600" w:rsidP="00AE51CF">
      <w:pPr>
        <w:spacing w:after="180"/>
      </w:pPr>
    </w:p>
    <w:p w:rsidR="0009671C" w:rsidRDefault="0009671C">
      <w:pPr>
        <w:spacing w:after="0"/>
        <w:ind w:firstLine="360"/>
        <w:jc w:val="left"/>
      </w:pPr>
      <w:r>
        <w:br w:type="page"/>
      </w:r>
    </w:p>
    <w:p w:rsidR="00AC5600" w:rsidRDefault="0009671C" w:rsidP="0009671C">
      <w:pPr>
        <w:pStyle w:val="Nadpis1"/>
      </w:pPr>
      <w:bookmarkStart w:id="73" w:name="_Toc385339541"/>
      <w:r>
        <w:lastRenderedPageBreak/>
        <w:t>Seznam příloh</w:t>
      </w:r>
      <w:bookmarkEnd w:id="73"/>
    </w:p>
    <w:p w:rsidR="0009671C" w:rsidRDefault="0009671C" w:rsidP="0009671C">
      <w:r>
        <w:t>Příloha č. 1: Přehled strategických a koncepčních dokumentů vlády</w:t>
      </w:r>
    </w:p>
    <w:p w:rsidR="0009671C" w:rsidRDefault="0009671C" w:rsidP="0009671C">
      <w:r>
        <w:t>Příloha č. 2: Přehled dopadů a harmonogram implementace doporučení Rady</w:t>
      </w:r>
    </w:p>
    <w:p w:rsidR="0009671C" w:rsidRDefault="0009671C" w:rsidP="0009671C">
      <w:r>
        <w:t>Příloha č. 3: Přehled dopadů a harmonogram implementace ostatních reformního opatření</w:t>
      </w:r>
    </w:p>
    <w:p w:rsidR="00D0158A" w:rsidRDefault="00D0158A" w:rsidP="0009671C"/>
    <w:p w:rsidR="00D0158A" w:rsidRDefault="00D0158A" w:rsidP="0009671C"/>
    <w:p w:rsidR="00D0158A" w:rsidRDefault="00D0158A">
      <w:pPr>
        <w:spacing w:after="0"/>
        <w:ind w:firstLine="360"/>
        <w:jc w:val="left"/>
      </w:pPr>
      <w:r>
        <w:br w:type="page"/>
      </w:r>
    </w:p>
    <w:p w:rsidR="009426D4" w:rsidRPr="0051086E" w:rsidRDefault="009426D4" w:rsidP="00593A96">
      <w:pPr>
        <w:pStyle w:val="Nadpis3"/>
      </w:pPr>
      <w:bookmarkStart w:id="74" w:name="_Toc353553686"/>
      <w:bookmarkStart w:id="75" w:name="_Toc385339542"/>
      <w:r w:rsidRPr="0051086E">
        <w:lastRenderedPageBreak/>
        <w:t xml:space="preserve">Příloha č. </w:t>
      </w:r>
      <w:r>
        <w:t>1</w:t>
      </w:r>
      <w:r w:rsidRPr="0051086E">
        <w:t>: Přehled strategických a koncepčních dokumentů vlád</w:t>
      </w:r>
      <w:bookmarkEnd w:id="74"/>
      <w:bookmarkEnd w:id="75"/>
    </w:p>
    <w:p w:rsidR="00252010" w:rsidRDefault="00252010" w:rsidP="00252010">
      <w:r>
        <w:t>Příloha uvádí přehled nejdůležitějších strategických a koncepčních dokumentů vlády souvisejících s NPR. Řada dokumentů je ve fázi přípravy či aktualizace. Výčet dokumentů není úplný a vyčerpávající a mnoho dalších dílčích příspěvků k plnění cílů NPR 2014 a také Strategie Evropa 2020 lze nalézt i v celé řadě dalších dokumentů. Přehled také neobsahuje průniky se Strategií mezinárodní konkurenceschopnosti, které jsou uvedeny ve zvláštní příloze.</w:t>
      </w:r>
    </w:p>
    <w:p w:rsidR="009426D4" w:rsidRDefault="00252010" w:rsidP="00252010">
      <w:r>
        <w:t>Aktuální informace o schválených dokumentech jsou k dispozici v systému Databáze strategií (</w:t>
      </w:r>
      <w:hyperlink r:id="rId25" w:history="1">
        <w:r>
          <w:rPr>
            <w:rStyle w:val="Hypertextovodkaz"/>
          </w:rPr>
          <w:t>http://databaze-strategie.cz/</w:t>
        </w:r>
      </w:hyperlink>
      <w:r>
        <w:t>), jež je celostátním informačním systémem strategických, koncepčních a dílčích programových dokumentů. Umožňuje přehledné zobrazení dokumentů, tematické a funkční propojování strategických cílů, opatření, odpovědností za plnění, indikátorů, a dalších zadaných parametrů od mezinárodní úrovně, přes dokumenty ministerstev a celostátních institucí, až na regionální a místní úroveň.</w:t>
      </w:r>
    </w:p>
    <w:p w:rsidR="00252010" w:rsidRPr="0051086E" w:rsidRDefault="00252010" w:rsidP="00252010"/>
    <w:tbl>
      <w:tblPr>
        <w:tblStyle w:val="Svtlmkazvraznn2"/>
        <w:tblW w:w="0" w:type="auto"/>
        <w:tblLayout w:type="fixed"/>
        <w:tblLook w:val="06A0" w:firstRow="1" w:lastRow="0" w:firstColumn="1" w:lastColumn="0" w:noHBand="1" w:noVBand="1"/>
      </w:tblPr>
      <w:tblGrid>
        <w:gridCol w:w="2660"/>
        <w:gridCol w:w="3969"/>
        <w:gridCol w:w="1701"/>
        <w:gridCol w:w="958"/>
      </w:tblGrid>
      <w:tr w:rsidR="00CF42BD" w:rsidRPr="0051086E" w:rsidTr="00E5265C">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660" w:type="dxa"/>
          </w:tcPr>
          <w:p w:rsidR="009426D4" w:rsidRPr="00E5265C" w:rsidRDefault="009426D4" w:rsidP="00CF42BD">
            <w:pPr>
              <w:spacing w:before="40" w:after="40"/>
              <w:contextualSpacing/>
              <w:rPr>
                <w:rFonts w:asciiTheme="minorHAnsi" w:hAnsiTheme="minorHAnsi"/>
                <w:sz w:val="20"/>
                <w:szCs w:val="18"/>
              </w:rPr>
            </w:pPr>
            <w:r w:rsidRPr="00E5265C">
              <w:rPr>
                <w:rFonts w:asciiTheme="minorHAnsi" w:hAnsiTheme="minorHAnsi"/>
                <w:sz w:val="20"/>
                <w:szCs w:val="18"/>
              </w:rPr>
              <w:t>Kapitola NPR</w:t>
            </w:r>
          </w:p>
        </w:tc>
        <w:tc>
          <w:tcPr>
            <w:tcW w:w="3969" w:type="dxa"/>
          </w:tcPr>
          <w:p w:rsidR="009426D4" w:rsidRPr="00E5265C" w:rsidRDefault="009426D4" w:rsidP="00CF42BD">
            <w:pPr>
              <w:spacing w:before="40" w:after="4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18"/>
              </w:rPr>
            </w:pPr>
            <w:r w:rsidRPr="00E5265C">
              <w:rPr>
                <w:rFonts w:asciiTheme="minorHAnsi" w:hAnsiTheme="minorHAnsi"/>
                <w:sz w:val="20"/>
                <w:szCs w:val="18"/>
              </w:rPr>
              <w:t>Název dokumentu</w:t>
            </w:r>
          </w:p>
        </w:tc>
        <w:tc>
          <w:tcPr>
            <w:tcW w:w="1701" w:type="dxa"/>
          </w:tcPr>
          <w:p w:rsidR="009426D4" w:rsidRPr="00E5265C" w:rsidRDefault="009426D4" w:rsidP="00CF42BD">
            <w:pPr>
              <w:spacing w:before="40" w:after="4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18"/>
              </w:rPr>
            </w:pPr>
            <w:r w:rsidRPr="00E5265C">
              <w:rPr>
                <w:rFonts w:asciiTheme="minorHAnsi" w:hAnsiTheme="minorHAnsi"/>
                <w:sz w:val="20"/>
                <w:szCs w:val="18"/>
              </w:rPr>
              <w:t>Stav dokumentu</w:t>
            </w:r>
          </w:p>
        </w:tc>
        <w:tc>
          <w:tcPr>
            <w:tcW w:w="958" w:type="dxa"/>
          </w:tcPr>
          <w:p w:rsidR="009426D4" w:rsidRPr="00E5265C" w:rsidRDefault="009426D4" w:rsidP="00CF42BD">
            <w:pPr>
              <w:spacing w:before="40" w:after="4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18"/>
              </w:rPr>
            </w:pPr>
            <w:r w:rsidRPr="00E5265C">
              <w:rPr>
                <w:rFonts w:asciiTheme="minorHAnsi" w:hAnsiTheme="minorHAnsi"/>
                <w:sz w:val="20"/>
                <w:szCs w:val="18"/>
              </w:rPr>
              <w:t>Gestor</w:t>
            </w:r>
          </w:p>
        </w:tc>
      </w:tr>
      <w:tr w:rsidR="00805F01"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805F01" w:rsidRPr="009426D4" w:rsidRDefault="00805F01" w:rsidP="00CF42BD">
            <w:pPr>
              <w:spacing w:before="40" w:after="40"/>
              <w:contextualSpacing/>
              <w:jc w:val="left"/>
              <w:rPr>
                <w:rFonts w:asciiTheme="minorHAnsi" w:hAnsiTheme="minorHAnsi"/>
                <w:sz w:val="18"/>
                <w:szCs w:val="18"/>
              </w:rPr>
            </w:pPr>
            <w:r>
              <w:rPr>
                <w:rFonts w:asciiTheme="minorHAnsi" w:hAnsiTheme="minorHAnsi"/>
                <w:sz w:val="18"/>
                <w:szCs w:val="18"/>
              </w:rPr>
              <w:t xml:space="preserve">3. </w:t>
            </w:r>
            <w:r w:rsidRPr="00326DE7">
              <w:rPr>
                <w:rFonts w:asciiTheme="minorHAnsi" w:hAnsiTheme="minorHAnsi"/>
                <w:sz w:val="18"/>
                <w:szCs w:val="18"/>
              </w:rPr>
              <w:t>Implementace doporučení Rady</w:t>
            </w:r>
          </w:p>
        </w:tc>
        <w:tc>
          <w:tcPr>
            <w:tcW w:w="3969"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Konvergenční program ČR 2014</w:t>
            </w:r>
          </w:p>
        </w:tc>
        <w:tc>
          <w:tcPr>
            <w:tcW w:w="1701"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V přípravě</w:t>
            </w:r>
          </w:p>
        </w:tc>
        <w:tc>
          <w:tcPr>
            <w:tcW w:w="958"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MF</w:t>
            </w:r>
          </w:p>
        </w:tc>
      </w:tr>
      <w:tr w:rsidR="00805F01"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805F01" w:rsidRPr="009426D4" w:rsidRDefault="00805F01" w:rsidP="00CF42BD">
            <w:pPr>
              <w:spacing w:before="40" w:after="40"/>
              <w:contextualSpacing/>
              <w:jc w:val="left"/>
              <w:rPr>
                <w:rFonts w:asciiTheme="minorHAnsi" w:hAnsiTheme="minorHAnsi"/>
                <w:sz w:val="18"/>
                <w:szCs w:val="18"/>
              </w:rPr>
            </w:pPr>
          </w:p>
        </w:tc>
        <w:tc>
          <w:tcPr>
            <w:tcW w:w="3969"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Makroekonomická predikce ČR – duben 2014</w:t>
            </w:r>
          </w:p>
        </w:tc>
        <w:tc>
          <w:tcPr>
            <w:tcW w:w="1701"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Publikována</w:t>
            </w:r>
          </w:p>
        </w:tc>
        <w:tc>
          <w:tcPr>
            <w:tcW w:w="958"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MF</w:t>
            </w:r>
          </w:p>
        </w:tc>
      </w:tr>
      <w:tr w:rsidR="00805F01"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805F01" w:rsidRPr="009426D4" w:rsidRDefault="00805F01" w:rsidP="00CF42BD">
            <w:pPr>
              <w:spacing w:before="40" w:after="40"/>
              <w:contextualSpacing/>
              <w:jc w:val="left"/>
              <w:rPr>
                <w:rFonts w:asciiTheme="minorHAnsi" w:hAnsiTheme="minorHAnsi"/>
                <w:sz w:val="18"/>
                <w:szCs w:val="18"/>
              </w:rPr>
            </w:pPr>
          </w:p>
        </w:tc>
        <w:tc>
          <w:tcPr>
            <w:tcW w:w="3969"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Střednědobý výhled státního rozpočtu České republiky na roky 2015 až 2016</w:t>
            </w:r>
          </w:p>
        </w:tc>
        <w:tc>
          <w:tcPr>
            <w:tcW w:w="1701"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Schváleno</w:t>
            </w:r>
          </w:p>
        </w:tc>
        <w:tc>
          <w:tcPr>
            <w:tcW w:w="958"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MF</w:t>
            </w:r>
          </w:p>
        </w:tc>
      </w:tr>
      <w:tr w:rsidR="00805F01"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805F01" w:rsidRPr="009426D4" w:rsidRDefault="00805F01" w:rsidP="00CF42BD">
            <w:pPr>
              <w:spacing w:before="40" w:after="40"/>
              <w:contextualSpacing/>
              <w:jc w:val="left"/>
              <w:rPr>
                <w:rFonts w:asciiTheme="minorHAnsi" w:hAnsiTheme="minorHAnsi"/>
                <w:sz w:val="18"/>
                <w:szCs w:val="18"/>
              </w:rPr>
            </w:pPr>
          </w:p>
        </w:tc>
        <w:tc>
          <w:tcPr>
            <w:tcW w:w="3969"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Střednědobé výdajové rámce na roky 2015 až 2017</w:t>
            </w:r>
          </w:p>
        </w:tc>
        <w:tc>
          <w:tcPr>
            <w:tcW w:w="1701"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 přípravě</w:t>
            </w:r>
          </w:p>
        </w:tc>
        <w:tc>
          <w:tcPr>
            <w:tcW w:w="958" w:type="dxa"/>
          </w:tcPr>
          <w:p w:rsidR="00805F01" w:rsidRPr="00326DE7"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26DE7">
              <w:rPr>
                <w:sz w:val="18"/>
                <w:szCs w:val="18"/>
              </w:rPr>
              <w:t>MF</w:t>
            </w:r>
          </w:p>
        </w:tc>
      </w:tr>
      <w:tr w:rsidR="00805F01"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805F01" w:rsidRPr="009426D4" w:rsidRDefault="00805F01" w:rsidP="00CF42BD">
            <w:pPr>
              <w:spacing w:before="40" w:after="40"/>
              <w:contextualSpacing/>
              <w:jc w:val="left"/>
              <w:rPr>
                <w:rFonts w:asciiTheme="minorHAnsi" w:hAnsiTheme="minorHAnsi"/>
                <w:sz w:val="18"/>
                <w:szCs w:val="18"/>
              </w:rPr>
            </w:pPr>
          </w:p>
        </w:tc>
        <w:tc>
          <w:tcPr>
            <w:tcW w:w="3969"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Strategie vlády v boji s korupcí na období let 2013 a 2014</w:t>
            </w:r>
          </w:p>
        </w:tc>
        <w:tc>
          <w:tcPr>
            <w:tcW w:w="1701"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805F01"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805F01" w:rsidRPr="009426D4" w:rsidRDefault="00805F01" w:rsidP="00CF42BD">
            <w:pPr>
              <w:spacing w:before="40" w:after="40"/>
              <w:contextualSpacing/>
              <w:jc w:val="left"/>
              <w:rPr>
                <w:sz w:val="18"/>
                <w:szCs w:val="18"/>
              </w:rPr>
            </w:pPr>
          </w:p>
        </w:tc>
        <w:tc>
          <w:tcPr>
            <w:tcW w:w="3969"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Strategie elektronizace zadávání veřejných zakázek 2011-2015</w:t>
            </w:r>
          </w:p>
        </w:tc>
        <w:tc>
          <w:tcPr>
            <w:tcW w:w="1701"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MMR</w:t>
            </w:r>
          </w:p>
        </w:tc>
      </w:tr>
      <w:tr w:rsidR="00805F01"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805F01" w:rsidRPr="009426D4" w:rsidRDefault="00805F01" w:rsidP="00CF42BD">
            <w:pPr>
              <w:spacing w:before="40" w:after="40"/>
              <w:contextualSpacing/>
              <w:jc w:val="left"/>
              <w:rPr>
                <w:rFonts w:asciiTheme="minorHAnsi" w:hAnsiTheme="minorHAnsi"/>
                <w:sz w:val="18"/>
                <w:szCs w:val="18"/>
              </w:rPr>
            </w:pPr>
          </w:p>
        </w:tc>
        <w:tc>
          <w:tcPr>
            <w:tcW w:w="3969"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Statní energetická koncepce  </w:t>
            </w:r>
            <w:r>
              <w:rPr>
                <w:sz w:val="18"/>
                <w:szCs w:val="18"/>
              </w:rPr>
              <w:t xml:space="preserve">ČR </w:t>
            </w:r>
            <w:r w:rsidRPr="009426D4">
              <w:rPr>
                <w:sz w:val="18"/>
                <w:szCs w:val="18"/>
              </w:rPr>
              <w:t>2010-2030</w:t>
            </w:r>
          </w:p>
        </w:tc>
        <w:tc>
          <w:tcPr>
            <w:tcW w:w="1701"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V přípravě</w:t>
            </w:r>
          </w:p>
        </w:tc>
        <w:tc>
          <w:tcPr>
            <w:tcW w:w="958"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MPO</w:t>
            </w:r>
          </w:p>
        </w:tc>
      </w:tr>
      <w:tr w:rsidR="00805F01"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805F01" w:rsidRPr="009426D4" w:rsidRDefault="00805F01" w:rsidP="00CF42BD">
            <w:pPr>
              <w:spacing w:before="40" w:after="40"/>
              <w:contextualSpacing/>
              <w:jc w:val="left"/>
              <w:rPr>
                <w:sz w:val="18"/>
                <w:szCs w:val="18"/>
              </w:rPr>
            </w:pPr>
          </w:p>
        </w:tc>
        <w:tc>
          <w:tcPr>
            <w:tcW w:w="3969"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Akční plán energetické účinnosti ČR</w:t>
            </w:r>
          </w:p>
        </w:tc>
        <w:tc>
          <w:tcPr>
            <w:tcW w:w="1701"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805F01" w:rsidRPr="009426D4" w:rsidRDefault="00805F01"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MPO</w:t>
            </w:r>
          </w:p>
        </w:tc>
      </w:tr>
      <w:tr w:rsidR="004569BA"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4569BA" w:rsidRPr="009426D4" w:rsidRDefault="004569BA" w:rsidP="00CF42BD">
            <w:pPr>
              <w:spacing w:before="40" w:after="40"/>
              <w:contextualSpacing/>
              <w:jc w:val="left"/>
              <w:rPr>
                <w:rFonts w:asciiTheme="minorHAnsi" w:hAnsiTheme="minorHAnsi"/>
                <w:sz w:val="18"/>
                <w:szCs w:val="18"/>
              </w:rPr>
            </w:pPr>
            <w:r w:rsidRPr="009426D4">
              <w:rPr>
                <w:rFonts w:asciiTheme="minorHAnsi" w:hAnsiTheme="minorHAnsi"/>
                <w:sz w:val="18"/>
                <w:szCs w:val="18"/>
              </w:rPr>
              <w:t>4.1. Udržitelné veřejné finance a efektivní instituce</w:t>
            </w:r>
          </w:p>
        </w:tc>
        <w:tc>
          <w:tcPr>
            <w:tcW w:w="3969"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Strategický rámec rozvoje </w:t>
            </w:r>
            <w:proofErr w:type="spellStart"/>
            <w:r w:rsidRPr="009426D4">
              <w:rPr>
                <w:sz w:val="18"/>
                <w:szCs w:val="18"/>
              </w:rPr>
              <w:t>eGovernmentu</w:t>
            </w:r>
            <w:proofErr w:type="spellEnd"/>
            <w:r w:rsidRPr="009426D4">
              <w:rPr>
                <w:sz w:val="18"/>
                <w:szCs w:val="18"/>
              </w:rPr>
              <w:t xml:space="preserve"> 2014+</w:t>
            </w:r>
          </w:p>
        </w:tc>
        <w:tc>
          <w:tcPr>
            <w:tcW w:w="1701"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V přípravě</w:t>
            </w:r>
          </w:p>
        </w:tc>
        <w:tc>
          <w:tcPr>
            <w:tcW w:w="958"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MV</w:t>
            </w:r>
          </w:p>
        </w:tc>
      </w:tr>
      <w:tr w:rsidR="00FF7860"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FF7860" w:rsidRPr="009426D4" w:rsidRDefault="00FF7860" w:rsidP="00CF42BD">
            <w:pPr>
              <w:spacing w:before="40" w:after="40"/>
              <w:contextualSpacing/>
              <w:jc w:val="left"/>
              <w:rPr>
                <w:sz w:val="18"/>
                <w:szCs w:val="18"/>
              </w:rPr>
            </w:pPr>
          </w:p>
        </w:tc>
        <w:tc>
          <w:tcPr>
            <w:tcW w:w="3969" w:type="dxa"/>
          </w:tcPr>
          <w:p w:rsidR="00FF7860" w:rsidRPr="009426D4" w:rsidRDefault="00FF7860"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6B0ABE">
              <w:rPr>
                <w:sz w:val="18"/>
                <w:szCs w:val="18"/>
              </w:rPr>
              <w:t xml:space="preserve">Strategický rámec rozvoje veřejné správy </w:t>
            </w:r>
            <w:r>
              <w:rPr>
                <w:sz w:val="18"/>
                <w:szCs w:val="18"/>
              </w:rPr>
              <w:t xml:space="preserve">ČR </w:t>
            </w:r>
            <w:r w:rsidRPr="006B0ABE">
              <w:rPr>
                <w:sz w:val="18"/>
                <w:szCs w:val="18"/>
              </w:rPr>
              <w:t>2014+</w:t>
            </w:r>
          </w:p>
        </w:tc>
        <w:tc>
          <w:tcPr>
            <w:tcW w:w="1701" w:type="dxa"/>
          </w:tcPr>
          <w:p w:rsidR="00FF7860" w:rsidRPr="009426D4" w:rsidRDefault="00FF7860"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V přípravě</w:t>
            </w:r>
          </w:p>
        </w:tc>
        <w:tc>
          <w:tcPr>
            <w:tcW w:w="958" w:type="dxa"/>
          </w:tcPr>
          <w:p w:rsidR="00FF7860" w:rsidRPr="009426D4" w:rsidRDefault="00FF7860"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MV</w:t>
            </w:r>
          </w:p>
        </w:tc>
      </w:tr>
      <w:tr w:rsidR="00CF42BD"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9426D4" w:rsidRDefault="004569BA" w:rsidP="00CF42BD">
            <w:pPr>
              <w:spacing w:before="40" w:after="40"/>
              <w:contextualSpacing/>
              <w:jc w:val="left"/>
              <w:rPr>
                <w:rFonts w:asciiTheme="minorHAnsi" w:hAnsiTheme="minorHAnsi"/>
                <w:sz w:val="18"/>
                <w:szCs w:val="18"/>
              </w:rPr>
            </w:pPr>
          </w:p>
        </w:tc>
        <w:tc>
          <w:tcPr>
            <w:tcW w:w="3969"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Efektivní veřejná správa a přátelské veřejné služby (Strategie realizace Smart </w:t>
            </w:r>
            <w:proofErr w:type="spellStart"/>
            <w:r w:rsidRPr="009426D4">
              <w:rPr>
                <w:sz w:val="18"/>
                <w:szCs w:val="18"/>
              </w:rPr>
              <w:t>Administration</w:t>
            </w:r>
            <w:proofErr w:type="spellEnd"/>
            <w:r w:rsidRPr="009426D4">
              <w:rPr>
                <w:sz w:val="18"/>
                <w:szCs w:val="18"/>
              </w:rPr>
              <w:t xml:space="preserve"> v období 2007 - 2015)</w:t>
            </w:r>
          </w:p>
        </w:tc>
        <w:tc>
          <w:tcPr>
            <w:tcW w:w="1701"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MV</w:t>
            </w:r>
          </w:p>
        </w:tc>
      </w:tr>
      <w:tr w:rsidR="004569BA"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9426D4" w:rsidRDefault="004569BA" w:rsidP="00CF42BD">
            <w:pPr>
              <w:spacing w:before="40" w:after="40"/>
              <w:contextualSpacing/>
              <w:jc w:val="left"/>
              <w:rPr>
                <w:rFonts w:asciiTheme="minorHAnsi" w:hAnsiTheme="minorHAnsi"/>
                <w:sz w:val="18"/>
                <w:szCs w:val="18"/>
              </w:rPr>
            </w:pPr>
          </w:p>
        </w:tc>
        <w:tc>
          <w:tcPr>
            <w:tcW w:w="3969"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Strategie vlády v boji s korupcí na období let 2013 a 2014 </w:t>
            </w:r>
          </w:p>
        </w:tc>
        <w:tc>
          <w:tcPr>
            <w:tcW w:w="1701"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CF42BD"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9426D4" w:rsidRDefault="004569BA" w:rsidP="00CF42BD">
            <w:pPr>
              <w:spacing w:before="40" w:after="40"/>
              <w:contextualSpacing/>
              <w:jc w:val="left"/>
              <w:rPr>
                <w:rFonts w:asciiTheme="minorHAnsi" w:hAnsiTheme="minorHAnsi"/>
                <w:sz w:val="18"/>
                <w:szCs w:val="18"/>
              </w:rPr>
            </w:pPr>
          </w:p>
        </w:tc>
        <w:tc>
          <w:tcPr>
            <w:tcW w:w="3969"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Akční plán ČR "Partnerství pro otevřené vládnutí" (2011)</w:t>
            </w:r>
          </w:p>
        </w:tc>
        <w:tc>
          <w:tcPr>
            <w:tcW w:w="1701"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4569BA"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4569BA" w:rsidRPr="009426D4" w:rsidRDefault="004569BA" w:rsidP="00CF42BD">
            <w:pPr>
              <w:spacing w:before="40" w:after="40"/>
              <w:contextualSpacing/>
              <w:jc w:val="left"/>
              <w:rPr>
                <w:rFonts w:asciiTheme="minorHAnsi" w:hAnsiTheme="minorHAnsi"/>
                <w:sz w:val="18"/>
                <w:szCs w:val="18"/>
              </w:rPr>
            </w:pPr>
          </w:p>
        </w:tc>
        <w:tc>
          <w:tcPr>
            <w:tcW w:w="3969"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Aktualizace Akčního plán ČR "Partnerství pro otevřené vládnutí" na období let 2014 a 2015</w:t>
            </w:r>
          </w:p>
        </w:tc>
        <w:tc>
          <w:tcPr>
            <w:tcW w:w="1701"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V přípravě</w:t>
            </w:r>
          </w:p>
        </w:tc>
        <w:tc>
          <w:tcPr>
            <w:tcW w:w="958" w:type="dxa"/>
          </w:tcPr>
          <w:p w:rsidR="004569BA" w:rsidRPr="009426D4" w:rsidRDefault="004569BA"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28008F"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28008F" w:rsidRPr="009426D4" w:rsidRDefault="0028008F" w:rsidP="00CF42BD">
            <w:pPr>
              <w:spacing w:before="40" w:after="40"/>
              <w:contextualSpacing/>
              <w:jc w:val="left"/>
              <w:rPr>
                <w:rFonts w:asciiTheme="minorHAnsi" w:hAnsiTheme="minorHAnsi"/>
                <w:sz w:val="18"/>
                <w:szCs w:val="18"/>
              </w:rPr>
            </w:pPr>
            <w:r w:rsidRPr="009426D4">
              <w:rPr>
                <w:rFonts w:asciiTheme="minorHAnsi" w:hAnsiTheme="minorHAnsi"/>
                <w:sz w:val="18"/>
                <w:szCs w:val="18"/>
              </w:rPr>
              <w:t>4.2. Atraktivní podnikatelské prostředí a rozvoj infrastruktury pro</w:t>
            </w:r>
          </w:p>
        </w:tc>
        <w:tc>
          <w:tcPr>
            <w:tcW w:w="3969" w:type="dxa"/>
          </w:tcPr>
          <w:p w:rsidR="0028008F" w:rsidRPr="009426D4" w:rsidRDefault="0028008F"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Exportní strategie České republiky pro období 2012 až 2020</w:t>
            </w:r>
          </w:p>
        </w:tc>
        <w:tc>
          <w:tcPr>
            <w:tcW w:w="1701" w:type="dxa"/>
          </w:tcPr>
          <w:p w:rsidR="0028008F" w:rsidRPr="009426D4" w:rsidRDefault="0028008F"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28008F" w:rsidRPr="009426D4" w:rsidRDefault="0028008F"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MPO</w:t>
            </w:r>
          </w:p>
        </w:tc>
      </w:tr>
      <w:tr w:rsidR="0028008F"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28008F" w:rsidRPr="009426D4" w:rsidRDefault="0028008F" w:rsidP="00CF42BD">
            <w:pPr>
              <w:spacing w:before="40" w:after="40"/>
              <w:contextualSpacing/>
              <w:jc w:val="left"/>
              <w:rPr>
                <w:rFonts w:asciiTheme="minorHAnsi" w:hAnsiTheme="minorHAnsi"/>
                <w:sz w:val="18"/>
                <w:szCs w:val="18"/>
              </w:rPr>
            </w:pPr>
          </w:p>
        </w:tc>
        <w:tc>
          <w:tcPr>
            <w:tcW w:w="3969" w:type="dxa"/>
          </w:tcPr>
          <w:p w:rsidR="0028008F" w:rsidRPr="009426D4" w:rsidRDefault="0028008F"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Koncepce podpory malých a středních podnikatelů na období 2014 – 2020 </w:t>
            </w:r>
          </w:p>
        </w:tc>
        <w:tc>
          <w:tcPr>
            <w:tcW w:w="1701" w:type="dxa"/>
          </w:tcPr>
          <w:p w:rsidR="0028008F" w:rsidRPr="009426D4" w:rsidRDefault="0028008F"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28008F" w:rsidRPr="009426D4" w:rsidRDefault="0028008F"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MPO</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Default="007656C9" w:rsidP="0082559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3E6A78">
              <w:rPr>
                <w:sz w:val="18"/>
                <w:szCs w:val="18"/>
              </w:rPr>
              <w:t>Národní akční plán společenské odpovědnosti organizací v České republice</w:t>
            </w:r>
          </w:p>
        </w:tc>
        <w:tc>
          <w:tcPr>
            <w:tcW w:w="1701" w:type="dxa"/>
          </w:tcPr>
          <w:p w:rsidR="007656C9" w:rsidRPr="0023491C" w:rsidRDefault="007656C9" w:rsidP="0082559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Schváleno</w:t>
            </w:r>
          </w:p>
        </w:tc>
        <w:tc>
          <w:tcPr>
            <w:tcW w:w="958" w:type="dxa"/>
          </w:tcPr>
          <w:p w:rsidR="007656C9" w:rsidRDefault="007656C9" w:rsidP="0082559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MPO</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Koncepce zahraniční politiky ČR (2011)</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MZV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Bezpečnostní strategie ČR 2011</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MZV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inovační strategie 2012-2020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Národní politika výzkumu, vývoje a inovací na léta 2009 - 2015 s výhledem do roku 2020 </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Státní politika životního prostředí ČR 2012-2020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Plán odpadového hospodářství ČR 2014-2020 </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V přípravě</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Koncepce řešení problematiky ochrany před povodněmi v České republice s využitím technických a přírodě blízkých opatření (2010)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9426D4">
              <w:rPr>
                <w:sz w:val="18"/>
                <w:szCs w:val="18"/>
              </w:rPr>
              <w:t>MZe</w:t>
            </w:r>
            <w:proofErr w:type="spellEnd"/>
            <w:r w:rsidRPr="009426D4">
              <w:rPr>
                <w:sz w:val="18"/>
                <w:szCs w:val="18"/>
              </w:rPr>
              <w:t>,</w:t>
            </w:r>
            <w:r>
              <w:rPr>
                <w:sz w:val="18"/>
                <w:szCs w:val="18"/>
              </w:rPr>
              <w:t xml:space="preserve"> </w:t>
            </w:r>
            <w:r w:rsidRPr="009426D4">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Koncepce bydlení ČR do roku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MMR</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program snižování emisí ČR (2007)</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Strategický rámec udržitelného rozvoje ČR 2010-2030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Statní energetická koncepce ČR </w:t>
            </w:r>
            <w:r w:rsidRPr="009426D4">
              <w:rPr>
                <w:sz w:val="18"/>
                <w:szCs w:val="18"/>
              </w:rPr>
              <w:t>2010-2030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V přípravě</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MPO</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4C5D15" w:rsidRDefault="007656C9" w:rsidP="00252010">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Strategie regionálního rozvoje ČR 20</w:t>
            </w:r>
            <w:r>
              <w:rPr>
                <w:sz w:val="18"/>
                <w:szCs w:val="18"/>
              </w:rPr>
              <w:t>14-2020</w:t>
            </w:r>
          </w:p>
        </w:tc>
        <w:tc>
          <w:tcPr>
            <w:tcW w:w="1701" w:type="dxa"/>
          </w:tcPr>
          <w:p w:rsidR="007656C9" w:rsidRPr="004C5D15" w:rsidRDefault="007656C9"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Schváleno</w:t>
            </w:r>
          </w:p>
        </w:tc>
        <w:tc>
          <w:tcPr>
            <w:tcW w:w="958" w:type="dxa"/>
          </w:tcPr>
          <w:p w:rsidR="007656C9" w:rsidRPr="004C5D15" w:rsidRDefault="007656C9"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MMR</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4C5D15" w:rsidRDefault="007656C9"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Potenciál snižování emisí v ČR do roku 2020</w:t>
            </w:r>
          </w:p>
        </w:tc>
        <w:tc>
          <w:tcPr>
            <w:tcW w:w="1701" w:type="dxa"/>
          </w:tcPr>
          <w:p w:rsidR="007656C9" w:rsidRPr="004C5D15" w:rsidRDefault="007656C9"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Schváleno</w:t>
            </w:r>
          </w:p>
        </w:tc>
        <w:tc>
          <w:tcPr>
            <w:tcW w:w="958" w:type="dxa"/>
          </w:tcPr>
          <w:p w:rsidR="007656C9" w:rsidRPr="004C5D15" w:rsidRDefault="007656C9"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4C5D15" w:rsidRDefault="007656C9"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Program předcházení vzniku odpadů ČR</w:t>
            </w:r>
          </w:p>
        </w:tc>
        <w:tc>
          <w:tcPr>
            <w:tcW w:w="1701" w:type="dxa"/>
          </w:tcPr>
          <w:p w:rsidR="007656C9" w:rsidRPr="004C5D15" w:rsidRDefault="007656C9"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V přípravě</w:t>
            </w:r>
          </w:p>
        </w:tc>
        <w:tc>
          <w:tcPr>
            <w:tcW w:w="958" w:type="dxa"/>
          </w:tcPr>
          <w:p w:rsidR="007656C9" w:rsidRPr="004C5D15" w:rsidRDefault="007656C9" w:rsidP="004C5D15">
            <w:pPr>
              <w:spacing w:after="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rFonts w:cs="Times New Roman"/>
                <w:sz w:val="18"/>
                <w:szCs w:val="18"/>
              </w:rPr>
              <w:t>Plán hlavních povodí ČR; Plány oblastí povodí - Plány povodí</w:t>
            </w:r>
          </w:p>
        </w:tc>
        <w:tc>
          <w:tcPr>
            <w:tcW w:w="1701"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 xml:space="preserve">Schváleno </w:t>
            </w:r>
          </w:p>
        </w:tc>
        <w:tc>
          <w:tcPr>
            <w:tcW w:w="958"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C5D15">
              <w:rPr>
                <w:rFonts w:cs="Times New Roman"/>
                <w:sz w:val="18"/>
                <w:szCs w:val="18"/>
              </w:rPr>
              <w:t>Program ke zlepšení kvality ovzduší</w:t>
            </w:r>
          </w:p>
        </w:tc>
        <w:tc>
          <w:tcPr>
            <w:tcW w:w="1701"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 xml:space="preserve">V přípravě </w:t>
            </w:r>
          </w:p>
        </w:tc>
        <w:tc>
          <w:tcPr>
            <w:tcW w:w="958"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C5D15">
              <w:rPr>
                <w:rFonts w:cs="Times New Roman"/>
                <w:sz w:val="18"/>
                <w:szCs w:val="18"/>
              </w:rPr>
              <w:t>Střednědobá strategie (do roku 2020) zlepšení kvality ovzduší v ČR</w:t>
            </w:r>
          </w:p>
        </w:tc>
        <w:tc>
          <w:tcPr>
            <w:tcW w:w="1701"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rFonts w:cs="Times New Roman"/>
                <w:color w:val="000000"/>
                <w:sz w:val="18"/>
                <w:szCs w:val="18"/>
              </w:rPr>
              <w:t xml:space="preserve">V přípravě </w:t>
            </w:r>
          </w:p>
        </w:tc>
        <w:tc>
          <w:tcPr>
            <w:tcW w:w="958"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C5D15">
              <w:rPr>
                <w:rFonts w:cs="Times New Roman"/>
                <w:sz w:val="18"/>
                <w:szCs w:val="18"/>
              </w:rPr>
              <w:t>Strategie přizpůsobení se změně klimatu v podmínkách ČR</w:t>
            </w:r>
          </w:p>
        </w:tc>
        <w:tc>
          <w:tcPr>
            <w:tcW w:w="1701"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rPr>
            </w:pPr>
            <w:r w:rsidRPr="004C5D15">
              <w:rPr>
                <w:rFonts w:cs="Times New Roman"/>
                <w:color w:val="000000"/>
                <w:sz w:val="18"/>
                <w:szCs w:val="18"/>
              </w:rPr>
              <w:t xml:space="preserve">V přípravě </w:t>
            </w:r>
          </w:p>
        </w:tc>
        <w:tc>
          <w:tcPr>
            <w:tcW w:w="958"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252010" w:rsidRDefault="007656C9" w:rsidP="004C5D15">
            <w:pPr>
              <w:spacing w:after="0"/>
              <w:jc w:val="left"/>
              <w:cnfStyle w:val="000000000000" w:firstRow="0" w:lastRow="0" w:firstColumn="0" w:lastColumn="0" w:oddVBand="0" w:evenVBand="0" w:oddHBand="0" w:evenHBand="0" w:firstRowFirstColumn="0" w:firstRowLastColumn="0" w:lastRowFirstColumn="0" w:lastRowLastColumn="0"/>
            </w:pPr>
            <w:r w:rsidRPr="004C5D15">
              <w:rPr>
                <w:rFonts w:cs="Times New Roman"/>
                <w:sz w:val="18"/>
                <w:szCs w:val="18"/>
              </w:rPr>
              <w:t>Politika ochrany klimatu ČR</w:t>
            </w:r>
            <w:r>
              <w:rPr>
                <w:rFonts w:cs="Times New Roman"/>
                <w:sz w:val="18"/>
                <w:szCs w:val="18"/>
              </w:rPr>
              <w:t xml:space="preserve"> 2009-2020</w:t>
            </w:r>
          </w:p>
        </w:tc>
        <w:tc>
          <w:tcPr>
            <w:tcW w:w="1701"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rPr>
            </w:pPr>
            <w:r>
              <w:rPr>
                <w:rFonts w:cs="Times New Roman"/>
                <w:color w:val="000000"/>
                <w:sz w:val="18"/>
                <w:szCs w:val="18"/>
              </w:rPr>
              <w:t>Schváleno</w:t>
            </w:r>
          </w:p>
        </w:tc>
        <w:tc>
          <w:tcPr>
            <w:tcW w:w="958"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C5D15">
              <w:rPr>
                <w:rFonts w:cs="Times New Roman"/>
                <w:sz w:val="18"/>
                <w:szCs w:val="18"/>
              </w:rPr>
              <w:t>Program předcházení vzniku odpadů v ČR</w:t>
            </w:r>
          </w:p>
        </w:tc>
        <w:tc>
          <w:tcPr>
            <w:tcW w:w="1701"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rPr>
            </w:pPr>
            <w:r w:rsidRPr="004C5D15">
              <w:rPr>
                <w:rFonts w:cs="Times New Roman"/>
                <w:color w:val="000000"/>
                <w:sz w:val="18"/>
                <w:szCs w:val="18"/>
              </w:rPr>
              <w:t xml:space="preserve">V přípravě </w:t>
            </w:r>
          </w:p>
        </w:tc>
        <w:tc>
          <w:tcPr>
            <w:tcW w:w="958"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sz w:val="18"/>
                <w:szCs w:val="18"/>
              </w:rPr>
            </w:pPr>
            <w:r w:rsidRPr="004C5D15">
              <w:rPr>
                <w:rFonts w:cs="Times New Roman"/>
                <w:sz w:val="18"/>
                <w:szCs w:val="18"/>
              </w:rPr>
              <w:t>Strategie ochrany biologické rozmanitosti</w:t>
            </w:r>
          </w:p>
        </w:tc>
        <w:tc>
          <w:tcPr>
            <w:tcW w:w="1701"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rFonts w:cs="Times New Roman"/>
                <w:color w:val="000000"/>
                <w:sz w:val="18"/>
                <w:szCs w:val="18"/>
              </w:rPr>
            </w:pPr>
            <w:r w:rsidRPr="004C5D15">
              <w:rPr>
                <w:rFonts w:cs="Times New Roman"/>
                <w:color w:val="000000"/>
                <w:sz w:val="18"/>
                <w:szCs w:val="18"/>
              </w:rPr>
              <w:t xml:space="preserve">V přípravě </w:t>
            </w:r>
          </w:p>
        </w:tc>
        <w:tc>
          <w:tcPr>
            <w:tcW w:w="958" w:type="dxa"/>
          </w:tcPr>
          <w:p w:rsidR="007656C9" w:rsidRPr="004C5D15" w:rsidRDefault="007656C9" w:rsidP="004C5D15">
            <w:pPr>
              <w:spacing w:after="0"/>
              <w:jc w:val="left"/>
              <w:cnfStyle w:val="000000000000" w:firstRow="0" w:lastRow="0" w:firstColumn="0" w:lastColumn="0" w:oddVBand="0" w:evenVBand="0" w:oddHBand="0" w:evenHBand="0" w:firstRowFirstColumn="0" w:firstRowLastColumn="0" w:lastRowFirstColumn="0" w:lastRowLastColumn="0"/>
              <w:rPr>
                <w:sz w:val="18"/>
                <w:szCs w:val="18"/>
              </w:rPr>
            </w:pPr>
            <w:r w:rsidRPr="004C5D15">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akční plán ČR pro energii z obnovitelných zdrojů (2012-2020)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MPO</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Surovinová politika České republiky </w:t>
            </w:r>
          </w:p>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(I. Politika nerostných surovin a II. Politika druhotných surovin)</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V přípravě</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MPO</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Aktualizovaný program podpory environmentá</w:t>
            </w:r>
            <w:r w:rsidRPr="009426D4">
              <w:rPr>
                <w:sz w:val="18"/>
                <w:szCs w:val="18"/>
              </w:rPr>
              <w:t>l</w:t>
            </w:r>
            <w:r w:rsidRPr="009426D4">
              <w:rPr>
                <w:sz w:val="18"/>
                <w:szCs w:val="18"/>
              </w:rPr>
              <w:t>ních technologií v ČR (2009)</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 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Akční plán pro biomasu pro ČR na období 2012–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9426D4">
              <w:rPr>
                <w:sz w:val="18"/>
                <w:szCs w:val="18"/>
              </w:rPr>
              <w:t>MZe</w:t>
            </w:r>
            <w:proofErr w:type="spellEnd"/>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Strategie digitalizace kulturního obsahu na léta 2013-2020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MK</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Státní politika v elektronických komunikacích - Digitální Česko v. 2.0(Cesta k digitální ekonomice) 2013-2020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MPO</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Aktualizace Státní kulturní politiky na léta 2013 a 2014 s výhledem na léta 2015 až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MK</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Dopravní politika ČR 2005 – 2013</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MD</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Dopravní politika ČR pro období 2014-2020 s výhledem do roku 2050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MD</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Dopravní sektorové strategie</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MD</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Koncepce státní politiky cestovního ruchu v České republice na období 2014 –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MMR</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23491C">
              <w:rPr>
                <w:sz w:val="18"/>
                <w:szCs w:val="18"/>
              </w:rPr>
              <w:t>Strategie bezpečnosti potravin a výživy 2014 –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23491C">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proofErr w:type="spellStart"/>
            <w:r>
              <w:rPr>
                <w:sz w:val="18"/>
                <w:szCs w:val="18"/>
              </w:rPr>
              <w:t>MZe</w:t>
            </w:r>
            <w:proofErr w:type="spellEnd"/>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23491C" w:rsidRDefault="007656C9" w:rsidP="0023491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Víceletý národní strategický plán pro akvakulturu</w:t>
            </w:r>
          </w:p>
        </w:tc>
        <w:tc>
          <w:tcPr>
            <w:tcW w:w="1701" w:type="dxa"/>
          </w:tcPr>
          <w:p w:rsidR="007656C9" w:rsidRPr="009426D4"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23491C">
              <w:rPr>
                <w:sz w:val="18"/>
                <w:szCs w:val="18"/>
              </w:rPr>
              <w:t>Schváleno</w:t>
            </w:r>
          </w:p>
        </w:tc>
        <w:tc>
          <w:tcPr>
            <w:tcW w:w="958" w:type="dxa"/>
          </w:tcPr>
          <w:p w:rsidR="007656C9"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proofErr w:type="spellStart"/>
            <w:r>
              <w:rPr>
                <w:sz w:val="18"/>
                <w:szCs w:val="18"/>
              </w:rPr>
              <w:t>MZe</w:t>
            </w:r>
            <w:proofErr w:type="spellEnd"/>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7656C9" w:rsidRPr="009426D4" w:rsidRDefault="007656C9" w:rsidP="00CF42BD">
            <w:pPr>
              <w:spacing w:before="40" w:after="40"/>
              <w:contextualSpacing/>
              <w:jc w:val="left"/>
              <w:rPr>
                <w:sz w:val="18"/>
                <w:szCs w:val="18"/>
              </w:rPr>
            </w:pPr>
            <w:r w:rsidRPr="009426D4">
              <w:rPr>
                <w:rFonts w:asciiTheme="minorHAnsi" w:hAnsiTheme="minorHAnsi"/>
                <w:sz w:val="18"/>
                <w:szCs w:val="18"/>
              </w:rPr>
              <w:t>4.3. Fungující trh práce, vzdělávací systém a sociální začleňování</w:t>
            </w:r>
          </w:p>
        </w:tc>
        <w:tc>
          <w:tcPr>
            <w:tcW w:w="3969" w:type="dxa"/>
          </w:tcPr>
          <w:p w:rsidR="007656C9" w:rsidRDefault="007656C9" w:rsidP="0023491C">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Strategie politiky zaměstnanosti do roku 2020</w:t>
            </w:r>
          </w:p>
        </w:tc>
        <w:tc>
          <w:tcPr>
            <w:tcW w:w="1701" w:type="dxa"/>
          </w:tcPr>
          <w:p w:rsidR="007656C9" w:rsidRPr="0023491C"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 přípravě</w:t>
            </w:r>
          </w:p>
        </w:tc>
        <w:tc>
          <w:tcPr>
            <w:tcW w:w="958" w:type="dxa"/>
          </w:tcPr>
          <w:p w:rsidR="007656C9"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MPSV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akční plán podporující pozitivní stárnutí pro období let 2013 až 2017</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MPSV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Strategie boje proti sociálnímu vyloučení na období let 2011 až 2015</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s</w:t>
            </w:r>
            <w:r>
              <w:rPr>
                <w:sz w:val="18"/>
                <w:szCs w:val="18"/>
              </w:rPr>
              <w:t>trategie finančního vzdělávání 2010-2015</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MF</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Strategie sociálního začleňování 2014 – 2020 </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MPSV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plán vyrovnání příležitostí pro osoby se zdravotním postižením 2010 – 2014</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Koncepce bydlení ČR do roku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MMR</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Strategie vzdělávací politiky ČR do roku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V přípravě</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MŠMT</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Dlouhodobý záměr vzdělávání a rozvoje vzdělávací soustavy ČR na období 2011 - 2015</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MŠMT</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Akční plán podpory odborného vzdělávání</w:t>
            </w:r>
            <w:r>
              <w:rPr>
                <w:sz w:val="18"/>
                <w:szCs w:val="18"/>
              </w:rPr>
              <w:t xml:space="preserve"> (2008-2015)</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MŠMT</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Strategie celoživotního učení (2007-2015)</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MŠMT</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Koncepce integrace cizinců</w:t>
            </w:r>
            <w:r>
              <w:rPr>
                <w:sz w:val="18"/>
                <w:szCs w:val="18"/>
              </w:rPr>
              <w:t xml:space="preserve"> </w:t>
            </w:r>
            <w:r w:rsidRPr="009426D4">
              <w:rPr>
                <w:sz w:val="18"/>
                <w:szCs w:val="18"/>
              </w:rPr>
              <w:t>(2011)</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Strategický rámec udržitelného rozvoje ČR 2010-2030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MŽP</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CF42BD" w:rsidRDefault="007656C9"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rPr>
            </w:pPr>
            <w:r w:rsidRPr="00CF42BD">
              <w:rPr>
                <w:sz w:val="18"/>
                <w:szCs w:val="18"/>
              </w:rPr>
              <w:t>Strategie reformy psychiatrické péče</w:t>
            </w:r>
          </w:p>
        </w:tc>
        <w:tc>
          <w:tcPr>
            <w:tcW w:w="1701" w:type="dxa"/>
          </w:tcPr>
          <w:p w:rsidR="007656C9" w:rsidRPr="00CF42BD" w:rsidRDefault="007656C9"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rPr>
            </w:pPr>
            <w:r w:rsidRPr="00CF42BD">
              <w:rPr>
                <w:sz w:val="18"/>
                <w:szCs w:val="18"/>
              </w:rPr>
              <w:t>Schváleno</w:t>
            </w:r>
          </w:p>
        </w:tc>
        <w:tc>
          <w:tcPr>
            <w:tcW w:w="958" w:type="dxa"/>
          </w:tcPr>
          <w:p w:rsidR="007656C9" w:rsidRPr="00CF42BD" w:rsidRDefault="007656C9"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CF42BD">
              <w:rPr>
                <w:sz w:val="18"/>
                <w:szCs w:val="18"/>
              </w:rPr>
              <w:t>MZd</w:t>
            </w:r>
            <w:proofErr w:type="spellEnd"/>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Pr="00CF42BD" w:rsidRDefault="007656C9"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rPr>
            </w:pPr>
            <w:r w:rsidRPr="00CF42BD">
              <w:rPr>
                <w:sz w:val="18"/>
                <w:szCs w:val="18"/>
              </w:rPr>
              <w:t xml:space="preserve">Zdraví 2020 – národní strategie ochrany a podpory zdraví a prevence nemocí </w:t>
            </w:r>
          </w:p>
        </w:tc>
        <w:tc>
          <w:tcPr>
            <w:tcW w:w="1701" w:type="dxa"/>
          </w:tcPr>
          <w:p w:rsidR="007656C9" w:rsidRPr="00CF42BD" w:rsidRDefault="007656C9"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rPr>
            </w:pPr>
            <w:r w:rsidRPr="00CF42BD">
              <w:rPr>
                <w:sz w:val="18"/>
                <w:szCs w:val="18"/>
              </w:rPr>
              <w:t>Schváleno</w:t>
            </w:r>
          </w:p>
        </w:tc>
        <w:tc>
          <w:tcPr>
            <w:tcW w:w="958" w:type="dxa"/>
          </w:tcPr>
          <w:p w:rsidR="007656C9" w:rsidRPr="00CF42BD" w:rsidRDefault="007656C9" w:rsidP="00CF42BD">
            <w:pPr>
              <w:spacing w:before="40" w:after="40"/>
              <w:contextualSpacing/>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CF42BD">
              <w:rPr>
                <w:sz w:val="18"/>
                <w:szCs w:val="18"/>
              </w:rPr>
              <w:t>MZd</w:t>
            </w:r>
            <w:proofErr w:type="spellEnd"/>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7656C9" w:rsidRPr="009426D4" w:rsidRDefault="007656C9" w:rsidP="00CF42BD">
            <w:pPr>
              <w:spacing w:before="40" w:after="40"/>
              <w:contextualSpacing/>
              <w:jc w:val="left"/>
              <w:rPr>
                <w:rFonts w:asciiTheme="minorHAnsi" w:hAnsiTheme="minorHAnsi"/>
                <w:sz w:val="18"/>
                <w:szCs w:val="18"/>
              </w:rPr>
            </w:pPr>
            <w:r w:rsidRPr="009426D4">
              <w:rPr>
                <w:rFonts w:asciiTheme="minorHAnsi" w:hAnsiTheme="minorHAnsi"/>
                <w:sz w:val="18"/>
                <w:szCs w:val="18"/>
              </w:rPr>
              <w:t>4.4. Růst založený na výzkumu a inovacích</w:t>
            </w: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 xml:space="preserve">Strategie inteligentní specializace 2014-2020 </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Před schválením</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MŠMT</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priority orientovaného výzkumu, experimentálního vývoje a inovací (2012-2030)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ÚV</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politika výzkumu, vývoje a inovací ČR na léta 2009-2015 s výhledem do roku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RVVI</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Koncepce podpory malých a středních podnikatelů na období let 2014 - 2020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MPO</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Národní inovační strategie 2012-2020</w:t>
            </w:r>
          </w:p>
        </w:tc>
        <w:tc>
          <w:tcPr>
            <w:tcW w:w="1701"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sidRPr="009426D4">
              <w:rPr>
                <w:sz w:val="18"/>
                <w:szCs w:val="18"/>
              </w:rPr>
              <w:t>Schváleno</w:t>
            </w:r>
          </w:p>
        </w:tc>
        <w:tc>
          <w:tcPr>
            <w:tcW w:w="958" w:type="dxa"/>
          </w:tcPr>
          <w:p w:rsidR="007656C9" w:rsidRPr="009426D4" w:rsidRDefault="007656C9" w:rsidP="00CF42BD">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MPO, MŠMT</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val="restart"/>
          </w:tcPr>
          <w:p w:rsidR="007656C9" w:rsidRPr="009426D4" w:rsidRDefault="007656C9" w:rsidP="00CF42BD">
            <w:pPr>
              <w:spacing w:before="40" w:after="40"/>
              <w:contextualSpacing/>
              <w:jc w:val="left"/>
              <w:rPr>
                <w:rFonts w:asciiTheme="minorHAnsi" w:hAnsiTheme="minorHAnsi"/>
                <w:sz w:val="18"/>
                <w:szCs w:val="18"/>
              </w:rPr>
            </w:pPr>
            <w:r w:rsidRPr="009426D4">
              <w:rPr>
                <w:rFonts w:asciiTheme="minorHAnsi" w:hAnsiTheme="minorHAnsi"/>
                <w:sz w:val="18"/>
                <w:szCs w:val="18"/>
              </w:rPr>
              <w:t xml:space="preserve">5. Implementace politiky soudržnosti a využití programů Evropských strukturálních a investičních fondů jako nástrojů uskutečňování priorit Strategie Evropa 2020 </w:t>
            </w:r>
          </w:p>
        </w:tc>
        <w:tc>
          <w:tcPr>
            <w:tcW w:w="3969"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 Národní strategický referenční rámec ČR 2007 – 2013</w:t>
            </w:r>
          </w:p>
        </w:tc>
        <w:tc>
          <w:tcPr>
            <w:tcW w:w="1701"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Schváleno</w:t>
            </w:r>
          </w:p>
        </w:tc>
        <w:tc>
          <w:tcPr>
            <w:tcW w:w="958"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MMR</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sz w:val="18"/>
                <w:szCs w:val="18"/>
              </w:rPr>
            </w:pPr>
          </w:p>
        </w:tc>
        <w:tc>
          <w:tcPr>
            <w:tcW w:w="3969"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Dohoda o partnerství pro programové období 2014-2020</w:t>
            </w:r>
          </w:p>
        </w:tc>
        <w:tc>
          <w:tcPr>
            <w:tcW w:w="1701"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Schváleno</w:t>
            </w:r>
          </w:p>
        </w:tc>
        <w:tc>
          <w:tcPr>
            <w:tcW w:w="958"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MMR</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Strategie regionálního rozvoje ČR pro období 2014-2020 </w:t>
            </w:r>
          </w:p>
        </w:tc>
        <w:tc>
          <w:tcPr>
            <w:tcW w:w="1701"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Schváleno</w:t>
            </w:r>
          </w:p>
        </w:tc>
        <w:tc>
          <w:tcPr>
            <w:tcW w:w="958"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MMR</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Politika územního rozvoje 2008 </w:t>
            </w:r>
          </w:p>
        </w:tc>
        <w:tc>
          <w:tcPr>
            <w:tcW w:w="1701"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Schváleno</w:t>
            </w:r>
          </w:p>
        </w:tc>
        <w:tc>
          <w:tcPr>
            <w:tcW w:w="958"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MMR</w:t>
            </w:r>
          </w:p>
        </w:tc>
      </w:tr>
      <w:tr w:rsidR="007656C9" w:rsidRPr="0051086E" w:rsidTr="00CF42BD">
        <w:trPr>
          <w:trHeight w:val="20"/>
        </w:trPr>
        <w:tc>
          <w:tcPr>
            <w:cnfStyle w:val="001000000000" w:firstRow="0" w:lastRow="0" w:firstColumn="1" w:lastColumn="0" w:oddVBand="0" w:evenVBand="0" w:oddHBand="0" w:evenHBand="0" w:firstRowFirstColumn="0" w:firstRowLastColumn="0" w:lastRowFirstColumn="0" w:lastRowLastColumn="0"/>
            <w:tcW w:w="2660" w:type="dxa"/>
            <w:vMerge/>
          </w:tcPr>
          <w:p w:rsidR="007656C9" w:rsidRPr="009426D4" w:rsidRDefault="007656C9" w:rsidP="00CF42BD">
            <w:pPr>
              <w:spacing w:before="40" w:after="40"/>
              <w:contextualSpacing/>
              <w:jc w:val="left"/>
              <w:rPr>
                <w:rFonts w:asciiTheme="minorHAnsi" w:hAnsiTheme="minorHAnsi"/>
                <w:sz w:val="18"/>
                <w:szCs w:val="18"/>
              </w:rPr>
            </w:pPr>
          </w:p>
        </w:tc>
        <w:tc>
          <w:tcPr>
            <w:tcW w:w="3969"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Strategie pro růst - České zemědělství a potravinářství v rámci Společné zemědělské politiky EU po roce 2013</w:t>
            </w:r>
          </w:p>
        </w:tc>
        <w:tc>
          <w:tcPr>
            <w:tcW w:w="1701"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Schváleno </w:t>
            </w:r>
          </w:p>
        </w:tc>
        <w:tc>
          <w:tcPr>
            <w:tcW w:w="958" w:type="dxa"/>
          </w:tcPr>
          <w:p w:rsidR="007656C9" w:rsidRDefault="007656C9" w:rsidP="006D6DB9">
            <w:pPr>
              <w:spacing w:before="40" w:after="40"/>
              <w:contextualSpacing/>
              <w:jc w:val="left"/>
              <w:cnfStyle w:val="000000000000" w:firstRow="0" w:lastRow="0" w:firstColumn="0" w:lastColumn="0" w:oddVBand="0" w:evenVBand="0" w:oddHBand="0" w:evenHBand="0" w:firstRowFirstColumn="0" w:firstRowLastColumn="0" w:lastRowFirstColumn="0" w:lastRowLastColumn="0"/>
              <w:rPr>
                <w:sz w:val="18"/>
                <w:szCs w:val="18"/>
              </w:rPr>
            </w:pPr>
            <w:proofErr w:type="spellStart"/>
            <w:r>
              <w:rPr>
                <w:sz w:val="18"/>
                <w:szCs w:val="18"/>
              </w:rPr>
              <w:t>MZe</w:t>
            </w:r>
            <w:proofErr w:type="spellEnd"/>
          </w:p>
        </w:tc>
      </w:tr>
    </w:tbl>
    <w:p w:rsidR="009426D4" w:rsidRPr="0051086E" w:rsidRDefault="009426D4" w:rsidP="009426D4"/>
    <w:p w:rsidR="009426D4" w:rsidRPr="0051086E" w:rsidRDefault="009426D4" w:rsidP="009426D4"/>
    <w:p w:rsidR="00593A96" w:rsidRDefault="00593A96" w:rsidP="00593A96">
      <w:pPr>
        <w:pStyle w:val="Nadpis3"/>
      </w:pPr>
      <w:r>
        <w:t>Příloha č. 2: Přehled dopadů a harmonogram implementace doporučení Rady</w:t>
      </w:r>
    </w:p>
    <w:p w:rsidR="001511EB" w:rsidRPr="001511EB" w:rsidRDefault="001511EB" w:rsidP="001511EB">
      <w:r>
        <w:t>Příloha je k dispozici na adrese: http://www.</w:t>
      </w:r>
    </w:p>
    <w:p w:rsidR="001511EB" w:rsidRDefault="001511EB" w:rsidP="00593A96">
      <w:pPr>
        <w:pStyle w:val="Nadpis3"/>
      </w:pPr>
    </w:p>
    <w:p w:rsidR="00593A96" w:rsidRDefault="00593A96" w:rsidP="00593A96">
      <w:pPr>
        <w:pStyle w:val="Nadpis3"/>
      </w:pPr>
      <w:r>
        <w:t>Příloha č. 3: Přehled dopadů a harmonogram implementace ostatních reformního opatření</w:t>
      </w:r>
    </w:p>
    <w:p w:rsidR="001511EB" w:rsidRPr="001511EB" w:rsidRDefault="001511EB" w:rsidP="001511EB">
      <w:r>
        <w:t>Příloha je k dispozici na adrese: http://www.</w:t>
      </w:r>
    </w:p>
    <w:p w:rsidR="001511EB" w:rsidRPr="001511EB" w:rsidRDefault="001511EB" w:rsidP="001511EB"/>
    <w:p w:rsidR="00D0158A" w:rsidRPr="0009671C" w:rsidRDefault="00D0158A" w:rsidP="009426D4"/>
    <w:sectPr w:rsidR="00D0158A" w:rsidRPr="0009671C" w:rsidSect="005A0B08">
      <w:headerReference w:type="even" r:id="rId26"/>
      <w:headerReference w:type="default" r:id="rId27"/>
      <w:footerReference w:type="even" r:id="rId28"/>
      <w:footerReference w:type="default" r:id="rId2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DC8" w:rsidRDefault="008B1DC8" w:rsidP="00946869">
      <w:pPr>
        <w:spacing w:after="0"/>
      </w:pPr>
      <w:r>
        <w:separator/>
      </w:r>
    </w:p>
  </w:endnote>
  <w:endnote w:type="continuationSeparator" w:id="0">
    <w:p w:rsidR="008B1DC8" w:rsidRDefault="008B1DC8" w:rsidP="009468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B0" w:rsidRPr="009565F1" w:rsidRDefault="00622DB0" w:rsidP="009565F1">
    <w:pPr>
      <w:pStyle w:val="Nadpis5"/>
      <w:rPr>
        <w:sz w:val="18"/>
      </w:rPr>
    </w:pPr>
    <w:r w:rsidRPr="009565F1">
      <w:rPr>
        <w:sz w:val="18"/>
      </w:rPr>
      <w:ptab w:relativeTo="margin" w:alignment="center" w:leader="none"/>
    </w:r>
    <w:r w:rsidRPr="009565F1">
      <w:rPr>
        <w:sz w:val="18"/>
      </w:rPr>
      <w:t>Národní program reforem České republiky 2014</w:t>
    </w:r>
    <w:r w:rsidRPr="009565F1">
      <w:rPr>
        <w:sz w:val="18"/>
      </w:rP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B0" w:rsidRPr="009565F1" w:rsidRDefault="00622DB0" w:rsidP="009B546B">
    <w:pPr>
      <w:pStyle w:val="Nadpis5"/>
      <w:rPr>
        <w:sz w:val="18"/>
      </w:rPr>
    </w:pPr>
    <w:r w:rsidRPr="009565F1">
      <w:rPr>
        <w:sz w:val="18"/>
      </w:rPr>
      <w:ptab w:relativeTo="margin" w:alignment="center" w:leader="none"/>
    </w:r>
    <w:r w:rsidRPr="009565F1">
      <w:rPr>
        <w:sz w:val="18"/>
      </w:rPr>
      <w:t>Národní program reforem České republiky 2014</w:t>
    </w:r>
    <w:r w:rsidRPr="009565F1">
      <w:rPr>
        <w:sz w:val="18"/>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DC8" w:rsidRDefault="008B1DC8" w:rsidP="00946869">
      <w:pPr>
        <w:spacing w:after="0"/>
      </w:pPr>
      <w:r>
        <w:separator/>
      </w:r>
    </w:p>
  </w:footnote>
  <w:footnote w:type="continuationSeparator" w:id="0">
    <w:p w:rsidR="008B1DC8" w:rsidRDefault="008B1DC8" w:rsidP="00946869">
      <w:pPr>
        <w:spacing w:after="0"/>
      </w:pPr>
      <w:r>
        <w:continuationSeparator/>
      </w:r>
    </w:p>
  </w:footnote>
  <w:footnote w:id="1">
    <w:p w:rsidR="00622DB0" w:rsidRDefault="00622DB0" w:rsidP="004B274D">
      <w:pPr>
        <w:pStyle w:val="Textpoznpodarou"/>
      </w:pPr>
      <w:r>
        <w:rPr>
          <w:rStyle w:val="Znakapoznpodarou"/>
        </w:rPr>
        <w:footnoteRef/>
      </w:r>
      <w:r>
        <w:t xml:space="preserve"> Kromě České republiky se k fiskálnímu paktu zatím nepřipojily Spojené království a Chorvatsko, které se stalo členem EU 1. července 2013. Belgie dosud nedokončila vnitrostátní ratifikační proces.</w:t>
      </w:r>
    </w:p>
  </w:footnote>
  <w:footnote w:id="2">
    <w:p w:rsidR="00622DB0" w:rsidRDefault="00622DB0" w:rsidP="009E5492">
      <w:pPr>
        <w:pStyle w:val="Textpoznpodarou"/>
      </w:pPr>
      <w:r>
        <w:rPr>
          <w:rStyle w:val="Znakapoznpodarou"/>
        </w:rPr>
        <w:footnoteRef/>
      </w:r>
      <w:r>
        <w:t xml:space="preserve"> Prognózováno </w:t>
      </w:r>
      <w:proofErr w:type="spellStart"/>
      <w:r>
        <w:t>Eurostatem</w:t>
      </w:r>
      <w:proofErr w:type="spellEnd"/>
      <w:r>
        <w:t xml:space="preserve"> i národními demografickými institucemi.</w:t>
      </w:r>
    </w:p>
  </w:footnote>
  <w:footnote w:id="3">
    <w:p w:rsidR="00622DB0" w:rsidRDefault="00622DB0" w:rsidP="005E54E2">
      <w:pPr>
        <w:pStyle w:val="Textpoznpodarou"/>
      </w:pPr>
      <w:r>
        <w:rPr>
          <w:rStyle w:val="Znakapoznpodarou"/>
        </w:rPr>
        <w:footnoteRef/>
      </w:r>
      <w:r>
        <w:t xml:space="preserve"> </w:t>
      </w:r>
      <w:r w:rsidRPr="00B340C9">
        <w:t>K 31. 12. 2013 se</w:t>
      </w:r>
      <w:r>
        <w:t xml:space="preserve"> předdůchod vyplácel 274 osobám</w:t>
      </w:r>
      <w:r w:rsidRPr="000F725E">
        <w:t>, tj.</w:t>
      </w:r>
      <w:r>
        <w:t xml:space="preserve"> celoroční náklad cca 1 mil. Kč.</w:t>
      </w:r>
    </w:p>
  </w:footnote>
  <w:footnote w:id="4">
    <w:p w:rsidR="00622DB0" w:rsidRDefault="00622DB0" w:rsidP="006F5768">
      <w:pPr>
        <w:pStyle w:val="Textpoznpodarou"/>
      </w:pPr>
      <w:r>
        <w:rPr>
          <w:rStyle w:val="Znakapoznpodarou"/>
        </w:rPr>
        <w:footnoteRef/>
      </w:r>
      <w:r>
        <w:t xml:space="preserve"> </w:t>
      </w:r>
      <w:r w:rsidRPr="00FD35EB">
        <w:t>Bude nutné novelizovat zákon č. 280/1992 Sb., o resortních, oborových, podnikových a dalších zdravotních pojišťovnách a zákon č. 551/1991 Sb., o Všeobecné zdravotní pojišťovně České republiky.</w:t>
      </w:r>
    </w:p>
  </w:footnote>
  <w:footnote w:id="5">
    <w:p w:rsidR="00622DB0" w:rsidRDefault="00622DB0">
      <w:pPr>
        <w:pStyle w:val="Textpoznpodarou"/>
      </w:pPr>
      <w:r>
        <w:rPr>
          <w:rStyle w:val="Znakapoznpodarou"/>
        </w:rPr>
        <w:footnoteRef/>
      </w:r>
      <w:r>
        <w:t xml:space="preserve"> O</w:t>
      </w:r>
      <w:r w:rsidRPr="000F7864">
        <w:t xml:space="preserve">právnění </w:t>
      </w:r>
      <w:r>
        <w:t xml:space="preserve">bude nutné </w:t>
      </w:r>
      <w:r w:rsidRPr="000F7864">
        <w:t>ošetřit novelizací zákona 372/2011Sb o zdravotnických službách.</w:t>
      </w:r>
    </w:p>
  </w:footnote>
  <w:footnote w:id="6">
    <w:p w:rsidR="00622DB0" w:rsidRDefault="00622DB0" w:rsidP="006439FE">
      <w:pPr>
        <w:pStyle w:val="Textpoznpodarou"/>
      </w:pPr>
      <w:r>
        <w:rPr>
          <w:rStyle w:val="Znakapoznpodarou"/>
        </w:rPr>
        <w:footnoteRef/>
      </w:r>
      <w:r>
        <w:t xml:space="preserve"> oproti 26 016 v roce 2012.</w:t>
      </w:r>
    </w:p>
  </w:footnote>
  <w:footnote w:id="7">
    <w:p w:rsidR="00622DB0" w:rsidRDefault="00622DB0" w:rsidP="006439FE">
      <w:pPr>
        <w:pStyle w:val="Textpoznpodarou"/>
      </w:pPr>
      <w:r>
        <w:rPr>
          <w:rStyle w:val="Znakapoznpodarou"/>
        </w:rPr>
        <w:footnoteRef/>
      </w:r>
      <w:r>
        <w:t xml:space="preserve"> oproti 11 380 v roce 2012.</w:t>
      </w:r>
    </w:p>
  </w:footnote>
  <w:footnote w:id="8">
    <w:p w:rsidR="00622DB0" w:rsidRDefault="00622DB0" w:rsidP="006439FE">
      <w:pPr>
        <w:pStyle w:val="Textpoznpodarou"/>
      </w:pPr>
      <w:r>
        <w:rPr>
          <w:rStyle w:val="Znakapoznpodarou"/>
        </w:rPr>
        <w:footnoteRef/>
      </w:r>
      <w:r>
        <w:t xml:space="preserve"> oproti 12 833 v roce 2012.</w:t>
      </w:r>
    </w:p>
  </w:footnote>
  <w:footnote w:id="9">
    <w:p w:rsidR="00622DB0" w:rsidRDefault="00622DB0">
      <w:pPr>
        <w:pStyle w:val="Textpoznpodarou"/>
      </w:pPr>
      <w:r>
        <w:rPr>
          <w:rStyle w:val="Znakapoznpodarou"/>
        </w:rPr>
        <w:footnoteRef/>
      </w:r>
      <w:r>
        <w:t xml:space="preserve"> </w:t>
      </w:r>
      <w:r w:rsidRPr="0007701D">
        <w:t>Rovné příležitosti žen a mužů na trhu práce a sladění pracovního a rodinného života</w:t>
      </w:r>
      <w:r>
        <w:t>.</w:t>
      </w:r>
    </w:p>
  </w:footnote>
  <w:footnote w:id="10">
    <w:p w:rsidR="00622DB0" w:rsidRDefault="00622DB0" w:rsidP="00322122">
      <w:pPr>
        <w:pStyle w:val="Textpoznpodarou"/>
      </w:pPr>
      <w:r>
        <w:rPr>
          <w:rStyle w:val="Znakapoznpodarou"/>
        </w:rPr>
        <w:footnoteRef/>
      </w:r>
      <w:r>
        <w:t xml:space="preserve"> Směrnice</w:t>
      </w:r>
      <w:r w:rsidRPr="002376EE">
        <w:t xml:space="preserve"> Evropského parlamentu a Rady o zadávání veřejných zakázek (tzv. kla</w:t>
      </w:r>
      <w:r>
        <w:t>sická směrnice), směrnice</w:t>
      </w:r>
      <w:r w:rsidRPr="002376EE">
        <w:t xml:space="preserve"> Evropského parlamentu a Rady o zadávání zakázek subjekty působícími v odvětví vodního hospodářství, energetiky, dopravy a poštovních služeb (tzv. sektorová) a </w:t>
      </w:r>
      <w:r>
        <w:t>směrnice</w:t>
      </w:r>
      <w:r w:rsidRPr="002376EE">
        <w:t xml:space="preserve"> Evropského parlamentu a Rady o udělování koncesí (tzv. koncesn</w:t>
      </w:r>
      <w:r>
        <w:t>í směrnice).</w:t>
      </w:r>
    </w:p>
  </w:footnote>
  <w:footnote w:id="11">
    <w:p w:rsidR="00622DB0" w:rsidRPr="00BC0AC2" w:rsidRDefault="00622DB0" w:rsidP="002538F4">
      <w:pPr>
        <w:pStyle w:val="Textpoznpodarou"/>
      </w:pPr>
      <w:r w:rsidRPr="00BC0AC2">
        <w:rPr>
          <w:rStyle w:val="Znakapoznpodarou"/>
        </w:rPr>
        <w:footnoteRef/>
      </w:r>
      <w:r w:rsidRPr="00BC0AC2">
        <w:t xml:space="preserve"> V rámci programu jsou do konce roku 2015 poskytovány zvýhodněné úvěry pro vlastníky bytových domů na rekonstrukce a modernizace bytových domů a k zajištění moderního sociálního bydlení formou revitalizace stávajících budov v takzvaných deprivovaných zónách v 41 městech po celé ČR, které mají vypracované IPRM pro období 2007-2014.</w:t>
      </w:r>
    </w:p>
  </w:footnote>
  <w:footnote w:id="12">
    <w:p w:rsidR="00622DB0" w:rsidRDefault="00622DB0" w:rsidP="002538F4">
      <w:pPr>
        <w:pStyle w:val="Textpoznpodarou"/>
      </w:pPr>
      <w:r w:rsidRPr="00BC0AC2">
        <w:rPr>
          <w:rStyle w:val="Znakapoznpodarou"/>
        </w:rPr>
        <w:footnoteRef/>
      </w:r>
      <w:r w:rsidRPr="00BC0AC2">
        <w:t xml:space="preserve"> Pro nastavení nástrojů finančního inženýrství bude provedena obsáhlá analýza, z </w:t>
      </w:r>
      <w:proofErr w:type="gramStart"/>
      <w:r w:rsidRPr="00BC0AC2">
        <w:t>jejichž</w:t>
      </w:r>
      <w:proofErr w:type="gramEnd"/>
      <w:r w:rsidRPr="007B2EB3">
        <w:t xml:space="preserve"> výsledků bude patrné i to, do jakých konkrétních opatření ať už obecně či konkrétně v energetické účinnosti by se daly tyto prostředky směřovat</w:t>
      </w:r>
      <w:r>
        <w:t>.</w:t>
      </w:r>
    </w:p>
  </w:footnote>
  <w:footnote w:id="13">
    <w:p w:rsidR="00622DB0" w:rsidRDefault="00622DB0" w:rsidP="002A338A">
      <w:pPr>
        <w:pStyle w:val="Textpoznpodarou"/>
      </w:pPr>
      <w:r>
        <w:rPr>
          <w:rStyle w:val="Znakapoznpodarou"/>
        </w:rPr>
        <w:footnoteRef/>
      </w:r>
      <w:r>
        <w:t xml:space="preserve"> A</w:t>
      </w:r>
      <w:r w:rsidRPr="00516E6B">
        <w:t>lokace 1 mld. Kč z prostředků Státníh</w:t>
      </w:r>
      <w:r>
        <w:t>o fondu životního prostředí ČR (</w:t>
      </w:r>
      <w:r w:rsidRPr="00516E6B">
        <w:t>SFŽP ČR</w:t>
      </w:r>
      <w:r>
        <w:t>).</w:t>
      </w:r>
    </w:p>
  </w:footnote>
  <w:footnote w:id="14">
    <w:p w:rsidR="00622DB0" w:rsidRDefault="00622DB0" w:rsidP="002A338A">
      <w:pPr>
        <w:pStyle w:val="Textpoznpodarou"/>
      </w:pPr>
      <w:r>
        <w:rPr>
          <w:rStyle w:val="Znakapoznpodarou"/>
        </w:rPr>
        <w:footnoteRef/>
      </w:r>
      <w:r>
        <w:t xml:space="preserve"> A</w:t>
      </w:r>
      <w:r w:rsidRPr="004668D4">
        <w:t>lokace 1 900 mil</w:t>
      </w:r>
      <w:r>
        <w:t>. Kč.</w:t>
      </w:r>
      <w:r w:rsidRPr="00516E6B">
        <w:t xml:space="preserve"> (tato částka je již zahrnuta ve výdajích rozpočtu </w:t>
      </w:r>
      <w:r>
        <w:t>a</w:t>
      </w:r>
      <w:r w:rsidRPr="00516E6B">
        <w:t xml:space="preserve"> zdrojem je podíl na příjmech z prodeje emisních povolenek EUA v roce 2013)</w:t>
      </w:r>
      <w:r>
        <w:t>.</w:t>
      </w:r>
    </w:p>
  </w:footnote>
  <w:footnote w:id="15">
    <w:p w:rsidR="00622DB0" w:rsidRDefault="00622DB0" w:rsidP="002538F4">
      <w:pPr>
        <w:pStyle w:val="Textpoznpodarou"/>
      </w:pPr>
      <w:r>
        <w:rPr>
          <w:rStyle w:val="Znakapoznpodarou"/>
        </w:rPr>
        <w:footnoteRef/>
      </w:r>
      <w:r>
        <w:t xml:space="preserve"> Nařízení vlády č. 468/2012 Sb., o použití prostředků Státního fondu rozvoje bydlení.</w:t>
      </w:r>
    </w:p>
  </w:footnote>
  <w:footnote w:id="16">
    <w:p w:rsidR="00622DB0" w:rsidRDefault="00622DB0" w:rsidP="002538F4">
      <w:pPr>
        <w:pStyle w:val="Textpoznpodarou"/>
      </w:pPr>
      <w:r>
        <w:rPr>
          <w:rStyle w:val="Znakapoznpodarou"/>
        </w:rPr>
        <w:footnoteRef/>
      </w:r>
      <w:r>
        <w:t xml:space="preserve"> Nařízení vlády č. 284/2011 Sb., Nařízení vlády č. 468/2012 Sb., Nařízení vlády č. 396/2001 Sb., Nařízení vlády č. 28/2006 Sb., Nařízení vlády č. 28/2006 Sb.</w:t>
      </w:r>
    </w:p>
  </w:footnote>
  <w:footnote w:id="17">
    <w:p w:rsidR="00622DB0" w:rsidRDefault="00622DB0">
      <w:pPr>
        <w:pStyle w:val="Textpoznpodarou"/>
      </w:pPr>
      <w:r>
        <w:rPr>
          <w:rStyle w:val="Znakapoznpodarou"/>
        </w:rPr>
        <w:footnoteRef/>
      </w:r>
      <w:r>
        <w:t xml:space="preserve"> Do současné podoby </w:t>
      </w:r>
      <w:r w:rsidRPr="003B300D">
        <w:t xml:space="preserve">byly </w:t>
      </w:r>
      <w:r>
        <w:t xml:space="preserve">národní cíle upraveny usnesením vlády č. 271 </w:t>
      </w:r>
      <w:r w:rsidRPr="003B300D">
        <w:t>z</w:t>
      </w:r>
      <w:r>
        <w:t>e dne 11. dubna 2012.</w:t>
      </w:r>
    </w:p>
  </w:footnote>
  <w:footnote w:id="18">
    <w:p w:rsidR="00622DB0" w:rsidRDefault="00622DB0">
      <w:pPr>
        <w:pStyle w:val="Textpoznpodarou"/>
      </w:pPr>
      <w:r>
        <w:rPr>
          <w:rStyle w:val="Znakapoznpodarou"/>
        </w:rPr>
        <w:footnoteRef/>
      </w:r>
      <w:r>
        <w:t xml:space="preserve"> Data v tabulce vyjadřují stav: v oblasti zaměstnanosti k 1. říjnu 2013, v oblasti b</w:t>
      </w:r>
      <w:r w:rsidRPr="004468AD">
        <w:t>oj</w:t>
      </w:r>
      <w:r>
        <w:t>e</w:t>
      </w:r>
      <w:r w:rsidRPr="004468AD">
        <w:t xml:space="preserve"> proti chudobě a sociálnímu vyloučení</w:t>
      </w:r>
      <w:r>
        <w:t xml:space="preserve"> k 31. prosinci 2012, v oblasti vzdělávání k 31. prosinci 2013, v oblasti podnikatelského prostředí k 31. prosinci 2013, v oblasti </w:t>
      </w:r>
      <w:proofErr w:type="spellStart"/>
      <w:r>
        <w:t>VaVaI</w:t>
      </w:r>
      <w:proofErr w:type="spellEnd"/>
      <w:r>
        <w:t xml:space="preserve"> za rok 2013.</w:t>
      </w:r>
      <w:r w:rsidRPr="003D747C">
        <w:t xml:space="preserve"> </w:t>
      </w:r>
      <w:r>
        <w:t xml:space="preserve">Výdaje na </w:t>
      </w:r>
      <w:proofErr w:type="spellStart"/>
      <w:r>
        <w:t>VaVaI</w:t>
      </w:r>
      <w:proofErr w:type="spellEnd"/>
      <w:r>
        <w:t xml:space="preserve"> jsou uváděny v</w:t>
      </w:r>
      <w:r w:rsidRPr="003D747C">
        <w:t>četně výdajů krytých příjmy z EU a Finančního mechanismu EHP/Norska.</w:t>
      </w:r>
    </w:p>
  </w:footnote>
  <w:footnote w:id="19">
    <w:p w:rsidR="00622DB0" w:rsidRDefault="00622DB0">
      <w:pPr>
        <w:pStyle w:val="Textpoznpodarou"/>
      </w:pPr>
      <w:r>
        <w:rPr>
          <w:rStyle w:val="Znakapoznpodarou"/>
        </w:rPr>
        <w:footnoteRef/>
      </w:r>
      <w:r>
        <w:t xml:space="preserve"> P</w:t>
      </w:r>
      <w:r w:rsidRPr="00A91E1E">
        <w:t>ro rok 2013 se jedná o kvalifikované odhady předpokládaných hodnot, ČSÚ a EUR</w:t>
      </w:r>
      <w:r>
        <w:t xml:space="preserve">OSTAT dosud údaje nezveřejnily </w:t>
      </w:r>
    </w:p>
  </w:footnote>
  <w:footnote w:id="20">
    <w:p w:rsidR="00622DB0" w:rsidRDefault="00622DB0" w:rsidP="00A91E1E">
      <w:pPr>
        <w:pStyle w:val="Textpoznpodarou"/>
      </w:pPr>
      <w:r>
        <w:rPr>
          <w:rStyle w:val="Znakapoznpodarou"/>
        </w:rPr>
        <w:footnoteRef/>
      </w:r>
      <w:r>
        <w:t xml:space="preserve"> P</w:t>
      </w:r>
      <w:r w:rsidRPr="00A91E1E">
        <w:t>ro rok 2013 se jedná o kvalifikované odhady předpokládaných hodnot, ČSÚ a EUROSTAT dosud údaje nezveřejnily (vyjma míry nezaměstnanosti mladých)</w:t>
      </w:r>
    </w:p>
  </w:footnote>
  <w:footnote w:id="21">
    <w:p w:rsidR="00622DB0" w:rsidRPr="00FD4AC7" w:rsidRDefault="00622DB0" w:rsidP="00CD363D">
      <w:pPr>
        <w:pStyle w:val="Textpoznpodarou"/>
        <w:rPr>
          <w:rFonts w:ascii="Calibri" w:hAnsi="Calibri"/>
          <w:szCs w:val="16"/>
        </w:rPr>
      </w:pPr>
      <w:r w:rsidRPr="00FD4AC7">
        <w:rPr>
          <w:rStyle w:val="Znakapoznpodarou"/>
          <w:rFonts w:ascii="Calibri" w:hAnsi="Calibri"/>
          <w:szCs w:val="16"/>
        </w:rPr>
        <w:footnoteRef/>
      </w:r>
      <w:r w:rsidRPr="00FD4AC7">
        <w:rPr>
          <w:rFonts w:ascii="Calibri" w:hAnsi="Calibri"/>
          <w:szCs w:val="16"/>
        </w:rPr>
        <w:t xml:space="preserve"> Včetně výdajů krytých příjmy z EU a Finančního mechanismu EHP/Norska.</w:t>
      </w:r>
    </w:p>
  </w:footnote>
  <w:footnote w:id="22">
    <w:p w:rsidR="00622DB0" w:rsidRPr="00FD4AC7" w:rsidRDefault="00622DB0" w:rsidP="00F1645F">
      <w:pPr>
        <w:pStyle w:val="Textpoznpodarou"/>
        <w:rPr>
          <w:rFonts w:ascii="Calibri" w:hAnsi="Calibri"/>
          <w:szCs w:val="16"/>
        </w:rPr>
      </w:pPr>
      <w:r w:rsidRPr="00FD4AC7">
        <w:rPr>
          <w:rStyle w:val="Znakapoznpodarou"/>
          <w:rFonts w:ascii="Calibri" w:hAnsi="Calibri"/>
          <w:szCs w:val="16"/>
        </w:rPr>
        <w:footnoteRef/>
      </w:r>
      <w:r w:rsidRPr="00FD4AC7">
        <w:rPr>
          <w:rFonts w:ascii="Calibri" w:hAnsi="Calibri"/>
          <w:szCs w:val="16"/>
        </w:rPr>
        <w:t xml:space="preserve"> Včetně výdajů krytých příjmy z EU a Finančního mechanismu EHP/Norska.</w:t>
      </w:r>
    </w:p>
  </w:footnote>
  <w:footnote w:id="23">
    <w:p w:rsidR="00622DB0" w:rsidRDefault="00622DB0">
      <w:pPr>
        <w:pStyle w:val="Textpoznpodarou"/>
      </w:pPr>
      <w:r>
        <w:rPr>
          <w:rStyle w:val="Znakapoznpodarou"/>
        </w:rPr>
        <w:footnoteRef/>
      </w:r>
      <w:r>
        <w:t xml:space="preserve"> Opatření je také součástí </w:t>
      </w:r>
      <w:r w:rsidRPr="00CA7A11">
        <w:t>Strategie vlády v boji s korupcí na období let 2013 a 2014</w:t>
      </w:r>
      <w:r>
        <w:t>.</w:t>
      </w:r>
    </w:p>
  </w:footnote>
  <w:footnote w:id="24">
    <w:p w:rsidR="00622DB0" w:rsidRDefault="00622DB0">
      <w:pPr>
        <w:pStyle w:val="Textpoznpodarou"/>
      </w:pPr>
      <w:r>
        <w:rPr>
          <w:rStyle w:val="Znakapoznpodarou"/>
        </w:rPr>
        <w:footnoteRef/>
      </w:r>
      <w:r>
        <w:t xml:space="preserve"> </w:t>
      </w:r>
      <w:r w:rsidRPr="009660A8">
        <w:t>V průběhu posledních dvou let se přínos komise projevil mj. v obdobném procentu vrácených RIA k návrhům zákonů k dopracování, kdy např. v r. 2013 činil tento poměr 74% z projednaných závěrečných zpráv RIA (69), a</w:t>
      </w:r>
      <w:r>
        <w:t> </w:t>
      </w:r>
      <w:r w:rsidRPr="009660A8">
        <w:t>to s různou mírou závažnosti připomínek.</w:t>
      </w:r>
    </w:p>
  </w:footnote>
  <w:footnote w:id="25">
    <w:p w:rsidR="00622DB0" w:rsidRDefault="00622DB0">
      <w:pPr>
        <w:pStyle w:val="Textpoznpodarou"/>
      </w:pPr>
      <w:r>
        <w:rPr>
          <w:rStyle w:val="Znakapoznpodarou"/>
        </w:rPr>
        <w:footnoteRef/>
      </w:r>
      <w:r>
        <w:t xml:space="preserve"> </w:t>
      </w:r>
      <w:r w:rsidRPr="00A65EB1">
        <w:t>to 1. Kultivace podnikatelského prostředí, rozvoj poradenských služeb a vzdělávání pro podnikání; 2. Rozvoj podnikání založeného na podpoře výzkumu, vývoje a inovací, včetně inovační a podnikatelské infrastruktury; 3. Podpora internacionalizace MSP; 4. Udržitelné hospodaření s energií a rozvoj inovací v energetice.</w:t>
      </w:r>
    </w:p>
  </w:footnote>
  <w:footnote w:id="26">
    <w:p w:rsidR="00622DB0" w:rsidRDefault="00622DB0" w:rsidP="00FF17A7">
      <w:pPr>
        <w:pStyle w:val="Textpoznpodarou"/>
      </w:pPr>
      <w:r>
        <w:rPr>
          <w:rStyle w:val="Znakapoznpodarou"/>
        </w:rPr>
        <w:footnoteRef/>
      </w:r>
      <w:r>
        <w:t xml:space="preserve"> </w:t>
      </w:r>
      <w:r w:rsidRPr="00AE115F">
        <w:t xml:space="preserve">Cílem je zajistit rychlost 30 </w:t>
      </w:r>
      <w:proofErr w:type="spellStart"/>
      <w:r w:rsidRPr="00AE115F">
        <w:t>Mbit</w:t>
      </w:r>
      <w:proofErr w:type="spellEnd"/>
      <w:r w:rsidRPr="00AE115F">
        <w:t xml:space="preserve">/s do roku 2020 pro všechny obyvatele a 100 </w:t>
      </w:r>
      <w:proofErr w:type="spellStart"/>
      <w:r w:rsidRPr="00AE115F">
        <w:t>Mbit</w:t>
      </w:r>
      <w:proofErr w:type="spellEnd"/>
      <w:r w:rsidRPr="00AE115F">
        <w:t>/s minimálně pro polovinu domácnosti.</w:t>
      </w:r>
    </w:p>
  </w:footnote>
  <w:footnote w:id="27">
    <w:p w:rsidR="00622DB0" w:rsidRDefault="00622DB0" w:rsidP="00FF17A7">
      <w:pPr>
        <w:pStyle w:val="Textpoznpodarou"/>
      </w:pPr>
      <w:r>
        <w:rPr>
          <w:rStyle w:val="Znakapoznpodarou"/>
        </w:rPr>
        <w:footnoteRef/>
      </w:r>
      <w:r>
        <w:t xml:space="preserve"> Opatření bude součástí </w:t>
      </w:r>
      <w:r w:rsidRPr="004A6248">
        <w:t>Str</w:t>
      </w:r>
      <w:r>
        <w:t>ategie správy rádiového spektra.</w:t>
      </w:r>
    </w:p>
  </w:footnote>
  <w:footnote w:id="28">
    <w:p w:rsidR="00622DB0" w:rsidRDefault="00622DB0" w:rsidP="00C76AA6">
      <w:pPr>
        <w:pStyle w:val="Textpoznpodarou"/>
        <w:rPr>
          <w:rFonts w:cs="Calibri"/>
        </w:rPr>
      </w:pPr>
      <w:r w:rsidRPr="00295318">
        <w:rPr>
          <w:rStyle w:val="Znakapoznpodarou"/>
        </w:rPr>
        <w:footnoteRef/>
      </w:r>
      <w:r w:rsidRPr="00295318">
        <w:t xml:space="preserve"> </w:t>
      </w:r>
      <w:r w:rsidRPr="00295318">
        <w:rPr>
          <w:rFonts w:cs="Calibri"/>
        </w:rPr>
        <w:t>Směrnice 2008/98/ES o odpadech,</w:t>
      </w:r>
      <w:r>
        <w:rPr>
          <w:rFonts w:cs="Calibri"/>
        </w:rPr>
        <w:t xml:space="preserve"> Směrnice 94/62/ES o obalech a obalových odpadech, Směrnice 2000/53/ES o vozidlech s ukončenou životností, Směrnice 2006/66/ES o bateriích a akumulátorech a odpadních bateriích a akumulátorech, Směrnice 2012/19/EU o odpadních elektrických a elektronických zařízeních.</w:t>
      </w:r>
    </w:p>
    <w:p w:rsidR="00622DB0" w:rsidRDefault="00622DB0" w:rsidP="00C76AA6">
      <w:pPr>
        <w:pStyle w:val="Textpoznpodarou"/>
      </w:pPr>
    </w:p>
  </w:footnote>
  <w:footnote w:id="29">
    <w:p w:rsidR="00622DB0" w:rsidRDefault="00622DB0" w:rsidP="006439FE">
      <w:pPr>
        <w:pStyle w:val="Textpoznpodarou"/>
      </w:pPr>
      <w:r>
        <w:rPr>
          <w:rStyle w:val="Znakapoznpodarou"/>
        </w:rPr>
        <w:footnoteRef/>
      </w:r>
      <w:r>
        <w:t xml:space="preserve"> Úkol usnesení vlády č. 344 ze dne 15. května 2013 ke Strategii regionálního rozvoje ČR 2014-20.</w:t>
      </w:r>
    </w:p>
  </w:footnote>
  <w:footnote w:id="30">
    <w:p w:rsidR="00622DB0" w:rsidRDefault="00622DB0">
      <w:pPr>
        <w:pStyle w:val="Textpoznpodarou"/>
      </w:pPr>
      <w:r>
        <w:rPr>
          <w:rStyle w:val="Znakapoznpodarou"/>
        </w:rPr>
        <w:footnoteRef/>
      </w:r>
      <w:r>
        <w:t xml:space="preserve"> Č</w:t>
      </w:r>
      <w:r w:rsidRPr="00D97ADA">
        <w:t xml:space="preserve">asto </w:t>
      </w:r>
      <w:r>
        <w:t xml:space="preserve">je také spojena s </w:t>
      </w:r>
      <w:r w:rsidRPr="00D97ADA">
        <w:t>pololegální</w:t>
      </w:r>
      <w:r>
        <w:t>mi aktivitami, jakými mohou být např. nevýhodné podmínky finančních půjček a jejich vymáhání</w:t>
      </w:r>
      <w:r w:rsidRPr="00D97ADA">
        <w:t xml:space="preserve"> nátlakovými metodami</w:t>
      </w:r>
      <w:r>
        <w:t>.</w:t>
      </w:r>
    </w:p>
  </w:footnote>
  <w:footnote w:id="31">
    <w:p w:rsidR="00622DB0" w:rsidRDefault="00622DB0" w:rsidP="00AB259E">
      <w:pPr>
        <w:pStyle w:val="Textpoznpodarou"/>
      </w:pPr>
      <w:r>
        <w:rPr>
          <w:rStyle w:val="Znakapoznpodarou"/>
        </w:rPr>
        <w:footnoteRef/>
      </w:r>
      <w:r>
        <w:t xml:space="preserve"> </w:t>
      </w:r>
      <w:r w:rsidRPr="00E16489">
        <w:t>Z celkového realizovaného výzkumu a vývoje v r. 2012 v objemu 72,36 mld. Kč se 53,6 % realizovalo v podnikatelském sektoru, zatímco ve vládním 18,4 % a ve vysokoškolském 27,4 %.</w:t>
      </w:r>
      <w:r>
        <w:t xml:space="preserve"> </w:t>
      </w:r>
      <w:r w:rsidRPr="00E16489">
        <w:t>Podnikatelský sektor se rovněž podílí na financování výzkumu a vývoje 3</w:t>
      </w:r>
      <w:r>
        <w:t xml:space="preserve">6,4 % z celkového objemu výdajů, přičemž podíl se </w:t>
      </w:r>
      <w:r w:rsidRPr="00E16489">
        <w:t>za posledních 10 let kontinuálně zvyšuje.</w:t>
      </w:r>
    </w:p>
  </w:footnote>
  <w:footnote w:id="32">
    <w:p w:rsidR="00622DB0" w:rsidRDefault="00622DB0" w:rsidP="00F60A5D">
      <w:pPr>
        <w:pStyle w:val="Textpoznpodarou"/>
      </w:pPr>
      <w:r>
        <w:rPr>
          <w:rStyle w:val="Znakapoznpodarou"/>
        </w:rPr>
        <w:footnoteRef/>
      </w:r>
      <w:r>
        <w:t xml:space="preserve"> V současné době je možná pouze dotace, což působí potíže při využívání revolvingových nástrojů.</w:t>
      </w:r>
    </w:p>
  </w:footnote>
  <w:footnote w:id="33">
    <w:p w:rsidR="00622DB0" w:rsidRDefault="00622DB0" w:rsidP="009546FC">
      <w:pPr>
        <w:pStyle w:val="Textpoznpodarou"/>
      </w:pPr>
      <w:r>
        <w:rPr>
          <w:rStyle w:val="Znakapoznpodarou"/>
        </w:rPr>
        <w:footnoteRef/>
      </w:r>
      <w:r>
        <w:t xml:space="preserve"> </w:t>
      </w:r>
      <w:r w:rsidRPr="00616FDE">
        <w:rPr>
          <w:rFonts w:eastAsia="Times New Roman"/>
          <w:color w:val="000000"/>
        </w:rPr>
        <w:t>Stanovisko útvarů Komise k přípravě dohody o partnerství a programů v České republice na období 2014–2020, listopad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B0" w:rsidRPr="00900385" w:rsidRDefault="00622DB0" w:rsidP="00900385">
    <w:pPr>
      <w:pStyle w:val="Zhlav"/>
    </w:pPr>
    <w:r>
      <w:rPr>
        <w:noProof/>
        <w:lang w:eastAsia="cs-CZ"/>
      </w:rPr>
      <mc:AlternateContent>
        <mc:Choice Requires="wps">
          <w:drawing>
            <wp:anchor distT="0" distB="0" distL="114300" distR="114300" simplePos="0" relativeHeight="251663360" behindDoc="0" locked="0" layoutInCell="0" allowOverlap="1" wp14:anchorId="497D5268" wp14:editId="67CF31AD">
              <wp:simplePos x="0" y="0"/>
              <wp:positionH relativeFrom="margin">
                <wp:align>left</wp:align>
              </wp:positionH>
              <wp:positionV relativeFrom="topMargin">
                <wp:align>center</wp:align>
              </wp:positionV>
              <wp:extent cx="5760720" cy="139700"/>
              <wp:effectExtent l="0" t="0" r="0" b="190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397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DB0" w:rsidRPr="00154273" w:rsidRDefault="00622DB0">
                          <w:pPr>
                            <w:spacing w:after="0"/>
                            <w:jc w:val="right"/>
                            <w:rPr>
                              <w:sz w:val="18"/>
                            </w:rPr>
                          </w:pPr>
                          <w:r w:rsidRPr="00154273">
                            <w:rPr>
                              <w:sz w:val="18"/>
                            </w:rPr>
                            <w:fldChar w:fldCharType="begin"/>
                          </w:r>
                          <w:r w:rsidRPr="00154273">
                            <w:rPr>
                              <w:sz w:val="18"/>
                            </w:rPr>
                            <w:instrText xml:space="preserve"> STYLEREF  "1" </w:instrText>
                          </w:r>
                          <w:r w:rsidRPr="00154273">
                            <w:rPr>
                              <w:sz w:val="18"/>
                            </w:rPr>
                            <w:fldChar w:fldCharType="separate"/>
                          </w:r>
                          <w:r w:rsidR="009E60BF">
                            <w:rPr>
                              <w:noProof/>
                              <w:sz w:val="18"/>
                            </w:rPr>
                            <w:t>Implementace doporučení Rady</w:t>
                          </w:r>
                          <w:r w:rsidRPr="00154273">
                            <w:rPr>
                              <w:sz w:val="18"/>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2" o:spid="_x0000_s1034" type="#_x0000_t202" style="position:absolute;left:0;text-align:left;margin-left:0;margin-top:0;width:453.6pt;height:11pt;z-index:25166336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" o:allowincell="f" filled="f" stroked="f">
              <v:textbox style="mso-fit-shape-to-text:t" inset=",0,,0">
                <w:txbxContent>
                  <w:p w:rsidR="00622DB0" w:rsidRPr="00154273" w:rsidRDefault="00622DB0">
                    <w:pPr>
                      <w:spacing w:after="0"/>
                      <w:jc w:val="right"/>
                      <w:rPr>
                        <w:sz w:val="18"/>
                      </w:rPr>
                    </w:pPr>
                    <w:r w:rsidRPr="00154273">
                      <w:rPr>
                        <w:sz w:val="18"/>
                      </w:rPr>
                      <w:fldChar w:fldCharType="begin"/>
                    </w:r>
                    <w:r w:rsidRPr="00154273">
                      <w:rPr>
                        <w:sz w:val="18"/>
                      </w:rPr>
                      <w:instrText xml:space="preserve"> STYLEREF  "1" </w:instrText>
                    </w:r>
                    <w:r w:rsidRPr="00154273">
                      <w:rPr>
                        <w:sz w:val="18"/>
                      </w:rPr>
                      <w:fldChar w:fldCharType="separate"/>
                    </w:r>
                    <w:r w:rsidR="009E60BF">
                      <w:rPr>
                        <w:noProof/>
                        <w:sz w:val="18"/>
                      </w:rPr>
                      <w:t>Implementace doporučení Rady</w:t>
                    </w:r>
                    <w:r w:rsidRPr="00154273">
                      <w:rPr>
                        <w:sz w:val="18"/>
                      </w:rPr>
                      <w:fldChar w:fldCharType="end"/>
                    </w:r>
                  </w:p>
                </w:txbxContent>
              </v:textbox>
              <w10:wrap anchorx="margin" anchory="margin"/>
            </v:shape>
          </w:pict>
        </mc:Fallback>
      </mc:AlternateContent>
    </w:r>
    <w:r>
      <w:rPr>
        <w:noProof/>
        <w:lang w:eastAsia="cs-CZ"/>
      </w:rPr>
      <mc:AlternateContent>
        <mc:Choice Requires="wps">
          <w:drawing>
            <wp:anchor distT="0" distB="0" distL="114300" distR="114300" simplePos="0" relativeHeight="251662336" behindDoc="0" locked="0" layoutInCell="0" allowOverlap="1" wp14:anchorId="12B1A825" wp14:editId="448C554E">
              <wp:simplePos x="0" y="0"/>
              <wp:positionH relativeFrom="page">
                <wp:align>right</wp:align>
              </wp:positionH>
              <wp:positionV relativeFrom="topMargin">
                <wp:align>center</wp:align>
              </wp:positionV>
              <wp:extent cx="899795" cy="162560"/>
              <wp:effectExtent l="0" t="0" r="0" b="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62560"/>
                      </a:xfrm>
                      <a:prstGeom prst="rect">
                        <a:avLst/>
                      </a:prstGeom>
                      <a:solidFill>
                        <a:schemeClr val="accent1"/>
                      </a:solidFill>
                      <a:extLst/>
                    </wps:spPr>
                    <wps:txbx>
                      <w:txbxContent>
                        <w:p w:rsidR="00622DB0" w:rsidRDefault="00622DB0">
                          <w:pPr>
                            <w:spacing w:after="0"/>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E60BF" w:rsidRPr="009E60BF">
                            <w:rPr>
                              <w:noProof/>
                              <w:color w:val="FFFFFF" w:themeColor="background1"/>
                              <w14:numForm w14:val="lining"/>
                            </w:rPr>
                            <w:t>8</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ové pole 6" o:spid="_x0000_s1035" type="#_x0000_t202" style="position:absolute;left:0;text-align:left;margin-left:19.65pt;margin-top:0;width:70.85pt;height:12.8pt;z-index:251662336;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" o:allowincell="f" fillcolor="#d34817 [3204]" stroked="f">
              <v:textbox style="mso-fit-shape-to-text:t" inset=",0,,0">
                <w:txbxContent>
                  <w:p w:rsidR="00622DB0" w:rsidRDefault="00622DB0">
                    <w:pPr>
                      <w:spacing w:after="0"/>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E60BF" w:rsidRPr="009E60BF">
                      <w:rPr>
                        <w:noProof/>
                        <w:color w:val="FFFFFF" w:themeColor="background1"/>
                        <w14:numForm w14:val="lining"/>
                      </w:rPr>
                      <w:t>8</w:t>
                    </w:r>
                    <w:r>
                      <w:rPr>
                        <w:color w:val="FFFFFF" w:themeColor="background1"/>
                        <w14:numForm w14:val="lining"/>
                      </w:rPr>
                      <w:fldChar w:fldCharType="end"/>
                    </w:r>
                  </w:p>
                </w:txbxContent>
              </v:textbox>
              <w10:wrap anchorx="page"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B0" w:rsidRDefault="00622DB0">
    <w:pPr>
      <w:pStyle w:val="Zhlav"/>
    </w:pPr>
    <w:r>
      <w:rPr>
        <w:noProof/>
        <w:lang w:eastAsia="cs-CZ"/>
      </w:rPr>
      <mc:AlternateContent>
        <mc:Choice Requires="wps">
          <w:drawing>
            <wp:anchor distT="0" distB="0" distL="114300" distR="114300" simplePos="0" relativeHeight="251665408" behindDoc="0" locked="0" layoutInCell="0" allowOverlap="1" wp14:anchorId="02BA5E9B" wp14:editId="42CC02DA">
              <wp:simplePos x="0" y="0"/>
              <wp:positionH relativeFrom="page">
                <wp:align>left</wp:align>
              </wp:positionH>
              <wp:positionV relativeFrom="topMargin">
                <wp:align>center</wp:align>
              </wp:positionV>
              <wp:extent cx="899795" cy="162560"/>
              <wp:effectExtent l="0" t="0" r="0" b="0"/>
              <wp:wrapNone/>
              <wp:docPr id="474" name="Textové pole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62560"/>
                      </a:xfrm>
                      <a:prstGeom prst="rect">
                        <a:avLst/>
                      </a:prstGeom>
                      <a:solidFill>
                        <a:schemeClr val="accent1"/>
                      </a:solidFill>
                      <a:extLst/>
                    </wps:spPr>
                    <wps:txbx>
                      <w:txbxContent>
                        <w:p w:rsidR="00622DB0" w:rsidRDefault="00622DB0">
                          <w:pPr>
                            <w:spacing w:after="0"/>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E60BF" w:rsidRPr="009E60BF">
                            <w:rPr>
                              <w:noProof/>
                              <w:color w:val="FFFFFF" w:themeColor="background1"/>
                              <w14:numForm w14:val="lining"/>
                            </w:rPr>
                            <w:t>7</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474" o:spid="_x0000_s1036" type="#_x0000_t202" style="position:absolute;left:0;text-align:left;margin-left:0;margin-top:0;width:70.85pt;height:12.8pt;z-index:251665408;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" o:allowincell="f" fillcolor="#d34817 [3204]" stroked="f">
              <v:textbox style="mso-fit-shape-to-text:t" inset=",0,,0">
                <w:txbxContent>
                  <w:p w:rsidR="00622DB0" w:rsidRDefault="00622DB0">
                    <w:pPr>
                      <w:spacing w:after="0"/>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E60BF" w:rsidRPr="009E60BF">
                      <w:rPr>
                        <w:noProof/>
                        <w:color w:val="FFFFFF" w:themeColor="background1"/>
                        <w14:numForm w14:val="lining"/>
                      </w:rPr>
                      <w:t>7</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abstractNum w:abstractNumId="0">
    <w:nsid w:val="047C29FA"/>
    <w:multiLevelType w:val="hybridMultilevel"/>
    <w:tmpl w:val="4B4CF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FE36C6"/>
    <w:multiLevelType w:val="multilevel"/>
    <w:tmpl w:val="040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4EF1685"/>
    <w:multiLevelType w:val="hybridMultilevel"/>
    <w:tmpl w:val="27C29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84C2BEE"/>
    <w:multiLevelType w:val="hybridMultilevel"/>
    <w:tmpl w:val="E7F41710"/>
    <w:lvl w:ilvl="0" w:tplc="D982DFBA">
      <w:numFmt w:val="bullet"/>
      <w:lvlText w:val="•"/>
      <w:lvlJc w:val="left"/>
      <w:pPr>
        <w:ind w:left="720" w:hanging="360"/>
      </w:pPr>
      <w:rPr>
        <w:rFonts w:ascii="Calibri" w:eastAsia="Times New Roman" w:hAnsi="Calibri"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nsid w:val="28A62CB7"/>
    <w:multiLevelType w:val="hybridMultilevel"/>
    <w:tmpl w:val="6E46D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DD4551"/>
    <w:multiLevelType w:val="hybridMultilevel"/>
    <w:tmpl w:val="CA525CDC"/>
    <w:lvl w:ilvl="0" w:tplc="1228DD84">
      <w:start w:val="1"/>
      <w:numFmt w:val="bullet"/>
      <w:lvlText w:val=""/>
      <w:lvlJc w:val="left"/>
      <w:pPr>
        <w:ind w:left="720" w:hanging="360"/>
      </w:pPr>
      <w:rPr>
        <w:rFonts w:ascii="Symbol" w:hAnsi="Symbol" w:hint="default"/>
        <w:sz w:val="18"/>
        <w:szCs w:val="18"/>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D063D12"/>
    <w:multiLevelType w:val="hybridMultilevel"/>
    <w:tmpl w:val="64A218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52614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5E5B9F"/>
    <w:multiLevelType w:val="multilevel"/>
    <w:tmpl w:val="44C0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1168B5"/>
    <w:multiLevelType w:val="hybridMultilevel"/>
    <w:tmpl w:val="2E76EDD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48DB2C77"/>
    <w:multiLevelType w:val="hybridMultilevel"/>
    <w:tmpl w:val="35661628"/>
    <w:lvl w:ilvl="0" w:tplc="9AE854C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A6C5FEA"/>
    <w:multiLevelType w:val="hybridMultilevel"/>
    <w:tmpl w:val="C9D47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4FB7110"/>
    <w:multiLevelType w:val="hybridMultilevel"/>
    <w:tmpl w:val="88664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7D83C6D"/>
    <w:multiLevelType w:val="hybridMultilevel"/>
    <w:tmpl w:val="C43CE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EA52F43"/>
    <w:multiLevelType w:val="hybridMultilevel"/>
    <w:tmpl w:val="F18C4F7A"/>
    <w:lvl w:ilvl="0" w:tplc="D982DFBA">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6E4929A5"/>
    <w:multiLevelType w:val="hybridMultilevel"/>
    <w:tmpl w:val="D8DE51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B1D569B"/>
    <w:multiLevelType w:val="hybridMultilevel"/>
    <w:tmpl w:val="79B0C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FE37C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0"/>
  </w:num>
  <w:num w:numId="3">
    <w:abstractNumId w:val="7"/>
  </w:num>
  <w:num w:numId="4">
    <w:abstractNumId w:val="1"/>
  </w:num>
  <w:num w:numId="5">
    <w:abstractNumId w:val="13"/>
  </w:num>
  <w:num w:numId="6">
    <w:abstractNumId w:val="14"/>
  </w:num>
  <w:num w:numId="7">
    <w:abstractNumId w:val="3"/>
  </w:num>
  <w:num w:numId="8">
    <w:abstractNumId w:val="8"/>
  </w:num>
  <w:num w:numId="9">
    <w:abstractNumId w:val="5"/>
  </w:num>
  <w:num w:numId="10">
    <w:abstractNumId w:val="15"/>
  </w:num>
  <w:num w:numId="11">
    <w:abstractNumId w:val="0"/>
  </w:num>
  <w:num w:numId="12">
    <w:abstractNumId w:val="11"/>
  </w:num>
  <w:num w:numId="13">
    <w:abstractNumId w:val="16"/>
  </w:num>
  <w:num w:numId="14">
    <w:abstractNumId w:val="12"/>
  </w:num>
  <w:num w:numId="15">
    <w:abstractNumId w:val="6"/>
  </w:num>
  <w:num w:numId="16">
    <w:abstractNumId w:val="4"/>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1134"/>
  <w:doNotHyphenateCaps/>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D02"/>
    <w:rsid w:val="000031F8"/>
    <w:rsid w:val="000063F5"/>
    <w:rsid w:val="000069CD"/>
    <w:rsid w:val="00007CC6"/>
    <w:rsid w:val="0001082B"/>
    <w:rsid w:val="0001303C"/>
    <w:rsid w:val="00013219"/>
    <w:rsid w:val="00013A6B"/>
    <w:rsid w:val="00014914"/>
    <w:rsid w:val="00015E9D"/>
    <w:rsid w:val="00016306"/>
    <w:rsid w:val="00020E94"/>
    <w:rsid w:val="00022360"/>
    <w:rsid w:val="00026755"/>
    <w:rsid w:val="00027250"/>
    <w:rsid w:val="0003591C"/>
    <w:rsid w:val="00036958"/>
    <w:rsid w:val="000378BF"/>
    <w:rsid w:val="00040354"/>
    <w:rsid w:val="00040742"/>
    <w:rsid w:val="00040BF1"/>
    <w:rsid w:val="00040F58"/>
    <w:rsid w:val="00043225"/>
    <w:rsid w:val="000436E6"/>
    <w:rsid w:val="00045D01"/>
    <w:rsid w:val="000463F0"/>
    <w:rsid w:val="0005131D"/>
    <w:rsid w:val="00054AAD"/>
    <w:rsid w:val="00057DC2"/>
    <w:rsid w:val="00060C92"/>
    <w:rsid w:val="000616A2"/>
    <w:rsid w:val="00063020"/>
    <w:rsid w:val="00064C93"/>
    <w:rsid w:val="0006780C"/>
    <w:rsid w:val="00067D26"/>
    <w:rsid w:val="00070C80"/>
    <w:rsid w:val="00073235"/>
    <w:rsid w:val="0007701D"/>
    <w:rsid w:val="00077946"/>
    <w:rsid w:val="00080F88"/>
    <w:rsid w:val="0008156A"/>
    <w:rsid w:val="00083721"/>
    <w:rsid w:val="000838BC"/>
    <w:rsid w:val="000862A7"/>
    <w:rsid w:val="000878C1"/>
    <w:rsid w:val="000909C9"/>
    <w:rsid w:val="00093AC1"/>
    <w:rsid w:val="00095738"/>
    <w:rsid w:val="00095B60"/>
    <w:rsid w:val="00095FEF"/>
    <w:rsid w:val="0009671C"/>
    <w:rsid w:val="000A48C6"/>
    <w:rsid w:val="000A4BFA"/>
    <w:rsid w:val="000A6DA4"/>
    <w:rsid w:val="000B456D"/>
    <w:rsid w:val="000C2314"/>
    <w:rsid w:val="000C4741"/>
    <w:rsid w:val="000D1F63"/>
    <w:rsid w:val="000D34B6"/>
    <w:rsid w:val="000D3EDC"/>
    <w:rsid w:val="000D7014"/>
    <w:rsid w:val="000D759A"/>
    <w:rsid w:val="000E1B61"/>
    <w:rsid w:val="000E3930"/>
    <w:rsid w:val="000E458A"/>
    <w:rsid w:val="000E5FAE"/>
    <w:rsid w:val="000E7441"/>
    <w:rsid w:val="000F25FD"/>
    <w:rsid w:val="000F4864"/>
    <w:rsid w:val="000F725E"/>
    <w:rsid w:val="000F7864"/>
    <w:rsid w:val="00101838"/>
    <w:rsid w:val="0010264B"/>
    <w:rsid w:val="00103C1E"/>
    <w:rsid w:val="001055FA"/>
    <w:rsid w:val="00105F12"/>
    <w:rsid w:val="00110B34"/>
    <w:rsid w:val="001111B8"/>
    <w:rsid w:val="001129D2"/>
    <w:rsid w:val="00112F2B"/>
    <w:rsid w:val="001148BE"/>
    <w:rsid w:val="001202C4"/>
    <w:rsid w:val="001215EC"/>
    <w:rsid w:val="00121EF3"/>
    <w:rsid w:val="00123883"/>
    <w:rsid w:val="00124087"/>
    <w:rsid w:val="00124512"/>
    <w:rsid w:val="001276A8"/>
    <w:rsid w:val="001325A4"/>
    <w:rsid w:val="0013420B"/>
    <w:rsid w:val="00140D92"/>
    <w:rsid w:val="00142095"/>
    <w:rsid w:val="001439D0"/>
    <w:rsid w:val="0014554D"/>
    <w:rsid w:val="00147829"/>
    <w:rsid w:val="001511EB"/>
    <w:rsid w:val="001513C7"/>
    <w:rsid w:val="00154273"/>
    <w:rsid w:val="00154E4B"/>
    <w:rsid w:val="0015571D"/>
    <w:rsid w:val="00160A83"/>
    <w:rsid w:val="001612A6"/>
    <w:rsid w:val="00161937"/>
    <w:rsid w:val="00162806"/>
    <w:rsid w:val="00165AA2"/>
    <w:rsid w:val="001717BD"/>
    <w:rsid w:val="00171D54"/>
    <w:rsid w:val="0017276E"/>
    <w:rsid w:val="00172CF8"/>
    <w:rsid w:val="00172F76"/>
    <w:rsid w:val="00177D3D"/>
    <w:rsid w:val="00180B61"/>
    <w:rsid w:val="00181F42"/>
    <w:rsid w:val="001853D2"/>
    <w:rsid w:val="00187C67"/>
    <w:rsid w:val="00193D26"/>
    <w:rsid w:val="00196594"/>
    <w:rsid w:val="001974FE"/>
    <w:rsid w:val="001A0DCA"/>
    <w:rsid w:val="001A20ED"/>
    <w:rsid w:val="001A4425"/>
    <w:rsid w:val="001A4749"/>
    <w:rsid w:val="001A4B28"/>
    <w:rsid w:val="001A618F"/>
    <w:rsid w:val="001A66FA"/>
    <w:rsid w:val="001A6B58"/>
    <w:rsid w:val="001B1DC7"/>
    <w:rsid w:val="001B4E90"/>
    <w:rsid w:val="001C061C"/>
    <w:rsid w:val="001C5BD8"/>
    <w:rsid w:val="001D03E0"/>
    <w:rsid w:val="001D3E12"/>
    <w:rsid w:val="001D49CA"/>
    <w:rsid w:val="001D5BA8"/>
    <w:rsid w:val="001D5BEE"/>
    <w:rsid w:val="001D6600"/>
    <w:rsid w:val="001D71C4"/>
    <w:rsid w:val="001E050D"/>
    <w:rsid w:val="001E08E0"/>
    <w:rsid w:val="001E28C2"/>
    <w:rsid w:val="001E2999"/>
    <w:rsid w:val="001E5CF1"/>
    <w:rsid w:val="001E6783"/>
    <w:rsid w:val="001E6A12"/>
    <w:rsid w:val="001F07D5"/>
    <w:rsid w:val="001F09C0"/>
    <w:rsid w:val="001F7586"/>
    <w:rsid w:val="002013ED"/>
    <w:rsid w:val="0020243E"/>
    <w:rsid w:val="002025FA"/>
    <w:rsid w:val="0020368F"/>
    <w:rsid w:val="00204478"/>
    <w:rsid w:val="00204B7C"/>
    <w:rsid w:val="00205854"/>
    <w:rsid w:val="00205923"/>
    <w:rsid w:val="0021009B"/>
    <w:rsid w:val="00210EFC"/>
    <w:rsid w:val="00212D24"/>
    <w:rsid w:val="00212FEC"/>
    <w:rsid w:val="00215688"/>
    <w:rsid w:val="002164CB"/>
    <w:rsid w:val="002220AE"/>
    <w:rsid w:val="002224F7"/>
    <w:rsid w:val="00233BC2"/>
    <w:rsid w:val="0023491C"/>
    <w:rsid w:val="002376EE"/>
    <w:rsid w:val="002421C8"/>
    <w:rsid w:val="00243E51"/>
    <w:rsid w:val="00243FFA"/>
    <w:rsid w:val="00244888"/>
    <w:rsid w:val="00244DE9"/>
    <w:rsid w:val="00246277"/>
    <w:rsid w:val="002466E4"/>
    <w:rsid w:val="0024721C"/>
    <w:rsid w:val="00247D54"/>
    <w:rsid w:val="00250795"/>
    <w:rsid w:val="00252010"/>
    <w:rsid w:val="002538F4"/>
    <w:rsid w:val="00255FB0"/>
    <w:rsid w:val="002634B9"/>
    <w:rsid w:val="002639EE"/>
    <w:rsid w:val="00265747"/>
    <w:rsid w:val="002657DC"/>
    <w:rsid w:val="002739C4"/>
    <w:rsid w:val="0027753D"/>
    <w:rsid w:val="00277EC6"/>
    <w:rsid w:val="0028008F"/>
    <w:rsid w:val="00285453"/>
    <w:rsid w:val="00286028"/>
    <w:rsid w:val="002908F9"/>
    <w:rsid w:val="00290BC9"/>
    <w:rsid w:val="00295318"/>
    <w:rsid w:val="0029636E"/>
    <w:rsid w:val="002A19EC"/>
    <w:rsid w:val="002A338A"/>
    <w:rsid w:val="002B5140"/>
    <w:rsid w:val="002B5E52"/>
    <w:rsid w:val="002B6B57"/>
    <w:rsid w:val="002B6E48"/>
    <w:rsid w:val="002B71E0"/>
    <w:rsid w:val="002C00CB"/>
    <w:rsid w:val="002C193C"/>
    <w:rsid w:val="002C5B76"/>
    <w:rsid w:val="002C6B0F"/>
    <w:rsid w:val="002C6D6D"/>
    <w:rsid w:val="002C7045"/>
    <w:rsid w:val="002C79B2"/>
    <w:rsid w:val="002C7E5D"/>
    <w:rsid w:val="002D0F54"/>
    <w:rsid w:val="002D1DCF"/>
    <w:rsid w:val="002D30E2"/>
    <w:rsid w:val="002D50E0"/>
    <w:rsid w:val="002D532E"/>
    <w:rsid w:val="002D66B7"/>
    <w:rsid w:val="002D6978"/>
    <w:rsid w:val="002D6A39"/>
    <w:rsid w:val="002D6BA2"/>
    <w:rsid w:val="002D7074"/>
    <w:rsid w:val="002E01F9"/>
    <w:rsid w:val="002E06C4"/>
    <w:rsid w:val="002E1155"/>
    <w:rsid w:val="002E672B"/>
    <w:rsid w:val="002F0F97"/>
    <w:rsid w:val="002F442B"/>
    <w:rsid w:val="002F65D4"/>
    <w:rsid w:val="00300B5C"/>
    <w:rsid w:val="003036A1"/>
    <w:rsid w:val="00305FF5"/>
    <w:rsid w:val="00306C71"/>
    <w:rsid w:val="00310A8E"/>
    <w:rsid w:val="00310E1F"/>
    <w:rsid w:val="0031351F"/>
    <w:rsid w:val="00314264"/>
    <w:rsid w:val="00317DE6"/>
    <w:rsid w:val="00320582"/>
    <w:rsid w:val="0032082E"/>
    <w:rsid w:val="00322122"/>
    <w:rsid w:val="003237CF"/>
    <w:rsid w:val="00323D02"/>
    <w:rsid w:val="00326DE7"/>
    <w:rsid w:val="003304C3"/>
    <w:rsid w:val="00330AB9"/>
    <w:rsid w:val="00332B8C"/>
    <w:rsid w:val="00334C4C"/>
    <w:rsid w:val="00337BBB"/>
    <w:rsid w:val="00337FBA"/>
    <w:rsid w:val="00342599"/>
    <w:rsid w:val="0034339E"/>
    <w:rsid w:val="00346053"/>
    <w:rsid w:val="00346762"/>
    <w:rsid w:val="003477B1"/>
    <w:rsid w:val="00350D80"/>
    <w:rsid w:val="00353FC5"/>
    <w:rsid w:val="00354F6B"/>
    <w:rsid w:val="0036190E"/>
    <w:rsid w:val="00361F51"/>
    <w:rsid w:val="0036230D"/>
    <w:rsid w:val="003648CA"/>
    <w:rsid w:val="003648E1"/>
    <w:rsid w:val="00365D07"/>
    <w:rsid w:val="00366073"/>
    <w:rsid w:val="00366DD7"/>
    <w:rsid w:val="00367EC9"/>
    <w:rsid w:val="00371909"/>
    <w:rsid w:val="00373E68"/>
    <w:rsid w:val="00374337"/>
    <w:rsid w:val="00375BE0"/>
    <w:rsid w:val="00376360"/>
    <w:rsid w:val="00380DEA"/>
    <w:rsid w:val="00381A5A"/>
    <w:rsid w:val="00384669"/>
    <w:rsid w:val="00394883"/>
    <w:rsid w:val="00394CBA"/>
    <w:rsid w:val="00397AFE"/>
    <w:rsid w:val="003A1086"/>
    <w:rsid w:val="003A1ED4"/>
    <w:rsid w:val="003A3E46"/>
    <w:rsid w:val="003A3E98"/>
    <w:rsid w:val="003A42AB"/>
    <w:rsid w:val="003A5E12"/>
    <w:rsid w:val="003A6B33"/>
    <w:rsid w:val="003A7004"/>
    <w:rsid w:val="003A72F9"/>
    <w:rsid w:val="003B300D"/>
    <w:rsid w:val="003B3101"/>
    <w:rsid w:val="003B35F0"/>
    <w:rsid w:val="003B4766"/>
    <w:rsid w:val="003C0490"/>
    <w:rsid w:val="003C1B3D"/>
    <w:rsid w:val="003C5F3D"/>
    <w:rsid w:val="003C6BA9"/>
    <w:rsid w:val="003C78DE"/>
    <w:rsid w:val="003D25F3"/>
    <w:rsid w:val="003D3A93"/>
    <w:rsid w:val="003D3B60"/>
    <w:rsid w:val="003D3EDF"/>
    <w:rsid w:val="003D63F9"/>
    <w:rsid w:val="003D747C"/>
    <w:rsid w:val="003E5967"/>
    <w:rsid w:val="003E6926"/>
    <w:rsid w:val="003E71B4"/>
    <w:rsid w:val="003F01BE"/>
    <w:rsid w:val="003F0689"/>
    <w:rsid w:val="003F2D2E"/>
    <w:rsid w:val="003F3E08"/>
    <w:rsid w:val="003F6E55"/>
    <w:rsid w:val="003F7207"/>
    <w:rsid w:val="00402599"/>
    <w:rsid w:val="00405E38"/>
    <w:rsid w:val="0040613F"/>
    <w:rsid w:val="004061E9"/>
    <w:rsid w:val="004068B8"/>
    <w:rsid w:val="00407A7F"/>
    <w:rsid w:val="00414B7E"/>
    <w:rsid w:val="00414C5C"/>
    <w:rsid w:val="00417E52"/>
    <w:rsid w:val="00420C53"/>
    <w:rsid w:val="004262BE"/>
    <w:rsid w:val="00427EB8"/>
    <w:rsid w:val="004314AA"/>
    <w:rsid w:val="00434243"/>
    <w:rsid w:val="00435A78"/>
    <w:rsid w:val="004416C2"/>
    <w:rsid w:val="004468AD"/>
    <w:rsid w:val="0045329A"/>
    <w:rsid w:val="00454040"/>
    <w:rsid w:val="0045554F"/>
    <w:rsid w:val="004569BA"/>
    <w:rsid w:val="004576B5"/>
    <w:rsid w:val="004579F3"/>
    <w:rsid w:val="00457CF9"/>
    <w:rsid w:val="004624FC"/>
    <w:rsid w:val="00466126"/>
    <w:rsid w:val="004668D4"/>
    <w:rsid w:val="00466F59"/>
    <w:rsid w:val="00467489"/>
    <w:rsid w:val="0046756C"/>
    <w:rsid w:val="0047005C"/>
    <w:rsid w:val="004714EC"/>
    <w:rsid w:val="004717D1"/>
    <w:rsid w:val="004724B0"/>
    <w:rsid w:val="0047362C"/>
    <w:rsid w:val="004737C5"/>
    <w:rsid w:val="0047537C"/>
    <w:rsid w:val="004801DF"/>
    <w:rsid w:val="004825D4"/>
    <w:rsid w:val="00482C89"/>
    <w:rsid w:val="00483D03"/>
    <w:rsid w:val="004851A5"/>
    <w:rsid w:val="004930FF"/>
    <w:rsid w:val="00493AA5"/>
    <w:rsid w:val="00493EE6"/>
    <w:rsid w:val="00494481"/>
    <w:rsid w:val="00494BA9"/>
    <w:rsid w:val="00495202"/>
    <w:rsid w:val="00495BE7"/>
    <w:rsid w:val="00496F69"/>
    <w:rsid w:val="004A2888"/>
    <w:rsid w:val="004A5263"/>
    <w:rsid w:val="004A6248"/>
    <w:rsid w:val="004A6AEC"/>
    <w:rsid w:val="004A6EDC"/>
    <w:rsid w:val="004A7BB8"/>
    <w:rsid w:val="004B00D1"/>
    <w:rsid w:val="004B274D"/>
    <w:rsid w:val="004B2798"/>
    <w:rsid w:val="004B54B7"/>
    <w:rsid w:val="004B5806"/>
    <w:rsid w:val="004C2334"/>
    <w:rsid w:val="004C319A"/>
    <w:rsid w:val="004C3FEF"/>
    <w:rsid w:val="004C45D4"/>
    <w:rsid w:val="004C5639"/>
    <w:rsid w:val="004C5D15"/>
    <w:rsid w:val="004D029B"/>
    <w:rsid w:val="004D03F9"/>
    <w:rsid w:val="004D483A"/>
    <w:rsid w:val="004D6D05"/>
    <w:rsid w:val="004E4907"/>
    <w:rsid w:val="004E69F0"/>
    <w:rsid w:val="004F48F3"/>
    <w:rsid w:val="004F5E82"/>
    <w:rsid w:val="004F7C62"/>
    <w:rsid w:val="00502972"/>
    <w:rsid w:val="00505A96"/>
    <w:rsid w:val="00505E77"/>
    <w:rsid w:val="00512B95"/>
    <w:rsid w:val="00516E6B"/>
    <w:rsid w:val="0052008D"/>
    <w:rsid w:val="00520EA8"/>
    <w:rsid w:val="0052128A"/>
    <w:rsid w:val="00522D68"/>
    <w:rsid w:val="005241CC"/>
    <w:rsid w:val="00524E37"/>
    <w:rsid w:val="00530692"/>
    <w:rsid w:val="00530DA4"/>
    <w:rsid w:val="00532230"/>
    <w:rsid w:val="00532AE6"/>
    <w:rsid w:val="005403FD"/>
    <w:rsid w:val="00541CDE"/>
    <w:rsid w:val="00543566"/>
    <w:rsid w:val="00547C6B"/>
    <w:rsid w:val="00550939"/>
    <w:rsid w:val="00551893"/>
    <w:rsid w:val="00552CB0"/>
    <w:rsid w:val="005657F9"/>
    <w:rsid w:val="00566182"/>
    <w:rsid w:val="00566532"/>
    <w:rsid w:val="00567000"/>
    <w:rsid w:val="00570600"/>
    <w:rsid w:val="00571F27"/>
    <w:rsid w:val="00572241"/>
    <w:rsid w:val="0057290F"/>
    <w:rsid w:val="00572FF8"/>
    <w:rsid w:val="00577478"/>
    <w:rsid w:val="00581B04"/>
    <w:rsid w:val="00582B50"/>
    <w:rsid w:val="00582E4F"/>
    <w:rsid w:val="00582F1E"/>
    <w:rsid w:val="00583F1B"/>
    <w:rsid w:val="00586100"/>
    <w:rsid w:val="00587F63"/>
    <w:rsid w:val="005907E3"/>
    <w:rsid w:val="00590A34"/>
    <w:rsid w:val="00590DAD"/>
    <w:rsid w:val="00591E00"/>
    <w:rsid w:val="00593A96"/>
    <w:rsid w:val="00594342"/>
    <w:rsid w:val="00596A7A"/>
    <w:rsid w:val="005976AF"/>
    <w:rsid w:val="00597948"/>
    <w:rsid w:val="00597C03"/>
    <w:rsid w:val="005A0B08"/>
    <w:rsid w:val="005A465B"/>
    <w:rsid w:val="005B0A88"/>
    <w:rsid w:val="005B31A7"/>
    <w:rsid w:val="005B7384"/>
    <w:rsid w:val="005C0CE6"/>
    <w:rsid w:val="005C30DD"/>
    <w:rsid w:val="005C79F2"/>
    <w:rsid w:val="005C7DD9"/>
    <w:rsid w:val="005D46C8"/>
    <w:rsid w:val="005D48A3"/>
    <w:rsid w:val="005D5232"/>
    <w:rsid w:val="005D6606"/>
    <w:rsid w:val="005D7644"/>
    <w:rsid w:val="005E0D88"/>
    <w:rsid w:val="005E0E61"/>
    <w:rsid w:val="005E236D"/>
    <w:rsid w:val="005E2498"/>
    <w:rsid w:val="005E331B"/>
    <w:rsid w:val="005E54E2"/>
    <w:rsid w:val="005F1C33"/>
    <w:rsid w:val="005F1F91"/>
    <w:rsid w:val="005F2295"/>
    <w:rsid w:val="005F2D7A"/>
    <w:rsid w:val="005F377C"/>
    <w:rsid w:val="005F4DA5"/>
    <w:rsid w:val="005F4F87"/>
    <w:rsid w:val="00605F4E"/>
    <w:rsid w:val="006122B1"/>
    <w:rsid w:val="006138E1"/>
    <w:rsid w:val="0061419A"/>
    <w:rsid w:val="00615A63"/>
    <w:rsid w:val="00616CB6"/>
    <w:rsid w:val="00616DCD"/>
    <w:rsid w:val="00617E3F"/>
    <w:rsid w:val="006223E9"/>
    <w:rsid w:val="00622DB0"/>
    <w:rsid w:val="00624E5D"/>
    <w:rsid w:val="0062600F"/>
    <w:rsid w:val="00626474"/>
    <w:rsid w:val="006277DF"/>
    <w:rsid w:val="006277EA"/>
    <w:rsid w:val="0062799B"/>
    <w:rsid w:val="00632DAA"/>
    <w:rsid w:val="00634661"/>
    <w:rsid w:val="006359DF"/>
    <w:rsid w:val="00635F58"/>
    <w:rsid w:val="006401C9"/>
    <w:rsid w:val="006439FE"/>
    <w:rsid w:val="0064517D"/>
    <w:rsid w:val="00646985"/>
    <w:rsid w:val="0065144A"/>
    <w:rsid w:val="0065483A"/>
    <w:rsid w:val="00657A43"/>
    <w:rsid w:val="00660F95"/>
    <w:rsid w:val="00661C77"/>
    <w:rsid w:val="0066284B"/>
    <w:rsid w:val="006632A4"/>
    <w:rsid w:val="00665950"/>
    <w:rsid w:val="00666633"/>
    <w:rsid w:val="0066720C"/>
    <w:rsid w:val="0067162F"/>
    <w:rsid w:val="00672D16"/>
    <w:rsid w:val="00673548"/>
    <w:rsid w:val="00675A2E"/>
    <w:rsid w:val="0068244E"/>
    <w:rsid w:val="00682807"/>
    <w:rsid w:val="006828FA"/>
    <w:rsid w:val="00684996"/>
    <w:rsid w:val="00684FC0"/>
    <w:rsid w:val="00691079"/>
    <w:rsid w:val="00692390"/>
    <w:rsid w:val="00692DEB"/>
    <w:rsid w:val="00694D05"/>
    <w:rsid w:val="00694D37"/>
    <w:rsid w:val="0069516E"/>
    <w:rsid w:val="006A1733"/>
    <w:rsid w:val="006A23B5"/>
    <w:rsid w:val="006A4831"/>
    <w:rsid w:val="006A55C2"/>
    <w:rsid w:val="006B3A5A"/>
    <w:rsid w:val="006C09E0"/>
    <w:rsid w:val="006C1BE1"/>
    <w:rsid w:val="006C26EE"/>
    <w:rsid w:val="006C507D"/>
    <w:rsid w:val="006C55A6"/>
    <w:rsid w:val="006C723B"/>
    <w:rsid w:val="006D0D8D"/>
    <w:rsid w:val="006D1507"/>
    <w:rsid w:val="006D6DB9"/>
    <w:rsid w:val="006E57B2"/>
    <w:rsid w:val="006E6040"/>
    <w:rsid w:val="006E7AAE"/>
    <w:rsid w:val="006F1071"/>
    <w:rsid w:val="006F5218"/>
    <w:rsid w:val="006F5768"/>
    <w:rsid w:val="006F6D49"/>
    <w:rsid w:val="006F7D27"/>
    <w:rsid w:val="00701067"/>
    <w:rsid w:val="00701789"/>
    <w:rsid w:val="00703EFD"/>
    <w:rsid w:val="007068A3"/>
    <w:rsid w:val="00707108"/>
    <w:rsid w:val="00707EAC"/>
    <w:rsid w:val="0071388C"/>
    <w:rsid w:val="00714E71"/>
    <w:rsid w:val="00715C67"/>
    <w:rsid w:val="00717ED6"/>
    <w:rsid w:val="00721E66"/>
    <w:rsid w:val="007241D9"/>
    <w:rsid w:val="0073111A"/>
    <w:rsid w:val="007319B2"/>
    <w:rsid w:val="00732795"/>
    <w:rsid w:val="00733027"/>
    <w:rsid w:val="0073332B"/>
    <w:rsid w:val="007336B5"/>
    <w:rsid w:val="00733894"/>
    <w:rsid w:val="00734652"/>
    <w:rsid w:val="00735126"/>
    <w:rsid w:val="0073519B"/>
    <w:rsid w:val="007362EB"/>
    <w:rsid w:val="00743359"/>
    <w:rsid w:val="007453BE"/>
    <w:rsid w:val="0075289B"/>
    <w:rsid w:val="007541EC"/>
    <w:rsid w:val="007565EE"/>
    <w:rsid w:val="007602D2"/>
    <w:rsid w:val="00763C30"/>
    <w:rsid w:val="00764FA1"/>
    <w:rsid w:val="007656C9"/>
    <w:rsid w:val="0077152A"/>
    <w:rsid w:val="007766C3"/>
    <w:rsid w:val="00776AE6"/>
    <w:rsid w:val="00780A82"/>
    <w:rsid w:val="0078208F"/>
    <w:rsid w:val="00783D95"/>
    <w:rsid w:val="00785247"/>
    <w:rsid w:val="00786E6B"/>
    <w:rsid w:val="0078731D"/>
    <w:rsid w:val="00787650"/>
    <w:rsid w:val="0079098A"/>
    <w:rsid w:val="00795B10"/>
    <w:rsid w:val="007A26DF"/>
    <w:rsid w:val="007A2731"/>
    <w:rsid w:val="007A3422"/>
    <w:rsid w:val="007A5404"/>
    <w:rsid w:val="007A5B2B"/>
    <w:rsid w:val="007A741E"/>
    <w:rsid w:val="007B2EB3"/>
    <w:rsid w:val="007B4969"/>
    <w:rsid w:val="007C2582"/>
    <w:rsid w:val="007C3E40"/>
    <w:rsid w:val="007C6AEB"/>
    <w:rsid w:val="007C6B9F"/>
    <w:rsid w:val="007C79A8"/>
    <w:rsid w:val="007D18A5"/>
    <w:rsid w:val="007D1942"/>
    <w:rsid w:val="007D195A"/>
    <w:rsid w:val="007D1FAA"/>
    <w:rsid w:val="007D2353"/>
    <w:rsid w:val="007D320A"/>
    <w:rsid w:val="007E1202"/>
    <w:rsid w:val="007E337B"/>
    <w:rsid w:val="007E5C6D"/>
    <w:rsid w:val="007E7629"/>
    <w:rsid w:val="007F108D"/>
    <w:rsid w:val="007F201B"/>
    <w:rsid w:val="007F3EF6"/>
    <w:rsid w:val="007F53BE"/>
    <w:rsid w:val="007F6C8D"/>
    <w:rsid w:val="008030B1"/>
    <w:rsid w:val="0080431C"/>
    <w:rsid w:val="0080476B"/>
    <w:rsid w:val="00805CD9"/>
    <w:rsid w:val="00805F01"/>
    <w:rsid w:val="00810A17"/>
    <w:rsid w:val="008112D7"/>
    <w:rsid w:val="00813C1E"/>
    <w:rsid w:val="008144AC"/>
    <w:rsid w:val="0081610A"/>
    <w:rsid w:val="00820CBC"/>
    <w:rsid w:val="00821331"/>
    <w:rsid w:val="0082559C"/>
    <w:rsid w:val="008265B2"/>
    <w:rsid w:val="00826BFB"/>
    <w:rsid w:val="00842088"/>
    <w:rsid w:val="00843D62"/>
    <w:rsid w:val="008450A2"/>
    <w:rsid w:val="00851821"/>
    <w:rsid w:val="00854F13"/>
    <w:rsid w:val="00855666"/>
    <w:rsid w:val="008708C4"/>
    <w:rsid w:val="00873328"/>
    <w:rsid w:val="008739AB"/>
    <w:rsid w:val="00874030"/>
    <w:rsid w:val="008753DB"/>
    <w:rsid w:val="00881AD9"/>
    <w:rsid w:val="008838E0"/>
    <w:rsid w:val="00884BD5"/>
    <w:rsid w:val="00885E68"/>
    <w:rsid w:val="00887F62"/>
    <w:rsid w:val="00890050"/>
    <w:rsid w:val="00891287"/>
    <w:rsid w:val="00892B06"/>
    <w:rsid w:val="008951B4"/>
    <w:rsid w:val="008A176B"/>
    <w:rsid w:val="008A3F08"/>
    <w:rsid w:val="008A516F"/>
    <w:rsid w:val="008B03E9"/>
    <w:rsid w:val="008B06C5"/>
    <w:rsid w:val="008B1DC8"/>
    <w:rsid w:val="008B3042"/>
    <w:rsid w:val="008B3A2F"/>
    <w:rsid w:val="008B4480"/>
    <w:rsid w:val="008B6860"/>
    <w:rsid w:val="008B6FB8"/>
    <w:rsid w:val="008C0FD0"/>
    <w:rsid w:val="008C154F"/>
    <w:rsid w:val="008C2337"/>
    <w:rsid w:val="008C4160"/>
    <w:rsid w:val="008C4413"/>
    <w:rsid w:val="008C59E2"/>
    <w:rsid w:val="008C6D20"/>
    <w:rsid w:val="008D0DB3"/>
    <w:rsid w:val="008D0FA4"/>
    <w:rsid w:val="008D19CE"/>
    <w:rsid w:val="008D2055"/>
    <w:rsid w:val="008D2ABF"/>
    <w:rsid w:val="008D596E"/>
    <w:rsid w:val="008D795B"/>
    <w:rsid w:val="008D7FF2"/>
    <w:rsid w:val="008E0F01"/>
    <w:rsid w:val="008E19A6"/>
    <w:rsid w:val="008E289A"/>
    <w:rsid w:val="008E2ACD"/>
    <w:rsid w:val="008E30D5"/>
    <w:rsid w:val="008E3BA4"/>
    <w:rsid w:val="008E53EE"/>
    <w:rsid w:val="008E6E74"/>
    <w:rsid w:val="008F1C7F"/>
    <w:rsid w:val="008F36FF"/>
    <w:rsid w:val="008F3F79"/>
    <w:rsid w:val="008F49E3"/>
    <w:rsid w:val="00900385"/>
    <w:rsid w:val="00902FE6"/>
    <w:rsid w:val="0090366E"/>
    <w:rsid w:val="00906A39"/>
    <w:rsid w:val="00911017"/>
    <w:rsid w:val="00915100"/>
    <w:rsid w:val="00921FD3"/>
    <w:rsid w:val="0092234B"/>
    <w:rsid w:val="0092303F"/>
    <w:rsid w:val="009269E5"/>
    <w:rsid w:val="009315A5"/>
    <w:rsid w:val="009331D1"/>
    <w:rsid w:val="00934CDE"/>
    <w:rsid w:val="00941992"/>
    <w:rsid w:val="009426D4"/>
    <w:rsid w:val="0094407A"/>
    <w:rsid w:val="00946869"/>
    <w:rsid w:val="009473BC"/>
    <w:rsid w:val="00947585"/>
    <w:rsid w:val="0095280D"/>
    <w:rsid w:val="009538E5"/>
    <w:rsid w:val="00953BC3"/>
    <w:rsid w:val="009546FC"/>
    <w:rsid w:val="00954952"/>
    <w:rsid w:val="009565F1"/>
    <w:rsid w:val="0096059B"/>
    <w:rsid w:val="00962AE0"/>
    <w:rsid w:val="0096509A"/>
    <w:rsid w:val="009660A8"/>
    <w:rsid w:val="00970C04"/>
    <w:rsid w:val="00970F07"/>
    <w:rsid w:val="0097572B"/>
    <w:rsid w:val="00981DE3"/>
    <w:rsid w:val="009835FD"/>
    <w:rsid w:val="0098378A"/>
    <w:rsid w:val="00983BC6"/>
    <w:rsid w:val="00984D41"/>
    <w:rsid w:val="009932A6"/>
    <w:rsid w:val="00995253"/>
    <w:rsid w:val="009A28AC"/>
    <w:rsid w:val="009A364D"/>
    <w:rsid w:val="009A3943"/>
    <w:rsid w:val="009A4D59"/>
    <w:rsid w:val="009A75AE"/>
    <w:rsid w:val="009B04BF"/>
    <w:rsid w:val="009B4EC3"/>
    <w:rsid w:val="009B546B"/>
    <w:rsid w:val="009B66F5"/>
    <w:rsid w:val="009C1AE1"/>
    <w:rsid w:val="009C28DC"/>
    <w:rsid w:val="009C3A9D"/>
    <w:rsid w:val="009C6A23"/>
    <w:rsid w:val="009C7F18"/>
    <w:rsid w:val="009D55E4"/>
    <w:rsid w:val="009D6431"/>
    <w:rsid w:val="009D694C"/>
    <w:rsid w:val="009D7F5C"/>
    <w:rsid w:val="009E0BB2"/>
    <w:rsid w:val="009E1049"/>
    <w:rsid w:val="009E1132"/>
    <w:rsid w:val="009E52B2"/>
    <w:rsid w:val="009E5492"/>
    <w:rsid w:val="009E60BF"/>
    <w:rsid w:val="009F1228"/>
    <w:rsid w:val="009F1CCD"/>
    <w:rsid w:val="009F64A0"/>
    <w:rsid w:val="009F66D4"/>
    <w:rsid w:val="00A01376"/>
    <w:rsid w:val="00A02074"/>
    <w:rsid w:val="00A04564"/>
    <w:rsid w:val="00A04797"/>
    <w:rsid w:val="00A04935"/>
    <w:rsid w:val="00A05897"/>
    <w:rsid w:val="00A1087C"/>
    <w:rsid w:val="00A129C8"/>
    <w:rsid w:val="00A12B3D"/>
    <w:rsid w:val="00A14BC3"/>
    <w:rsid w:val="00A156FC"/>
    <w:rsid w:val="00A234F4"/>
    <w:rsid w:val="00A23CA8"/>
    <w:rsid w:val="00A25B60"/>
    <w:rsid w:val="00A2680E"/>
    <w:rsid w:val="00A3476E"/>
    <w:rsid w:val="00A35A22"/>
    <w:rsid w:val="00A37CB8"/>
    <w:rsid w:val="00A43269"/>
    <w:rsid w:val="00A4502A"/>
    <w:rsid w:val="00A47FF2"/>
    <w:rsid w:val="00A52E62"/>
    <w:rsid w:val="00A55DEC"/>
    <w:rsid w:val="00A6222D"/>
    <w:rsid w:val="00A64C1B"/>
    <w:rsid w:val="00A65D08"/>
    <w:rsid w:val="00A67880"/>
    <w:rsid w:val="00A710CD"/>
    <w:rsid w:val="00A73015"/>
    <w:rsid w:val="00A74F19"/>
    <w:rsid w:val="00A75008"/>
    <w:rsid w:val="00A760F8"/>
    <w:rsid w:val="00A812C8"/>
    <w:rsid w:val="00A82FC2"/>
    <w:rsid w:val="00A85004"/>
    <w:rsid w:val="00A8776D"/>
    <w:rsid w:val="00A904DE"/>
    <w:rsid w:val="00A91462"/>
    <w:rsid w:val="00A91E1E"/>
    <w:rsid w:val="00A9346F"/>
    <w:rsid w:val="00A95748"/>
    <w:rsid w:val="00A960BE"/>
    <w:rsid w:val="00AA2803"/>
    <w:rsid w:val="00AA2F1F"/>
    <w:rsid w:val="00AA544F"/>
    <w:rsid w:val="00AA5CD3"/>
    <w:rsid w:val="00AB06E8"/>
    <w:rsid w:val="00AB259E"/>
    <w:rsid w:val="00AB267A"/>
    <w:rsid w:val="00AB3572"/>
    <w:rsid w:val="00AB48FA"/>
    <w:rsid w:val="00AB5DF9"/>
    <w:rsid w:val="00AB61CA"/>
    <w:rsid w:val="00AB71A3"/>
    <w:rsid w:val="00AC3EFE"/>
    <w:rsid w:val="00AC5600"/>
    <w:rsid w:val="00AC5C19"/>
    <w:rsid w:val="00AC6D99"/>
    <w:rsid w:val="00AC7E70"/>
    <w:rsid w:val="00AD51AB"/>
    <w:rsid w:val="00AD6EE1"/>
    <w:rsid w:val="00AD7D21"/>
    <w:rsid w:val="00AE115F"/>
    <w:rsid w:val="00AE2388"/>
    <w:rsid w:val="00AE2794"/>
    <w:rsid w:val="00AE30E5"/>
    <w:rsid w:val="00AE398C"/>
    <w:rsid w:val="00AE4058"/>
    <w:rsid w:val="00AE51CF"/>
    <w:rsid w:val="00AE647D"/>
    <w:rsid w:val="00AF0E3E"/>
    <w:rsid w:val="00AF1B38"/>
    <w:rsid w:val="00AF6117"/>
    <w:rsid w:val="00AF71E2"/>
    <w:rsid w:val="00B01B84"/>
    <w:rsid w:val="00B0535C"/>
    <w:rsid w:val="00B055D4"/>
    <w:rsid w:val="00B06105"/>
    <w:rsid w:val="00B0676E"/>
    <w:rsid w:val="00B10071"/>
    <w:rsid w:val="00B11440"/>
    <w:rsid w:val="00B135DC"/>
    <w:rsid w:val="00B1487B"/>
    <w:rsid w:val="00B21E05"/>
    <w:rsid w:val="00B220BC"/>
    <w:rsid w:val="00B26170"/>
    <w:rsid w:val="00B333A8"/>
    <w:rsid w:val="00B33A15"/>
    <w:rsid w:val="00B340C9"/>
    <w:rsid w:val="00B37A15"/>
    <w:rsid w:val="00B404BA"/>
    <w:rsid w:val="00B46DD7"/>
    <w:rsid w:val="00B51E9B"/>
    <w:rsid w:val="00B5374C"/>
    <w:rsid w:val="00B56385"/>
    <w:rsid w:val="00B60A99"/>
    <w:rsid w:val="00B60F3B"/>
    <w:rsid w:val="00B702B7"/>
    <w:rsid w:val="00B74E6D"/>
    <w:rsid w:val="00B75C3F"/>
    <w:rsid w:val="00B77567"/>
    <w:rsid w:val="00B811E5"/>
    <w:rsid w:val="00B81377"/>
    <w:rsid w:val="00B81E15"/>
    <w:rsid w:val="00B825BF"/>
    <w:rsid w:val="00B83E99"/>
    <w:rsid w:val="00B914F1"/>
    <w:rsid w:val="00B95332"/>
    <w:rsid w:val="00BA2EA2"/>
    <w:rsid w:val="00BA537B"/>
    <w:rsid w:val="00BA7454"/>
    <w:rsid w:val="00BB380B"/>
    <w:rsid w:val="00BB715E"/>
    <w:rsid w:val="00BC4CBB"/>
    <w:rsid w:val="00BD515A"/>
    <w:rsid w:val="00BD58C3"/>
    <w:rsid w:val="00BD6EEA"/>
    <w:rsid w:val="00BE23EB"/>
    <w:rsid w:val="00BE2AEF"/>
    <w:rsid w:val="00BF0929"/>
    <w:rsid w:val="00BF16D6"/>
    <w:rsid w:val="00BF6814"/>
    <w:rsid w:val="00BF719C"/>
    <w:rsid w:val="00BF7FAE"/>
    <w:rsid w:val="00C01DE3"/>
    <w:rsid w:val="00C03279"/>
    <w:rsid w:val="00C04289"/>
    <w:rsid w:val="00C04F16"/>
    <w:rsid w:val="00C06A66"/>
    <w:rsid w:val="00C06C86"/>
    <w:rsid w:val="00C11430"/>
    <w:rsid w:val="00C124B5"/>
    <w:rsid w:val="00C12878"/>
    <w:rsid w:val="00C16585"/>
    <w:rsid w:val="00C176EE"/>
    <w:rsid w:val="00C20B25"/>
    <w:rsid w:val="00C23424"/>
    <w:rsid w:val="00C257EE"/>
    <w:rsid w:val="00C2627A"/>
    <w:rsid w:val="00C264CF"/>
    <w:rsid w:val="00C26A0C"/>
    <w:rsid w:val="00C3145E"/>
    <w:rsid w:val="00C31D3F"/>
    <w:rsid w:val="00C335DE"/>
    <w:rsid w:val="00C34672"/>
    <w:rsid w:val="00C34E62"/>
    <w:rsid w:val="00C36851"/>
    <w:rsid w:val="00C41E43"/>
    <w:rsid w:val="00C42B2C"/>
    <w:rsid w:val="00C46F00"/>
    <w:rsid w:val="00C47B07"/>
    <w:rsid w:val="00C51DBA"/>
    <w:rsid w:val="00C65FDF"/>
    <w:rsid w:val="00C666EA"/>
    <w:rsid w:val="00C66A63"/>
    <w:rsid w:val="00C66E4E"/>
    <w:rsid w:val="00C7079A"/>
    <w:rsid w:val="00C75266"/>
    <w:rsid w:val="00C76AA6"/>
    <w:rsid w:val="00C778EC"/>
    <w:rsid w:val="00C82E57"/>
    <w:rsid w:val="00C8310C"/>
    <w:rsid w:val="00C91512"/>
    <w:rsid w:val="00C95542"/>
    <w:rsid w:val="00C95997"/>
    <w:rsid w:val="00C95EE8"/>
    <w:rsid w:val="00C96058"/>
    <w:rsid w:val="00C97893"/>
    <w:rsid w:val="00CA2B0C"/>
    <w:rsid w:val="00CA7185"/>
    <w:rsid w:val="00CA7A11"/>
    <w:rsid w:val="00CB0F32"/>
    <w:rsid w:val="00CB2A68"/>
    <w:rsid w:val="00CB2DB1"/>
    <w:rsid w:val="00CB37CE"/>
    <w:rsid w:val="00CB4953"/>
    <w:rsid w:val="00CC1156"/>
    <w:rsid w:val="00CC2285"/>
    <w:rsid w:val="00CC27D7"/>
    <w:rsid w:val="00CD021E"/>
    <w:rsid w:val="00CD10AD"/>
    <w:rsid w:val="00CD1551"/>
    <w:rsid w:val="00CD363D"/>
    <w:rsid w:val="00CD3D4E"/>
    <w:rsid w:val="00CD5DE8"/>
    <w:rsid w:val="00CD643C"/>
    <w:rsid w:val="00CD7A66"/>
    <w:rsid w:val="00CD7E70"/>
    <w:rsid w:val="00CE24E5"/>
    <w:rsid w:val="00CF42BD"/>
    <w:rsid w:val="00CF49CE"/>
    <w:rsid w:val="00CF57E5"/>
    <w:rsid w:val="00CF57F4"/>
    <w:rsid w:val="00CF6450"/>
    <w:rsid w:val="00CF6CB4"/>
    <w:rsid w:val="00CF745F"/>
    <w:rsid w:val="00D000B5"/>
    <w:rsid w:val="00D007A8"/>
    <w:rsid w:val="00D00966"/>
    <w:rsid w:val="00D0158A"/>
    <w:rsid w:val="00D0293D"/>
    <w:rsid w:val="00D06D56"/>
    <w:rsid w:val="00D07C6B"/>
    <w:rsid w:val="00D11ECA"/>
    <w:rsid w:val="00D15B05"/>
    <w:rsid w:val="00D175A2"/>
    <w:rsid w:val="00D2177E"/>
    <w:rsid w:val="00D24228"/>
    <w:rsid w:val="00D24F0E"/>
    <w:rsid w:val="00D25977"/>
    <w:rsid w:val="00D26121"/>
    <w:rsid w:val="00D3167C"/>
    <w:rsid w:val="00D32752"/>
    <w:rsid w:val="00D340E4"/>
    <w:rsid w:val="00D34878"/>
    <w:rsid w:val="00D4275C"/>
    <w:rsid w:val="00D50BCD"/>
    <w:rsid w:val="00D50C16"/>
    <w:rsid w:val="00D5234E"/>
    <w:rsid w:val="00D53328"/>
    <w:rsid w:val="00D54C6E"/>
    <w:rsid w:val="00D5584A"/>
    <w:rsid w:val="00D56FE9"/>
    <w:rsid w:val="00D57670"/>
    <w:rsid w:val="00D57EC7"/>
    <w:rsid w:val="00D602A5"/>
    <w:rsid w:val="00D6207A"/>
    <w:rsid w:val="00D64CEA"/>
    <w:rsid w:val="00D70996"/>
    <w:rsid w:val="00D739ED"/>
    <w:rsid w:val="00D76BA4"/>
    <w:rsid w:val="00D8058A"/>
    <w:rsid w:val="00D80620"/>
    <w:rsid w:val="00D80B15"/>
    <w:rsid w:val="00D80F25"/>
    <w:rsid w:val="00D81DD3"/>
    <w:rsid w:val="00D82BDB"/>
    <w:rsid w:val="00D842FD"/>
    <w:rsid w:val="00D8733B"/>
    <w:rsid w:val="00D87876"/>
    <w:rsid w:val="00D94206"/>
    <w:rsid w:val="00D9605F"/>
    <w:rsid w:val="00D96AA7"/>
    <w:rsid w:val="00D96C95"/>
    <w:rsid w:val="00D97ADA"/>
    <w:rsid w:val="00D97C49"/>
    <w:rsid w:val="00D97D9D"/>
    <w:rsid w:val="00DA0B1E"/>
    <w:rsid w:val="00DA113E"/>
    <w:rsid w:val="00DA21F5"/>
    <w:rsid w:val="00DA2BC7"/>
    <w:rsid w:val="00DA30D1"/>
    <w:rsid w:val="00DA4629"/>
    <w:rsid w:val="00DA7C0D"/>
    <w:rsid w:val="00DB043D"/>
    <w:rsid w:val="00DB167A"/>
    <w:rsid w:val="00DB400B"/>
    <w:rsid w:val="00DB5641"/>
    <w:rsid w:val="00DB5A14"/>
    <w:rsid w:val="00DB7202"/>
    <w:rsid w:val="00DC1FF8"/>
    <w:rsid w:val="00DC3489"/>
    <w:rsid w:val="00DC44FC"/>
    <w:rsid w:val="00DC612C"/>
    <w:rsid w:val="00DD050F"/>
    <w:rsid w:val="00DD1CC6"/>
    <w:rsid w:val="00DD45A5"/>
    <w:rsid w:val="00DD7623"/>
    <w:rsid w:val="00DE045F"/>
    <w:rsid w:val="00DE0DB3"/>
    <w:rsid w:val="00DE1E01"/>
    <w:rsid w:val="00DE2B77"/>
    <w:rsid w:val="00DE33BA"/>
    <w:rsid w:val="00DE46BB"/>
    <w:rsid w:val="00DE692D"/>
    <w:rsid w:val="00DF0228"/>
    <w:rsid w:val="00DF03AF"/>
    <w:rsid w:val="00DF2666"/>
    <w:rsid w:val="00DF31C3"/>
    <w:rsid w:val="00DF4A39"/>
    <w:rsid w:val="00DF4B71"/>
    <w:rsid w:val="00DF6845"/>
    <w:rsid w:val="00E0309A"/>
    <w:rsid w:val="00E03AEC"/>
    <w:rsid w:val="00E07D6F"/>
    <w:rsid w:val="00E13026"/>
    <w:rsid w:val="00E13999"/>
    <w:rsid w:val="00E15D0F"/>
    <w:rsid w:val="00E16489"/>
    <w:rsid w:val="00E20311"/>
    <w:rsid w:val="00E237E1"/>
    <w:rsid w:val="00E24571"/>
    <w:rsid w:val="00E26003"/>
    <w:rsid w:val="00E27982"/>
    <w:rsid w:val="00E34BD2"/>
    <w:rsid w:val="00E34D32"/>
    <w:rsid w:val="00E36AE7"/>
    <w:rsid w:val="00E40531"/>
    <w:rsid w:val="00E40FDA"/>
    <w:rsid w:val="00E414FF"/>
    <w:rsid w:val="00E417FB"/>
    <w:rsid w:val="00E4180E"/>
    <w:rsid w:val="00E42F10"/>
    <w:rsid w:val="00E4475F"/>
    <w:rsid w:val="00E459F9"/>
    <w:rsid w:val="00E46D4C"/>
    <w:rsid w:val="00E504FB"/>
    <w:rsid w:val="00E5265C"/>
    <w:rsid w:val="00E52A96"/>
    <w:rsid w:val="00E54029"/>
    <w:rsid w:val="00E56590"/>
    <w:rsid w:val="00E6007B"/>
    <w:rsid w:val="00E611EC"/>
    <w:rsid w:val="00E61845"/>
    <w:rsid w:val="00E61991"/>
    <w:rsid w:val="00E641EE"/>
    <w:rsid w:val="00E65560"/>
    <w:rsid w:val="00E66925"/>
    <w:rsid w:val="00E72522"/>
    <w:rsid w:val="00E73597"/>
    <w:rsid w:val="00E76165"/>
    <w:rsid w:val="00E775E6"/>
    <w:rsid w:val="00E80537"/>
    <w:rsid w:val="00E8123F"/>
    <w:rsid w:val="00E82E51"/>
    <w:rsid w:val="00E8604E"/>
    <w:rsid w:val="00E865CF"/>
    <w:rsid w:val="00E867B0"/>
    <w:rsid w:val="00E90D92"/>
    <w:rsid w:val="00E93BDB"/>
    <w:rsid w:val="00E95071"/>
    <w:rsid w:val="00E9710E"/>
    <w:rsid w:val="00EA1927"/>
    <w:rsid w:val="00EA7E44"/>
    <w:rsid w:val="00EB317F"/>
    <w:rsid w:val="00EB426D"/>
    <w:rsid w:val="00EB563E"/>
    <w:rsid w:val="00EB582D"/>
    <w:rsid w:val="00EB67CB"/>
    <w:rsid w:val="00EB7DA0"/>
    <w:rsid w:val="00EB7F42"/>
    <w:rsid w:val="00EC11F5"/>
    <w:rsid w:val="00EC7CC6"/>
    <w:rsid w:val="00ED11E3"/>
    <w:rsid w:val="00ED1566"/>
    <w:rsid w:val="00ED1F88"/>
    <w:rsid w:val="00ED621D"/>
    <w:rsid w:val="00ED77A5"/>
    <w:rsid w:val="00EE0474"/>
    <w:rsid w:val="00EE0ED1"/>
    <w:rsid w:val="00EE1159"/>
    <w:rsid w:val="00EE2447"/>
    <w:rsid w:val="00EE31B8"/>
    <w:rsid w:val="00EE658D"/>
    <w:rsid w:val="00EF0138"/>
    <w:rsid w:val="00EF1F81"/>
    <w:rsid w:val="00EF2492"/>
    <w:rsid w:val="00EF38D7"/>
    <w:rsid w:val="00EF38EC"/>
    <w:rsid w:val="00EF6D7F"/>
    <w:rsid w:val="00EF6DEB"/>
    <w:rsid w:val="00F01A27"/>
    <w:rsid w:val="00F01C24"/>
    <w:rsid w:val="00F0449E"/>
    <w:rsid w:val="00F0472E"/>
    <w:rsid w:val="00F0694B"/>
    <w:rsid w:val="00F06998"/>
    <w:rsid w:val="00F1182F"/>
    <w:rsid w:val="00F11F32"/>
    <w:rsid w:val="00F14DF5"/>
    <w:rsid w:val="00F14EEF"/>
    <w:rsid w:val="00F1645F"/>
    <w:rsid w:val="00F2040D"/>
    <w:rsid w:val="00F20B81"/>
    <w:rsid w:val="00F20D3B"/>
    <w:rsid w:val="00F240B4"/>
    <w:rsid w:val="00F251BB"/>
    <w:rsid w:val="00F30069"/>
    <w:rsid w:val="00F31425"/>
    <w:rsid w:val="00F314D8"/>
    <w:rsid w:val="00F32763"/>
    <w:rsid w:val="00F328C1"/>
    <w:rsid w:val="00F32FE2"/>
    <w:rsid w:val="00F346AF"/>
    <w:rsid w:val="00F34EA6"/>
    <w:rsid w:val="00F35146"/>
    <w:rsid w:val="00F35A7C"/>
    <w:rsid w:val="00F365CD"/>
    <w:rsid w:val="00F40554"/>
    <w:rsid w:val="00F44D91"/>
    <w:rsid w:val="00F45F99"/>
    <w:rsid w:val="00F51EB4"/>
    <w:rsid w:val="00F53D9E"/>
    <w:rsid w:val="00F57A2C"/>
    <w:rsid w:val="00F57E81"/>
    <w:rsid w:val="00F57F54"/>
    <w:rsid w:val="00F60A5D"/>
    <w:rsid w:val="00F67BF6"/>
    <w:rsid w:val="00F70838"/>
    <w:rsid w:val="00F72EA9"/>
    <w:rsid w:val="00F73E92"/>
    <w:rsid w:val="00F74556"/>
    <w:rsid w:val="00F76637"/>
    <w:rsid w:val="00F90B64"/>
    <w:rsid w:val="00F926F9"/>
    <w:rsid w:val="00F927CC"/>
    <w:rsid w:val="00F92D94"/>
    <w:rsid w:val="00FA01DE"/>
    <w:rsid w:val="00FA32C8"/>
    <w:rsid w:val="00FA4142"/>
    <w:rsid w:val="00FA5673"/>
    <w:rsid w:val="00FA7E91"/>
    <w:rsid w:val="00FB016A"/>
    <w:rsid w:val="00FB2CA5"/>
    <w:rsid w:val="00FB521C"/>
    <w:rsid w:val="00FB5516"/>
    <w:rsid w:val="00FB6153"/>
    <w:rsid w:val="00FB680D"/>
    <w:rsid w:val="00FC3825"/>
    <w:rsid w:val="00FC3E9F"/>
    <w:rsid w:val="00FC4B40"/>
    <w:rsid w:val="00FC79EA"/>
    <w:rsid w:val="00FD2246"/>
    <w:rsid w:val="00FE15BD"/>
    <w:rsid w:val="00FE3827"/>
    <w:rsid w:val="00FE6716"/>
    <w:rsid w:val="00FE7AA4"/>
    <w:rsid w:val="00FF01BA"/>
    <w:rsid w:val="00FF0BC4"/>
    <w:rsid w:val="00FF17A7"/>
    <w:rsid w:val="00FF682F"/>
    <w:rsid w:val="00FF7069"/>
    <w:rsid w:val="00FF786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3C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14D8"/>
    <w:pPr>
      <w:spacing w:after="120"/>
      <w:ind w:firstLine="0"/>
      <w:jc w:val="both"/>
    </w:pPr>
    <w:rPr>
      <w:sz w:val="21"/>
    </w:rPr>
  </w:style>
  <w:style w:type="paragraph" w:styleId="Nadpis1">
    <w:name w:val="heading 1"/>
    <w:basedOn w:val="Normln"/>
    <w:next w:val="Normln"/>
    <w:link w:val="Nadpis1Char"/>
    <w:uiPriority w:val="9"/>
    <w:qFormat/>
    <w:rsid w:val="002639EE"/>
    <w:pPr>
      <w:spacing w:before="600" w:after="480"/>
      <w:jc w:val="center"/>
      <w:outlineLvl w:val="0"/>
    </w:pPr>
    <w:rPr>
      <w:rFonts w:asciiTheme="majorHAnsi" w:eastAsiaTheme="majorEastAsia" w:hAnsiTheme="majorHAnsi" w:cstheme="majorBidi"/>
      <w:b/>
      <w:bCs/>
      <w:color w:val="9D3511" w:themeColor="accent1" w:themeShade="BF"/>
      <w:sz w:val="30"/>
      <w:szCs w:val="24"/>
    </w:rPr>
  </w:style>
  <w:style w:type="paragraph" w:styleId="Nadpis2">
    <w:name w:val="heading 2"/>
    <w:basedOn w:val="Normln"/>
    <w:next w:val="Normln"/>
    <w:link w:val="Nadpis2Char"/>
    <w:uiPriority w:val="9"/>
    <w:unhideWhenUsed/>
    <w:qFormat/>
    <w:rsid w:val="002639EE"/>
    <w:pPr>
      <w:spacing w:before="480" w:after="360"/>
      <w:outlineLvl w:val="1"/>
    </w:pPr>
    <w:rPr>
      <w:rFonts w:asciiTheme="majorHAnsi" w:eastAsiaTheme="majorEastAsia" w:hAnsiTheme="majorHAnsi" w:cstheme="majorBidi"/>
      <w:b/>
      <w:color w:val="9D3511" w:themeColor="accent1" w:themeShade="BF"/>
      <w:sz w:val="28"/>
      <w:szCs w:val="24"/>
    </w:rPr>
  </w:style>
  <w:style w:type="paragraph" w:styleId="Nadpis3">
    <w:name w:val="heading 3"/>
    <w:basedOn w:val="Normln"/>
    <w:next w:val="Normln"/>
    <w:link w:val="Nadpis3Char"/>
    <w:uiPriority w:val="9"/>
    <w:unhideWhenUsed/>
    <w:qFormat/>
    <w:rsid w:val="00ED621D"/>
    <w:pPr>
      <w:spacing w:before="360" w:after="160"/>
      <w:outlineLvl w:val="2"/>
    </w:pPr>
    <w:rPr>
      <w:rFonts w:asciiTheme="majorHAnsi" w:eastAsiaTheme="majorEastAsia" w:hAnsiTheme="majorHAnsi" w:cstheme="majorBidi"/>
      <w:b/>
      <w:color w:val="AF0101"/>
      <w:sz w:val="24"/>
      <w:szCs w:val="24"/>
    </w:rPr>
  </w:style>
  <w:style w:type="paragraph" w:styleId="Nadpis4">
    <w:name w:val="heading 4"/>
    <w:basedOn w:val="Normln"/>
    <w:next w:val="Normln"/>
    <w:link w:val="Nadpis4Char"/>
    <w:uiPriority w:val="9"/>
    <w:unhideWhenUsed/>
    <w:qFormat/>
    <w:rsid w:val="00ED621D"/>
    <w:pPr>
      <w:spacing w:before="200" w:after="80"/>
      <w:outlineLvl w:val="3"/>
    </w:pPr>
    <w:rPr>
      <w:rFonts w:asciiTheme="majorHAnsi" w:eastAsiaTheme="majorEastAsia" w:hAnsiTheme="majorHAnsi" w:cstheme="majorBidi"/>
      <w:b/>
      <w:i/>
      <w:iCs/>
      <w:color w:val="D41616"/>
      <w:szCs w:val="24"/>
    </w:rPr>
  </w:style>
  <w:style w:type="paragraph" w:styleId="Nadpis5">
    <w:name w:val="heading 5"/>
    <w:basedOn w:val="Normln"/>
    <w:next w:val="Normln"/>
    <w:link w:val="Nadpis5Char"/>
    <w:uiPriority w:val="9"/>
    <w:unhideWhenUsed/>
    <w:qFormat/>
    <w:rsid w:val="00946869"/>
    <w:pPr>
      <w:spacing w:before="200" w:after="80"/>
      <w:outlineLvl w:val="4"/>
    </w:pPr>
    <w:rPr>
      <w:rFonts w:asciiTheme="majorHAnsi" w:eastAsiaTheme="majorEastAsia" w:hAnsiTheme="majorHAnsi" w:cstheme="majorBidi"/>
      <w:color w:val="D34817" w:themeColor="accent1"/>
    </w:rPr>
  </w:style>
  <w:style w:type="paragraph" w:styleId="Nadpis6">
    <w:name w:val="heading 6"/>
    <w:basedOn w:val="Normln"/>
    <w:next w:val="Normln"/>
    <w:link w:val="Nadpis6Char"/>
    <w:uiPriority w:val="9"/>
    <w:unhideWhenUsed/>
    <w:qFormat/>
    <w:rsid w:val="00946869"/>
    <w:pPr>
      <w:spacing w:before="280" w:after="100"/>
      <w:outlineLvl w:val="5"/>
    </w:pPr>
    <w:rPr>
      <w:rFonts w:asciiTheme="majorHAnsi" w:eastAsiaTheme="majorEastAsia" w:hAnsiTheme="majorHAnsi" w:cstheme="majorBidi"/>
      <w:i/>
      <w:iCs/>
      <w:color w:val="D34817" w:themeColor="accent1"/>
    </w:rPr>
  </w:style>
  <w:style w:type="paragraph" w:styleId="Nadpis7">
    <w:name w:val="heading 7"/>
    <w:basedOn w:val="Normln"/>
    <w:next w:val="Normln"/>
    <w:link w:val="Nadpis7Char"/>
    <w:uiPriority w:val="9"/>
    <w:unhideWhenUsed/>
    <w:qFormat/>
    <w:rsid w:val="00946869"/>
    <w:pPr>
      <w:spacing w:before="320" w:after="100"/>
      <w:outlineLvl w:val="6"/>
    </w:pPr>
    <w:rPr>
      <w:rFonts w:asciiTheme="majorHAnsi" w:eastAsiaTheme="majorEastAsia" w:hAnsiTheme="majorHAnsi" w:cstheme="majorBidi"/>
      <w:b/>
      <w:bCs/>
      <w:color w:val="A28E6A" w:themeColor="accent3"/>
      <w:sz w:val="20"/>
      <w:szCs w:val="20"/>
    </w:rPr>
  </w:style>
  <w:style w:type="paragraph" w:styleId="Nadpis8">
    <w:name w:val="heading 8"/>
    <w:basedOn w:val="Normln"/>
    <w:next w:val="Normln"/>
    <w:link w:val="Nadpis8Char"/>
    <w:uiPriority w:val="9"/>
    <w:unhideWhenUsed/>
    <w:qFormat/>
    <w:rsid w:val="00946869"/>
    <w:pPr>
      <w:spacing w:before="320" w:after="100"/>
      <w:outlineLvl w:val="7"/>
    </w:pPr>
    <w:rPr>
      <w:rFonts w:asciiTheme="majorHAnsi" w:eastAsiaTheme="majorEastAsia" w:hAnsiTheme="majorHAnsi" w:cstheme="majorBidi"/>
      <w:b/>
      <w:bCs/>
      <w:i/>
      <w:iCs/>
      <w:color w:val="A28E6A" w:themeColor="accent3"/>
      <w:sz w:val="20"/>
      <w:szCs w:val="20"/>
    </w:rPr>
  </w:style>
  <w:style w:type="paragraph" w:styleId="Nadpis9">
    <w:name w:val="heading 9"/>
    <w:basedOn w:val="Normln"/>
    <w:next w:val="Normln"/>
    <w:link w:val="Nadpis9Char"/>
    <w:uiPriority w:val="9"/>
    <w:unhideWhenUsed/>
    <w:qFormat/>
    <w:rsid w:val="00946869"/>
    <w:pPr>
      <w:spacing w:before="320" w:after="100"/>
      <w:outlineLvl w:val="8"/>
    </w:pPr>
    <w:rPr>
      <w:rFonts w:asciiTheme="majorHAnsi" w:eastAsiaTheme="majorEastAsia" w:hAnsiTheme="majorHAnsi" w:cstheme="majorBidi"/>
      <w:i/>
      <w:iCs/>
      <w:color w:val="A28E6A"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639EE"/>
    <w:rPr>
      <w:rFonts w:asciiTheme="majorHAnsi" w:eastAsiaTheme="majorEastAsia" w:hAnsiTheme="majorHAnsi" w:cstheme="majorBidi"/>
      <w:b/>
      <w:color w:val="9D3511" w:themeColor="accent1" w:themeShade="BF"/>
      <w:sz w:val="28"/>
      <w:szCs w:val="24"/>
    </w:rPr>
  </w:style>
  <w:style w:type="character" w:customStyle="1" w:styleId="Nadpis1Char">
    <w:name w:val="Nadpis 1 Char"/>
    <w:basedOn w:val="Standardnpsmoodstavce"/>
    <w:link w:val="Nadpis1"/>
    <w:uiPriority w:val="9"/>
    <w:rsid w:val="002639EE"/>
    <w:rPr>
      <w:rFonts w:asciiTheme="majorHAnsi" w:eastAsiaTheme="majorEastAsia" w:hAnsiTheme="majorHAnsi" w:cstheme="majorBidi"/>
      <w:b/>
      <w:bCs/>
      <w:color w:val="9D3511" w:themeColor="accent1" w:themeShade="BF"/>
      <w:sz w:val="30"/>
      <w:szCs w:val="24"/>
    </w:rPr>
  </w:style>
  <w:style w:type="character" w:customStyle="1" w:styleId="Nadpis3Char">
    <w:name w:val="Nadpis 3 Char"/>
    <w:basedOn w:val="Standardnpsmoodstavce"/>
    <w:link w:val="Nadpis3"/>
    <w:uiPriority w:val="9"/>
    <w:rsid w:val="00ED621D"/>
    <w:rPr>
      <w:rFonts w:asciiTheme="majorHAnsi" w:eastAsiaTheme="majorEastAsia" w:hAnsiTheme="majorHAnsi" w:cstheme="majorBidi"/>
      <w:b/>
      <w:color w:val="AF0101"/>
      <w:sz w:val="24"/>
      <w:szCs w:val="24"/>
    </w:rPr>
  </w:style>
  <w:style w:type="character" w:customStyle="1" w:styleId="Nadpis4Char">
    <w:name w:val="Nadpis 4 Char"/>
    <w:basedOn w:val="Standardnpsmoodstavce"/>
    <w:link w:val="Nadpis4"/>
    <w:uiPriority w:val="9"/>
    <w:rsid w:val="00ED621D"/>
    <w:rPr>
      <w:rFonts w:asciiTheme="majorHAnsi" w:eastAsiaTheme="majorEastAsia" w:hAnsiTheme="majorHAnsi" w:cstheme="majorBidi"/>
      <w:b/>
      <w:i/>
      <w:iCs/>
      <w:color w:val="D41616"/>
      <w:sz w:val="21"/>
      <w:szCs w:val="24"/>
    </w:rPr>
  </w:style>
  <w:style w:type="character" w:customStyle="1" w:styleId="Nadpis5Char">
    <w:name w:val="Nadpis 5 Char"/>
    <w:basedOn w:val="Standardnpsmoodstavce"/>
    <w:link w:val="Nadpis5"/>
    <w:uiPriority w:val="9"/>
    <w:rsid w:val="00946869"/>
    <w:rPr>
      <w:rFonts w:asciiTheme="majorHAnsi" w:eastAsiaTheme="majorEastAsia" w:hAnsiTheme="majorHAnsi" w:cstheme="majorBidi"/>
      <w:color w:val="D34817" w:themeColor="accent1"/>
    </w:rPr>
  </w:style>
  <w:style w:type="character" w:customStyle="1" w:styleId="Nadpis6Char">
    <w:name w:val="Nadpis 6 Char"/>
    <w:basedOn w:val="Standardnpsmoodstavce"/>
    <w:link w:val="Nadpis6"/>
    <w:uiPriority w:val="9"/>
    <w:rsid w:val="00946869"/>
    <w:rPr>
      <w:rFonts w:asciiTheme="majorHAnsi" w:eastAsiaTheme="majorEastAsia" w:hAnsiTheme="majorHAnsi" w:cstheme="majorBidi"/>
      <w:i/>
      <w:iCs/>
      <w:color w:val="D34817" w:themeColor="accent1"/>
    </w:rPr>
  </w:style>
  <w:style w:type="character" w:customStyle="1" w:styleId="Nadpis7Char">
    <w:name w:val="Nadpis 7 Char"/>
    <w:basedOn w:val="Standardnpsmoodstavce"/>
    <w:link w:val="Nadpis7"/>
    <w:uiPriority w:val="9"/>
    <w:rsid w:val="00946869"/>
    <w:rPr>
      <w:rFonts w:asciiTheme="majorHAnsi" w:eastAsiaTheme="majorEastAsia" w:hAnsiTheme="majorHAnsi" w:cstheme="majorBidi"/>
      <w:b/>
      <w:bCs/>
      <w:color w:val="A28E6A" w:themeColor="accent3"/>
      <w:sz w:val="20"/>
      <w:szCs w:val="20"/>
    </w:rPr>
  </w:style>
  <w:style w:type="character" w:customStyle="1" w:styleId="Nadpis8Char">
    <w:name w:val="Nadpis 8 Char"/>
    <w:basedOn w:val="Standardnpsmoodstavce"/>
    <w:link w:val="Nadpis8"/>
    <w:uiPriority w:val="9"/>
    <w:rsid w:val="00946869"/>
    <w:rPr>
      <w:rFonts w:asciiTheme="majorHAnsi" w:eastAsiaTheme="majorEastAsia" w:hAnsiTheme="majorHAnsi" w:cstheme="majorBidi"/>
      <w:b/>
      <w:bCs/>
      <w:i/>
      <w:iCs/>
      <w:color w:val="A28E6A" w:themeColor="accent3"/>
      <w:sz w:val="20"/>
      <w:szCs w:val="20"/>
    </w:rPr>
  </w:style>
  <w:style w:type="character" w:customStyle="1" w:styleId="Nadpis9Char">
    <w:name w:val="Nadpis 9 Char"/>
    <w:basedOn w:val="Standardnpsmoodstavce"/>
    <w:link w:val="Nadpis9"/>
    <w:uiPriority w:val="9"/>
    <w:rsid w:val="00946869"/>
    <w:rPr>
      <w:rFonts w:asciiTheme="majorHAnsi" w:eastAsiaTheme="majorEastAsia" w:hAnsiTheme="majorHAnsi" w:cstheme="majorBidi"/>
      <w:i/>
      <w:iCs/>
      <w:color w:val="A28E6A" w:themeColor="accent3"/>
      <w:sz w:val="20"/>
      <w:szCs w:val="20"/>
    </w:rPr>
  </w:style>
  <w:style w:type="paragraph" w:styleId="Titulek">
    <w:name w:val="caption"/>
    <w:basedOn w:val="Normln"/>
    <w:next w:val="Normln"/>
    <w:uiPriority w:val="35"/>
    <w:unhideWhenUsed/>
    <w:qFormat/>
    <w:rsid w:val="00946869"/>
    <w:rPr>
      <w:b/>
      <w:bCs/>
      <w:sz w:val="18"/>
      <w:szCs w:val="18"/>
    </w:rPr>
  </w:style>
  <w:style w:type="paragraph" w:styleId="Nzev">
    <w:name w:val="Title"/>
    <w:basedOn w:val="Normln"/>
    <w:next w:val="Normln"/>
    <w:link w:val="NzevChar"/>
    <w:uiPriority w:val="10"/>
    <w:qFormat/>
    <w:rsid w:val="00946869"/>
    <w:pPr>
      <w:pBdr>
        <w:top w:val="single" w:sz="8" w:space="10" w:color="F19F82" w:themeColor="accent1" w:themeTint="7F"/>
        <w:bottom w:val="single" w:sz="24" w:space="15" w:color="A28E6A" w:themeColor="accent3"/>
      </w:pBdr>
      <w:jc w:val="center"/>
    </w:pPr>
    <w:rPr>
      <w:rFonts w:asciiTheme="majorHAnsi" w:eastAsiaTheme="majorEastAsia" w:hAnsiTheme="majorHAnsi" w:cstheme="majorBidi"/>
      <w:i/>
      <w:iCs/>
      <w:color w:val="68230B" w:themeColor="accent1" w:themeShade="7F"/>
      <w:sz w:val="60"/>
      <w:szCs w:val="60"/>
    </w:rPr>
  </w:style>
  <w:style w:type="character" w:customStyle="1" w:styleId="NzevChar">
    <w:name w:val="Název Char"/>
    <w:basedOn w:val="Standardnpsmoodstavce"/>
    <w:link w:val="Nzev"/>
    <w:uiPriority w:val="10"/>
    <w:rsid w:val="00946869"/>
    <w:rPr>
      <w:rFonts w:asciiTheme="majorHAnsi" w:eastAsiaTheme="majorEastAsia" w:hAnsiTheme="majorHAnsi" w:cstheme="majorBidi"/>
      <w:i/>
      <w:iCs/>
      <w:color w:val="68230B" w:themeColor="accent1" w:themeShade="7F"/>
      <w:sz w:val="60"/>
      <w:szCs w:val="60"/>
    </w:rPr>
  </w:style>
  <w:style w:type="paragraph" w:styleId="Podtitul">
    <w:name w:val="Subtitle"/>
    <w:basedOn w:val="Normln"/>
    <w:next w:val="Normln"/>
    <w:link w:val="PodtitulChar"/>
    <w:uiPriority w:val="11"/>
    <w:qFormat/>
    <w:rsid w:val="00946869"/>
    <w:pPr>
      <w:spacing w:before="200" w:after="900"/>
      <w:jc w:val="right"/>
    </w:pPr>
    <w:rPr>
      <w:i/>
      <w:iCs/>
      <w:sz w:val="24"/>
      <w:szCs w:val="24"/>
    </w:rPr>
  </w:style>
  <w:style w:type="character" w:customStyle="1" w:styleId="PodtitulChar">
    <w:name w:val="Podtitul Char"/>
    <w:basedOn w:val="Standardnpsmoodstavce"/>
    <w:link w:val="Podtitul"/>
    <w:uiPriority w:val="11"/>
    <w:rsid w:val="00946869"/>
    <w:rPr>
      <w:i/>
      <w:iCs/>
      <w:sz w:val="24"/>
      <w:szCs w:val="24"/>
    </w:rPr>
  </w:style>
  <w:style w:type="character" w:styleId="Siln">
    <w:name w:val="Strong"/>
    <w:basedOn w:val="Standardnpsmoodstavce"/>
    <w:uiPriority w:val="22"/>
    <w:qFormat/>
    <w:rsid w:val="00946869"/>
    <w:rPr>
      <w:b/>
      <w:bCs/>
      <w:spacing w:val="0"/>
    </w:rPr>
  </w:style>
  <w:style w:type="character" w:styleId="Zvraznn">
    <w:name w:val="Emphasis"/>
    <w:uiPriority w:val="20"/>
    <w:qFormat/>
    <w:rsid w:val="00946869"/>
    <w:rPr>
      <w:b/>
      <w:bCs/>
      <w:i/>
      <w:iCs/>
      <w:color w:val="5A5A5A" w:themeColor="text1" w:themeTint="A5"/>
    </w:rPr>
  </w:style>
  <w:style w:type="paragraph" w:styleId="Bezmezer">
    <w:name w:val="No Spacing"/>
    <w:basedOn w:val="Normln"/>
    <w:link w:val="BezmezerChar"/>
    <w:uiPriority w:val="1"/>
    <w:qFormat/>
    <w:rsid w:val="00946869"/>
  </w:style>
  <w:style w:type="paragraph" w:styleId="Odstavecseseznamem">
    <w:name w:val="List Paragraph"/>
    <w:basedOn w:val="Normln"/>
    <w:link w:val="OdstavecseseznamemChar"/>
    <w:uiPriority w:val="34"/>
    <w:qFormat/>
    <w:rsid w:val="00946869"/>
    <w:pPr>
      <w:ind w:left="720"/>
      <w:contextualSpacing/>
    </w:pPr>
  </w:style>
  <w:style w:type="paragraph" w:styleId="Citt">
    <w:name w:val="Quote"/>
    <w:basedOn w:val="Normln"/>
    <w:next w:val="Normln"/>
    <w:link w:val="CittChar"/>
    <w:uiPriority w:val="29"/>
    <w:qFormat/>
    <w:rsid w:val="00946869"/>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946869"/>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946869"/>
    <w:pPr>
      <w:pBdr>
        <w:top w:val="single" w:sz="12" w:space="10" w:color="F4B29B" w:themeColor="accent1" w:themeTint="66"/>
        <w:left w:val="single" w:sz="36" w:space="4" w:color="D34817" w:themeColor="accent1"/>
        <w:bottom w:val="single" w:sz="24" w:space="10" w:color="A28E6A" w:themeColor="accent3"/>
        <w:right w:val="single" w:sz="36" w:space="4" w:color="D34817" w:themeColor="accent1"/>
      </w:pBdr>
      <w:shd w:val="clear" w:color="auto" w:fill="D3481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946869"/>
    <w:rPr>
      <w:rFonts w:asciiTheme="majorHAnsi" w:eastAsiaTheme="majorEastAsia" w:hAnsiTheme="majorHAnsi" w:cstheme="majorBidi"/>
      <w:i/>
      <w:iCs/>
      <w:color w:val="FFFFFF" w:themeColor="background1"/>
      <w:sz w:val="24"/>
      <w:szCs w:val="24"/>
      <w:shd w:val="clear" w:color="auto" w:fill="D34817" w:themeFill="accent1"/>
    </w:rPr>
  </w:style>
  <w:style w:type="character" w:styleId="Zdraznnjemn">
    <w:name w:val="Subtle Emphasis"/>
    <w:uiPriority w:val="19"/>
    <w:qFormat/>
    <w:rsid w:val="00946869"/>
    <w:rPr>
      <w:i/>
      <w:iCs/>
      <w:color w:val="5A5A5A" w:themeColor="text1" w:themeTint="A5"/>
    </w:rPr>
  </w:style>
  <w:style w:type="character" w:styleId="Zdraznnintenzivn">
    <w:name w:val="Intense Emphasis"/>
    <w:uiPriority w:val="21"/>
    <w:qFormat/>
    <w:rsid w:val="00946869"/>
    <w:rPr>
      <w:b/>
      <w:bCs/>
      <w:i/>
      <w:iCs/>
      <w:color w:val="D34817" w:themeColor="accent1"/>
      <w:sz w:val="22"/>
      <w:szCs w:val="22"/>
    </w:rPr>
  </w:style>
  <w:style w:type="character" w:styleId="Odkazjemn">
    <w:name w:val="Subtle Reference"/>
    <w:uiPriority w:val="31"/>
    <w:qFormat/>
    <w:rsid w:val="00946869"/>
    <w:rPr>
      <w:color w:val="auto"/>
      <w:u w:val="single" w:color="A28E6A" w:themeColor="accent3"/>
    </w:rPr>
  </w:style>
  <w:style w:type="character" w:styleId="Odkazintenzivn">
    <w:name w:val="Intense Reference"/>
    <w:basedOn w:val="Standardnpsmoodstavce"/>
    <w:uiPriority w:val="32"/>
    <w:qFormat/>
    <w:rsid w:val="00946869"/>
    <w:rPr>
      <w:b/>
      <w:bCs/>
      <w:color w:val="7B6A4D" w:themeColor="accent3" w:themeShade="BF"/>
      <w:u w:val="single" w:color="A28E6A" w:themeColor="accent3"/>
    </w:rPr>
  </w:style>
  <w:style w:type="character" w:styleId="Nzevknihy">
    <w:name w:val="Book Title"/>
    <w:basedOn w:val="Standardnpsmoodstavce"/>
    <w:uiPriority w:val="33"/>
    <w:qFormat/>
    <w:rsid w:val="00946869"/>
    <w:rPr>
      <w:rFonts w:asciiTheme="majorHAnsi" w:eastAsiaTheme="majorEastAsia" w:hAnsiTheme="majorHAnsi" w:cstheme="majorBidi"/>
      <w:b/>
      <w:bCs/>
      <w:i/>
      <w:iCs/>
      <w:color w:val="auto"/>
    </w:rPr>
  </w:style>
  <w:style w:type="paragraph" w:styleId="Nadpisobsahu">
    <w:name w:val="TOC Heading"/>
    <w:basedOn w:val="Nadpis1"/>
    <w:next w:val="Normln"/>
    <w:uiPriority w:val="39"/>
    <w:unhideWhenUsed/>
    <w:qFormat/>
    <w:rsid w:val="00946869"/>
    <w:pPr>
      <w:outlineLvl w:val="9"/>
    </w:pPr>
    <w:rPr>
      <w:lang w:bidi="en-US"/>
    </w:rPr>
  </w:style>
  <w:style w:type="character" w:customStyle="1" w:styleId="BezmezerChar">
    <w:name w:val="Bez mezer Char"/>
    <w:basedOn w:val="Standardnpsmoodstavce"/>
    <w:link w:val="Bezmezer"/>
    <w:uiPriority w:val="1"/>
    <w:rsid w:val="00946869"/>
  </w:style>
  <w:style w:type="paragraph" w:styleId="Zhlav">
    <w:name w:val="header"/>
    <w:basedOn w:val="Normln"/>
    <w:link w:val="ZhlavChar"/>
    <w:uiPriority w:val="99"/>
    <w:unhideWhenUsed/>
    <w:rsid w:val="00946869"/>
    <w:pPr>
      <w:tabs>
        <w:tab w:val="center" w:pos="4536"/>
        <w:tab w:val="right" w:pos="9072"/>
      </w:tabs>
    </w:pPr>
  </w:style>
  <w:style w:type="character" w:customStyle="1" w:styleId="ZhlavChar">
    <w:name w:val="Záhlaví Char"/>
    <w:basedOn w:val="Standardnpsmoodstavce"/>
    <w:link w:val="Zhlav"/>
    <w:uiPriority w:val="99"/>
    <w:rsid w:val="00946869"/>
  </w:style>
  <w:style w:type="paragraph" w:styleId="Zpat">
    <w:name w:val="footer"/>
    <w:basedOn w:val="Normln"/>
    <w:link w:val="ZpatChar"/>
    <w:uiPriority w:val="99"/>
    <w:unhideWhenUsed/>
    <w:rsid w:val="00946869"/>
    <w:pPr>
      <w:tabs>
        <w:tab w:val="center" w:pos="4536"/>
        <w:tab w:val="right" w:pos="9072"/>
      </w:tabs>
    </w:pPr>
  </w:style>
  <w:style w:type="character" w:customStyle="1" w:styleId="ZpatChar">
    <w:name w:val="Zápatí Char"/>
    <w:basedOn w:val="Standardnpsmoodstavce"/>
    <w:link w:val="Zpat"/>
    <w:uiPriority w:val="99"/>
    <w:rsid w:val="00946869"/>
  </w:style>
  <w:style w:type="paragraph" w:customStyle="1" w:styleId="864311119EDA4C3CB552E5C8CD7B48CA">
    <w:name w:val="864311119EDA4C3CB552E5C8CD7B48CA"/>
    <w:rsid w:val="00946869"/>
    <w:pPr>
      <w:spacing w:after="200" w:line="276" w:lineRule="auto"/>
      <w:ind w:firstLine="0"/>
    </w:pPr>
    <w:rPr>
      <w:lang w:eastAsia="cs-CZ"/>
    </w:rPr>
  </w:style>
  <w:style w:type="paragraph" w:styleId="Textbubliny">
    <w:name w:val="Balloon Text"/>
    <w:basedOn w:val="Normln"/>
    <w:link w:val="TextbublinyChar"/>
    <w:uiPriority w:val="99"/>
    <w:semiHidden/>
    <w:unhideWhenUsed/>
    <w:rsid w:val="00946869"/>
    <w:rPr>
      <w:rFonts w:ascii="Tahoma" w:hAnsi="Tahoma" w:cs="Tahoma"/>
      <w:sz w:val="16"/>
      <w:szCs w:val="16"/>
    </w:rPr>
  </w:style>
  <w:style w:type="character" w:customStyle="1" w:styleId="TextbublinyChar">
    <w:name w:val="Text bubliny Char"/>
    <w:basedOn w:val="Standardnpsmoodstavce"/>
    <w:link w:val="Textbubliny"/>
    <w:uiPriority w:val="99"/>
    <w:semiHidden/>
    <w:rsid w:val="00946869"/>
    <w:rPr>
      <w:rFonts w:ascii="Tahoma" w:hAnsi="Tahoma" w:cs="Tahoma"/>
      <w:sz w:val="16"/>
      <w:szCs w:val="16"/>
    </w:rPr>
  </w:style>
  <w:style w:type="character" w:styleId="Odkaznakoment">
    <w:name w:val="annotation reference"/>
    <w:basedOn w:val="Standardnpsmoodstavce"/>
    <w:uiPriority w:val="99"/>
    <w:semiHidden/>
    <w:unhideWhenUsed/>
    <w:rsid w:val="004B00D1"/>
    <w:rPr>
      <w:sz w:val="16"/>
      <w:szCs w:val="16"/>
    </w:rPr>
  </w:style>
  <w:style w:type="paragraph" w:styleId="Textkomente">
    <w:name w:val="annotation text"/>
    <w:basedOn w:val="Normln"/>
    <w:link w:val="TextkomenteChar"/>
    <w:uiPriority w:val="99"/>
    <w:unhideWhenUsed/>
    <w:rsid w:val="004B00D1"/>
    <w:rPr>
      <w:sz w:val="20"/>
      <w:szCs w:val="20"/>
    </w:rPr>
  </w:style>
  <w:style w:type="character" w:customStyle="1" w:styleId="TextkomenteChar">
    <w:name w:val="Text komentáře Char"/>
    <w:basedOn w:val="Standardnpsmoodstavce"/>
    <w:link w:val="Textkomente"/>
    <w:uiPriority w:val="99"/>
    <w:rsid w:val="004B00D1"/>
    <w:rPr>
      <w:sz w:val="20"/>
      <w:szCs w:val="20"/>
    </w:rPr>
  </w:style>
  <w:style w:type="paragraph" w:styleId="Pedmtkomente">
    <w:name w:val="annotation subject"/>
    <w:basedOn w:val="Textkomente"/>
    <w:next w:val="Textkomente"/>
    <w:link w:val="PedmtkomenteChar"/>
    <w:uiPriority w:val="99"/>
    <w:semiHidden/>
    <w:unhideWhenUsed/>
    <w:rsid w:val="004B00D1"/>
    <w:rPr>
      <w:b/>
      <w:bCs/>
    </w:rPr>
  </w:style>
  <w:style w:type="character" w:customStyle="1" w:styleId="PedmtkomenteChar">
    <w:name w:val="Předmět komentáře Char"/>
    <w:basedOn w:val="TextkomenteChar"/>
    <w:link w:val="Pedmtkomente"/>
    <w:uiPriority w:val="99"/>
    <w:semiHidden/>
    <w:rsid w:val="004B00D1"/>
    <w:rPr>
      <w:b/>
      <w:bCs/>
      <w:sz w:val="20"/>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970C04"/>
    <w:pPr>
      <w:spacing w:after="0"/>
    </w:pPr>
    <w:rPr>
      <w:sz w:val="16"/>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970C04"/>
    <w:rPr>
      <w:sz w:val="16"/>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basedOn w:val="Standardnpsmoodstavce"/>
    <w:uiPriority w:val="99"/>
    <w:unhideWhenUsed/>
    <w:rsid w:val="006C55A6"/>
    <w:rPr>
      <w:vertAlign w:val="superscript"/>
    </w:rPr>
  </w:style>
  <w:style w:type="paragraph" w:styleId="Normlnweb">
    <w:name w:val="Normal (Web)"/>
    <w:basedOn w:val="Normln"/>
    <w:uiPriority w:val="99"/>
    <w:unhideWhenUsed/>
    <w:rsid w:val="009E1049"/>
    <w:pPr>
      <w:spacing w:before="100" w:beforeAutospacing="1" w:after="100" w:afterAutospacing="1"/>
      <w:jc w:val="left"/>
    </w:pPr>
    <w:rPr>
      <w:rFonts w:ascii="Times New Roman" w:eastAsiaTheme="minorHAnsi" w:hAnsi="Times New Roman" w:cs="Times New Roman"/>
      <w:sz w:val="24"/>
      <w:szCs w:val="24"/>
      <w:lang w:eastAsia="cs-CZ"/>
    </w:rPr>
  </w:style>
  <w:style w:type="paragraph" w:customStyle="1" w:styleId="Odstavecseseznamem1">
    <w:name w:val="Odstavec se seznamem1"/>
    <w:basedOn w:val="Normln"/>
    <w:rsid w:val="003648E1"/>
    <w:pPr>
      <w:spacing w:before="120" w:after="200" w:line="276" w:lineRule="auto"/>
      <w:ind w:left="720"/>
      <w:contextualSpacing/>
    </w:pPr>
    <w:rPr>
      <w:rFonts w:ascii="Times New Roman" w:eastAsia="Times New Roman" w:hAnsi="Times New Roman" w:cs="Times New Roman"/>
      <w:sz w:val="20"/>
    </w:rPr>
  </w:style>
  <w:style w:type="paragraph" w:customStyle="1" w:styleId="ListParagraph1">
    <w:name w:val="List Paragraph1"/>
    <w:basedOn w:val="Normln"/>
    <w:rsid w:val="00FF17A7"/>
    <w:pPr>
      <w:spacing w:after="200" w:line="276" w:lineRule="auto"/>
      <w:ind w:left="720"/>
      <w:contextualSpacing/>
      <w:jc w:val="left"/>
    </w:pPr>
    <w:rPr>
      <w:rFonts w:ascii="Calibri" w:eastAsia="Times New Roman" w:hAnsi="Calibri" w:cs="Times New Roman"/>
    </w:rPr>
  </w:style>
  <w:style w:type="paragraph" w:customStyle="1" w:styleId="Default">
    <w:name w:val="Default"/>
    <w:rsid w:val="00FF17A7"/>
    <w:pPr>
      <w:autoSpaceDE w:val="0"/>
      <w:autoSpaceDN w:val="0"/>
      <w:adjustRightInd w:val="0"/>
      <w:ind w:firstLine="0"/>
    </w:pPr>
    <w:rPr>
      <w:rFonts w:ascii="Cambria" w:eastAsiaTheme="minorHAnsi" w:hAnsi="Cambria" w:cs="Cambria"/>
      <w:color w:val="000000"/>
      <w:sz w:val="24"/>
      <w:szCs w:val="24"/>
    </w:rPr>
  </w:style>
  <w:style w:type="paragraph" w:customStyle="1" w:styleId="TextNOK">
    <w:name w:val="Text NOK"/>
    <w:basedOn w:val="Normln"/>
    <w:link w:val="TextNOKChar"/>
    <w:rsid w:val="00AC5600"/>
    <w:pPr>
      <w:spacing w:before="120" w:line="312" w:lineRule="auto"/>
    </w:pPr>
    <w:rPr>
      <w:rFonts w:ascii="Calibri" w:eastAsia="Times New Roman" w:hAnsi="Calibri" w:cs="Times New Roman"/>
      <w:lang w:val="x-none" w:eastAsia="x-none"/>
    </w:rPr>
  </w:style>
  <w:style w:type="character" w:customStyle="1" w:styleId="TextNOKChar">
    <w:name w:val="Text NOK Char"/>
    <w:link w:val="TextNOK"/>
    <w:rsid w:val="00AC5600"/>
    <w:rPr>
      <w:rFonts w:ascii="Calibri" w:eastAsia="Times New Roman" w:hAnsi="Calibri" w:cs="Times New Roman"/>
      <w:lang w:val="x-none" w:eastAsia="x-none"/>
    </w:rPr>
  </w:style>
  <w:style w:type="character" w:customStyle="1" w:styleId="OdstavecseseznamemChar">
    <w:name w:val="Odstavec se seznamem Char"/>
    <w:link w:val="Odstavecseseznamem"/>
    <w:uiPriority w:val="34"/>
    <w:locked/>
    <w:rsid w:val="00AC5600"/>
  </w:style>
  <w:style w:type="table" w:styleId="Mkatabulky">
    <w:name w:val="Table Grid"/>
    <w:basedOn w:val="Normlntabulka"/>
    <w:uiPriority w:val="59"/>
    <w:rsid w:val="006E7A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table" w:styleId="Svtlseznam">
    <w:name w:val="Light List"/>
    <w:basedOn w:val="Normlntabulka"/>
    <w:uiPriority w:val="61"/>
    <w:rsid w:val="006E7AA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000000" w:themeFill="text1"/>
      </w:tcPr>
    </w:tblStylePr>
    <w:tblStylePr w:type="lastRow">
      <w:pPr>
        <w:spacing w:before="0" w:after="0" w:line="240" w:lineRule="auto"/>
      </w:pPr>
      <w:rPr>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rsid w:val="006E7AAE"/>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D34817" w:themeFill="accent1"/>
      </w:tcPr>
    </w:tblStylePr>
    <w:tblStylePr w:type="lastRow">
      <w:pPr>
        <w:spacing w:before="0" w:after="0" w:line="240" w:lineRule="auto"/>
      </w:pPr>
      <w:rPr>
        <w:b/>
        <w:bCs/>
      </w:rPr>
      <w:tblPr/>
      <w:trPr>
        <w:hidden/>
      </w:trPr>
      <w:tcPr>
        <w:tcBorders>
          <w:top w:val="double" w:sz="6" w:space="0" w:color="D34817" w:themeColor="accent1"/>
          <w:left w:val="single" w:sz="8" w:space="0" w:color="D34817" w:themeColor="accent1"/>
          <w:bottom w:val="single" w:sz="8" w:space="0" w:color="D34817" w:themeColor="accent1"/>
          <w:right w:val="single" w:sz="8" w:space="0" w:color="D34817" w:themeColor="accent1"/>
        </w:tcBorders>
      </w:tcPr>
    </w:tblStylePr>
    <w:tblStylePr w:type="firstCol">
      <w:rPr>
        <w:b/>
        <w:bCs/>
      </w:rPr>
    </w:tblStylePr>
    <w:tblStylePr w:type="lastCol">
      <w:rPr>
        <w:b/>
        <w:bCs/>
      </w:rPr>
    </w:tblStylePr>
    <w:tblStylePr w:type="band1Vert">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tblStylePr w:type="band1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style>
  <w:style w:type="table" w:styleId="Svtlstnovnzvraznn2">
    <w:name w:val="Light Shading Accent 2"/>
    <w:basedOn w:val="Normlntabulka"/>
    <w:uiPriority w:val="60"/>
    <w:rsid w:val="006E7AAE"/>
    <w:rPr>
      <w:color w:val="732117" w:themeColor="accent2" w:themeShade="BF"/>
    </w:rPr>
    <w:tblPr>
      <w:tblStyleRowBandSize w:val="1"/>
      <w:tblStyleColBandSize w:val="1"/>
      <w:tblInd w:w="0" w:type="dxa"/>
      <w:tblBorders>
        <w:top w:val="single" w:sz="8" w:space="0" w:color="9B2D1F" w:themeColor="accent2"/>
        <w:bottom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B2D1F" w:themeColor="accent2"/>
          <w:left w:val="nil"/>
          <w:bottom w:val="single" w:sz="8" w:space="0" w:color="9B2D1F" w:themeColor="accent2"/>
          <w:right w:val="nil"/>
          <w:insideH w:val="nil"/>
          <w:insideV w:val="nil"/>
        </w:tcBorders>
      </w:tcPr>
    </w:tblStylePr>
    <w:tblStylePr w:type="lastRow">
      <w:pPr>
        <w:spacing w:before="0" w:after="0" w:line="240" w:lineRule="auto"/>
      </w:pPr>
      <w:rPr>
        <w:b/>
        <w:bCs/>
      </w:rPr>
      <w:tblPr/>
      <w:trPr>
        <w:hidden/>
      </w:trPr>
      <w:tcPr>
        <w:tcBorders>
          <w:top w:val="single" w:sz="8" w:space="0" w:color="9B2D1F" w:themeColor="accent2"/>
          <w:left w:val="nil"/>
          <w:bottom w:val="single" w:sz="8" w:space="0" w:color="9B2D1F" w:themeColor="accent2"/>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1C1BC" w:themeFill="accent2" w:themeFillTint="3F"/>
      </w:tcPr>
    </w:tblStylePr>
    <w:tblStylePr w:type="band1Horz">
      <w:tblPr/>
      <w:trPr>
        <w:hidden/>
      </w:trPr>
      <w:tcPr>
        <w:tcBorders>
          <w:left w:val="nil"/>
          <w:right w:val="nil"/>
          <w:insideH w:val="nil"/>
          <w:insideV w:val="nil"/>
        </w:tcBorders>
        <w:shd w:val="clear" w:color="auto" w:fill="F1C1BC" w:themeFill="accent2" w:themeFillTint="3F"/>
      </w:tcPr>
    </w:tblStylePr>
  </w:style>
  <w:style w:type="table" w:styleId="Svtlstnovnzvraznn1">
    <w:name w:val="Light Shading Accent 1"/>
    <w:basedOn w:val="Normlntabulka"/>
    <w:uiPriority w:val="60"/>
    <w:rsid w:val="006E7AAE"/>
    <w:rPr>
      <w:color w:val="9D3511" w:themeColor="accent1" w:themeShade="BF"/>
    </w:rPr>
    <w:tblPr>
      <w:tblStyleRowBandSize w:val="1"/>
      <w:tblStyleColBandSize w:val="1"/>
      <w:tblInd w:w="0" w:type="dxa"/>
      <w:tblBorders>
        <w:top w:val="single" w:sz="8" w:space="0" w:color="D34817" w:themeColor="accent1"/>
        <w:bottom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D34817" w:themeColor="accent1"/>
          <w:left w:val="nil"/>
          <w:bottom w:val="single" w:sz="8" w:space="0" w:color="D34817" w:themeColor="accent1"/>
          <w:right w:val="nil"/>
          <w:insideH w:val="nil"/>
          <w:insideV w:val="nil"/>
        </w:tcBorders>
      </w:tcPr>
    </w:tblStylePr>
    <w:tblStylePr w:type="lastRow">
      <w:pPr>
        <w:spacing w:before="0" w:after="0" w:line="240" w:lineRule="auto"/>
      </w:pPr>
      <w:rPr>
        <w:b/>
        <w:bCs/>
      </w:rPr>
      <w:tblPr/>
      <w:trPr>
        <w:hidden/>
      </w:trPr>
      <w:tcPr>
        <w:tcBorders>
          <w:top w:val="single" w:sz="8" w:space="0" w:color="D34817" w:themeColor="accent1"/>
          <w:left w:val="nil"/>
          <w:bottom w:val="single" w:sz="8" w:space="0" w:color="D34817" w:themeColor="accen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8CFC1" w:themeFill="accent1" w:themeFillTint="3F"/>
      </w:tcPr>
    </w:tblStylePr>
    <w:tblStylePr w:type="band1Horz">
      <w:tblPr/>
      <w:trPr>
        <w:hidden/>
      </w:trPr>
      <w:tcPr>
        <w:tcBorders>
          <w:left w:val="nil"/>
          <w:right w:val="nil"/>
          <w:insideH w:val="nil"/>
          <w:insideV w:val="nil"/>
        </w:tcBorders>
        <w:shd w:val="clear" w:color="auto" w:fill="F8CFC1" w:themeFill="accent1" w:themeFillTint="3F"/>
      </w:tcPr>
    </w:tblStylePr>
  </w:style>
  <w:style w:type="table" w:styleId="Stednseznam1zvraznn1">
    <w:name w:val="Medium List 1 Accent 1"/>
    <w:basedOn w:val="Normlntabulka"/>
    <w:uiPriority w:val="65"/>
    <w:rsid w:val="005C30DD"/>
    <w:rPr>
      <w:color w:val="000000" w:themeColor="text1"/>
    </w:rPr>
    <w:tblPr>
      <w:tblStyleRowBandSize w:val="1"/>
      <w:tblStyleColBandSize w:val="1"/>
      <w:tblInd w:w="0" w:type="dxa"/>
      <w:tblBorders>
        <w:top w:val="single" w:sz="8" w:space="0" w:color="D34817" w:themeColor="accent1"/>
        <w:bottom w:val="single" w:sz="8" w:space="0" w:color="D34817" w:themeColor="accent1"/>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D34817" w:themeColor="accent1"/>
        </w:tcBorders>
      </w:tcPr>
    </w:tblStylePr>
    <w:tblStylePr w:type="lastRow">
      <w:rPr>
        <w:b/>
        <w:bCs/>
        <w:color w:val="696464" w:themeColor="text2"/>
      </w:rPr>
      <w:tblPr/>
      <w:trPr>
        <w:hidden/>
      </w:trPr>
      <w:tcPr>
        <w:tcBorders>
          <w:top w:val="single" w:sz="8" w:space="0" w:color="D34817" w:themeColor="accent1"/>
          <w:bottom w:val="single" w:sz="8" w:space="0" w:color="D34817" w:themeColor="accent1"/>
        </w:tcBorders>
      </w:tcPr>
    </w:tblStylePr>
    <w:tblStylePr w:type="firstCol">
      <w:rPr>
        <w:b/>
        <w:bCs/>
      </w:rPr>
    </w:tblStylePr>
    <w:tblStylePr w:type="lastCol">
      <w:rPr>
        <w:b/>
        <w:bCs/>
      </w:rPr>
      <w:tblPr/>
      <w:trPr>
        <w:hidden/>
      </w:trPr>
      <w:tcPr>
        <w:tcBorders>
          <w:top w:val="single" w:sz="8" w:space="0" w:color="D34817" w:themeColor="accent1"/>
          <w:bottom w:val="single" w:sz="8" w:space="0" w:color="D34817" w:themeColor="accent1"/>
        </w:tcBorders>
      </w:tcPr>
    </w:tblStylePr>
    <w:tblStylePr w:type="band1Vert">
      <w:tblPr/>
      <w:trPr>
        <w:hidden/>
      </w:trPr>
      <w:tcPr>
        <w:shd w:val="clear" w:color="auto" w:fill="F8CFC1" w:themeFill="accent1" w:themeFillTint="3F"/>
      </w:tcPr>
    </w:tblStylePr>
    <w:tblStylePr w:type="band1Horz">
      <w:tblPr/>
      <w:trPr>
        <w:hidden/>
      </w:trPr>
      <w:tcPr>
        <w:shd w:val="clear" w:color="auto" w:fill="F8CFC1" w:themeFill="accent1" w:themeFillTint="3F"/>
      </w:tcPr>
    </w:tblStylePr>
  </w:style>
  <w:style w:type="table" w:styleId="Stednseznam1zvraznn2">
    <w:name w:val="Medium List 1 Accent 2"/>
    <w:basedOn w:val="Normlntabulka"/>
    <w:uiPriority w:val="65"/>
    <w:rsid w:val="005C30DD"/>
    <w:rPr>
      <w:color w:val="000000" w:themeColor="text1"/>
    </w:rPr>
    <w:tblPr>
      <w:tblStyleRowBandSize w:val="1"/>
      <w:tblStyleColBandSize w:val="1"/>
      <w:tblInd w:w="0" w:type="dxa"/>
      <w:tblBorders>
        <w:top w:val="single" w:sz="8" w:space="0" w:color="9B2D1F" w:themeColor="accent2"/>
        <w:bottom w:val="single" w:sz="8" w:space="0" w:color="9B2D1F" w:themeColor="accent2"/>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9B2D1F" w:themeColor="accent2"/>
        </w:tcBorders>
      </w:tcPr>
    </w:tblStylePr>
    <w:tblStylePr w:type="lastRow">
      <w:rPr>
        <w:b/>
        <w:bCs/>
        <w:color w:val="696464" w:themeColor="text2"/>
      </w:rPr>
      <w:tblPr/>
      <w:trPr>
        <w:hidden/>
      </w:trPr>
      <w:tcPr>
        <w:tcBorders>
          <w:top w:val="single" w:sz="8" w:space="0" w:color="9B2D1F" w:themeColor="accent2"/>
          <w:bottom w:val="single" w:sz="8" w:space="0" w:color="9B2D1F" w:themeColor="accent2"/>
        </w:tcBorders>
      </w:tcPr>
    </w:tblStylePr>
    <w:tblStylePr w:type="firstCol">
      <w:rPr>
        <w:b/>
        <w:bCs/>
      </w:rPr>
    </w:tblStylePr>
    <w:tblStylePr w:type="lastCol">
      <w:rPr>
        <w:b/>
        <w:bCs/>
      </w:rPr>
      <w:tblPr/>
      <w:trPr>
        <w:hidden/>
      </w:trPr>
      <w:tcPr>
        <w:tcBorders>
          <w:top w:val="single" w:sz="8" w:space="0" w:color="9B2D1F" w:themeColor="accent2"/>
          <w:bottom w:val="single" w:sz="8" w:space="0" w:color="9B2D1F" w:themeColor="accent2"/>
        </w:tcBorders>
      </w:tcPr>
    </w:tblStylePr>
    <w:tblStylePr w:type="band1Vert">
      <w:tblPr/>
      <w:trPr>
        <w:hidden/>
      </w:trPr>
      <w:tcPr>
        <w:shd w:val="clear" w:color="auto" w:fill="F1C1BC" w:themeFill="accent2" w:themeFillTint="3F"/>
      </w:tcPr>
    </w:tblStylePr>
    <w:tblStylePr w:type="band1Horz">
      <w:tblPr/>
      <w:trPr>
        <w:hidden/>
      </w:trPr>
      <w:tcPr>
        <w:shd w:val="clear" w:color="auto" w:fill="F1C1BC" w:themeFill="accent2" w:themeFillTint="3F"/>
      </w:tcPr>
    </w:tblStylePr>
  </w:style>
  <w:style w:type="table" w:styleId="Stednseznam2zvraznn2">
    <w:name w:val="Medium List 2 Accent 2"/>
    <w:basedOn w:val="Normlntabulka"/>
    <w:uiPriority w:val="66"/>
    <w:rsid w:val="005C30DD"/>
    <w:rPr>
      <w:rFonts w:asciiTheme="majorHAnsi" w:eastAsiaTheme="majorEastAsia" w:hAnsiTheme="majorHAnsi" w:cstheme="majorBidi"/>
      <w:color w:val="000000" w:themeColor="text1"/>
    </w:rPr>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tblPr/>
      <w:trPr>
        <w:hidden/>
      </w:trPr>
      <w:tcPr>
        <w:tcBorders>
          <w:top w:val="single" w:sz="8" w:space="0" w:color="9B2D1F" w:themeColor="accent2"/>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9B2D1F" w:themeColor="accent2"/>
          <w:insideH w:val="nil"/>
          <w:insideV w:val="nil"/>
        </w:tcBorders>
        <w:shd w:val="clear" w:color="auto" w:fill="FFFFFF" w:themeFill="background1"/>
      </w:tcPr>
    </w:tblStylePr>
    <w:tblStylePr w:type="lastCol">
      <w:tblPr/>
      <w:trPr>
        <w:hidden/>
      </w:trPr>
      <w:tcPr>
        <w:tcBorders>
          <w:top w:val="nil"/>
          <w:left w:val="single" w:sz="8" w:space="0" w:color="9B2D1F" w:themeColor="accent2"/>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F1C1BC" w:themeFill="accent2" w:themeFillTint="3F"/>
      </w:tcPr>
    </w:tblStylePr>
    <w:tblStylePr w:type="band1Horz">
      <w:tblPr/>
      <w:trPr>
        <w:hidden/>
      </w:trPr>
      <w:tcPr>
        <w:tcBorders>
          <w:top w:val="nil"/>
          <w:bottom w:val="nil"/>
          <w:insideH w:val="nil"/>
          <w:insideV w:val="nil"/>
        </w:tcBorders>
        <w:shd w:val="clear" w:color="auto" w:fill="F1C1BC" w:themeFill="accent2"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tednmka1zvraznn1">
    <w:name w:val="Medium Grid 1 Accent 1"/>
    <w:basedOn w:val="Normlntabulka"/>
    <w:uiPriority w:val="67"/>
    <w:rsid w:val="005C30DD"/>
    <w:tblPr>
      <w:tblStyleRowBandSize w:val="1"/>
      <w:tblStyleColBandSize w:val="1"/>
      <w:tblInd w:w="0" w:type="dxa"/>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insideV w:val="single" w:sz="8" w:space="0" w:color="EA6F44" w:themeColor="accent1" w:themeTint="BF"/>
      </w:tblBorders>
      <w:tblCellMar>
        <w:top w:w="0" w:type="dxa"/>
        <w:left w:w="108" w:type="dxa"/>
        <w:bottom w:w="0" w:type="dxa"/>
        <w:right w:w="108" w:type="dxa"/>
      </w:tblCellMar>
    </w:tblPr>
    <w:trPr>
      <w:hidden/>
    </w:trPr>
    <w:tcPr>
      <w:shd w:val="clear" w:color="auto" w:fill="F8CFC1" w:themeFill="accent1" w:themeFillTint="3F"/>
    </w:tcPr>
    <w:tblStylePr w:type="firstRow">
      <w:rPr>
        <w:b/>
        <w:bCs/>
      </w:rPr>
    </w:tblStylePr>
    <w:tblStylePr w:type="lastRow">
      <w:rPr>
        <w:b/>
        <w:bCs/>
      </w:rPr>
      <w:tblPr/>
      <w:trPr>
        <w:hidden/>
      </w:trPr>
      <w:tcPr>
        <w:tcBorders>
          <w:top w:val="single" w:sz="18" w:space="0" w:color="EA6F44" w:themeColor="accent1" w:themeTint="BF"/>
        </w:tcBorders>
      </w:tcPr>
    </w:tblStylePr>
    <w:tblStylePr w:type="firstCol">
      <w:rPr>
        <w:b/>
        <w:bCs/>
      </w:rPr>
    </w:tblStylePr>
    <w:tblStylePr w:type="lastCol">
      <w:rPr>
        <w:b/>
        <w:bCs/>
      </w:rPr>
    </w:tblStylePr>
    <w:tblStylePr w:type="band1Vert">
      <w:tblPr/>
      <w:trPr>
        <w:hidden/>
      </w:trPr>
      <w:tcPr>
        <w:shd w:val="clear" w:color="auto" w:fill="F19F82" w:themeFill="accent1" w:themeFillTint="7F"/>
      </w:tcPr>
    </w:tblStylePr>
    <w:tblStylePr w:type="band1Horz">
      <w:tblPr/>
      <w:trPr>
        <w:hidden/>
      </w:trPr>
      <w:tcPr>
        <w:shd w:val="clear" w:color="auto" w:fill="F19F82" w:themeFill="accent1" w:themeFillTint="7F"/>
      </w:tcPr>
    </w:tblStylePr>
  </w:style>
  <w:style w:type="table" w:styleId="Stednmka3zvraznn1">
    <w:name w:val="Medium Grid 3 Accent 1"/>
    <w:basedOn w:val="Normlntabulka"/>
    <w:uiPriority w:val="69"/>
    <w:rsid w:val="005C30D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rPr>
      <w:hidden/>
    </w:trPr>
    <w:tcPr>
      <w:shd w:val="clear" w:color="auto" w:fill="F8CFC1" w:themeFill="accent1"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34817" w:themeFill="accent1"/>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34817" w:themeFill="accent1"/>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D34817" w:themeFill="accent1"/>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D34817" w:themeFill="accent1"/>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9F82" w:themeFill="accent1"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9F82" w:themeFill="accent1" w:themeFillTint="7F"/>
      </w:tcPr>
    </w:tblStylePr>
  </w:style>
  <w:style w:type="table" w:styleId="Stednmka3zvraznn2">
    <w:name w:val="Medium Grid 3 Accent 2"/>
    <w:basedOn w:val="Normlntabulka"/>
    <w:uiPriority w:val="69"/>
    <w:rsid w:val="005C30D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rPr>
      <w:hidden/>
    </w:trPr>
    <w:tcPr>
      <w:shd w:val="clear" w:color="auto" w:fill="F1C1BC" w:themeFill="accent2"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2D1F" w:themeFill="accent2"/>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2D1F" w:themeFill="accent2"/>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9B2D1F" w:themeFill="accent2"/>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9B2D1F" w:themeFill="accent2"/>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48478" w:themeFill="accent2"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48478" w:themeFill="accent2" w:themeFillTint="7F"/>
      </w:tcPr>
    </w:tblStylePr>
  </w:style>
  <w:style w:type="table" w:styleId="Stednmka2zvraznn1">
    <w:name w:val="Medium Grid 2 Accent 1"/>
    <w:basedOn w:val="Normlntabulka"/>
    <w:uiPriority w:val="68"/>
    <w:rsid w:val="005C30DD"/>
    <w:rPr>
      <w:rFonts w:asciiTheme="majorHAnsi" w:eastAsiaTheme="majorEastAsia" w:hAnsiTheme="majorHAnsi" w:cstheme="majorBidi"/>
      <w:color w:val="000000" w:themeColor="text1"/>
    </w:rPr>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CellMar>
        <w:top w:w="0" w:type="dxa"/>
        <w:left w:w="108" w:type="dxa"/>
        <w:bottom w:w="0" w:type="dxa"/>
        <w:right w:w="108" w:type="dxa"/>
      </w:tblCellMar>
    </w:tblPr>
    <w:trPr>
      <w:hidden/>
    </w:trPr>
    <w:tcPr>
      <w:shd w:val="clear" w:color="auto" w:fill="F8CFC1" w:themeFill="accent1" w:themeFillTint="3F"/>
    </w:tcPr>
    <w:tblStylePr w:type="firstRow">
      <w:rPr>
        <w:b/>
        <w:bCs/>
        <w:color w:val="000000" w:themeColor="text1"/>
      </w:rPr>
      <w:tblPr/>
      <w:trPr>
        <w:hidden/>
      </w:trPr>
      <w:tcPr>
        <w:shd w:val="clear" w:color="auto" w:fill="FCECE6" w:themeFill="accent1" w:themeFillTint="19"/>
      </w:tcPr>
    </w:tblStylePr>
    <w:tblStylePr w:type="lastRow">
      <w:rPr>
        <w:b/>
        <w:bCs/>
        <w:color w:val="000000" w:themeColor="text1"/>
      </w:rPr>
      <w:tblPr/>
      <w:trPr>
        <w:hidden/>
      </w:t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rPr>
        <w:hidden/>
      </w:t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rPr>
        <w:hidden/>
      </w:trPr>
      <w:tcPr>
        <w:tcBorders>
          <w:top w:val="nil"/>
          <w:left w:val="nil"/>
          <w:bottom w:val="nil"/>
          <w:right w:val="nil"/>
          <w:insideH w:val="nil"/>
          <w:insideV w:val="nil"/>
        </w:tcBorders>
        <w:shd w:val="clear" w:color="auto" w:fill="F9D8CD" w:themeFill="accent1" w:themeFillTint="33"/>
      </w:tcPr>
    </w:tblStylePr>
    <w:tblStylePr w:type="band1Vert">
      <w:tblPr/>
      <w:trPr>
        <w:hidden/>
      </w:trPr>
      <w:tcPr>
        <w:shd w:val="clear" w:color="auto" w:fill="F19F82" w:themeFill="accent1" w:themeFillTint="7F"/>
      </w:tcPr>
    </w:tblStylePr>
    <w:tblStylePr w:type="band1Horz">
      <w:tblPr/>
      <w:trPr>
        <w:hidden/>
      </w:trPr>
      <w:tcPr>
        <w:tcBorders>
          <w:insideH w:val="single" w:sz="6" w:space="0" w:color="D34817" w:themeColor="accent1"/>
          <w:insideV w:val="single" w:sz="6" w:space="0" w:color="D34817" w:themeColor="accent1"/>
        </w:tcBorders>
        <w:shd w:val="clear" w:color="auto" w:fill="F19F82" w:themeFill="accent1" w:themeFillTint="7F"/>
      </w:tcPr>
    </w:tblStylePr>
    <w:tblStylePr w:type="nwCell">
      <w:tblPr/>
      <w:trPr>
        <w:hidden/>
      </w:trPr>
      <w:tcPr>
        <w:shd w:val="clear" w:color="auto" w:fill="FFFFFF" w:themeFill="background1"/>
      </w:tcPr>
    </w:tblStylePr>
  </w:style>
  <w:style w:type="table" w:styleId="Barevnstnovnzvraznn1">
    <w:name w:val="Colorful Shading Accent 1"/>
    <w:basedOn w:val="Normlntabulka"/>
    <w:uiPriority w:val="71"/>
    <w:rsid w:val="005C30DD"/>
    <w:rPr>
      <w:color w:val="000000" w:themeColor="text1"/>
    </w:rPr>
    <w:tblPr>
      <w:tblStyleRowBandSize w:val="1"/>
      <w:tblStyleColBandSize w:val="1"/>
      <w:tblInd w:w="0" w:type="dxa"/>
      <w:tblBorders>
        <w:top w:val="single" w:sz="24" w:space="0" w:color="9B2D1F" w:themeColor="accent2"/>
        <w:left w:val="single" w:sz="4" w:space="0" w:color="D34817" w:themeColor="accent1"/>
        <w:bottom w:val="single" w:sz="4" w:space="0" w:color="D34817" w:themeColor="accent1"/>
        <w:right w:val="single" w:sz="4" w:space="0" w:color="D34817"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FCECE6" w:themeFill="accent1" w:themeFillTint="19"/>
    </w:tcPr>
    <w:tblStylePr w:type="firstRow">
      <w:rPr>
        <w:b/>
        <w:bCs/>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7E2A0D" w:themeFill="accent1" w:themeFillShade="99"/>
      </w:tcPr>
    </w:tblStylePr>
    <w:tblStylePr w:type="firstCol">
      <w:rPr>
        <w:color w:val="FFFFFF" w:themeColor="background1"/>
      </w:rPr>
      <w:tblPr/>
      <w:trPr>
        <w:hidden/>
      </w:trPr>
      <w:tcPr>
        <w:tcBorders>
          <w:top w:val="nil"/>
          <w:left w:val="nil"/>
          <w:bottom w:val="nil"/>
          <w:right w:val="nil"/>
          <w:insideH w:val="single" w:sz="4" w:space="0" w:color="7E2A0D" w:themeColor="accent1" w:themeShade="99"/>
          <w:insideV w:val="nil"/>
        </w:tcBorders>
        <w:shd w:val="clear" w:color="auto" w:fill="7E2A0D" w:themeFill="accent1"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7E2A0D" w:themeFill="accent1" w:themeFillShade="99"/>
      </w:tcPr>
    </w:tblStylePr>
    <w:tblStylePr w:type="band1Vert">
      <w:tblPr/>
      <w:trPr>
        <w:hidden/>
      </w:trPr>
      <w:tcPr>
        <w:shd w:val="clear" w:color="auto" w:fill="F4B29B" w:themeFill="accent1" w:themeFillTint="66"/>
      </w:tcPr>
    </w:tblStylePr>
    <w:tblStylePr w:type="band1Horz">
      <w:tblPr/>
      <w:trPr>
        <w:hidden/>
      </w:trPr>
      <w:tcPr>
        <w:shd w:val="clear" w:color="auto" w:fill="F19F82" w:themeFill="accent1" w:themeFillTint="7F"/>
      </w:tcPr>
    </w:tblStylePr>
    <w:tblStylePr w:type="neCell">
      <w:rPr>
        <w:color w:val="000000" w:themeColor="text1"/>
      </w:rPr>
    </w:tblStylePr>
    <w:tblStylePr w:type="nwCell">
      <w:rPr>
        <w:color w:val="000000" w:themeColor="text1"/>
      </w:rPr>
    </w:tblStylePr>
  </w:style>
  <w:style w:type="table" w:styleId="Barevnmkazvraznn2">
    <w:name w:val="Colorful Grid Accent 2"/>
    <w:basedOn w:val="Normlntabulka"/>
    <w:uiPriority w:val="73"/>
    <w:rsid w:val="005C30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rPr>
      <w:hidden/>
    </w:trPr>
    <w:tcPr>
      <w:shd w:val="clear" w:color="auto" w:fill="F4CDC8" w:themeFill="accent2" w:themeFillTint="33"/>
    </w:tcPr>
    <w:tblStylePr w:type="firstRow">
      <w:rPr>
        <w:b/>
        <w:bCs/>
      </w:rPr>
      <w:tblPr/>
      <w:trPr>
        <w:hidden/>
      </w:trPr>
      <w:tcPr>
        <w:shd w:val="clear" w:color="auto" w:fill="E99C92" w:themeFill="accent2" w:themeFillTint="66"/>
      </w:tcPr>
    </w:tblStylePr>
    <w:tblStylePr w:type="lastRow">
      <w:rPr>
        <w:b/>
        <w:bCs/>
        <w:color w:val="000000" w:themeColor="text1"/>
      </w:rPr>
      <w:tblPr/>
      <w:trPr>
        <w:hidden/>
      </w:trPr>
      <w:tcPr>
        <w:shd w:val="clear" w:color="auto" w:fill="E99C92" w:themeFill="accent2" w:themeFillTint="66"/>
      </w:tcPr>
    </w:tblStylePr>
    <w:tblStylePr w:type="firstCol">
      <w:rPr>
        <w:color w:val="FFFFFF" w:themeColor="background1"/>
      </w:rPr>
      <w:tblPr/>
      <w:trPr>
        <w:hidden/>
      </w:trPr>
      <w:tcPr>
        <w:shd w:val="clear" w:color="auto" w:fill="732117" w:themeFill="accent2" w:themeFillShade="BF"/>
      </w:tcPr>
    </w:tblStylePr>
    <w:tblStylePr w:type="lastCol">
      <w:rPr>
        <w:color w:val="FFFFFF" w:themeColor="background1"/>
      </w:rPr>
      <w:tblPr/>
      <w:trPr>
        <w:hidden/>
      </w:trPr>
      <w:tcPr>
        <w:shd w:val="clear" w:color="auto" w:fill="732117" w:themeFill="accent2" w:themeFillShade="BF"/>
      </w:tcPr>
    </w:tblStylePr>
    <w:tblStylePr w:type="band1Vert">
      <w:tblPr/>
      <w:trPr>
        <w:hidden/>
      </w:trPr>
      <w:tcPr>
        <w:shd w:val="clear" w:color="auto" w:fill="E48478" w:themeFill="accent2" w:themeFillTint="7F"/>
      </w:tcPr>
    </w:tblStylePr>
    <w:tblStylePr w:type="band1Horz">
      <w:tblPr/>
      <w:trPr>
        <w:hidden/>
      </w:trPr>
      <w:tcPr>
        <w:shd w:val="clear" w:color="auto" w:fill="E48478" w:themeFill="accent2" w:themeFillTint="7F"/>
      </w:tcPr>
    </w:tblStylePr>
  </w:style>
  <w:style w:type="table" w:styleId="Barevnmkazvraznn1">
    <w:name w:val="Colorful Grid Accent 1"/>
    <w:basedOn w:val="Normlntabulka"/>
    <w:uiPriority w:val="73"/>
    <w:rsid w:val="005C30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rPr>
      <w:hidden/>
    </w:trPr>
    <w:tcPr>
      <w:shd w:val="clear" w:color="auto" w:fill="F9D8CD" w:themeFill="accent1" w:themeFillTint="33"/>
    </w:tcPr>
    <w:tblStylePr w:type="firstRow">
      <w:rPr>
        <w:b/>
        <w:bCs/>
      </w:rPr>
      <w:tblPr/>
      <w:trPr>
        <w:hidden/>
      </w:trPr>
      <w:tcPr>
        <w:shd w:val="clear" w:color="auto" w:fill="F4B29B" w:themeFill="accent1" w:themeFillTint="66"/>
      </w:tcPr>
    </w:tblStylePr>
    <w:tblStylePr w:type="lastRow">
      <w:rPr>
        <w:b/>
        <w:bCs/>
        <w:color w:val="000000" w:themeColor="text1"/>
      </w:rPr>
      <w:tblPr/>
      <w:trPr>
        <w:hidden/>
      </w:trPr>
      <w:tcPr>
        <w:shd w:val="clear" w:color="auto" w:fill="F4B29B" w:themeFill="accent1" w:themeFillTint="66"/>
      </w:tcPr>
    </w:tblStylePr>
    <w:tblStylePr w:type="firstCol">
      <w:rPr>
        <w:color w:val="FFFFFF" w:themeColor="background1"/>
      </w:rPr>
      <w:tblPr/>
      <w:trPr>
        <w:hidden/>
      </w:trPr>
      <w:tcPr>
        <w:shd w:val="clear" w:color="auto" w:fill="9D3511" w:themeFill="accent1" w:themeFillShade="BF"/>
      </w:tcPr>
    </w:tblStylePr>
    <w:tblStylePr w:type="lastCol">
      <w:rPr>
        <w:color w:val="FFFFFF" w:themeColor="background1"/>
      </w:rPr>
      <w:tblPr/>
      <w:trPr>
        <w:hidden/>
      </w:trPr>
      <w:tcPr>
        <w:shd w:val="clear" w:color="auto" w:fill="9D3511" w:themeFill="accent1" w:themeFillShade="BF"/>
      </w:tcPr>
    </w:tblStylePr>
    <w:tblStylePr w:type="band1Vert">
      <w:tblPr/>
      <w:trPr>
        <w:hidden/>
      </w:trPr>
      <w:tcPr>
        <w:shd w:val="clear" w:color="auto" w:fill="F19F82" w:themeFill="accent1" w:themeFillTint="7F"/>
      </w:tcPr>
    </w:tblStylePr>
    <w:tblStylePr w:type="band1Horz">
      <w:tblPr/>
      <w:trPr>
        <w:hidden/>
      </w:trPr>
      <w:tcPr>
        <w:shd w:val="clear" w:color="auto" w:fill="F19F82" w:themeFill="accent1" w:themeFillTint="7F"/>
      </w:tcPr>
    </w:tblStylePr>
  </w:style>
  <w:style w:type="table" w:styleId="Barevnseznamzvraznn2">
    <w:name w:val="Colorful List Accent 2"/>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F9E6E4" w:themeFill="accent2"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1C1BC" w:themeFill="accent2" w:themeFillTint="3F"/>
      </w:tcPr>
    </w:tblStylePr>
    <w:tblStylePr w:type="band1Horz">
      <w:tblPr/>
      <w:trPr>
        <w:hidden/>
      </w:trPr>
      <w:tcPr>
        <w:shd w:val="clear" w:color="auto" w:fill="F4CDC8" w:themeFill="accent2" w:themeFillTint="33"/>
      </w:tcPr>
    </w:tblStylePr>
  </w:style>
  <w:style w:type="table" w:styleId="Barevnseznamzvraznn1">
    <w:name w:val="Colorful List Accent 1"/>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FCECE6" w:themeFill="accent1"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8CFC1" w:themeFill="accent1" w:themeFillTint="3F"/>
      </w:tcPr>
    </w:tblStylePr>
    <w:tblStylePr w:type="band1Horz">
      <w:tblPr/>
      <w:trPr>
        <w:hidden/>
      </w:trPr>
      <w:tcPr>
        <w:shd w:val="clear" w:color="auto" w:fill="F9D8CD" w:themeFill="accent1" w:themeFillTint="33"/>
      </w:tcPr>
    </w:tblStylePr>
  </w:style>
  <w:style w:type="table" w:styleId="Barevnseznam">
    <w:name w:val="Colorful List"/>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E6E6E6" w:themeFill="text1"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C0C0C0" w:themeFill="text1" w:themeFillTint="3F"/>
      </w:tcPr>
    </w:tblStylePr>
    <w:tblStylePr w:type="band1Horz">
      <w:tblPr/>
      <w:trPr>
        <w:hidden/>
      </w:trPr>
      <w:tcPr>
        <w:shd w:val="clear" w:color="auto" w:fill="CCCCCC" w:themeFill="text1" w:themeFillTint="33"/>
      </w:tcPr>
    </w:tblStylePr>
  </w:style>
  <w:style w:type="table" w:styleId="Barevnstnovnzvraznn6">
    <w:name w:val="Colorful Shading Accent 6"/>
    <w:basedOn w:val="Normlntabulka"/>
    <w:uiPriority w:val="71"/>
    <w:rsid w:val="005C30DD"/>
    <w:rPr>
      <w:color w:val="000000" w:themeColor="text1"/>
    </w:rPr>
    <w:tblPr>
      <w:tblStyleRowBandSize w:val="1"/>
      <w:tblStyleColBandSize w:val="1"/>
      <w:tblInd w:w="0" w:type="dxa"/>
      <w:tblBorders>
        <w:top w:val="single" w:sz="24" w:space="0" w:color="918485" w:themeColor="accent5"/>
        <w:left w:val="single" w:sz="4" w:space="0" w:color="855D5D" w:themeColor="accent6"/>
        <w:bottom w:val="single" w:sz="4" w:space="0" w:color="855D5D" w:themeColor="accent6"/>
        <w:right w:val="single" w:sz="4" w:space="0" w:color="855D5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F3EEEE" w:themeFill="accent6" w:themeFillTint="19"/>
    </w:tcPr>
    <w:tblStylePr w:type="firstRow">
      <w:rPr>
        <w:b/>
        <w:bCs/>
      </w:rPr>
      <w:tblPr/>
      <w:trPr>
        <w:hidden/>
      </w:trPr>
      <w:tcPr>
        <w:tcBorders>
          <w:top w:val="nil"/>
          <w:left w:val="nil"/>
          <w:bottom w:val="single" w:sz="24" w:space="0" w:color="918485" w:themeColor="accent5"/>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4F3737" w:themeFill="accent6" w:themeFillShade="99"/>
      </w:tcPr>
    </w:tblStylePr>
    <w:tblStylePr w:type="firstCol">
      <w:rPr>
        <w:color w:val="FFFFFF" w:themeColor="background1"/>
      </w:rPr>
      <w:tblPr/>
      <w:trPr>
        <w:hidden/>
      </w:trPr>
      <w:tcPr>
        <w:tcBorders>
          <w:top w:val="nil"/>
          <w:left w:val="nil"/>
          <w:bottom w:val="nil"/>
          <w:right w:val="nil"/>
          <w:insideH w:val="single" w:sz="4" w:space="0" w:color="4F3737" w:themeColor="accent6" w:themeShade="99"/>
          <w:insideV w:val="nil"/>
        </w:tcBorders>
        <w:shd w:val="clear" w:color="auto" w:fill="4F3737" w:themeFill="accent6"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4F3737" w:themeFill="accent6" w:themeFillShade="99"/>
      </w:tcPr>
    </w:tblStylePr>
    <w:tblStylePr w:type="band1Vert">
      <w:tblPr/>
      <w:trPr>
        <w:hidden/>
      </w:trPr>
      <w:tcPr>
        <w:shd w:val="clear" w:color="auto" w:fill="D0BCBC" w:themeFill="accent6" w:themeFillTint="66"/>
      </w:tcPr>
    </w:tblStylePr>
    <w:tblStylePr w:type="band1Horz">
      <w:tblPr/>
      <w:trPr>
        <w:hidden/>
      </w:trPr>
      <w:tcPr>
        <w:shd w:val="clear" w:color="auto" w:fill="C4ABAB" w:themeFill="accent6" w:themeFillTint="7F"/>
      </w:tcPr>
    </w:tblStylePr>
    <w:tblStylePr w:type="neCell">
      <w:rPr>
        <w:color w:val="000000" w:themeColor="text1"/>
      </w:rPr>
    </w:tblStylePr>
    <w:tblStylePr w:type="nwCell">
      <w:rPr>
        <w:color w:val="000000" w:themeColor="text1"/>
      </w:rPr>
    </w:tblStylePr>
  </w:style>
  <w:style w:type="character" w:customStyle="1" w:styleId="okbasic2">
    <w:name w:val="okbasic2"/>
    <w:basedOn w:val="Standardnpsmoodstavce"/>
    <w:rsid w:val="00AE647D"/>
  </w:style>
  <w:style w:type="table" w:styleId="Svtlstnovn">
    <w:name w:val="Light Shading"/>
    <w:basedOn w:val="Normlntabulka"/>
    <w:uiPriority w:val="60"/>
    <w:rsid w:val="00F7663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rPr>
        <w:hidden/>
      </w:tr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C0C0C0" w:themeFill="text1" w:themeFillTint="3F"/>
      </w:tcPr>
    </w:tblStylePr>
    <w:tblStylePr w:type="band1Horz">
      <w:tblPr/>
      <w:trPr>
        <w:hidden/>
      </w:trPr>
      <w:tcPr>
        <w:tcBorders>
          <w:left w:val="nil"/>
          <w:right w:val="nil"/>
          <w:insideH w:val="nil"/>
          <w:insideV w:val="nil"/>
        </w:tcBorders>
        <w:shd w:val="clear" w:color="auto" w:fill="C0C0C0" w:themeFill="text1" w:themeFillTint="3F"/>
      </w:tcPr>
    </w:tblStylePr>
  </w:style>
  <w:style w:type="table" w:styleId="Svtlstnovnzvraznn4">
    <w:name w:val="Light Shading Accent 4"/>
    <w:basedOn w:val="Normlntabulka"/>
    <w:uiPriority w:val="60"/>
    <w:rsid w:val="001E6A12"/>
    <w:rPr>
      <w:color w:val="9B2D1F" w:themeColor="accent2"/>
    </w:rPr>
    <w:tblPr>
      <w:tblStyleRowBandSize w:val="1"/>
      <w:tblStyleColBandSize w:val="1"/>
      <w:tblInd w:w="0" w:type="dxa"/>
      <w:tblBorders>
        <w:top w:val="single" w:sz="8" w:space="0" w:color="956251" w:themeColor="accent4"/>
        <w:bottom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56251" w:themeColor="accent4"/>
          <w:left w:val="nil"/>
          <w:bottom w:val="single" w:sz="8" w:space="0" w:color="956251" w:themeColor="accent4"/>
          <w:right w:val="nil"/>
          <w:insideH w:val="nil"/>
          <w:insideV w:val="nil"/>
        </w:tcBorders>
      </w:tcPr>
    </w:tblStylePr>
    <w:tblStylePr w:type="lastRow">
      <w:pPr>
        <w:spacing w:before="0" w:after="0" w:line="240" w:lineRule="auto"/>
      </w:pPr>
      <w:rPr>
        <w:b/>
        <w:bCs/>
      </w:rPr>
      <w:tblPr/>
      <w:trPr>
        <w:hidden/>
      </w:trPr>
      <w:tcPr>
        <w:tcBorders>
          <w:top w:val="single" w:sz="8" w:space="0" w:color="956251" w:themeColor="accent4"/>
          <w:left w:val="nil"/>
          <w:bottom w:val="single" w:sz="8" w:space="0" w:color="956251" w:themeColor="accent4"/>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6D7D2" w:themeFill="accent4" w:themeFillTint="3F"/>
      </w:tcPr>
    </w:tblStylePr>
    <w:tblStylePr w:type="band1Horz">
      <w:tblPr/>
      <w:trPr>
        <w:hidden/>
      </w:trPr>
      <w:tcPr>
        <w:tcBorders>
          <w:left w:val="nil"/>
          <w:right w:val="nil"/>
          <w:insideH w:val="nil"/>
          <w:insideV w:val="nil"/>
        </w:tcBorders>
        <w:shd w:val="clear" w:color="auto" w:fill="E6D7D2" w:themeFill="accent4" w:themeFillTint="3F"/>
      </w:tcPr>
    </w:tblStylePr>
  </w:style>
  <w:style w:type="table" w:styleId="Svtlstnovnzvraznn5">
    <w:name w:val="Light Shading Accent 5"/>
    <w:basedOn w:val="Normlntabulka"/>
    <w:uiPriority w:val="60"/>
    <w:rsid w:val="00F76637"/>
    <w:rPr>
      <w:color w:val="6D6262" w:themeColor="accent5" w:themeShade="BF"/>
    </w:rPr>
    <w:tblPr>
      <w:tblStyleRowBandSize w:val="1"/>
      <w:tblStyleColBandSize w:val="1"/>
      <w:tblInd w:w="0" w:type="dxa"/>
      <w:tblBorders>
        <w:top w:val="single" w:sz="8" w:space="0" w:color="918485" w:themeColor="accent5"/>
        <w:bottom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18485" w:themeColor="accent5"/>
          <w:left w:val="nil"/>
          <w:bottom w:val="single" w:sz="8" w:space="0" w:color="918485" w:themeColor="accent5"/>
          <w:right w:val="nil"/>
          <w:insideH w:val="nil"/>
          <w:insideV w:val="nil"/>
        </w:tcBorders>
      </w:tcPr>
    </w:tblStylePr>
    <w:tblStylePr w:type="lastRow">
      <w:pPr>
        <w:spacing w:before="0" w:after="0" w:line="240" w:lineRule="auto"/>
      </w:pPr>
      <w:rPr>
        <w:b/>
        <w:bCs/>
      </w:rPr>
      <w:tblPr/>
      <w:trPr>
        <w:hidden/>
      </w:trPr>
      <w:tcPr>
        <w:tcBorders>
          <w:top w:val="single" w:sz="8" w:space="0" w:color="918485" w:themeColor="accent5"/>
          <w:left w:val="nil"/>
          <w:bottom w:val="single" w:sz="8" w:space="0" w:color="918485" w:themeColor="accent5"/>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3E0E0" w:themeFill="accent5" w:themeFillTint="3F"/>
      </w:tcPr>
    </w:tblStylePr>
    <w:tblStylePr w:type="band1Horz">
      <w:tblPr/>
      <w:trPr>
        <w:hidden/>
      </w:trPr>
      <w:tcPr>
        <w:tcBorders>
          <w:left w:val="nil"/>
          <w:right w:val="nil"/>
          <w:insideH w:val="nil"/>
          <w:insideV w:val="nil"/>
        </w:tcBorders>
        <w:shd w:val="clear" w:color="auto" w:fill="E3E0E0" w:themeFill="accent5" w:themeFillTint="3F"/>
      </w:tcPr>
    </w:tblStylePr>
  </w:style>
  <w:style w:type="table" w:styleId="Svtlstnovnzvraznn6">
    <w:name w:val="Light Shading Accent 6"/>
    <w:basedOn w:val="Normlntabulka"/>
    <w:uiPriority w:val="60"/>
    <w:rsid w:val="00F76637"/>
    <w:rPr>
      <w:color w:val="634545" w:themeColor="accent6" w:themeShade="BF"/>
    </w:rPr>
    <w:tblPr>
      <w:tblStyleRowBandSize w:val="1"/>
      <w:tblStyleColBandSize w:val="1"/>
      <w:tblInd w:w="0" w:type="dxa"/>
      <w:tblBorders>
        <w:top w:val="single" w:sz="8" w:space="0" w:color="855D5D" w:themeColor="accent6"/>
        <w:bottom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855D5D" w:themeColor="accent6"/>
          <w:left w:val="nil"/>
          <w:bottom w:val="single" w:sz="8" w:space="0" w:color="855D5D" w:themeColor="accent6"/>
          <w:right w:val="nil"/>
          <w:insideH w:val="nil"/>
          <w:insideV w:val="nil"/>
        </w:tcBorders>
      </w:tcPr>
    </w:tblStylePr>
    <w:tblStylePr w:type="lastRow">
      <w:pPr>
        <w:spacing w:before="0" w:after="0" w:line="240" w:lineRule="auto"/>
      </w:pPr>
      <w:rPr>
        <w:b/>
        <w:bCs/>
      </w:rPr>
      <w:tblPr/>
      <w:trPr>
        <w:hidden/>
      </w:trPr>
      <w:tcPr>
        <w:tcBorders>
          <w:top w:val="single" w:sz="8" w:space="0" w:color="855D5D" w:themeColor="accent6"/>
          <w:left w:val="nil"/>
          <w:bottom w:val="single" w:sz="8" w:space="0" w:color="855D5D" w:themeColor="accent6"/>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2D5D5" w:themeFill="accent6" w:themeFillTint="3F"/>
      </w:tcPr>
    </w:tblStylePr>
    <w:tblStylePr w:type="band1Horz">
      <w:tblPr/>
      <w:trPr>
        <w:hidden/>
      </w:trPr>
      <w:tcPr>
        <w:tcBorders>
          <w:left w:val="nil"/>
          <w:right w:val="nil"/>
          <w:insideH w:val="nil"/>
          <w:insideV w:val="nil"/>
        </w:tcBorders>
        <w:shd w:val="clear" w:color="auto" w:fill="E2D5D5" w:themeFill="accent6" w:themeFillTint="3F"/>
      </w:tcPr>
    </w:tblStylePr>
  </w:style>
  <w:style w:type="table" w:styleId="Svtlstnovnzvraznn3">
    <w:name w:val="Light Shading Accent 3"/>
    <w:basedOn w:val="Normlntabulka"/>
    <w:uiPriority w:val="60"/>
    <w:rsid w:val="00D97C49"/>
    <w:rPr>
      <w:color w:val="7B6A4D" w:themeColor="accent3" w:themeShade="BF"/>
    </w:rPr>
    <w:tblPr>
      <w:tblStyleRowBandSize w:val="1"/>
      <w:tblStyleColBandSize w:val="1"/>
      <w:tblInd w:w="0" w:type="dxa"/>
      <w:tblBorders>
        <w:top w:val="single" w:sz="8" w:space="0" w:color="A28E6A" w:themeColor="accent3"/>
        <w:bottom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A28E6A" w:themeColor="accent3"/>
          <w:left w:val="nil"/>
          <w:bottom w:val="single" w:sz="8" w:space="0" w:color="A28E6A" w:themeColor="accent3"/>
          <w:right w:val="nil"/>
          <w:insideH w:val="nil"/>
          <w:insideV w:val="nil"/>
        </w:tcBorders>
      </w:tcPr>
    </w:tblStylePr>
    <w:tblStylePr w:type="lastRow">
      <w:pPr>
        <w:spacing w:before="0" w:after="0" w:line="240" w:lineRule="auto"/>
      </w:pPr>
      <w:rPr>
        <w:b/>
        <w:bCs/>
      </w:rPr>
      <w:tblPr/>
      <w:trPr>
        <w:hidden/>
      </w:trPr>
      <w:tcPr>
        <w:tcBorders>
          <w:top w:val="single" w:sz="8" w:space="0" w:color="A28E6A" w:themeColor="accent3"/>
          <w:left w:val="nil"/>
          <w:bottom w:val="single" w:sz="8" w:space="0" w:color="A28E6A" w:themeColor="accent3"/>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8E2DA" w:themeFill="accent3" w:themeFillTint="3F"/>
      </w:tcPr>
    </w:tblStylePr>
    <w:tblStylePr w:type="band1Horz">
      <w:tblPr/>
      <w:trPr>
        <w:hidden/>
      </w:trPr>
      <w:tcPr>
        <w:tcBorders>
          <w:left w:val="nil"/>
          <w:right w:val="nil"/>
          <w:insideH w:val="nil"/>
          <w:insideV w:val="nil"/>
        </w:tcBorders>
        <w:shd w:val="clear" w:color="auto" w:fill="E8E2DA" w:themeFill="accent3" w:themeFillTint="3F"/>
      </w:tcPr>
    </w:tblStylePr>
  </w:style>
  <w:style w:type="paragraph" w:styleId="Obsah1">
    <w:name w:val="toc 1"/>
    <w:basedOn w:val="Normln"/>
    <w:next w:val="Normln"/>
    <w:autoRedefine/>
    <w:uiPriority w:val="39"/>
    <w:unhideWhenUsed/>
    <w:rsid w:val="00E54029"/>
    <w:pPr>
      <w:spacing w:after="100"/>
    </w:pPr>
  </w:style>
  <w:style w:type="paragraph" w:styleId="Obsah2">
    <w:name w:val="toc 2"/>
    <w:basedOn w:val="Normln"/>
    <w:next w:val="Normln"/>
    <w:autoRedefine/>
    <w:uiPriority w:val="39"/>
    <w:unhideWhenUsed/>
    <w:rsid w:val="00E54029"/>
    <w:pPr>
      <w:spacing w:after="100"/>
      <w:ind w:left="210"/>
    </w:pPr>
  </w:style>
  <w:style w:type="paragraph" w:styleId="Obsah3">
    <w:name w:val="toc 3"/>
    <w:basedOn w:val="Normln"/>
    <w:next w:val="Normln"/>
    <w:autoRedefine/>
    <w:uiPriority w:val="39"/>
    <w:unhideWhenUsed/>
    <w:rsid w:val="00E54029"/>
    <w:pPr>
      <w:spacing w:after="100"/>
      <w:ind w:left="420"/>
    </w:pPr>
  </w:style>
  <w:style w:type="character" w:styleId="Hypertextovodkaz">
    <w:name w:val="Hyperlink"/>
    <w:basedOn w:val="Standardnpsmoodstavce"/>
    <w:uiPriority w:val="99"/>
    <w:unhideWhenUsed/>
    <w:rsid w:val="00E54029"/>
    <w:rPr>
      <w:color w:val="CC9900" w:themeColor="hyperlink"/>
      <w:u w:val="single"/>
    </w:rPr>
  </w:style>
  <w:style w:type="character" w:customStyle="1" w:styleId="bold">
    <w:name w:val="bold"/>
    <w:basedOn w:val="Standardnpsmoodstavce"/>
    <w:rsid w:val="00B333A8"/>
  </w:style>
  <w:style w:type="table" w:styleId="Svtlseznamzvraznn2">
    <w:name w:val="Light List Accent 2"/>
    <w:basedOn w:val="Normlntabulka"/>
    <w:uiPriority w:val="61"/>
    <w:rsid w:val="00D0158A"/>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B2D1F" w:themeFill="accent2"/>
      </w:tcPr>
    </w:tblStylePr>
    <w:tblStylePr w:type="lastRow">
      <w:pPr>
        <w:spacing w:before="0" w:after="0" w:line="240" w:lineRule="auto"/>
      </w:pPr>
      <w:rPr>
        <w:b/>
        <w:bCs/>
      </w:rPr>
      <w:tblPr/>
      <w:trPr>
        <w:hidden/>
      </w:trPr>
      <w:tcPr>
        <w:tcBorders>
          <w:top w:val="double" w:sz="6" w:space="0" w:color="9B2D1F" w:themeColor="accent2"/>
          <w:left w:val="single" w:sz="8" w:space="0" w:color="9B2D1F" w:themeColor="accent2"/>
          <w:bottom w:val="single" w:sz="8" w:space="0" w:color="9B2D1F" w:themeColor="accent2"/>
          <w:right w:val="single" w:sz="8" w:space="0" w:color="9B2D1F" w:themeColor="accent2"/>
        </w:tcBorders>
      </w:tcPr>
    </w:tblStylePr>
    <w:tblStylePr w:type="firstCol">
      <w:rPr>
        <w:b/>
        <w:bCs/>
      </w:rPr>
    </w:tblStylePr>
    <w:tblStylePr w:type="lastCol">
      <w:rPr>
        <w:b/>
        <w:bCs/>
      </w:rPr>
    </w:tblStylePr>
    <w:tblStylePr w:type="band1Vert">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tblStylePr w:type="band1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style>
  <w:style w:type="table" w:styleId="Svtlseznamzvraznn5">
    <w:name w:val="Light List Accent 5"/>
    <w:basedOn w:val="Normlntabulka"/>
    <w:uiPriority w:val="61"/>
    <w:rsid w:val="00D0158A"/>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18485" w:themeFill="accent5"/>
      </w:tcPr>
    </w:tblStylePr>
    <w:tblStylePr w:type="lastRow">
      <w:pPr>
        <w:spacing w:before="0" w:after="0" w:line="240" w:lineRule="auto"/>
      </w:pPr>
      <w:rPr>
        <w:b/>
        <w:bCs/>
      </w:rPr>
      <w:tblPr/>
      <w:trPr>
        <w:hidden/>
      </w:trPr>
      <w:tcPr>
        <w:tcBorders>
          <w:top w:val="double" w:sz="6" w:space="0" w:color="918485" w:themeColor="accent5"/>
          <w:left w:val="single" w:sz="8" w:space="0" w:color="918485" w:themeColor="accent5"/>
          <w:bottom w:val="single" w:sz="8" w:space="0" w:color="918485" w:themeColor="accent5"/>
          <w:right w:val="single" w:sz="8" w:space="0" w:color="918485" w:themeColor="accent5"/>
        </w:tcBorders>
      </w:tcPr>
    </w:tblStylePr>
    <w:tblStylePr w:type="firstCol">
      <w:rPr>
        <w:b/>
        <w:bCs/>
      </w:rPr>
    </w:tblStylePr>
    <w:tblStylePr w:type="lastCol">
      <w:rPr>
        <w:b/>
        <w:bCs/>
      </w:rPr>
    </w:tblStylePr>
    <w:tblStylePr w:type="band1Vert">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tblStylePr w:type="band1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style>
  <w:style w:type="table" w:styleId="Svtlseznamzvraznn6">
    <w:name w:val="Light List Accent 6"/>
    <w:basedOn w:val="Normlntabulka"/>
    <w:uiPriority w:val="61"/>
    <w:rsid w:val="00D0158A"/>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855D5D" w:themeFill="accent6"/>
      </w:tcPr>
    </w:tblStylePr>
    <w:tblStylePr w:type="lastRow">
      <w:pPr>
        <w:spacing w:before="0" w:after="0" w:line="240" w:lineRule="auto"/>
      </w:pPr>
      <w:rPr>
        <w:b/>
        <w:bCs/>
      </w:rPr>
      <w:tblPr/>
      <w:trPr>
        <w:hidden/>
      </w:trPr>
      <w:tcPr>
        <w:tcBorders>
          <w:top w:val="double" w:sz="6" w:space="0" w:color="855D5D" w:themeColor="accent6"/>
          <w:left w:val="single" w:sz="8" w:space="0" w:color="855D5D" w:themeColor="accent6"/>
          <w:bottom w:val="single" w:sz="8" w:space="0" w:color="855D5D" w:themeColor="accent6"/>
          <w:right w:val="single" w:sz="8" w:space="0" w:color="855D5D" w:themeColor="accent6"/>
        </w:tcBorders>
      </w:tcPr>
    </w:tblStylePr>
    <w:tblStylePr w:type="firstCol">
      <w:rPr>
        <w:b/>
        <w:bCs/>
      </w:rPr>
    </w:tblStylePr>
    <w:tblStylePr w:type="lastCol">
      <w:rPr>
        <w:b/>
        <w:bCs/>
      </w:rPr>
    </w:tblStylePr>
    <w:tblStylePr w:type="band1Vert">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tblStylePr w:type="band1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style>
  <w:style w:type="table" w:styleId="Stednstnovn1">
    <w:name w:val="Medium Shading 1"/>
    <w:basedOn w:val="Normlntabulka"/>
    <w:uiPriority w:val="63"/>
    <w:rsid w:val="00D0158A"/>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rPr>
        <w:hidden/>
      </w:tr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0C0C0" w:themeFill="text1" w:themeFillTint="3F"/>
      </w:tcPr>
    </w:tblStylePr>
    <w:tblStylePr w:type="band1Horz">
      <w:tblPr/>
      <w:trPr>
        <w:hidden/>
      </w:trPr>
      <w:tcPr>
        <w:tcBorders>
          <w:insideH w:val="nil"/>
          <w:insideV w:val="nil"/>
        </w:tcBorders>
        <w:shd w:val="clear" w:color="auto" w:fill="C0C0C0" w:themeFill="text1" w:themeFillTint="3F"/>
      </w:tcPr>
    </w:tblStylePr>
    <w:tblStylePr w:type="band2Horz">
      <w:tblPr/>
      <w:trPr>
        <w:hidden/>
      </w:trPr>
      <w:tcPr>
        <w:tcBorders>
          <w:insideH w:val="nil"/>
          <w:insideV w:val="nil"/>
        </w:tcBorders>
      </w:tcPr>
    </w:tblStylePr>
  </w:style>
  <w:style w:type="table" w:styleId="Svtlmkazvraznn6">
    <w:name w:val="Light Grid Accent 6"/>
    <w:basedOn w:val="Normlntabulka"/>
    <w:uiPriority w:val="62"/>
    <w:rsid w:val="00D0158A"/>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insideH w:val="single" w:sz="8" w:space="0" w:color="855D5D" w:themeColor="accent6"/>
        <w:insideV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855D5D" w:themeColor="accent6"/>
          <w:left w:val="single" w:sz="8" w:space="0" w:color="855D5D" w:themeColor="accent6"/>
          <w:bottom w:val="single" w:sz="18" w:space="0" w:color="855D5D" w:themeColor="accent6"/>
          <w:right w:val="single" w:sz="8" w:space="0" w:color="855D5D" w:themeColor="accent6"/>
          <w:insideH w:val="nil"/>
          <w:insideV w:val="single" w:sz="8" w:space="0" w:color="855D5D" w:themeColor="accent6"/>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855D5D" w:themeColor="accent6"/>
          <w:left w:val="single" w:sz="8" w:space="0" w:color="855D5D" w:themeColor="accent6"/>
          <w:bottom w:val="single" w:sz="8" w:space="0" w:color="855D5D" w:themeColor="accent6"/>
          <w:right w:val="single" w:sz="8" w:space="0" w:color="855D5D" w:themeColor="accent6"/>
          <w:insideH w:val="nil"/>
          <w:insideV w:val="single" w:sz="8" w:space="0" w:color="855D5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tblStylePr w:type="band1Vert">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shd w:val="clear" w:color="auto" w:fill="E2D5D5" w:themeFill="accent6" w:themeFillTint="3F"/>
      </w:tcPr>
    </w:tblStylePr>
    <w:tblStylePr w:type="band1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insideV w:val="single" w:sz="8" w:space="0" w:color="855D5D" w:themeColor="accent6"/>
        </w:tcBorders>
        <w:shd w:val="clear" w:color="auto" w:fill="E2D5D5" w:themeFill="accent6" w:themeFillTint="3F"/>
      </w:tcPr>
    </w:tblStylePr>
    <w:tblStylePr w:type="band2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insideV w:val="single" w:sz="8" w:space="0" w:color="855D5D" w:themeColor="accent6"/>
        </w:tcBorders>
      </w:tcPr>
    </w:tblStylePr>
  </w:style>
  <w:style w:type="table" w:styleId="Svtlmkazvraznn1">
    <w:name w:val="Light Grid Accent 1"/>
    <w:basedOn w:val="Normlntabulka"/>
    <w:uiPriority w:val="62"/>
    <w:rsid w:val="00D0158A"/>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D34817" w:themeColor="accent1"/>
          <w:left w:val="single" w:sz="8" w:space="0" w:color="D34817" w:themeColor="accent1"/>
          <w:bottom w:val="single" w:sz="18" w:space="0" w:color="D34817" w:themeColor="accent1"/>
          <w:right w:val="single" w:sz="8" w:space="0" w:color="D34817" w:themeColor="accent1"/>
          <w:insideH w:val="nil"/>
          <w:insideV w:val="single" w:sz="8" w:space="0" w:color="D34817" w:themeColor="accen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D34817" w:themeColor="accent1"/>
          <w:left w:val="single" w:sz="8" w:space="0" w:color="D34817" w:themeColor="accent1"/>
          <w:bottom w:val="single" w:sz="8" w:space="0" w:color="D34817" w:themeColor="accent1"/>
          <w:right w:val="single" w:sz="8" w:space="0" w:color="D34817" w:themeColor="accent1"/>
          <w:insideH w:val="nil"/>
          <w:insideV w:val="single" w:sz="8" w:space="0" w:color="D3481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tblStylePr w:type="band1Vert">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shd w:val="clear" w:color="auto" w:fill="F8CFC1" w:themeFill="accent1" w:themeFillTint="3F"/>
      </w:tcPr>
    </w:tblStylePr>
    <w:tblStylePr w:type="band1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insideV w:val="single" w:sz="8" w:space="0" w:color="D34817" w:themeColor="accent1"/>
        </w:tcBorders>
        <w:shd w:val="clear" w:color="auto" w:fill="F8CFC1" w:themeFill="accent1" w:themeFillTint="3F"/>
      </w:tcPr>
    </w:tblStylePr>
    <w:tblStylePr w:type="band2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insideV w:val="single" w:sz="8" w:space="0" w:color="D34817" w:themeColor="accent1"/>
        </w:tcBorders>
      </w:tcPr>
    </w:tblStylePr>
  </w:style>
  <w:style w:type="table" w:styleId="Stednstnovn1zvraznn1">
    <w:name w:val="Medium Shading 1 Accent 1"/>
    <w:basedOn w:val="Normlntabulka"/>
    <w:uiPriority w:val="63"/>
    <w:rsid w:val="00D0158A"/>
    <w:tblPr>
      <w:tblStyleRowBandSize w:val="1"/>
      <w:tblStyleColBandSize w:val="1"/>
      <w:tblInd w:w="0" w:type="dxa"/>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nil"/>
          <w:insideV w:val="nil"/>
        </w:tcBorders>
        <w:shd w:val="clear" w:color="auto" w:fill="D34817" w:themeFill="accent1"/>
      </w:tcPr>
    </w:tblStylePr>
    <w:tblStylePr w:type="lastRow">
      <w:pPr>
        <w:spacing w:before="0" w:after="0" w:line="240" w:lineRule="auto"/>
      </w:pPr>
      <w:rPr>
        <w:b/>
        <w:bCs/>
      </w:rPr>
      <w:tblPr/>
      <w:trPr>
        <w:hidden/>
      </w:trPr>
      <w:tcPr>
        <w:tcBorders>
          <w:top w:val="double" w:sz="6"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F8CFC1" w:themeFill="accent1" w:themeFillTint="3F"/>
      </w:tcPr>
    </w:tblStylePr>
    <w:tblStylePr w:type="band1Horz">
      <w:tblPr/>
      <w:trPr>
        <w:hidden/>
      </w:trPr>
      <w:tcPr>
        <w:tcBorders>
          <w:insideH w:val="nil"/>
          <w:insideV w:val="nil"/>
        </w:tcBorders>
        <w:shd w:val="clear" w:color="auto" w:fill="F8CFC1" w:themeFill="accent1" w:themeFillTint="3F"/>
      </w:tcPr>
    </w:tblStylePr>
    <w:tblStylePr w:type="band2Horz">
      <w:tblPr/>
      <w:trPr>
        <w:hidden/>
      </w:trPr>
      <w:tcPr>
        <w:tcBorders>
          <w:insideH w:val="nil"/>
          <w:insideV w:val="nil"/>
        </w:tcBorders>
      </w:tcPr>
    </w:tblStylePr>
  </w:style>
  <w:style w:type="table" w:styleId="Stednstnovn2zvraznn1">
    <w:name w:val="Medium Shading 2 Accent 1"/>
    <w:basedOn w:val="Normlntabulka"/>
    <w:uiPriority w:val="64"/>
    <w:rsid w:val="00D0158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D34817" w:themeFill="accent1"/>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D34817" w:themeFill="accent1"/>
      </w:tcPr>
    </w:tblStylePr>
    <w:tblStylePr w:type="lastCol">
      <w:rPr>
        <w:b/>
        <w:bCs/>
        <w:color w:val="FFFFFF" w:themeColor="background1"/>
      </w:rPr>
      <w:tblPr/>
      <w:trPr>
        <w:hidden/>
      </w:trPr>
      <w:tcPr>
        <w:tcBorders>
          <w:left w:val="nil"/>
          <w:right w:val="nil"/>
          <w:insideH w:val="nil"/>
          <w:insideV w:val="nil"/>
        </w:tcBorders>
        <w:shd w:val="clear" w:color="auto" w:fill="D34817" w:themeFill="accent1"/>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table" w:styleId="Svtlmkazvraznn4">
    <w:name w:val="Light Grid Accent 4"/>
    <w:basedOn w:val="Normlntabulka"/>
    <w:uiPriority w:val="62"/>
    <w:rsid w:val="00D0158A"/>
    <w:tblPr>
      <w:tblStyleRowBandSize w:val="1"/>
      <w:tblStyleColBandSize w:val="1"/>
      <w:tblInd w:w="0" w:type="dxa"/>
      <w:tblBorders>
        <w:top w:val="single" w:sz="8" w:space="0" w:color="956251" w:themeColor="accent4"/>
        <w:left w:val="single" w:sz="8" w:space="0" w:color="956251" w:themeColor="accent4"/>
        <w:bottom w:val="single" w:sz="8" w:space="0" w:color="956251" w:themeColor="accent4"/>
        <w:right w:val="single" w:sz="8" w:space="0" w:color="956251" w:themeColor="accent4"/>
        <w:insideH w:val="single" w:sz="8" w:space="0" w:color="956251" w:themeColor="accent4"/>
        <w:insideV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56251" w:themeColor="accent4"/>
          <w:left w:val="single" w:sz="8" w:space="0" w:color="956251" w:themeColor="accent4"/>
          <w:bottom w:val="single" w:sz="18" w:space="0" w:color="956251" w:themeColor="accent4"/>
          <w:right w:val="single" w:sz="8" w:space="0" w:color="956251" w:themeColor="accent4"/>
          <w:insideH w:val="nil"/>
          <w:insideV w:val="single" w:sz="8" w:space="0" w:color="956251"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56251" w:themeColor="accent4"/>
          <w:left w:val="single" w:sz="8" w:space="0" w:color="956251" w:themeColor="accent4"/>
          <w:bottom w:val="single" w:sz="8" w:space="0" w:color="956251" w:themeColor="accent4"/>
          <w:right w:val="single" w:sz="8" w:space="0" w:color="956251" w:themeColor="accent4"/>
          <w:insideH w:val="nil"/>
          <w:insideV w:val="single" w:sz="8" w:space="0" w:color="95625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tblStylePr w:type="band1Vert">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shd w:val="clear" w:color="auto" w:fill="E6D7D2" w:themeFill="accent4" w:themeFillTint="3F"/>
      </w:tcPr>
    </w:tblStylePr>
    <w:tblStylePr w:type="band1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insideV w:val="single" w:sz="8" w:space="0" w:color="956251" w:themeColor="accent4"/>
        </w:tcBorders>
        <w:shd w:val="clear" w:color="auto" w:fill="E6D7D2" w:themeFill="accent4" w:themeFillTint="3F"/>
      </w:tcPr>
    </w:tblStylePr>
    <w:tblStylePr w:type="band2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insideV w:val="single" w:sz="8" w:space="0" w:color="956251" w:themeColor="accent4"/>
        </w:tcBorders>
      </w:tcPr>
    </w:tblStylePr>
  </w:style>
  <w:style w:type="table" w:styleId="Svtlmkazvraznn2">
    <w:name w:val="Light Grid Accent 2"/>
    <w:basedOn w:val="Normlntabulka"/>
    <w:uiPriority w:val="62"/>
    <w:rsid w:val="00D0158A"/>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insideH w:val="single" w:sz="8" w:space="0" w:color="9B2D1F" w:themeColor="accent2"/>
        <w:insideV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B2D1F" w:themeColor="accent2"/>
          <w:left w:val="single" w:sz="8" w:space="0" w:color="9B2D1F" w:themeColor="accent2"/>
          <w:bottom w:val="single" w:sz="18" w:space="0" w:color="9B2D1F" w:themeColor="accent2"/>
          <w:right w:val="single" w:sz="8" w:space="0" w:color="9B2D1F" w:themeColor="accent2"/>
          <w:insideH w:val="nil"/>
          <w:insideV w:val="single" w:sz="8" w:space="0" w:color="9B2D1F" w:themeColor="accent2"/>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B2D1F" w:themeColor="accent2"/>
          <w:left w:val="single" w:sz="8" w:space="0" w:color="9B2D1F" w:themeColor="accent2"/>
          <w:bottom w:val="single" w:sz="8" w:space="0" w:color="9B2D1F" w:themeColor="accent2"/>
          <w:right w:val="single" w:sz="8" w:space="0" w:color="9B2D1F" w:themeColor="accent2"/>
          <w:insideH w:val="nil"/>
          <w:insideV w:val="single" w:sz="8" w:space="0" w:color="9B2D1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tblStylePr w:type="band1Vert">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shd w:val="clear" w:color="auto" w:fill="F1C1BC" w:themeFill="accent2" w:themeFillTint="3F"/>
      </w:tcPr>
    </w:tblStylePr>
    <w:tblStylePr w:type="band1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insideV w:val="single" w:sz="8" w:space="0" w:color="9B2D1F" w:themeColor="accent2"/>
        </w:tcBorders>
        <w:shd w:val="clear" w:color="auto" w:fill="F1C1BC" w:themeFill="accent2" w:themeFillTint="3F"/>
      </w:tcPr>
    </w:tblStylePr>
    <w:tblStylePr w:type="band2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insideV w:val="single" w:sz="8" w:space="0" w:color="9B2D1F" w:themeColor="accent2"/>
        </w:tcBorders>
      </w:tcPr>
    </w:tblStylePr>
  </w:style>
  <w:style w:type="table" w:styleId="Svtlmka">
    <w:name w:val="Light Grid"/>
    <w:basedOn w:val="Normlntabulka"/>
    <w:uiPriority w:val="62"/>
    <w:rsid w:val="009426D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3">
    <w:name w:val="Light Grid Accent 3"/>
    <w:basedOn w:val="Normlntabulka"/>
    <w:uiPriority w:val="62"/>
    <w:rsid w:val="009426D4"/>
    <w:tblPr>
      <w:tblStyleRowBandSize w:val="1"/>
      <w:tblStyleColBandSize w:val="1"/>
      <w:tblInd w:w="0" w:type="dxa"/>
      <w:tblBorders>
        <w:top w:val="single" w:sz="8" w:space="0" w:color="A28E6A" w:themeColor="accent3"/>
        <w:left w:val="single" w:sz="8" w:space="0" w:color="A28E6A" w:themeColor="accent3"/>
        <w:bottom w:val="single" w:sz="8" w:space="0" w:color="A28E6A" w:themeColor="accent3"/>
        <w:right w:val="single" w:sz="8" w:space="0" w:color="A28E6A" w:themeColor="accent3"/>
        <w:insideH w:val="single" w:sz="8" w:space="0" w:color="A28E6A" w:themeColor="accent3"/>
        <w:insideV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A28E6A" w:themeColor="accent3"/>
          <w:left w:val="single" w:sz="8" w:space="0" w:color="A28E6A" w:themeColor="accent3"/>
          <w:bottom w:val="single" w:sz="18" w:space="0" w:color="A28E6A" w:themeColor="accent3"/>
          <w:right w:val="single" w:sz="8" w:space="0" w:color="A28E6A" w:themeColor="accent3"/>
          <w:insideH w:val="nil"/>
          <w:insideV w:val="single" w:sz="8" w:space="0" w:color="A28E6A" w:themeColor="accent3"/>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A28E6A" w:themeColor="accent3"/>
          <w:left w:val="single" w:sz="8" w:space="0" w:color="A28E6A" w:themeColor="accent3"/>
          <w:bottom w:val="single" w:sz="8" w:space="0" w:color="A28E6A" w:themeColor="accent3"/>
          <w:right w:val="single" w:sz="8" w:space="0" w:color="A28E6A" w:themeColor="accent3"/>
          <w:insideH w:val="nil"/>
          <w:insideV w:val="single" w:sz="8" w:space="0" w:color="A28E6A"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tblStylePr w:type="band1Vert">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shd w:val="clear" w:color="auto" w:fill="E8E2DA" w:themeFill="accent3" w:themeFillTint="3F"/>
      </w:tcPr>
    </w:tblStylePr>
    <w:tblStylePr w:type="band1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insideV w:val="single" w:sz="8" w:space="0" w:color="A28E6A" w:themeColor="accent3"/>
        </w:tcBorders>
        <w:shd w:val="clear" w:color="auto" w:fill="E8E2DA" w:themeFill="accent3" w:themeFillTint="3F"/>
      </w:tcPr>
    </w:tblStylePr>
    <w:tblStylePr w:type="band2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insideV w:val="single" w:sz="8" w:space="0" w:color="A28E6A" w:themeColor="accent3"/>
        </w:tcBorders>
      </w:tcPr>
    </w:tblStylePr>
  </w:style>
  <w:style w:type="table" w:styleId="Stednstnovn2zvraznn6">
    <w:name w:val="Medium Shading 2 Accent 6"/>
    <w:basedOn w:val="Normlntabulka"/>
    <w:uiPriority w:val="64"/>
    <w:rsid w:val="009426D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855D5D" w:themeFill="accent6"/>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855D5D" w:themeFill="accent6"/>
      </w:tcPr>
    </w:tblStylePr>
    <w:tblStylePr w:type="lastCol">
      <w:rPr>
        <w:b/>
        <w:bCs/>
        <w:color w:val="FFFFFF" w:themeColor="background1"/>
      </w:rPr>
      <w:tblPr/>
      <w:trPr>
        <w:hidden/>
      </w:trPr>
      <w:tcPr>
        <w:tcBorders>
          <w:left w:val="nil"/>
          <w:right w:val="nil"/>
          <w:insideH w:val="nil"/>
          <w:insideV w:val="nil"/>
        </w:tcBorders>
        <w:shd w:val="clear" w:color="auto" w:fill="855D5D" w:themeFill="accent6"/>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table" w:styleId="Stednstnovn1zvraznn5">
    <w:name w:val="Medium Shading 1 Accent 5"/>
    <w:basedOn w:val="Normlntabulka"/>
    <w:uiPriority w:val="63"/>
    <w:rsid w:val="009426D4"/>
    <w:tblPr>
      <w:tblStyleRowBandSize w:val="1"/>
      <w:tblStyleColBandSize w:val="1"/>
      <w:tblInd w:w="0" w:type="dxa"/>
      <w:tblBorders>
        <w:top w:val="single" w:sz="8"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single" w:sz="8" w:space="0" w:color="ACA2A3" w:themeColor="accent5"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nil"/>
          <w:insideV w:val="nil"/>
        </w:tcBorders>
        <w:shd w:val="clear" w:color="auto" w:fill="918485" w:themeFill="accent5"/>
      </w:tcPr>
    </w:tblStylePr>
    <w:tblStylePr w:type="lastRow">
      <w:pPr>
        <w:spacing w:before="0" w:after="0" w:line="240" w:lineRule="auto"/>
      </w:pPr>
      <w:rPr>
        <w:b/>
        <w:bCs/>
      </w:rPr>
      <w:tblPr/>
      <w:trPr>
        <w:hidden/>
      </w:trPr>
      <w:tcPr>
        <w:tcBorders>
          <w:top w:val="double" w:sz="6"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nil"/>
          <w:insideV w:val="nil"/>
        </w:tcBorders>
      </w:tcPr>
    </w:tblStylePr>
    <w:tblStylePr w:type="firstCol">
      <w:rPr>
        <w:b/>
        <w:bCs/>
      </w:rPr>
    </w:tblStylePr>
    <w:tblStylePr w:type="lastCol">
      <w:rPr>
        <w:b/>
        <w:bCs/>
      </w:rPr>
    </w:tblStylePr>
    <w:tblStylePr w:type="band1Vert">
      <w:tblPr/>
      <w:trPr>
        <w:hidden/>
      </w:trPr>
      <w:tcPr>
        <w:shd w:val="clear" w:color="auto" w:fill="E3E0E0" w:themeFill="accent5" w:themeFillTint="3F"/>
      </w:tcPr>
    </w:tblStylePr>
    <w:tblStylePr w:type="band1Horz">
      <w:tblPr/>
      <w:trPr>
        <w:hidden/>
      </w:trPr>
      <w:tcPr>
        <w:tcBorders>
          <w:insideH w:val="nil"/>
          <w:insideV w:val="nil"/>
        </w:tcBorders>
        <w:shd w:val="clear" w:color="auto" w:fill="E3E0E0" w:themeFill="accent5" w:themeFillTint="3F"/>
      </w:tcPr>
    </w:tblStylePr>
    <w:tblStylePr w:type="band2Horz">
      <w:tblPr/>
      <w:trPr>
        <w:hidden/>
      </w:trPr>
      <w:tcPr>
        <w:tcBorders>
          <w:insideH w:val="nil"/>
          <w:insideV w:val="nil"/>
        </w:tcBorders>
      </w:tcPr>
    </w:tblStylePr>
  </w:style>
  <w:style w:type="table" w:styleId="Barevnstnovn">
    <w:name w:val="Colorful Shading"/>
    <w:basedOn w:val="Normlntabulka"/>
    <w:uiPriority w:val="71"/>
    <w:rsid w:val="009426D4"/>
    <w:rPr>
      <w:color w:val="000000" w:themeColor="text1"/>
    </w:rPr>
    <w:tblPr>
      <w:tblStyleRowBandSize w:val="1"/>
      <w:tblStyleColBandSize w:val="1"/>
      <w:tblInd w:w="0" w:type="dxa"/>
      <w:tblBorders>
        <w:top w:val="single" w:sz="24" w:space="0" w:color="9B2D1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E6E6E6" w:themeFill="text1" w:themeFillTint="19"/>
    </w:tcPr>
    <w:tblStylePr w:type="firstRow">
      <w:rPr>
        <w:b/>
        <w:bCs/>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000000" w:themeFill="text1" w:themeFillShade="99"/>
      </w:tcPr>
    </w:tblStylePr>
    <w:tblStylePr w:type="firstCol">
      <w:rPr>
        <w:color w:val="FFFFFF" w:themeColor="background1"/>
      </w:rPr>
      <w:tblPr/>
      <w:trPr>
        <w:hidden/>
      </w:tr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000000" w:themeFill="text1" w:themeFillShade="BF"/>
      </w:tcPr>
    </w:tblStylePr>
    <w:tblStylePr w:type="band1Vert">
      <w:tblPr/>
      <w:trPr>
        <w:hidden/>
      </w:trPr>
      <w:tcPr>
        <w:shd w:val="clear" w:color="auto" w:fill="999999" w:themeFill="text1" w:themeFillTint="66"/>
      </w:tcPr>
    </w:tblStylePr>
    <w:tblStylePr w:type="band1Horz">
      <w:tblPr/>
      <w:trPr>
        <w:hidden/>
      </w:tr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mavseznamzvraznn6">
    <w:name w:val="Dark List Accent 6"/>
    <w:basedOn w:val="Normlntabulka"/>
    <w:uiPriority w:val="70"/>
    <w:rsid w:val="009426D4"/>
    <w:rPr>
      <w:color w:val="FFFFFF" w:themeColor="background1"/>
    </w:rPr>
    <w:tblPr>
      <w:tblStyleRowBandSize w:val="1"/>
      <w:tblStyleColBandSize w:val="1"/>
      <w:tblInd w:w="0" w:type="dxa"/>
      <w:tblCellMar>
        <w:top w:w="0" w:type="dxa"/>
        <w:left w:w="108" w:type="dxa"/>
        <w:bottom w:w="0" w:type="dxa"/>
        <w:right w:w="108" w:type="dxa"/>
      </w:tblCellMar>
    </w:tblPr>
    <w:trPr>
      <w:hidden/>
    </w:trPr>
    <w:tcPr>
      <w:shd w:val="clear" w:color="auto" w:fill="855D5D" w:themeFill="accent6"/>
    </w:tcPr>
    <w:tblStylePr w:type="firstRow">
      <w:rPr>
        <w:b/>
        <w:bCs/>
      </w:rPr>
      <w:tblPr/>
      <w:trPr>
        <w:hidden/>
      </w:tr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rPr>
        <w:hidden/>
      </w:trPr>
      <w:tcPr>
        <w:tcBorders>
          <w:top w:val="single" w:sz="18" w:space="0" w:color="FFFFFF" w:themeColor="background1"/>
          <w:left w:val="nil"/>
          <w:bottom w:val="nil"/>
          <w:right w:val="nil"/>
          <w:insideH w:val="nil"/>
          <w:insideV w:val="nil"/>
        </w:tcBorders>
        <w:shd w:val="clear" w:color="auto" w:fill="422E2E" w:themeFill="accent6" w:themeFillShade="7F"/>
      </w:tcPr>
    </w:tblStylePr>
    <w:tblStylePr w:type="firstCol">
      <w:tblPr/>
      <w:trPr>
        <w:hidden/>
      </w:trPr>
      <w:tcPr>
        <w:tcBorders>
          <w:top w:val="nil"/>
          <w:left w:val="nil"/>
          <w:bottom w:val="nil"/>
          <w:right w:val="single" w:sz="18" w:space="0" w:color="FFFFFF" w:themeColor="background1"/>
          <w:insideH w:val="nil"/>
          <w:insideV w:val="nil"/>
        </w:tcBorders>
        <w:shd w:val="clear" w:color="auto" w:fill="634545" w:themeFill="accent6" w:themeFillShade="BF"/>
      </w:tcPr>
    </w:tblStylePr>
    <w:tblStylePr w:type="lastCol">
      <w:tblPr/>
      <w:trPr>
        <w:hidden/>
      </w:trPr>
      <w:tcPr>
        <w:tcBorders>
          <w:top w:val="nil"/>
          <w:left w:val="single" w:sz="18" w:space="0" w:color="FFFFFF" w:themeColor="background1"/>
          <w:bottom w:val="nil"/>
          <w:right w:val="nil"/>
          <w:insideH w:val="nil"/>
          <w:insideV w:val="nil"/>
        </w:tcBorders>
        <w:shd w:val="clear" w:color="auto" w:fill="634545" w:themeFill="accent6" w:themeFillShade="BF"/>
      </w:tcPr>
    </w:tblStylePr>
    <w:tblStylePr w:type="band1Vert">
      <w:tblPr/>
      <w:trPr>
        <w:hidden/>
      </w:trPr>
      <w:tcPr>
        <w:tcBorders>
          <w:top w:val="nil"/>
          <w:left w:val="nil"/>
          <w:bottom w:val="nil"/>
          <w:right w:val="nil"/>
          <w:insideH w:val="nil"/>
          <w:insideV w:val="nil"/>
        </w:tcBorders>
        <w:shd w:val="clear" w:color="auto" w:fill="634545" w:themeFill="accent6" w:themeFillShade="BF"/>
      </w:tcPr>
    </w:tblStylePr>
    <w:tblStylePr w:type="band1Horz">
      <w:tblPr/>
      <w:trPr>
        <w:hidden/>
      </w:trPr>
      <w:tcPr>
        <w:tcBorders>
          <w:top w:val="nil"/>
          <w:left w:val="nil"/>
          <w:bottom w:val="nil"/>
          <w:right w:val="nil"/>
          <w:insideH w:val="nil"/>
          <w:insideV w:val="nil"/>
        </w:tcBorders>
        <w:shd w:val="clear" w:color="auto" w:fill="634545" w:themeFill="accent6" w:themeFillShade="BF"/>
      </w:tcPr>
    </w:tblStylePr>
  </w:style>
  <w:style w:type="table" w:styleId="Tmavseznamzvraznn4">
    <w:name w:val="Dark List Accent 4"/>
    <w:basedOn w:val="Normlntabulka"/>
    <w:uiPriority w:val="70"/>
    <w:rsid w:val="009426D4"/>
    <w:rPr>
      <w:color w:val="FFFFFF" w:themeColor="background1"/>
    </w:rPr>
    <w:tblPr>
      <w:tblStyleRowBandSize w:val="1"/>
      <w:tblStyleColBandSize w:val="1"/>
      <w:tblInd w:w="0" w:type="dxa"/>
      <w:tblCellMar>
        <w:top w:w="0" w:type="dxa"/>
        <w:left w:w="108" w:type="dxa"/>
        <w:bottom w:w="0" w:type="dxa"/>
        <w:right w:w="108" w:type="dxa"/>
      </w:tblCellMar>
    </w:tblPr>
    <w:trPr>
      <w:hidden/>
    </w:trPr>
    <w:tcPr>
      <w:shd w:val="clear" w:color="auto" w:fill="956251" w:themeFill="accent4"/>
    </w:tcPr>
    <w:tblStylePr w:type="firstRow">
      <w:rPr>
        <w:b/>
        <w:bCs/>
      </w:rPr>
      <w:tblPr/>
      <w:trPr>
        <w:hidden/>
      </w:tr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rPr>
        <w:hidden/>
      </w:trPr>
      <w:tcPr>
        <w:tcBorders>
          <w:top w:val="single" w:sz="18" w:space="0" w:color="FFFFFF" w:themeColor="background1"/>
          <w:left w:val="nil"/>
          <w:bottom w:val="nil"/>
          <w:right w:val="nil"/>
          <w:insideH w:val="nil"/>
          <w:insideV w:val="nil"/>
        </w:tcBorders>
        <w:shd w:val="clear" w:color="auto" w:fill="4A3028" w:themeFill="accent4" w:themeFillShade="7F"/>
      </w:tcPr>
    </w:tblStylePr>
    <w:tblStylePr w:type="firstCol">
      <w:tblPr/>
      <w:trPr>
        <w:hidden/>
      </w:trPr>
      <w:tcPr>
        <w:tcBorders>
          <w:top w:val="nil"/>
          <w:left w:val="nil"/>
          <w:bottom w:val="nil"/>
          <w:right w:val="single" w:sz="18" w:space="0" w:color="FFFFFF" w:themeColor="background1"/>
          <w:insideH w:val="nil"/>
          <w:insideV w:val="nil"/>
        </w:tcBorders>
        <w:shd w:val="clear" w:color="auto" w:fill="6F493C" w:themeFill="accent4" w:themeFillShade="BF"/>
      </w:tcPr>
    </w:tblStylePr>
    <w:tblStylePr w:type="lastCol">
      <w:tblPr/>
      <w:trPr>
        <w:hidden/>
      </w:trPr>
      <w:tcPr>
        <w:tcBorders>
          <w:top w:val="nil"/>
          <w:left w:val="single" w:sz="18" w:space="0" w:color="FFFFFF" w:themeColor="background1"/>
          <w:bottom w:val="nil"/>
          <w:right w:val="nil"/>
          <w:insideH w:val="nil"/>
          <w:insideV w:val="nil"/>
        </w:tcBorders>
        <w:shd w:val="clear" w:color="auto" w:fill="6F493C" w:themeFill="accent4" w:themeFillShade="BF"/>
      </w:tcPr>
    </w:tblStylePr>
    <w:tblStylePr w:type="band1Vert">
      <w:tblPr/>
      <w:trPr>
        <w:hidden/>
      </w:trPr>
      <w:tcPr>
        <w:tcBorders>
          <w:top w:val="nil"/>
          <w:left w:val="nil"/>
          <w:bottom w:val="nil"/>
          <w:right w:val="nil"/>
          <w:insideH w:val="nil"/>
          <w:insideV w:val="nil"/>
        </w:tcBorders>
        <w:shd w:val="clear" w:color="auto" w:fill="6F493C" w:themeFill="accent4" w:themeFillShade="BF"/>
      </w:tcPr>
    </w:tblStylePr>
    <w:tblStylePr w:type="band1Horz">
      <w:tblPr/>
      <w:trPr>
        <w:hidden/>
      </w:trPr>
      <w:tcPr>
        <w:tcBorders>
          <w:top w:val="nil"/>
          <w:left w:val="nil"/>
          <w:bottom w:val="nil"/>
          <w:right w:val="nil"/>
          <w:insideH w:val="nil"/>
          <w:insideV w:val="nil"/>
        </w:tcBorders>
        <w:shd w:val="clear" w:color="auto" w:fill="6F493C" w:themeFill="accent4" w:themeFillShade="BF"/>
      </w:tcPr>
    </w:tblStylePr>
  </w:style>
  <w:style w:type="table" w:styleId="Stednmka1">
    <w:name w:val="Medium Grid 1"/>
    <w:basedOn w:val="Normlntabulka"/>
    <w:uiPriority w:val="67"/>
    <w:rsid w:val="009426D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rPr>
      <w:hidden/>
    </w:trPr>
    <w:tcPr>
      <w:shd w:val="clear" w:color="auto" w:fill="C0C0C0" w:themeFill="text1" w:themeFillTint="3F"/>
    </w:tcPr>
    <w:tblStylePr w:type="firstRow">
      <w:rPr>
        <w:b/>
        <w:bCs/>
      </w:rPr>
    </w:tblStylePr>
    <w:tblStylePr w:type="lastRow">
      <w:rPr>
        <w:b/>
        <w:bCs/>
      </w:rPr>
      <w:tblPr/>
      <w:trPr>
        <w:hidden/>
      </w:trPr>
      <w:tcPr>
        <w:tcBorders>
          <w:top w:val="single" w:sz="18" w:space="0" w:color="404040" w:themeColor="text1" w:themeTint="BF"/>
        </w:tcBorders>
      </w:tcPr>
    </w:tblStylePr>
    <w:tblStylePr w:type="firstCol">
      <w:rPr>
        <w:b/>
        <w:bCs/>
      </w:rPr>
    </w:tblStylePr>
    <w:tblStylePr w:type="lastCol">
      <w:rPr>
        <w:b/>
        <w:bCs/>
      </w:rPr>
    </w:tblStylePr>
    <w:tblStylePr w:type="band1Vert">
      <w:tblPr/>
      <w:trPr>
        <w:hidden/>
      </w:trPr>
      <w:tcPr>
        <w:shd w:val="clear" w:color="auto" w:fill="808080" w:themeFill="text1" w:themeFillTint="7F"/>
      </w:tcPr>
    </w:tblStylePr>
    <w:tblStylePr w:type="band1Horz">
      <w:tblPr/>
      <w:trPr>
        <w:hidden/>
      </w:trPr>
      <w:tcPr>
        <w:shd w:val="clear" w:color="auto" w:fill="808080" w:themeFill="text1" w:themeFillTint="7F"/>
      </w:tcPr>
    </w:tblStylePr>
  </w:style>
  <w:style w:type="table" w:styleId="Stednseznam2zvraznn6">
    <w:name w:val="Medium List 2 Accent 6"/>
    <w:basedOn w:val="Normlntabulka"/>
    <w:uiPriority w:val="66"/>
    <w:rsid w:val="009426D4"/>
    <w:rPr>
      <w:rFonts w:asciiTheme="majorHAnsi" w:eastAsiaTheme="majorEastAsia" w:hAnsiTheme="majorHAnsi" w:cstheme="majorBidi"/>
      <w:color w:val="000000" w:themeColor="text1"/>
    </w:rPr>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855D5D" w:themeColor="accent6"/>
          <w:right w:val="nil"/>
          <w:insideH w:val="nil"/>
          <w:insideV w:val="nil"/>
        </w:tcBorders>
        <w:shd w:val="clear" w:color="auto" w:fill="FFFFFF" w:themeFill="background1"/>
      </w:tcPr>
    </w:tblStylePr>
    <w:tblStylePr w:type="lastRow">
      <w:tblPr/>
      <w:trPr>
        <w:hidden/>
      </w:trPr>
      <w:tcPr>
        <w:tcBorders>
          <w:top w:val="single" w:sz="8" w:space="0" w:color="855D5D" w:themeColor="accent6"/>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855D5D" w:themeColor="accent6"/>
          <w:insideH w:val="nil"/>
          <w:insideV w:val="nil"/>
        </w:tcBorders>
        <w:shd w:val="clear" w:color="auto" w:fill="FFFFFF" w:themeFill="background1"/>
      </w:tcPr>
    </w:tblStylePr>
    <w:tblStylePr w:type="lastCol">
      <w:tblPr/>
      <w:trPr>
        <w:hidden/>
      </w:trPr>
      <w:tcPr>
        <w:tcBorders>
          <w:top w:val="nil"/>
          <w:left w:val="single" w:sz="8" w:space="0" w:color="855D5D" w:themeColor="accent6"/>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E2D5D5" w:themeFill="accent6" w:themeFillTint="3F"/>
      </w:tcPr>
    </w:tblStylePr>
    <w:tblStylePr w:type="band1Horz">
      <w:tblPr/>
      <w:trPr>
        <w:hidden/>
      </w:trPr>
      <w:tcPr>
        <w:tcBorders>
          <w:top w:val="nil"/>
          <w:bottom w:val="nil"/>
          <w:insideH w:val="nil"/>
          <w:insideV w:val="nil"/>
        </w:tcBorders>
        <w:shd w:val="clear" w:color="auto" w:fill="E2D5D5" w:themeFill="accent6"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tednstnovn1zvraznn4">
    <w:name w:val="Medium Shading 1 Accent 4"/>
    <w:basedOn w:val="Normlntabulka"/>
    <w:uiPriority w:val="63"/>
    <w:rsid w:val="009426D4"/>
    <w:tblPr>
      <w:tblStyleRowBandSize w:val="1"/>
      <w:tblStyleColBandSize w:val="1"/>
      <w:tblInd w:w="0" w:type="dxa"/>
      <w:tblBorders>
        <w:top w:val="single" w:sz="8"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single" w:sz="8" w:space="0" w:color="B58676" w:themeColor="accent4"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nil"/>
          <w:insideV w:val="nil"/>
        </w:tcBorders>
        <w:shd w:val="clear" w:color="auto" w:fill="956251" w:themeFill="accent4"/>
      </w:tcPr>
    </w:tblStylePr>
    <w:tblStylePr w:type="lastRow">
      <w:pPr>
        <w:spacing w:before="0" w:after="0" w:line="240" w:lineRule="auto"/>
      </w:pPr>
      <w:rPr>
        <w:b/>
        <w:bCs/>
      </w:rPr>
      <w:tblPr/>
      <w:trPr>
        <w:hidden/>
      </w:trPr>
      <w:tcPr>
        <w:tcBorders>
          <w:top w:val="double" w:sz="6"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E6D7D2" w:themeFill="accent4" w:themeFillTint="3F"/>
      </w:tcPr>
    </w:tblStylePr>
    <w:tblStylePr w:type="band1Horz">
      <w:tblPr/>
      <w:trPr>
        <w:hidden/>
      </w:trPr>
      <w:tcPr>
        <w:tcBorders>
          <w:insideH w:val="nil"/>
          <w:insideV w:val="nil"/>
        </w:tcBorders>
        <w:shd w:val="clear" w:color="auto" w:fill="E6D7D2" w:themeFill="accent4" w:themeFillTint="3F"/>
      </w:tcPr>
    </w:tblStylePr>
    <w:tblStylePr w:type="band2Horz">
      <w:tblPr/>
      <w:trPr>
        <w:hidden/>
      </w:trPr>
      <w:tcPr>
        <w:tcBorders>
          <w:insideH w:val="nil"/>
          <w:insideV w:val="nil"/>
        </w:tcBorders>
      </w:tcPr>
    </w:tblStylePr>
  </w:style>
  <w:style w:type="table" w:styleId="Svtlseznamzvraznn3">
    <w:name w:val="Light List Accent 3"/>
    <w:basedOn w:val="Normlntabulka"/>
    <w:uiPriority w:val="61"/>
    <w:rsid w:val="004569BA"/>
    <w:tblPr>
      <w:tblStyleRowBandSize w:val="1"/>
      <w:tblStyleColBandSize w:val="1"/>
      <w:tblInd w:w="0" w:type="dxa"/>
      <w:tblBorders>
        <w:top w:val="single" w:sz="8" w:space="0" w:color="A28E6A" w:themeColor="accent3"/>
        <w:left w:val="single" w:sz="8" w:space="0" w:color="A28E6A" w:themeColor="accent3"/>
        <w:bottom w:val="single" w:sz="8" w:space="0" w:color="A28E6A" w:themeColor="accent3"/>
        <w:right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A28E6A" w:themeFill="accent3"/>
      </w:tcPr>
    </w:tblStylePr>
    <w:tblStylePr w:type="lastRow">
      <w:pPr>
        <w:spacing w:before="0" w:after="0" w:line="240" w:lineRule="auto"/>
      </w:pPr>
      <w:rPr>
        <w:b/>
        <w:bCs/>
      </w:rPr>
      <w:tblPr/>
      <w:trPr>
        <w:hidden/>
      </w:trPr>
      <w:tcPr>
        <w:tcBorders>
          <w:top w:val="double" w:sz="6" w:space="0" w:color="A28E6A" w:themeColor="accent3"/>
          <w:left w:val="single" w:sz="8" w:space="0" w:color="A28E6A" w:themeColor="accent3"/>
          <w:bottom w:val="single" w:sz="8" w:space="0" w:color="A28E6A" w:themeColor="accent3"/>
          <w:right w:val="single" w:sz="8" w:space="0" w:color="A28E6A" w:themeColor="accent3"/>
        </w:tcBorders>
      </w:tcPr>
    </w:tblStylePr>
    <w:tblStylePr w:type="firstCol">
      <w:rPr>
        <w:b/>
        <w:bCs/>
      </w:rPr>
    </w:tblStylePr>
    <w:tblStylePr w:type="lastCol">
      <w:rPr>
        <w:b/>
        <w:bCs/>
      </w:rPr>
    </w:tblStylePr>
    <w:tblStylePr w:type="band1Vert">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tblStylePr w:type="band1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style>
  <w:style w:type="table" w:styleId="Svtlseznamzvraznn4">
    <w:name w:val="Light List Accent 4"/>
    <w:basedOn w:val="Normlntabulka"/>
    <w:uiPriority w:val="61"/>
    <w:rsid w:val="004569BA"/>
    <w:tblPr>
      <w:tblStyleRowBandSize w:val="1"/>
      <w:tblStyleColBandSize w:val="1"/>
      <w:tblInd w:w="0" w:type="dxa"/>
      <w:tblBorders>
        <w:top w:val="single" w:sz="8" w:space="0" w:color="956251" w:themeColor="accent4"/>
        <w:left w:val="single" w:sz="8" w:space="0" w:color="956251" w:themeColor="accent4"/>
        <w:bottom w:val="single" w:sz="8" w:space="0" w:color="956251" w:themeColor="accent4"/>
        <w:right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56251" w:themeFill="accent4"/>
      </w:tcPr>
    </w:tblStylePr>
    <w:tblStylePr w:type="lastRow">
      <w:pPr>
        <w:spacing w:before="0" w:after="0" w:line="240" w:lineRule="auto"/>
      </w:pPr>
      <w:rPr>
        <w:b/>
        <w:bCs/>
      </w:rPr>
      <w:tblPr/>
      <w:trPr>
        <w:hidden/>
      </w:trPr>
      <w:tcPr>
        <w:tcBorders>
          <w:top w:val="double" w:sz="6" w:space="0" w:color="956251" w:themeColor="accent4"/>
          <w:left w:val="single" w:sz="8" w:space="0" w:color="956251" w:themeColor="accent4"/>
          <w:bottom w:val="single" w:sz="8" w:space="0" w:color="956251" w:themeColor="accent4"/>
          <w:right w:val="single" w:sz="8" w:space="0" w:color="956251" w:themeColor="accent4"/>
        </w:tcBorders>
      </w:tcPr>
    </w:tblStylePr>
    <w:tblStylePr w:type="firstCol">
      <w:rPr>
        <w:b/>
        <w:bCs/>
      </w:rPr>
    </w:tblStylePr>
    <w:tblStylePr w:type="lastCol">
      <w:rPr>
        <w:b/>
        <w:bCs/>
      </w:rPr>
    </w:tblStylePr>
    <w:tblStylePr w:type="band1Vert">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tblStylePr w:type="band1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style>
  <w:style w:type="table" w:styleId="Stednseznam2zvraznn5">
    <w:name w:val="Medium List 2 Accent 5"/>
    <w:basedOn w:val="Normlntabulka"/>
    <w:uiPriority w:val="66"/>
    <w:rsid w:val="004569BA"/>
    <w:rPr>
      <w:rFonts w:asciiTheme="majorHAnsi" w:eastAsiaTheme="majorEastAsia" w:hAnsiTheme="majorHAnsi" w:cstheme="majorBidi"/>
      <w:color w:val="000000" w:themeColor="text1"/>
    </w:rPr>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918485" w:themeColor="accent5"/>
          <w:right w:val="nil"/>
          <w:insideH w:val="nil"/>
          <w:insideV w:val="nil"/>
        </w:tcBorders>
        <w:shd w:val="clear" w:color="auto" w:fill="FFFFFF" w:themeFill="background1"/>
      </w:tcPr>
    </w:tblStylePr>
    <w:tblStylePr w:type="lastRow">
      <w:tblPr/>
      <w:trPr>
        <w:hidden/>
      </w:trPr>
      <w:tcPr>
        <w:tcBorders>
          <w:top w:val="single" w:sz="8" w:space="0" w:color="918485" w:themeColor="accent5"/>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918485" w:themeColor="accent5"/>
          <w:insideH w:val="nil"/>
          <w:insideV w:val="nil"/>
        </w:tcBorders>
        <w:shd w:val="clear" w:color="auto" w:fill="FFFFFF" w:themeFill="background1"/>
      </w:tcPr>
    </w:tblStylePr>
    <w:tblStylePr w:type="lastCol">
      <w:tblPr/>
      <w:trPr>
        <w:hidden/>
      </w:trPr>
      <w:tcPr>
        <w:tcBorders>
          <w:top w:val="nil"/>
          <w:left w:val="single" w:sz="8" w:space="0" w:color="918485" w:themeColor="accent5"/>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E3E0E0" w:themeFill="accent5" w:themeFillTint="3F"/>
      </w:tcPr>
    </w:tblStylePr>
    <w:tblStylePr w:type="band1Horz">
      <w:tblPr/>
      <w:trPr>
        <w:hidden/>
      </w:trPr>
      <w:tcPr>
        <w:tcBorders>
          <w:top w:val="nil"/>
          <w:bottom w:val="nil"/>
          <w:insideH w:val="nil"/>
          <w:insideV w:val="nil"/>
        </w:tcBorders>
        <w:shd w:val="clear" w:color="auto" w:fill="E3E0E0" w:themeFill="accent5"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vtlmkazvraznn5">
    <w:name w:val="Light Grid Accent 5"/>
    <w:basedOn w:val="Normlntabulka"/>
    <w:uiPriority w:val="62"/>
    <w:rsid w:val="004569BA"/>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insideH w:val="single" w:sz="8" w:space="0" w:color="918485" w:themeColor="accent5"/>
        <w:insideV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18485" w:themeColor="accent5"/>
          <w:left w:val="single" w:sz="8" w:space="0" w:color="918485" w:themeColor="accent5"/>
          <w:bottom w:val="single" w:sz="18" w:space="0" w:color="918485" w:themeColor="accent5"/>
          <w:right w:val="single" w:sz="8" w:space="0" w:color="918485" w:themeColor="accent5"/>
          <w:insideH w:val="nil"/>
          <w:insideV w:val="single" w:sz="8" w:space="0" w:color="918485" w:themeColor="accent5"/>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18485" w:themeColor="accent5"/>
          <w:left w:val="single" w:sz="8" w:space="0" w:color="918485" w:themeColor="accent5"/>
          <w:bottom w:val="single" w:sz="8" w:space="0" w:color="918485" w:themeColor="accent5"/>
          <w:right w:val="single" w:sz="8" w:space="0" w:color="918485" w:themeColor="accent5"/>
          <w:insideH w:val="nil"/>
          <w:insideV w:val="single" w:sz="8" w:space="0" w:color="91848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tblStylePr w:type="band1Vert">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shd w:val="clear" w:color="auto" w:fill="E3E0E0" w:themeFill="accent5" w:themeFillTint="3F"/>
      </w:tcPr>
    </w:tblStylePr>
    <w:tblStylePr w:type="band1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insideV w:val="single" w:sz="8" w:space="0" w:color="918485" w:themeColor="accent5"/>
        </w:tcBorders>
        <w:shd w:val="clear" w:color="auto" w:fill="E3E0E0" w:themeFill="accent5" w:themeFillTint="3F"/>
      </w:tcPr>
    </w:tblStylePr>
    <w:tblStylePr w:type="band2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insideV w:val="single" w:sz="8" w:space="0" w:color="918485"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14D8"/>
    <w:pPr>
      <w:spacing w:after="120"/>
      <w:ind w:firstLine="0"/>
      <w:jc w:val="both"/>
    </w:pPr>
    <w:rPr>
      <w:sz w:val="21"/>
    </w:rPr>
  </w:style>
  <w:style w:type="paragraph" w:styleId="Nadpis1">
    <w:name w:val="heading 1"/>
    <w:basedOn w:val="Normln"/>
    <w:next w:val="Normln"/>
    <w:link w:val="Nadpis1Char"/>
    <w:uiPriority w:val="9"/>
    <w:qFormat/>
    <w:rsid w:val="002639EE"/>
    <w:pPr>
      <w:spacing w:before="600" w:after="480"/>
      <w:jc w:val="center"/>
      <w:outlineLvl w:val="0"/>
    </w:pPr>
    <w:rPr>
      <w:rFonts w:asciiTheme="majorHAnsi" w:eastAsiaTheme="majorEastAsia" w:hAnsiTheme="majorHAnsi" w:cstheme="majorBidi"/>
      <w:b/>
      <w:bCs/>
      <w:color w:val="9D3511" w:themeColor="accent1" w:themeShade="BF"/>
      <w:sz w:val="30"/>
      <w:szCs w:val="24"/>
    </w:rPr>
  </w:style>
  <w:style w:type="paragraph" w:styleId="Nadpis2">
    <w:name w:val="heading 2"/>
    <w:basedOn w:val="Normln"/>
    <w:next w:val="Normln"/>
    <w:link w:val="Nadpis2Char"/>
    <w:uiPriority w:val="9"/>
    <w:unhideWhenUsed/>
    <w:qFormat/>
    <w:rsid w:val="002639EE"/>
    <w:pPr>
      <w:spacing w:before="480" w:after="360"/>
      <w:outlineLvl w:val="1"/>
    </w:pPr>
    <w:rPr>
      <w:rFonts w:asciiTheme="majorHAnsi" w:eastAsiaTheme="majorEastAsia" w:hAnsiTheme="majorHAnsi" w:cstheme="majorBidi"/>
      <w:b/>
      <w:color w:val="9D3511" w:themeColor="accent1" w:themeShade="BF"/>
      <w:sz w:val="28"/>
      <w:szCs w:val="24"/>
    </w:rPr>
  </w:style>
  <w:style w:type="paragraph" w:styleId="Nadpis3">
    <w:name w:val="heading 3"/>
    <w:basedOn w:val="Normln"/>
    <w:next w:val="Normln"/>
    <w:link w:val="Nadpis3Char"/>
    <w:uiPriority w:val="9"/>
    <w:unhideWhenUsed/>
    <w:qFormat/>
    <w:rsid w:val="00ED621D"/>
    <w:pPr>
      <w:spacing w:before="360" w:after="160"/>
      <w:outlineLvl w:val="2"/>
    </w:pPr>
    <w:rPr>
      <w:rFonts w:asciiTheme="majorHAnsi" w:eastAsiaTheme="majorEastAsia" w:hAnsiTheme="majorHAnsi" w:cstheme="majorBidi"/>
      <w:b/>
      <w:color w:val="AF0101"/>
      <w:sz w:val="24"/>
      <w:szCs w:val="24"/>
    </w:rPr>
  </w:style>
  <w:style w:type="paragraph" w:styleId="Nadpis4">
    <w:name w:val="heading 4"/>
    <w:basedOn w:val="Normln"/>
    <w:next w:val="Normln"/>
    <w:link w:val="Nadpis4Char"/>
    <w:uiPriority w:val="9"/>
    <w:unhideWhenUsed/>
    <w:qFormat/>
    <w:rsid w:val="00ED621D"/>
    <w:pPr>
      <w:spacing w:before="200" w:after="80"/>
      <w:outlineLvl w:val="3"/>
    </w:pPr>
    <w:rPr>
      <w:rFonts w:asciiTheme="majorHAnsi" w:eastAsiaTheme="majorEastAsia" w:hAnsiTheme="majorHAnsi" w:cstheme="majorBidi"/>
      <w:b/>
      <w:i/>
      <w:iCs/>
      <w:color w:val="D41616"/>
      <w:szCs w:val="24"/>
    </w:rPr>
  </w:style>
  <w:style w:type="paragraph" w:styleId="Nadpis5">
    <w:name w:val="heading 5"/>
    <w:basedOn w:val="Normln"/>
    <w:next w:val="Normln"/>
    <w:link w:val="Nadpis5Char"/>
    <w:uiPriority w:val="9"/>
    <w:unhideWhenUsed/>
    <w:qFormat/>
    <w:rsid w:val="00946869"/>
    <w:pPr>
      <w:spacing w:before="200" w:after="80"/>
      <w:outlineLvl w:val="4"/>
    </w:pPr>
    <w:rPr>
      <w:rFonts w:asciiTheme="majorHAnsi" w:eastAsiaTheme="majorEastAsia" w:hAnsiTheme="majorHAnsi" w:cstheme="majorBidi"/>
      <w:color w:val="D34817" w:themeColor="accent1"/>
    </w:rPr>
  </w:style>
  <w:style w:type="paragraph" w:styleId="Nadpis6">
    <w:name w:val="heading 6"/>
    <w:basedOn w:val="Normln"/>
    <w:next w:val="Normln"/>
    <w:link w:val="Nadpis6Char"/>
    <w:uiPriority w:val="9"/>
    <w:unhideWhenUsed/>
    <w:qFormat/>
    <w:rsid w:val="00946869"/>
    <w:pPr>
      <w:spacing w:before="280" w:after="100"/>
      <w:outlineLvl w:val="5"/>
    </w:pPr>
    <w:rPr>
      <w:rFonts w:asciiTheme="majorHAnsi" w:eastAsiaTheme="majorEastAsia" w:hAnsiTheme="majorHAnsi" w:cstheme="majorBidi"/>
      <w:i/>
      <w:iCs/>
      <w:color w:val="D34817" w:themeColor="accent1"/>
    </w:rPr>
  </w:style>
  <w:style w:type="paragraph" w:styleId="Nadpis7">
    <w:name w:val="heading 7"/>
    <w:basedOn w:val="Normln"/>
    <w:next w:val="Normln"/>
    <w:link w:val="Nadpis7Char"/>
    <w:uiPriority w:val="9"/>
    <w:unhideWhenUsed/>
    <w:qFormat/>
    <w:rsid w:val="00946869"/>
    <w:pPr>
      <w:spacing w:before="320" w:after="100"/>
      <w:outlineLvl w:val="6"/>
    </w:pPr>
    <w:rPr>
      <w:rFonts w:asciiTheme="majorHAnsi" w:eastAsiaTheme="majorEastAsia" w:hAnsiTheme="majorHAnsi" w:cstheme="majorBidi"/>
      <w:b/>
      <w:bCs/>
      <w:color w:val="A28E6A" w:themeColor="accent3"/>
      <w:sz w:val="20"/>
      <w:szCs w:val="20"/>
    </w:rPr>
  </w:style>
  <w:style w:type="paragraph" w:styleId="Nadpis8">
    <w:name w:val="heading 8"/>
    <w:basedOn w:val="Normln"/>
    <w:next w:val="Normln"/>
    <w:link w:val="Nadpis8Char"/>
    <w:uiPriority w:val="9"/>
    <w:unhideWhenUsed/>
    <w:qFormat/>
    <w:rsid w:val="00946869"/>
    <w:pPr>
      <w:spacing w:before="320" w:after="100"/>
      <w:outlineLvl w:val="7"/>
    </w:pPr>
    <w:rPr>
      <w:rFonts w:asciiTheme="majorHAnsi" w:eastAsiaTheme="majorEastAsia" w:hAnsiTheme="majorHAnsi" w:cstheme="majorBidi"/>
      <w:b/>
      <w:bCs/>
      <w:i/>
      <w:iCs/>
      <w:color w:val="A28E6A" w:themeColor="accent3"/>
      <w:sz w:val="20"/>
      <w:szCs w:val="20"/>
    </w:rPr>
  </w:style>
  <w:style w:type="paragraph" w:styleId="Nadpis9">
    <w:name w:val="heading 9"/>
    <w:basedOn w:val="Normln"/>
    <w:next w:val="Normln"/>
    <w:link w:val="Nadpis9Char"/>
    <w:uiPriority w:val="9"/>
    <w:unhideWhenUsed/>
    <w:qFormat/>
    <w:rsid w:val="00946869"/>
    <w:pPr>
      <w:spacing w:before="320" w:after="100"/>
      <w:outlineLvl w:val="8"/>
    </w:pPr>
    <w:rPr>
      <w:rFonts w:asciiTheme="majorHAnsi" w:eastAsiaTheme="majorEastAsia" w:hAnsiTheme="majorHAnsi" w:cstheme="majorBidi"/>
      <w:i/>
      <w:iCs/>
      <w:color w:val="A28E6A"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639EE"/>
    <w:rPr>
      <w:rFonts w:asciiTheme="majorHAnsi" w:eastAsiaTheme="majorEastAsia" w:hAnsiTheme="majorHAnsi" w:cstheme="majorBidi"/>
      <w:b/>
      <w:color w:val="9D3511" w:themeColor="accent1" w:themeShade="BF"/>
      <w:sz w:val="28"/>
      <w:szCs w:val="24"/>
    </w:rPr>
  </w:style>
  <w:style w:type="character" w:customStyle="1" w:styleId="Nadpis1Char">
    <w:name w:val="Nadpis 1 Char"/>
    <w:basedOn w:val="Standardnpsmoodstavce"/>
    <w:link w:val="Nadpis1"/>
    <w:uiPriority w:val="9"/>
    <w:rsid w:val="002639EE"/>
    <w:rPr>
      <w:rFonts w:asciiTheme="majorHAnsi" w:eastAsiaTheme="majorEastAsia" w:hAnsiTheme="majorHAnsi" w:cstheme="majorBidi"/>
      <w:b/>
      <w:bCs/>
      <w:color w:val="9D3511" w:themeColor="accent1" w:themeShade="BF"/>
      <w:sz w:val="30"/>
      <w:szCs w:val="24"/>
    </w:rPr>
  </w:style>
  <w:style w:type="character" w:customStyle="1" w:styleId="Nadpis3Char">
    <w:name w:val="Nadpis 3 Char"/>
    <w:basedOn w:val="Standardnpsmoodstavce"/>
    <w:link w:val="Nadpis3"/>
    <w:uiPriority w:val="9"/>
    <w:rsid w:val="00ED621D"/>
    <w:rPr>
      <w:rFonts w:asciiTheme="majorHAnsi" w:eastAsiaTheme="majorEastAsia" w:hAnsiTheme="majorHAnsi" w:cstheme="majorBidi"/>
      <w:b/>
      <w:color w:val="AF0101"/>
      <w:sz w:val="24"/>
      <w:szCs w:val="24"/>
    </w:rPr>
  </w:style>
  <w:style w:type="character" w:customStyle="1" w:styleId="Nadpis4Char">
    <w:name w:val="Nadpis 4 Char"/>
    <w:basedOn w:val="Standardnpsmoodstavce"/>
    <w:link w:val="Nadpis4"/>
    <w:uiPriority w:val="9"/>
    <w:rsid w:val="00ED621D"/>
    <w:rPr>
      <w:rFonts w:asciiTheme="majorHAnsi" w:eastAsiaTheme="majorEastAsia" w:hAnsiTheme="majorHAnsi" w:cstheme="majorBidi"/>
      <w:b/>
      <w:i/>
      <w:iCs/>
      <w:color w:val="D41616"/>
      <w:sz w:val="21"/>
      <w:szCs w:val="24"/>
    </w:rPr>
  </w:style>
  <w:style w:type="character" w:customStyle="1" w:styleId="Nadpis5Char">
    <w:name w:val="Nadpis 5 Char"/>
    <w:basedOn w:val="Standardnpsmoodstavce"/>
    <w:link w:val="Nadpis5"/>
    <w:uiPriority w:val="9"/>
    <w:rsid w:val="00946869"/>
    <w:rPr>
      <w:rFonts w:asciiTheme="majorHAnsi" w:eastAsiaTheme="majorEastAsia" w:hAnsiTheme="majorHAnsi" w:cstheme="majorBidi"/>
      <w:color w:val="D34817" w:themeColor="accent1"/>
    </w:rPr>
  </w:style>
  <w:style w:type="character" w:customStyle="1" w:styleId="Nadpis6Char">
    <w:name w:val="Nadpis 6 Char"/>
    <w:basedOn w:val="Standardnpsmoodstavce"/>
    <w:link w:val="Nadpis6"/>
    <w:uiPriority w:val="9"/>
    <w:rsid w:val="00946869"/>
    <w:rPr>
      <w:rFonts w:asciiTheme="majorHAnsi" w:eastAsiaTheme="majorEastAsia" w:hAnsiTheme="majorHAnsi" w:cstheme="majorBidi"/>
      <w:i/>
      <w:iCs/>
      <w:color w:val="D34817" w:themeColor="accent1"/>
    </w:rPr>
  </w:style>
  <w:style w:type="character" w:customStyle="1" w:styleId="Nadpis7Char">
    <w:name w:val="Nadpis 7 Char"/>
    <w:basedOn w:val="Standardnpsmoodstavce"/>
    <w:link w:val="Nadpis7"/>
    <w:uiPriority w:val="9"/>
    <w:rsid w:val="00946869"/>
    <w:rPr>
      <w:rFonts w:asciiTheme="majorHAnsi" w:eastAsiaTheme="majorEastAsia" w:hAnsiTheme="majorHAnsi" w:cstheme="majorBidi"/>
      <w:b/>
      <w:bCs/>
      <w:color w:val="A28E6A" w:themeColor="accent3"/>
      <w:sz w:val="20"/>
      <w:szCs w:val="20"/>
    </w:rPr>
  </w:style>
  <w:style w:type="character" w:customStyle="1" w:styleId="Nadpis8Char">
    <w:name w:val="Nadpis 8 Char"/>
    <w:basedOn w:val="Standardnpsmoodstavce"/>
    <w:link w:val="Nadpis8"/>
    <w:uiPriority w:val="9"/>
    <w:rsid w:val="00946869"/>
    <w:rPr>
      <w:rFonts w:asciiTheme="majorHAnsi" w:eastAsiaTheme="majorEastAsia" w:hAnsiTheme="majorHAnsi" w:cstheme="majorBidi"/>
      <w:b/>
      <w:bCs/>
      <w:i/>
      <w:iCs/>
      <w:color w:val="A28E6A" w:themeColor="accent3"/>
      <w:sz w:val="20"/>
      <w:szCs w:val="20"/>
    </w:rPr>
  </w:style>
  <w:style w:type="character" w:customStyle="1" w:styleId="Nadpis9Char">
    <w:name w:val="Nadpis 9 Char"/>
    <w:basedOn w:val="Standardnpsmoodstavce"/>
    <w:link w:val="Nadpis9"/>
    <w:uiPriority w:val="9"/>
    <w:rsid w:val="00946869"/>
    <w:rPr>
      <w:rFonts w:asciiTheme="majorHAnsi" w:eastAsiaTheme="majorEastAsia" w:hAnsiTheme="majorHAnsi" w:cstheme="majorBidi"/>
      <w:i/>
      <w:iCs/>
      <w:color w:val="A28E6A" w:themeColor="accent3"/>
      <w:sz w:val="20"/>
      <w:szCs w:val="20"/>
    </w:rPr>
  </w:style>
  <w:style w:type="paragraph" w:styleId="Titulek">
    <w:name w:val="caption"/>
    <w:basedOn w:val="Normln"/>
    <w:next w:val="Normln"/>
    <w:uiPriority w:val="35"/>
    <w:unhideWhenUsed/>
    <w:qFormat/>
    <w:rsid w:val="00946869"/>
    <w:rPr>
      <w:b/>
      <w:bCs/>
      <w:sz w:val="18"/>
      <w:szCs w:val="18"/>
    </w:rPr>
  </w:style>
  <w:style w:type="paragraph" w:styleId="Nzev">
    <w:name w:val="Title"/>
    <w:basedOn w:val="Normln"/>
    <w:next w:val="Normln"/>
    <w:link w:val="NzevChar"/>
    <w:uiPriority w:val="10"/>
    <w:qFormat/>
    <w:rsid w:val="00946869"/>
    <w:pPr>
      <w:pBdr>
        <w:top w:val="single" w:sz="8" w:space="10" w:color="F19F82" w:themeColor="accent1" w:themeTint="7F"/>
        <w:bottom w:val="single" w:sz="24" w:space="15" w:color="A28E6A" w:themeColor="accent3"/>
      </w:pBdr>
      <w:jc w:val="center"/>
    </w:pPr>
    <w:rPr>
      <w:rFonts w:asciiTheme="majorHAnsi" w:eastAsiaTheme="majorEastAsia" w:hAnsiTheme="majorHAnsi" w:cstheme="majorBidi"/>
      <w:i/>
      <w:iCs/>
      <w:color w:val="68230B" w:themeColor="accent1" w:themeShade="7F"/>
      <w:sz w:val="60"/>
      <w:szCs w:val="60"/>
    </w:rPr>
  </w:style>
  <w:style w:type="character" w:customStyle="1" w:styleId="NzevChar">
    <w:name w:val="Název Char"/>
    <w:basedOn w:val="Standardnpsmoodstavce"/>
    <w:link w:val="Nzev"/>
    <w:uiPriority w:val="10"/>
    <w:rsid w:val="00946869"/>
    <w:rPr>
      <w:rFonts w:asciiTheme="majorHAnsi" w:eastAsiaTheme="majorEastAsia" w:hAnsiTheme="majorHAnsi" w:cstheme="majorBidi"/>
      <w:i/>
      <w:iCs/>
      <w:color w:val="68230B" w:themeColor="accent1" w:themeShade="7F"/>
      <w:sz w:val="60"/>
      <w:szCs w:val="60"/>
    </w:rPr>
  </w:style>
  <w:style w:type="paragraph" w:styleId="Podtitul">
    <w:name w:val="Subtitle"/>
    <w:basedOn w:val="Normln"/>
    <w:next w:val="Normln"/>
    <w:link w:val="PodtitulChar"/>
    <w:uiPriority w:val="11"/>
    <w:qFormat/>
    <w:rsid w:val="00946869"/>
    <w:pPr>
      <w:spacing w:before="200" w:after="900"/>
      <w:jc w:val="right"/>
    </w:pPr>
    <w:rPr>
      <w:i/>
      <w:iCs/>
      <w:sz w:val="24"/>
      <w:szCs w:val="24"/>
    </w:rPr>
  </w:style>
  <w:style w:type="character" w:customStyle="1" w:styleId="PodtitulChar">
    <w:name w:val="Podtitul Char"/>
    <w:basedOn w:val="Standardnpsmoodstavce"/>
    <w:link w:val="Podtitul"/>
    <w:uiPriority w:val="11"/>
    <w:rsid w:val="00946869"/>
    <w:rPr>
      <w:i/>
      <w:iCs/>
      <w:sz w:val="24"/>
      <w:szCs w:val="24"/>
    </w:rPr>
  </w:style>
  <w:style w:type="character" w:styleId="Siln">
    <w:name w:val="Strong"/>
    <w:basedOn w:val="Standardnpsmoodstavce"/>
    <w:uiPriority w:val="22"/>
    <w:qFormat/>
    <w:rsid w:val="00946869"/>
    <w:rPr>
      <w:b/>
      <w:bCs/>
      <w:spacing w:val="0"/>
    </w:rPr>
  </w:style>
  <w:style w:type="character" w:styleId="Zvraznn">
    <w:name w:val="Emphasis"/>
    <w:uiPriority w:val="20"/>
    <w:qFormat/>
    <w:rsid w:val="00946869"/>
    <w:rPr>
      <w:b/>
      <w:bCs/>
      <w:i/>
      <w:iCs/>
      <w:color w:val="5A5A5A" w:themeColor="text1" w:themeTint="A5"/>
    </w:rPr>
  </w:style>
  <w:style w:type="paragraph" w:styleId="Bezmezer">
    <w:name w:val="No Spacing"/>
    <w:basedOn w:val="Normln"/>
    <w:link w:val="BezmezerChar"/>
    <w:uiPriority w:val="1"/>
    <w:qFormat/>
    <w:rsid w:val="00946869"/>
  </w:style>
  <w:style w:type="paragraph" w:styleId="Odstavecseseznamem">
    <w:name w:val="List Paragraph"/>
    <w:basedOn w:val="Normln"/>
    <w:link w:val="OdstavecseseznamemChar"/>
    <w:uiPriority w:val="34"/>
    <w:qFormat/>
    <w:rsid w:val="00946869"/>
    <w:pPr>
      <w:ind w:left="720"/>
      <w:contextualSpacing/>
    </w:pPr>
  </w:style>
  <w:style w:type="paragraph" w:styleId="Citt">
    <w:name w:val="Quote"/>
    <w:basedOn w:val="Normln"/>
    <w:next w:val="Normln"/>
    <w:link w:val="CittChar"/>
    <w:uiPriority w:val="29"/>
    <w:qFormat/>
    <w:rsid w:val="00946869"/>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946869"/>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946869"/>
    <w:pPr>
      <w:pBdr>
        <w:top w:val="single" w:sz="12" w:space="10" w:color="F4B29B" w:themeColor="accent1" w:themeTint="66"/>
        <w:left w:val="single" w:sz="36" w:space="4" w:color="D34817" w:themeColor="accent1"/>
        <w:bottom w:val="single" w:sz="24" w:space="10" w:color="A28E6A" w:themeColor="accent3"/>
        <w:right w:val="single" w:sz="36" w:space="4" w:color="D34817" w:themeColor="accent1"/>
      </w:pBdr>
      <w:shd w:val="clear" w:color="auto" w:fill="D34817"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946869"/>
    <w:rPr>
      <w:rFonts w:asciiTheme="majorHAnsi" w:eastAsiaTheme="majorEastAsia" w:hAnsiTheme="majorHAnsi" w:cstheme="majorBidi"/>
      <w:i/>
      <w:iCs/>
      <w:color w:val="FFFFFF" w:themeColor="background1"/>
      <w:sz w:val="24"/>
      <w:szCs w:val="24"/>
      <w:shd w:val="clear" w:color="auto" w:fill="D34817" w:themeFill="accent1"/>
    </w:rPr>
  </w:style>
  <w:style w:type="character" w:styleId="Zdraznnjemn">
    <w:name w:val="Subtle Emphasis"/>
    <w:uiPriority w:val="19"/>
    <w:qFormat/>
    <w:rsid w:val="00946869"/>
    <w:rPr>
      <w:i/>
      <w:iCs/>
      <w:color w:val="5A5A5A" w:themeColor="text1" w:themeTint="A5"/>
    </w:rPr>
  </w:style>
  <w:style w:type="character" w:styleId="Zdraznnintenzivn">
    <w:name w:val="Intense Emphasis"/>
    <w:uiPriority w:val="21"/>
    <w:qFormat/>
    <w:rsid w:val="00946869"/>
    <w:rPr>
      <w:b/>
      <w:bCs/>
      <w:i/>
      <w:iCs/>
      <w:color w:val="D34817" w:themeColor="accent1"/>
      <w:sz w:val="22"/>
      <w:szCs w:val="22"/>
    </w:rPr>
  </w:style>
  <w:style w:type="character" w:styleId="Odkazjemn">
    <w:name w:val="Subtle Reference"/>
    <w:uiPriority w:val="31"/>
    <w:qFormat/>
    <w:rsid w:val="00946869"/>
    <w:rPr>
      <w:color w:val="auto"/>
      <w:u w:val="single" w:color="A28E6A" w:themeColor="accent3"/>
    </w:rPr>
  </w:style>
  <w:style w:type="character" w:styleId="Odkazintenzivn">
    <w:name w:val="Intense Reference"/>
    <w:basedOn w:val="Standardnpsmoodstavce"/>
    <w:uiPriority w:val="32"/>
    <w:qFormat/>
    <w:rsid w:val="00946869"/>
    <w:rPr>
      <w:b/>
      <w:bCs/>
      <w:color w:val="7B6A4D" w:themeColor="accent3" w:themeShade="BF"/>
      <w:u w:val="single" w:color="A28E6A" w:themeColor="accent3"/>
    </w:rPr>
  </w:style>
  <w:style w:type="character" w:styleId="Nzevknihy">
    <w:name w:val="Book Title"/>
    <w:basedOn w:val="Standardnpsmoodstavce"/>
    <w:uiPriority w:val="33"/>
    <w:qFormat/>
    <w:rsid w:val="00946869"/>
    <w:rPr>
      <w:rFonts w:asciiTheme="majorHAnsi" w:eastAsiaTheme="majorEastAsia" w:hAnsiTheme="majorHAnsi" w:cstheme="majorBidi"/>
      <w:b/>
      <w:bCs/>
      <w:i/>
      <w:iCs/>
      <w:color w:val="auto"/>
    </w:rPr>
  </w:style>
  <w:style w:type="paragraph" w:styleId="Nadpisobsahu">
    <w:name w:val="TOC Heading"/>
    <w:basedOn w:val="Nadpis1"/>
    <w:next w:val="Normln"/>
    <w:uiPriority w:val="39"/>
    <w:unhideWhenUsed/>
    <w:qFormat/>
    <w:rsid w:val="00946869"/>
    <w:pPr>
      <w:outlineLvl w:val="9"/>
    </w:pPr>
    <w:rPr>
      <w:lang w:bidi="en-US"/>
    </w:rPr>
  </w:style>
  <w:style w:type="character" w:customStyle="1" w:styleId="BezmezerChar">
    <w:name w:val="Bez mezer Char"/>
    <w:basedOn w:val="Standardnpsmoodstavce"/>
    <w:link w:val="Bezmezer"/>
    <w:uiPriority w:val="1"/>
    <w:rsid w:val="00946869"/>
  </w:style>
  <w:style w:type="paragraph" w:styleId="Zhlav">
    <w:name w:val="header"/>
    <w:basedOn w:val="Normln"/>
    <w:link w:val="ZhlavChar"/>
    <w:uiPriority w:val="99"/>
    <w:unhideWhenUsed/>
    <w:rsid w:val="00946869"/>
    <w:pPr>
      <w:tabs>
        <w:tab w:val="center" w:pos="4536"/>
        <w:tab w:val="right" w:pos="9072"/>
      </w:tabs>
    </w:pPr>
  </w:style>
  <w:style w:type="character" w:customStyle="1" w:styleId="ZhlavChar">
    <w:name w:val="Záhlaví Char"/>
    <w:basedOn w:val="Standardnpsmoodstavce"/>
    <w:link w:val="Zhlav"/>
    <w:uiPriority w:val="99"/>
    <w:rsid w:val="00946869"/>
  </w:style>
  <w:style w:type="paragraph" w:styleId="Zpat">
    <w:name w:val="footer"/>
    <w:basedOn w:val="Normln"/>
    <w:link w:val="ZpatChar"/>
    <w:uiPriority w:val="99"/>
    <w:unhideWhenUsed/>
    <w:rsid w:val="00946869"/>
    <w:pPr>
      <w:tabs>
        <w:tab w:val="center" w:pos="4536"/>
        <w:tab w:val="right" w:pos="9072"/>
      </w:tabs>
    </w:pPr>
  </w:style>
  <w:style w:type="character" w:customStyle="1" w:styleId="ZpatChar">
    <w:name w:val="Zápatí Char"/>
    <w:basedOn w:val="Standardnpsmoodstavce"/>
    <w:link w:val="Zpat"/>
    <w:uiPriority w:val="99"/>
    <w:rsid w:val="00946869"/>
  </w:style>
  <w:style w:type="paragraph" w:customStyle="1" w:styleId="864311119EDA4C3CB552E5C8CD7B48CA">
    <w:name w:val="864311119EDA4C3CB552E5C8CD7B48CA"/>
    <w:rsid w:val="00946869"/>
    <w:pPr>
      <w:spacing w:after="200" w:line="276" w:lineRule="auto"/>
      <w:ind w:firstLine="0"/>
    </w:pPr>
    <w:rPr>
      <w:lang w:eastAsia="cs-CZ"/>
    </w:rPr>
  </w:style>
  <w:style w:type="paragraph" w:styleId="Textbubliny">
    <w:name w:val="Balloon Text"/>
    <w:basedOn w:val="Normln"/>
    <w:link w:val="TextbublinyChar"/>
    <w:uiPriority w:val="99"/>
    <w:semiHidden/>
    <w:unhideWhenUsed/>
    <w:rsid w:val="00946869"/>
    <w:rPr>
      <w:rFonts w:ascii="Tahoma" w:hAnsi="Tahoma" w:cs="Tahoma"/>
      <w:sz w:val="16"/>
      <w:szCs w:val="16"/>
    </w:rPr>
  </w:style>
  <w:style w:type="character" w:customStyle="1" w:styleId="TextbublinyChar">
    <w:name w:val="Text bubliny Char"/>
    <w:basedOn w:val="Standardnpsmoodstavce"/>
    <w:link w:val="Textbubliny"/>
    <w:uiPriority w:val="99"/>
    <w:semiHidden/>
    <w:rsid w:val="00946869"/>
    <w:rPr>
      <w:rFonts w:ascii="Tahoma" w:hAnsi="Tahoma" w:cs="Tahoma"/>
      <w:sz w:val="16"/>
      <w:szCs w:val="16"/>
    </w:rPr>
  </w:style>
  <w:style w:type="character" w:styleId="Odkaznakoment">
    <w:name w:val="annotation reference"/>
    <w:basedOn w:val="Standardnpsmoodstavce"/>
    <w:uiPriority w:val="99"/>
    <w:semiHidden/>
    <w:unhideWhenUsed/>
    <w:rsid w:val="004B00D1"/>
    <w:rPr>
      <w:sz w:val="16"/>
      <w:szCs w:val="16"/>
    </w:rPr>
  </w:style>
  <w:style w:type="paragraph" w:styleId="Textkomente">
    <w:name w:val="annotation text"/>
    <w:basedOn w:val="Normln"/>
    <w:link w:val="TextkomenteChar"/>
    <w:uiPriority w:val="99"/>
    <w:unhideWhenUsed/>
    <w:rsid w:val="004B00D1"/>
    <w:rPr>
      <w:sz w:val="20"/>
      <w:szCs w:val="20"/>
    </w:rPr>
  </w:style>
  <w:style w:type="character" w:customStyle="1" w:styleId="TextkomenteChar">
    <w:name w:val="Text komentáře Char"/>
    <w:basedOn w:val="Standardnpsmoodstavce"/>
    <w:link w:val="Textkomente"/>
    <w:uiPriority w:val="99"/>
    <w:rsid w:val="004B00D1"/>
    <w:rPr>
      <w:sz w:val="20"/>
      <w:szCs w:val="20"/>
    </w:rPr>
  </w:style>
  <w:style w:type="paragraph" w:styleId="Pedmtkomente">
    <w:name w:val="annotation subject"/>
    <w:basedOn w:val="Textkomente"/>
    <w:next w:val="Textkomente"/>
    <w:link w:val="PedmtkomenteChar"/>
    <w:uiPriority w:val="99"/>
    <w:semiHidden/>
    <w:unhideWhenUsed/>
    <w:rsid w:val="004B00D1"/>
    <w:rPr>
      <w:b/>
      <w:bCs/>
    </w:rPr>
  </w:style>
  <w:style w:type="character" w:customStyle="1" w:styleId="PedmtkomenteChar">
    <w:name w:val="Předmět komentáře Char"/>
    <w:basedOn w:val="TextkomenteChar"/>
    <w:link w:val="Pedmtkomente"/>
    <w:uiPriority w:val="99"/>
    <w:semiHidden/>
    <w:rsid w:val="004B00D1"/>
    <w:rPr>
      <w:b/>
      <w:bCs/>
      <w:sz w:val="20"/>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970C04"/>
    <w:pPr>
      <w:spacing w:after="0"/>
    </w:pPr>
    <w:rPr>
      <w:sz w:val="16"/>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970C04"/>
    <w:rPr>
      <w:sz w:val="16"/>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basedOn w:val="Standardnpsmoodstavce"/>
    <w:uiPriority w:val="99"/>
    <w:unhideWhenUsed/>
    <w:rsid w:val="006C55A6"/>
    <w:rPr>
      <w:vertAlign w:val="superscript"/>
    </w:rPr>
  </w:style>
  <w:style w:type="paragraph" w:styleId="Normlnweb">
    <w:name w:val="Normal (Web)"/>
    <w:basedOn w:val="Normln"/>
    <w:uiPriority w:val="99"/>
    <w:unhideWhenUsed/>
    <w:rsid w:val="009E1049"/>
    <w:pPr>
      <w:spacing w:before="100" w:beforeAutospacing="1" w:after="100" w:afterAutospacing="1"/>
      <w:jc w:val="left"/>
    </w:pPr>
    <w:rPr>
      <w:rFonts w:ascii="Times New Roman" w:eastAsiaTheme="minorHAnsi" w:hAnsi="Times New Roman" w:cs="Times New Roman"/>
      <w:sz w:val="24"/>
      <w:szCs w:val="24"/>
      <w:lang w:eastAsia="cs-CZ"/>
    </w:rPr>
  </w:style>
  <w:style w:type="paragraph" w:customStyle="1" w:styleId="Odstavecseseznamem1">
    <w:name w:val="Odstavec se seznamem1"/>
    <w:basedOn w:val="Normln"/>
    <w:rsid w:val="003648E1"/>
    <w:pPr>
      <w:spacing w:before="120" w:after="200" w:line="276" w:lineRule="auto"/>
      <w:ind w:left="720"/>
      <w:contextualSpacing/>
    </w:pPr>
    <w:rPr>
      <w:rFonts w:ascii="Times New Roman" w:eastAsia="Times New Roman" w:hAnsi="Times New Roman" w:cs="Times New Roman"/>
      <w:sz w:val="20"/>
    </w:rPr>
  </w:style>
  <w:style w:type="paragraph" w:customStyle="1" w:styleId="ListParagraph1">
    <w:name w:val="List Paragraph1"/>
    <w:basedOn w:val="Normln"/>
    <w:rsid w:val="00FF17A7"/>
    <w:pPr>
      <w:spacing w:after="200" w:line="276" w:lineRule="auto"/>
      <w:ind w:left="720"/>
      <w:contextualSpacing/>
      <w:jc w:val="left"/>
    </w:pPr>
    <w:rPr>
      <w:rFonts w:ascii="Calibri" w:eastAsia="Times New Roman" w:hAnsi="Calibri" w:cs="Times New Roman"/>
    </w:rPr>
  </w:style>
  <w:style w:type="paragraph" w:customStyle="1" w:styleId="Default">
    <w:name w:val="Default"/>
    <w:rsid w:val="00FF17A7"/>
    <w:pPr>
      <w:autoSpaceDE w:val="0"/>
      <w:autoSpaceDN w:val="0"/>
      <w:adjustRightInd w:val="0"/>
      <w:ind w:firstLine="0"/>
    </w:pPr>
    <w:rPr>
      <w:rFonts w:ascii="Cambria" w:eastAsiaTheme="minorHAnsi" w:hAnsi="Cambria" w:cs="Cambria"/>
      <w:color w:val="000000"/>
      <w:sz w:val="24"/>
      <w:szCs w:val="24"/>
    </w:rPr>
  </w:style>
  <w:style w:type="paragraph" w:customStyle="1" w:styleId="TextNOK">
    <w:name w:val="Text NOK"/>
    <w:basedOn w:val="Normln"/>
    <w:link w:val="TextNOKChar"/>
    <w:rsid w:val="00AC5600"/>
    <w:pPr>
      <w:spacing w:before="120" w:line="312" w:lineRule="auto"/>
    </w:pPr>
    <w:rPr>
      <w:rFonts w:ascii="Calibri" w:eastAsia="Times New Roman" w:hAnsi="Calibri" w:cs="Times New Roman"/>
      <w:lang w:val="x-none" w:eastAsia="x-none"/>
    </w:rPr>
  </w:style>
  <w:style w:type="character" w:customStyle="1" w:styleId="TextNOKChar">
    <w:name w:val="Text NOK Char"/>
    <w:link w:val="TextNOK"/>
    <w:rsid w:val="00AC5600"/>
    <w:rPr>
      <w:rFonts w:ascii="Calibri" w:eastAsia="Times New Roman" w:hAnsi="Calibri" w:cs="Times New Roman"/>
      <w:lang w:val="x-none" w:eastAsia="x-none"/>
    </w:rPr>
  </w:style>
  <w:style w:type="character" w:customStyle="1" w:styleId="OdstavecseseznamemChar">
    <w:name w:val="Odstavec se seznamem Char"/>
    <w:link w:val="Odstavecseseznamem"/>
    <w:uiPriority w:val="34"/>
    <w:locked/>
    <w:rsid w:val="00AC5600"/>
  </w:style>
  <w:style w:type="table" w:styleId="Mkatabulky">
    <w:name w:val="Table Grid"/>
    <w:basedOn w:val="Normlntabulka"/>
    <w:uiPriority w:val="59"/>
    <w:rsid w:val="006E7A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table" w:styleId="Svtlseznam">
    <w:name w:val="Light List"/>
    <w:basedOn w:val="Normlntabulka"/>
    <w:uiPriority w:val="61"/>
    <w:rsid w:val="006E7AA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000000" w:themeFill="text1"/>
      </w:tcPr>
    </w:tblStylePr>
    <w:tblStylePr w:type="lastRow">
      <w:pPr>
        <w:spacing w:before="0" w:after="0" w:line="240" w:lineRule="auto"/>
      </w:pPr>
      <w:rPr>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rsid w:val="006E7AAE"/>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D34817" w:themeFill="accent1"/>
      </w:tcPr>
    </w:tblStylePr>
    <w:tblStylePr w:type="lastRow">
      <w:pPr>
        <w:spacing w:before="0" w:after="0" w:line="240" w:lineRule="auto"/>
      </w:pPr>
      <w:rPr>
        <w:b/>
        <w:bCs/>
      </w:rPr>
      <w:tblPr/>
      <w:trPr>
        <w:hidden/>
      </w:trPr>
      <w:tcPr>
        <w:tcBorders>
          <w:top w:val="double" w:sz="6" w:space="0" w:color="D34817" w:themeColor="accent1"/>
          <w:left w:val="single" w:sz="8" w:space="0" w:color="D34817" w:themeColor="accent1"/>
          <w:bottom w:val="single" w:sz="8" w:space="0" w:color="D34817" w:themeColor="accent1"/>
          <w:right w:val="single" w:sz="8" w:space="0" w:color="D34817" w:themeColor="accent1"/>
        </w:tcBorders>
      </w:tcPr>
    </w:tblStylePr>
    <w:tblStylePr w:type="firstCol">
      <w:rPr>
        <w:b/>
        <w:bCs/>
      </w:rPr>
    </w:tblStylePr>
    <w:tblStylePr w:type="lastCol">
      <w:rPr>
        <w:b/>
        <w:bCs/>
      </w:rPr>
    </w:tblStylePr>
    <w:tblStylePr w:type="band1Vert">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tblStylePr w:type="band1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style>
  <w:style w:type="table" w:styleId="Svtlstnovnzvraznn2">
    <w:name w:val="Light Shading Accent 2"/>
    <w:basedOn w:val="Normlntabulka"/>
    <w:uiPriority w:val="60"/>
    <w:rsid w:val="006E7AAE"/>
    <w:rPr>
      <w:color w:val="732117" w:themeColor="accent2" w:themeShade="BF"/>
    </w:rPr>
    <w:tblPr>
      <w:tblStyleRowBandSize w:val="1"/>
      <w:tblStyleColBandSize w:val="1"/>
      <w:tblInd w:w="0" w:type="dxa"/>
      <w:tblBorders>
        <w:top w:val="single" w:sz="8" w:space="0" w:color="9B2D1F" w:themeColor="accent2"/>
        <w:bottom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B2D1F" w:themeColor="accent2"/>
          <w:left w:val="nil"/>
          <w:bottom w:val="single" w:sz="8" w:space="0" w:color="9B2D1F" w:themeColor="accent2"/>
          <w:right w:val="nil"/>
          <w:insideH w:val="nil"/>
          <w:insideV w:val="nil"/>
        </w:tcBorders>
      </w:tcPr>
    </w:tblStylePr>
    <w:tblStylePr w:type="lastRow">
      <w:pPr>
        <w:spacing w:before="0" w:after="0" w:line="240" w:lineRule="auto"/>
      </w:pPr>
      <w:rPr>
        <w:b/>
        <w:bCs/>
      </w:rPr>
      <w:tblPr/>
      <w:trPr>
        <w:hidden/>
      </w:trPr>
      <w:tcPr>
        <w:tcBorders>
          <w:top w:val="single" w:sz="8" w:space="0" w:color="9B2D1F" w:themeColor="accent2"/>
          <w:left w:val="nil"/>
          <w:bottom w:val="single" w:sz="8" w:space="0" w:color="9B2D1F" w:themeColor="accent2"/>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1C1BC" w:themeFill="accent2" w:themeFillTint="3F"/>
      </w:tcPr>
    </w:tblStylePr>
    <w:tblStylePr w:type="band1Horz">
      <w:tblPr/>
      <w:trPr>
        <w:hidden/>
      </w:trPr>
      <w:tcPr>
        <w:tcBorders>
          <w:left w:val="nil"/>
          <w:right w:val="nil"/>
          <w:insideH w:val="nil"/>
          <w:insideV w:val="nil"/>
        </w:tcBorders>
        <w:shd w:val="clear" w:color="auto" w:fill="F1C1BC" w:themeFill="accent2" w:themeFillTint="3F"/>
      </w:tcPr>
    </w:tblStylePr>
  </w:style>
  <w:style w:type="table" w:styleId="Svtlstnovnzvraznn1">
    <w:name w:val="Light Shading Accent 1"/>
    <w:basedOn w:val="Normlntabulka"/>
    <w:uiPriority w:val="60"/>
    <w:rsid w:val="006E7AAE"/>
    <w:rPr>
      <w:color w:val="9D3511" w:themeColor="accent1" w:themeShade="BF"/>
    </w:rPr>
    <w:tblPr>
      <w:tblStyleRowBandSize w:val="1"/>
      <w:tblStyleColBandSize w:val="1"/>
      <w:tblInd w:w="0" w:type="dxa"/>
      <w:tblBorders>
        <w:top w:val="single" w:sz="8" w:space="0" w:color="D34817" w:themeColor="accent1"/>
        <w:bottom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D34817" w:themeColor="accent1"/>
          <w:left w:val="nil"/>
          <w:bottom w:val="single" w:sz="8" w:space="0" w:color="D34817" w:themeColor="accent1"/>
          <w:right w:val="nil"/>
          <w:insideH w:val="nil"/>
          <w:insideV w:val="nil"/>
        </w:tcBorders>
      </w:tcPr>
    </w:tblStylePr>
    <w:tblStylePr w:type="lastRow">
      <w:pPr>
        <w:spacing w:before="0" w:after="0" w:line="240" w:lineRule="auto"/>
      </w:pPr>
      <w:rPr>
        <w:b/>
        <w:bCs/>
      </w:rPr>
      <w:tblPr/>
      <w:trPr>
        <w:hidden/>
      </w:trPr>
      <w:tcPr>
        <w:tcBorders>
          <w:top w:val="single" w:sz="8" w:space="0" w:color="D34817" w:themeColor="accent1"/>
          <w:left w:val="nil"/>
          <w:bottom w:val="single" w:sz="8" w:space="0" w:color="D34817" w:themeColor="accen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F8CFC1" w:themeFill="accent1" w:themeFillTint="3F"/>
      </w:tcPr>
    </w:tblStylePr>
    <w:tblStylePr w:type="band1Horz">
      <w:tblPr/>
      <w:trPr>
        <w:hidden/>
      </w:trPr>
      <w:tcPr>
        <w:tcBorders>
          <w:left w:val="nil"/>
          <w:right w:val="nil"/>
          <w:insideH w:val="nil"/>
          <w:insideV w:val="nil"/>
        </w:tcBorders>
        <w:shd w:val="clear" w:color="auto" w:fill="F8CFC1" w:themeFill="accent1" w:themeFillTint="3F"/>
      </w:tcPr>
    </w:tblStylePr>
  </w:style>
  <w:style w:type="table" w:styleId="Stednseznam1zvraznn1">
    <w:name w:val="Medium List 1 Accent 1"/>
    <w:basedOn w:val="Normlntabulka"/>
    <w:uiPriority w:val="65"/>
    <w:rsid w:val="005C30DD"/>
    <w:rPr>
      <w:color w:val="000000" w:themeColor="text1"/>
    </w:rPr>
    <w:tblPr>
      <w:tblStyleRowBandSize w:val="1"/>
      <w:tblStyleColBandSize w:val="1"/>
      <w:tblInd w:w="0" w:type="dxa"/>
      <w:tblBorders>
        <w:top w:val="single" w:sz="8" w:space="0" w:color="D34817" w:themeColor="accent1"/>
        <w:bottom w:val="single" w:sz="8" w:space="0" w:color="D34817" w:themeColor="accent1"/>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D34817" w:themeColor="accent1"/>
        </w:tcBorders>
      </w:tcPr>
    </w:tblStylePr>
    <w:tblStylePr w:type="lastRow">
      <w:rPr>
        <w:b/>
        <w:bCs/>
        <w:color w:val="696464" w:themeColor="text2"/>
      </w:rPr>
      <w:tblPr/>
      <w:trPr>
        <w:hidden/>
      </w:trPr>
      <w:tcPr>
        <w:tcBorders>
          <w:top w:val="single" w:sz="8" w:space="0" w:color="D34817" w:themeColor="accent1"/>
          <w:bottom w:val="single" w:sz="8" w:space="0" w:color="D34817" w:themeColor="accent1"/>
        </w:tcBorders>
      </w:tcPr>
    </w:tblStylePr>
    <w:tblStylePr w:type="firstCol">
      <w:rPr>
        <w:b/>
        <w:bCs/>
      </w:rPr>
    </w:tblStylePr>
    <w:tblStylePr w:type="lastCol">
      <w:rPr>
        <w:b/>
        <w:bCs/>
      </w:rPr>
      <w:tblPr/>
      <w:trPr>
        <w:hidden/>
      </w:trPr>
      <w:tcPr>
        <w:tcBorders>
          <w:top w:val="single" w:sz="8" w:space="0" w:color="D34817" w:themeColor="accent1"/>
          <w:bottom w:val="single" w:sz="8" w:space="0" w:color="D34817" w:themeColor="accent1"/>
        </w:tcBorders>
      </w:tcPr>
    </w:tblStylePr>
    <w:tblStylePr w:type="band1Vert">
      <w:tblPr/>
      <w:trPr>
        <w:hidden/>
      </w:trPr>
      <w:tcPr>
        <w:shd w:val="clear" w:color="auto" w:fill="F8CFC1" w:themeFill="accent1" w:themeFillTint="3F"/>
      </w:tcPr>
    </w:tblStylePr>
    <w:tblStylePr w:type="band1Horz">
      <w:tblPr/>
      <w:trPr>
        <w:hidden/>
      </w:trPr>
      <w:tcPr>
        <w:shd w:val="clear" w:color="auto" w:fill="F8CFC1" w:themeFill="accent1" w:themeFillTint="3F"/>
      </w:tcPr>
    </w:tblStylePr>
  </w:style>
  <w:style w:type="table" w:styleId="Stednseznam1zvraznn2">
    <w:name w:val="Medium List 1 Accent 2"/>
    <w:basedOn w:val="Normlntabulka"/>
    <w:uiPriority w:val="65"/>
    <w:rsid w:val="005C30DD"/>
    <w:rPr>
      <w:color w:val="000000" w:themeColor="text1"/>
    </w:rPr>
    <w:tblPr>
      <w:tblStyleRowBandSize w:val="1"/>
      <w:tblStyleColBandSize w:val="1"/>
      <w:tblInd w:w="0" w:type="dxa"/>
      <w:tblBorders>
        <w:top w:val="single" w:sz="8" w:space="0" w:color="9B2D1F" w:themeColor="accent2"/>
        <w:bottom w:val="single" w:sz="8" w:space="0" w:color="9B2D1F" w:themeColor="accent2"/>
      </w:tblBorders>
      <w:tblCellMar>
        <w:top w:w="0" w:type="dxa"/>
        <w:left w:w="108" w:type="dxa"/>
        <w:bottom w:w="0" w:type="dxa"/>
        <w:right w:w="108" w:type="dxa"/>
      </w:tblCellMar>
    </w:tblPr>
    <w:trPr>
      <w:hidden/>
    </w:trPr>
    <w:tblStylePr w:type="firstRow">
      <w:rPr>
        <w:rFonts w:asciiTheme="majorHAnsi" w:eastAsiaTheme="majorEastAsia" w:hAnsiTheme="majorHAnsi" w:cstheme="majorBidi"/>
      </w:rPr>
      <w:tblPr/>
      <w:trPr>
        <w:hidden/>
      </w:trPr>
      <w:tcPr>
        <w:tcBorders>
          <w:top w:val="nil"/>
          <w:bottom w:val="single" w:sz="8" w:space="0" w:color="9B2D1F" w:themeColor="accent2"/>
        </w:tcBorders>
      </w:tcPr>
    </w:tblStylePr>
    <w:tblStylePr w:type="lastRow">
      <w:rPr>
        <w:b/>
        <w:bCs/>
        <w:color w:val="696464" w:themeColor="text2"/>
      </w:rPr>
      <w:tblPr/>
      <w:trPr>
        <w:hidden/>
      </w:trPr>
      <w:tcPr>
        <w:tcBorders>
          <w:top w:val="single" w:sz="8" w:space="0" w:color="9B2D1F" w:themeColor="accent2"/>
          <w:bottom w:val="single" w:sz="8" w:space="0" w:color="9B2D1F" w:themeColor="accent2"/>
        </w:tcBorders>
      </w:tcPr>
    </w:tblStylePr>
    <w:tblStylePr w:type="firstCol">
      <w:rPr>
        <w:b/>
        <w:bCs/>
      </w:rPr>
    </w:tblStylePr>
    <w:tblStylePr w:type="lastCol">
      <w:rPr>
        <w:b/>
        <w:bCs/>
      </w:rPr>
      <w:tblPr/>
      <w:trPr>
        <w:hidden/>
      </w:trPr>
      <w:tcPr>
        <w:tcBorders>
          <w:top w:val="single" w:sz="8" w:space="0" w:color="9B2D1F" w:themeColor="accent2"/>
          <w:bottom w:val="single" w:sz="8" w:space="0" w:color="9B2D1F" w:themeColor="accent2"/>
        </w:tcBorders>
      </w:tcPr>
    </w:tblStylePr>
    <w:tblStylePr w:type="band1Vert">
      <w:tblPr/>
      <w:trPr>
        <w:hidden/>
      </w:trPr>
      <w:tcPr>
        <w:shd w:val="clear" w:color="auto" w:fill="F1C1BC" w:themeFill="accent2" w:themeFillTint="3F"/>
      </w:tcPr>
    </w:tblStylePr>
    <w:tblStylePr w:type="band1Horz">
      <w:tblPr/>
      <w:trPr>
        <w:hidden/>
      </w:trPr>
      <w:tcPr>
        <w:shd w:val="clear" w:color="auto" w:fill="F1C1BC" w:themeFill="accent2" w:themeFillTint="3F"/>
      </w:tcPr>
    </w:tblStylePr>
  </w:style>
  <w:style w:type="table" w:styleId="Stednseznam2zvraznn2">
    <w:name w:val="Medium List 2 Accent 2"/>
    <w:basedOn w:val="Normlntabulka"/>
    <w:uiPriority w:val="66"/>
    <w:rsid w:val="005C30DD"/>
    <w:rPr>
      <w:rFonts w:asciiTheme="majorHAnsi" w:eastAsiaTheme="majorEastAsia" w:hAnsiTheme="majorHAnsi" w:cstheme="majorBidi"/>
      <w:color w:val="000000" w:themeColor="text1"/>
    </w:rPr>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tblPr/>
      <w:trPr>
        <w:hidden/>
      </w:trPr>
      <w:tcPr>
        <w:tcBorders>
          <w:top w:val="single" w:sz="8" w:space="0" w:color="9B2D1F" w:themeColor="accent2"/>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9B2D1F" w:themeColor="accent2"/>
          <w:insideH w:val="nil"/>
          <w:insideV w:val="nil"/>
        </w:tcBorders>
        <w:shd w:val="clear" w:color="auto" w:fill="FFFFFF" w:themeFill="background1"/>
      </w:tcPr>
    </w:tblStylePr>
    <w:tblStylePr w:type="lastCol">
      <w:tblPr/>
      <w:trPr>
        <w:hidden/>
      </w:trPr>
      <w:tcPr>
        <w:tcBorders>
          <w:top w:val="nil"/>
          <w:left w:val="single" w:sz="8" w:space="0" w:color="9B2D1F" w:themeColor="accent2"/>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F1C1BC" w:themeFill="accent2" w:themeFillTint="3F"/>
      </w:tcPr>
    </w:tblStylePr>
    <w:tblStylePr w:type="band1Horz">
      <w:tblPr/>
      <w:trPr>
        <w:hidden/>
      </w:trPr>
      <w:tcPr>
        <w:tcBorders>
          <w:top w:val="nil"/>
          <w:bottom w:val="nil"/>
          <w:insideH w:val="nil"/>
          <w:insideV w:val="nil"/>
        </w:tcBorders>
        <w:shd w:val="clear" w:color="auto" w:fill="F1C1BC" w:themeFill="accent2"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tednmka1zvraznn1">
    <w:name w:val="Medium Grid 1 Accent 1"/>
    <w:basedOn w:val="Normlntabulka"/>
    <w:uiPriority w:val="67"/>
    <w:rsid w:val="005C30DD"/>
    <w:tblPr>
      <w:tblStyleRowBandSize w:val="1"/>
      <w:tblStyleColBandSize w:val="1"/>
      <w:tblInd w:w="0" w:type="dxa"/>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insideV w:val="single" w:sz="8" w:space="0" w:color="EA6F44" w:themeColor="accent1" w:themeTint="BF"/>
      </w:tblBorders>
      <w:tblCellMar>
        <w:top w:w="0" w:type="dxa"/>
        <w:left w:w="108" w:type="dxa"/>
        <w:bottom w:w="0" w:type="dxa"/>
        <w:right w:w="108" w:type="dxa"/>
      </w:tblCellMar>
    </w:tblPr>
    <w:trPr>
      <w:hidden/>
    </w:trPr>
    <w:tcPr>
      <w:shd w:val="clear" w:color="auto" w:fill="F8CFC1" w:themeFill="accent1" w:themeFillTint="3F"/>
    </w:tcPr>
    <w:tblStylePr w:type="firstRow">
      <w:rPr>
        <w:b/>
        <w:bCs/>
      </w:rPr>
    </w:tblStylePr>
    <w:tblStylePr w:type="lastRow">
      <w:rPr>
        <w:b/>
        <w:bCs/>
      </w:rPr>
      <w:tblPr/>
      <w:trPr>
        <w:hidden/>
      </w:trPr>
      <w:tcPr>
        <w:tcBorders>
          <w:top w:val="single" w:sz="18" w:space="0" w:color="EA6F44" w:themeColor="accent1" w:themeTint="BF"/>
        </w:tcBorders>
      </w:tcPr>
    </w:tblStylePr>
    <w:tblStylePr w:type="firstCol">
      <w:rPr>
        <w:b/>
        <w:bCs/>
      </w:rPr>
    </w:tblStylePr>
    <w:tblStylePr w:type="lastCol">
      <w:rPr>
        <w:b/>
        <w:bCs/>
      </w:rPr>
    </w:tblStylePr>
    <w:tblStylePr w:type="band1Vert">
      <w:tblPr/>
      <w:trPr>
        <w:hidden/>
      </w:trPr>
      <w:tcPr>
        <w:shd w:val="clear" w:color="auto" w:fill="F19F82" w:themeFill="accent1" w:themeFillTint="7F"/>
      </w:tcPr>
    </w:tblStylePr>
    <w:tblStylePr w:type="band1Horz">
      <w:tblPr/>
      <w:trPr>
        <w:hidden/>
      </w:trPr>
      <w:tcPr>
        <w:shd w:val="clear" w:color="auto" w:fill="F19F82" w:themeFill="accent1" w:themeFillTint="7F"/>
      </w:tcPr>
    </w:tblStylePr>
  </w:style>
  <w:style w:type="table" w:styleId="Stednmka3zvraznn1">
    <w:name w:val="Medium Grid 3 Accent 1"/>
    <w:basedOn w:val="Normlntabulka"/>
    <w:uiPriority w:val="69"/>
    <w:rsid w:val="005C30D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rPr>
      <w:hidden/>
    </w:trPr>
    <w:tcPr>
      <w:shd w:val="clear" w:color="auto" w:fill="F8CFC1" w:themeFill="accent1"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34817" w:themeFill="accent1"/>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34817" w:themeFill="accent1"/>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D34817" w:themeFill="accent1"/>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D34817" w:themeFill="accent1"/>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9F82" w:themeFill="accent1"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9F82" w:themeFill="accent1" w:themeFillTint="7F"/>
      </w:tcPr>
    </w:tblStylePr>
  </w:style>
  <w:style w:type="table" w:styleId="Stednmka3zvraznn2">
    <w:name w:val="Medium Grid 3 Accent 2"/>
    <w:basedOn w:val="Normlntabulka"/>
    <w:uiPriority w:val="69"/>
    <w:rsid w:val="005C30D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rPr>
      <w:hidden/>
    </w:trPr>
    <w:tcPr>
      <w:shd w:val="clear" w:color="auto" w:fill="F1C1BC" w:themeFill="accent2"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2D1F" w:themeFill="accent2"/>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2D1F" w:themeFill="accent2"/>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9B2D1F" w:themeFill="accent2"/>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9B2D1F" w:themeFill="accent2"/>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48478" w:themeFill="accent2"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48478" w:themeFill="accent2" w:themeFillTint="7F"/>
      </w:tcPr>
    </w:tblStylePr>
  </w:style>
  <w:style w:type="table" w:styleId="Stednmka2zvraznn1">
    <w:name w:val="Medium Grid 2 Accent 1"/>
    <w:basedOn w:val="Normlntabulka"/>
    <w:uiPriority w:val="68"/>
    <w:rsid w:val="005C30DD"/>
    <w:rPr>
      <w:rFonts w:asciiTheme="majorHAnsi" w:eastAsiaTheme="majorEastAsia" w:hAnsiTheme="majorHAnsi" w:cstheme="majorBidi"/>
      <w:color w:val="000000" w:themeColor="text1"/>
    </w:rPr>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CellMar>
        <w:top w:w="0" w:type="dxa"/>
        <w:left w:w="108" w:type="dxa"/>
        <w:bottom w:w="0" w:type="dxa"/>
        <w:right w:w="108" w:type="dxa"/>
      </w:tblCellMar>
    </w:tblPr>
    <w:trPr>
      <w:hidden/>
    </w:trPr>
    <w:tcPr>
      <w:shd w:val="clear" w:color="auto" w:fill="F8CFC1" w:themeFill="accent1" w:themeFillTint="3F"/>
    </w:tcPr>
    <w:tblStylePr w:type="firstRow">
      <w:rPr>
        <w:b/>
        <w:bCs/>
        <w:color w:val="000000" w:themeColor="text1"/>
      </w:rPr>
      <w:tblPr/>
      <w:trPr>
        <w:hidden/>
      </w:trPr>
      <w:tcPr>
        <w:shd w:val="clear" w:color="auto" w:fill="FCECE6" w:themeFill="accent1" w:themeFillTint="19"/>
      </w:tcPr>
    </w:tblStylePr>
    <w:tblStylePr w:type="lastRow">
      <w:rPr>
        <w:b/>
        <w:bCs/>
        <w:color w:val="000000" w:themeColor="text1"/>
      </w:rPr>
      <w:tblPr/>
      <w:trPr>
        <w:hidden/>
      </w:t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rPr>
        <w:hidden/>
      </w:t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rPr>
        <w:hidden/>
      </w:trPr>
      <w:tcPr>
        <w:tcBorders>
          <w:top w:val="nil"/>
          <w:left w:val="nil"/>
          <w:bottom w:val="nil"/>
          <w:right w:val="nil"/>
          <w:insideH w:val="nil"/>
          <w:insideV w:val="nil"/>
        </w:tcBorders>
        <w:shd w:val="clear" w:color="auto" w:fill="F9D8CD" w:themeFill="accent1" w:themeFillTint="33"/>
      </w:tcPr>
    </w:tblStylePr>
    <w:tblStylePr w:type="band1Vert">
      <w:tblPr/>
      <w:trPr>
        <w:hidden/>
      </w:trPr>
      <w:tcPr>
        <w:shd w:val="clear" w:color="auto" w:fill="F19F82" w:themeFill="accent1" w:themeFillTint="7F"/>
      </w:tcPr>
    </w:tblStylePr>
    <w:tblStylePr w:type="band1Horz">
      <w:tblPr/>
      <w:trPr>
        <w:hidden/>
      </w:trPr>
      <w:tcPr>
        <w:tcBorders>
          <w:insideH w:val="single" w:sz="6" w:space="0" w:color="D34817" w:themeColor="accent1"/>
          <w:insideV w:val="single" w:sz="6" w:space="0" w:color="D34817" w:themeColor="accent1"/>
        </w:tcBorders>
        <w:shd w:val="clear" w:color="auto" w:fill="F19F82" w:themeFill="accent1" w:themeFillTint="7F"/>
      </w:tcPr>
    </w:tblStylePr>
    <w:tblStylePr w:type="nwCell">
      <w:tblPr/>
      <w:trPr>
        <w:hidden/>
      </w:trPr>
      <w:tcPr>
        <w:shd w:val="clear" w:color="auto" w:fill="FFFFFF" w:themeFill="background1"/>
      </w:tcPr>
    </w:tblStylePr>
  </w:style>
  <w:style w:type="table" w:styleId="Barevnstnovnzvraznn1">
    <w:name w:val="Colorful Shading Accent 1"/>
    <w:basedOn w:val="Normlntabulka"/>
    <w:uiPriority w:val="71"/>
    <w:rsid w:val="005C30DD"/>
    <w:rPr>
      <w:color w:val="000000" w:themeColor="text1"/>
    </w:rPr>
    <w:tblPr>
      <w:tblStyleRowBandSize w:val="1"/>
      <w:tblStyleColBandSize w:val="1"/>
      <w:tblInd w:w="0" w:type="dxa"/>
      <w:tblBorders>
        <w:top w:val="single" w:sz="24" w:space="0" w:color="9B2D1F" w:themeColor="accent2"/>
        <w:left w:val="single" w:sz="4" w:space="0" w:color="D34817" w:themeColor="accent1"/>
        <w:bottom w:val="single" w:sz="4" w:space="0" w:color="D34817" w:themeColor="accent1"/>
        <w:right w:val="single" w:sz="4" w:space="0" w:color="D34817"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FCECE6" w:themeFill="accent1" w:themeFillTint="19"/>
    </w:tcPr>
    <w:tblStylePr w:type="firstRow">
      <w:rPr>
        <w:b/>
        <w:bCs/>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7E2A0D" w:themeFill="accent1" w:themeFillShade="99"/>
      </w:tcPr>
    </w:tblStylePr>
    <w:tblStylePr w:type="firstCol">
      <w:rPr>
        <w:color w:val="FFFFFF" w:themeColor="background1"/>
      </w:rPr>
      <w:tblPr/>
      <w:trPr>
        <w:hidden/>
      </w:trPr>
      <w:tcPr>
        <w:tcBorders>
          <w:top w:val="nil"/>
          <w:left w:val="nil"/>
          <w:bottom w:val="nil"/>
          <w:right w:val="nil"/>
          <w:insideH w:val="single" w:sz="4" w:space="0" w:color="7E2A0D" w:themeColor="accent1" w:themeShade="99"/>
          <w:insideV w:val="nil"/>
        </w:tcBorders>
        <w:shd w:val="clear" w:color="auto" w:fill="7E2A0D" w:themeFill="accent1"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7E2A0D" w:themeFill="accent1" w:themeFillShade="99"/>
      </w:tcPr>
    </w:tblStylePr>
    <w:tblStylePr w:type="band1Vert">
      <w:tblPr/>
      <w:trPr>
        <w:hidden/>
      </w:trPr>
      <w:tcPr>
        <w:shd w:val="clear" w:color="auto" w:fill="F4B29B" w:themeFill="accent1" w:themeFillTint="66"/>
      </w:tcPr>
    </w:tblStylePr>
    <w:tblStylePr w:type="band1Horz">
      <w:tblPr/>
      <w:trPr>
        <w:hidden/>
      </w:trPr>
      <w:tcPr>
        <w:shd w:val="clear" w:color="auto" w:fill="F19F82" w:themeFill="accent1" w:themeFillTint="7F"/>
      </w:tcPr>
    </w:tblStylePr>
    <w:tblStylePr w:type="neCell">
      <w:rPr>
        <w:color w:val="000000" w:themeColor="text1"/>
      </w:rPr>
    </w:tblStylePr>
    <w:tblStylePr w:type="nwCell">
      <w:rPr>
        <w:color w:val="000000" w:themeColor="text1"/>
      </w:rPr>
    </w:tblStylePr>
  </w:style>
  <w:style w:type="table" w:styleId="Barevnmkazvraznn2">
    <w:name w:val="Colorful Grid Accent 2"/>
    <w:basedOn w:val="Normlntabulka"/>
    <w:uiPriority w:val="73"/>
    <w:rsid w:val="005C30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rPr>
      <w:hidden/>
    </w:trPr>
    <w:tcPr>
      <w:shd w:val="clear" w:color="auto" w:fill="F4CDC8" w:themeFill="accent2" w:themeFillTint="33"/>
    </w:tcPr>
    <w:tblStylePr w:type="firstRow">
      <w:rPr>
        <w:b/>
        <w:bCs/>
      </w:rPr>
      <w:tblPr/>
      <w:trPr>
        <w:hidden/>
      </w:trPr>
      <w:tcPr>
        <w:shd w:val="clear" w:color="auto" w:fill="E99C92" w:themeFill="accent2" w:themeFillTint="66"/>
      </w:tcPr>
    </w:tblStylePr>
    <w:tblStylePr w:type="lastRow">
      <w:rPr>
        <w:b/>
        <w:bCs/>
        <w:color w:val="000000" w:themeColor="text1"/>
      </w:rPr>
      <w:tblPr/>
      <w:trPr>
        <w:hidden/>
      </w:trPr>
      <w:tcPr>
        <w:shd w:val="clear" w:color="auto" w:fill="E99C92" w:themeFill="accent2" w:themeFillTint="66"/>
      </w:tcPr>
    </w:tblStylePr>
    <w:tblStylePr w:type="firstCol">
      <w:rPr>
        <w:color w:val="FFFFFF" w:themeColor="background1"/>
      </w:rPr>
      <w:tblPr/>
      <w:trPr>
        <w:hidden/>
      </w:trPr>
      <w:tcPr>
        <w:shd w:val="clear" w:color="auto" w:fill="732117" w:themeFill="accent2" w:themeFillShade="BF"/>
      </w:tcPr>
    </w:tblStylePr>
    <w:tblStylePr w:type="lastCol">
      <w:rPr>
        <w:color w:val="FFFFFF" w:themeColor="background1"/>
      </w:rPr>
      <w:tblPr/>
      <w:trPr>
        <w:hidden/>
      </w:trPr>
      <w:tcPr>
        <w:shd w:val="clear" w:color="auto" w:fill="732117" w:themeFill="accent2" w:themeFillShade="BF"/>
      </w:tcPr>
    </w:tblStylePr>
    <w:tblStylePr w:type="band1Vert">
      <w:tblPr/>
      <w:trPr>
        <w:hidden/>
      </w:trPr>
      <w:tcPr>
        <w:shd w:val="clear" w:color="auto" w:fill="E48478" w:themeFill="accent2" w:themeFillTint="7F"/>
      </w:tcPr>
    </w:tblStylePr>
    <w:tblStylePr w:type="band1Horz">
      <w:tblPr/>
      <w:trPr>
        <w:hidden/>
      </w:trPr>
      <w:tcPr>
        <w:shd w:val="clear" w:color="auto" w:fill="E48478" w:themeFill="accent2" w:themeFillTint="7F"/>
      </w:tcPr>
    </w:tblStylePr>
  </w:style>
  <w:style w:type="table" w:styleId="Barevnmkazvraznn1">
    <w:name w:val="Colorful Grid Accent 1"/>
    <w:basedOn w:val="Normlntabulka"/>
    <w:uiPriority w:val="73"/>
    <w:rsid w:val="005C30D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rPr>
      <w:hidden/>
    </w:trPr>
    <w:tcPr>
      <w:shd w:val="clear" w:color="auto" w:fill="F9D8CD" w:themeFill="accent1" w:themeFillTint="33"/>
    </w:tcPr>
    <w:tblStylePr w:type="firstRow">
      <w:rPr>
        <w:b/>
        <w:bCs/>
      </w:rPr>
      <w:tblPr/>
      <w:trPr>
        <w:hidden/>
      </w:trPr>
      <w:tcPr>
        <w:shd w:val="clear" w:color="auto" w:fill="F4B29B" w:themeFill="accent1" w:themeFillTint="66"/>
      </w:tcPr>
    </w:tblStylePr>
    <w:tblStylePr w:type="lastRow">
      <w:rPr>
        <w:b/>
        <w:bCs/>
        <w:color w:val="000000" w:themeColor="text1"/>
      </w:rPr>
      <w:tblPr/>
      <w:trPr>
        <w:hidden/>
      </w:trPr>
      <w:tcPr>
        <w:shd w:val="clear" w:color="auto" w:fill="F4B29B" w:themeFill="accent1" w:themeFillTint="66"/>
      </w:tcPr>
    </w:tblStylePr>
    <w:tblStylePr w:type="firstCol">
      <w:rPr>
        <w:color w:val="FFFFFF" w:themeColor="background1"/>
      </w:rPr>
      <w:tblPr/>
      <w:trPr>
        <w:hidden/>
      </w:trPr>
      <w:tcPr>
        <w:shd w:val="clear" w:color="auto" w:fill="9D3511" w:themeFill="accent1" w:themeFillShade="BF"/>
      </w:tcPr>
    </w:tblStylePr>
    <w:tblStylePr w:type="lastCol">
      <w:rPr>
        <w:color w:val="FFFFFF" w:themeColor="background1"/>
      </w:rPr>
      <w:tblPr/>
      <w:trPr>
        <w:hidden/>
      </w:trPr>
      <w:tcPr>
        <w:shd w:val="clear" w:color="auto" w:fill="9D3511" w:themeFill="accent1" w:themeFillShade="BF"/>
      </w:tcPr>
    </w:tblStylePr>
    <w:tblStylePr w:type="band1Vert">
      <w:tblPr/>
      <w:trPr>
        <w:hidden/>
      </w:trPr>
      <w:tcPr>
        <w:shd w:val="clear" w:color="auto" w:fill="F19F82" w:themeFill="accent1" w:themeFillTint="7F"/>
      </w:tcPr>
    </w:tblStylePr>
    <w:tblStylePr w:type="band1Horz">
      <w:tblPr/>
      <w:trPr>
        <w:hidden/>
      </w:trPr>
      <w:tcPr>
        <w:shd w:val="clear" w:color="auto" w:fill="F19F82" w:themeFill="accent1" w:themeFillTint="7F"/>
      </w:tcPr>
    </w:tblStylePr>
  </w:style>
  <w:style w:type="table" w:styleId="Barevnseznamzvraznn2">
    <w:name w:val="Colorful List Accent 2"/>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F9E6E4" w:themeFill="accent2"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1C1BC" w:themeFill="accent2" w:themeFillTint="3F"/>
      </w:tcPr>
    </w:tblStylePr>
    <w:tblStylePr w:type="band1Horz">
      <w:tblPr/>
      <w:trPr>
        <w:hidden/>
      </w:trPr>
      <w:tcPr>
        <w:shd w:val="clear" w:color="auto" w:fill="F4CDC8" w:themeFill="accent2" w:themeFillTint="33"/>
      </w:tcPr>
    </w:tblStylePr>
  </w:style>
  <w:style w:type="table" w:styleId="Barevnseznamzvraznn1">
    <w:name w:val="Colorful List Accent 1"/>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FCECE6" w:themeFill="accent1"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F8CFC1" w:themeFill="accent1" w:themeFillTint="3F"/>
      </w:tcPr>
    </w:tblStylePr>
    <w:tblStylePr w:type="band1Horz">
      <w:tblPr/>
      <w:trPr>
        <w:hidden/>
      </w:trPr>
      <w:tcPr>
        <w:shd w:val="clear" w:color="auto" w:fill="F9D8CD" w:themeFill="accent1" w:themeFillTint="33"/>
      </w:tcPr>
    </w:tblStylePr>
  </w:style>
  <w:style w:type="table" w:styleId="Barevnseznam">
    <w:name w:val="Colorful List"/>
    <w:basedOn w:val="Normlntabulka"/>
    <w:uiPriority w:val="72"/>
    <w:rsid w:val="005C30DD"/>
    <w:rPr>
      <w:color w:val="000000" w:themeColor="text1"/>
    </w:rPr>
    <w:tblPr>
      <w:tblStyleRowBandSize w:val="1"/>
      <w:tblStyleColBandSize w:val="1"/>
      <w:tblInd w:w="0" w:type="dxa"/>
      <w:tblCellMar>
        <w:top w:w="0" w:type="dxa"/>
        <w:left w:w="108" w:type="dxa"/>
        <w:bottom w:w="0" w:type="dxa"/>
        <w:right w:w="108" w:type="dxa"/>
      </w:tblCellMar>
    </w:tblPr>
    <w:trPr>
      <w:hidden/>
    </w:trPr>
    <w:tcPr>
      <w:shd w:val="clear" w:color="auto" w:fill="E6E6E6" w:themeFill="text1" w:themeFillTint="19"/>
    </w:tcPr>
    <w:tblStylePr w:type="firstRow">
      <w:rPr>
        <w:b/>
        <w:bCs/>
        <w:color w:val="FFFFFF" w:themeColor="background1"/>
      </w:rPr>
      <w:tblPr/>
      <w:trPr>
        <w:hidden/>
      </w:trPr>
      <w:tcPr>
        <w:tcBorders>
          <w:bottom w:val="single" w:sz="12" w:space="0" w:color="FFFFFF" w:themeColor="background1"/>
        </w:tcBorders>
        <w:shd w:val="clear" w:color="auto" w:fill="7B2318" w:themeFill="accent2" w:themeFillShade="CC"/>
      </w:tcPr>
    </w:tblStylePr>
    <w:tblStylePr w:type="lastRow">
      <w:rPr>
        <w:b/>
        <w:bCs/>
        <w:color w:val="7B2318" w:themeColor="accent2" w:themeShade="CC"/>
      </w:rPr>
      <w:tblPr/>
      <w:trPr>
        <w:hidden/>
      </w:t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rPr>
        <w:hidden/>
      </w:trPr>
      <w:tcPr>
        <w:tcBorders>
          <w:top w:val="nil"/>
          <w:left w:val="nil"/>
          <w:bottom w:val="nil"/>
          <w:right w:val="nil"/>
          <w:insideH w:val="nil"/>
          <w:insideV w:val="nil"/>
        </w:tcBorders>
        <w:shd w:val="clear" w:color="auto" w:fill="C0C0C0" w:themeFill="text1" w:themeFillTint="3F"/>
      </w:tcPr>
    </w:tblStylePr>
    <w:tblStylePr w:type="band1Horz">
      <w:tblPr/>
      <w:trPr>
        <w:hidden/>
      </w:trPr>
      <w:tcPr>
        <w:shd w:val="clear" w:color="auto" w:fill="CCCCCC" w:themeFill="text1" w:themeFillTint="33"/>
      </w:tcPr>
    </w:tblStylePr>
  </w:style>
  <w:style w:type="table" w:styleId="Barevnstnovnzvraznn6">
    <w:name w:val="Colorful Shading Accent 6"/>
    <w:basedOn w:val="Normlntabulka"/>
    <w:uiPriority w:val="71"/>
    <w:rsid w:val="005C30DD"/>
    <w:rPr>
      <w:color w:val="000000" w:themeColor="text1"/>
    </w:rPr>
    <w:tblPr>
      <w:tblStyleRowBandSize w:val="1"/>
      <w:tblStyleColBandSize w:val="1"/>
      <w:tblInd w:w="0" w:type="dxa"/>
      <w:tblBorders>
        <w:top w:val="single" w:sz="24" w:space="0" w:color="918485" w:themeColor="accent5"/>
        <w:left w:val="single" w:sz="4" w:space="0" w:color="855D5D" w:themeColor="accent6"/>
        <w:bottom w:val="single" w:sz="4" w:space="0" w:color="855D5D" w:themeColor="accent6"/>
        <w:right w:val="single" w:sz="4" w:space="0" w:color="855D5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F3EEEE" w:themeFill="accent6" w:themeFillTint="19"/>
    </w:tcPr>
    <w:tblStylePr w:type="firstRow">
      <w:rPr>
        <w:b/>
        <w:bCs/>
      </w:rPr>
      <w:tblPr/>
      <w:trPr>
        <w:hidden/>
      </w:trPr>
      <w:tcPr>
        <w:tcBorders>
          <w:top w:val="nil"/>
          <w:left w:val="nil"/>
          <w:bottom w:val="single" w:sz="24" w:space="0" w:color="918485" w:themeColor="accent5"/>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4F3737" w:themeFill="accent6" w:themeFillShade="99"/>
      </w:tcPr>
    </w:tblStylePr>
    <w:tblStylePr w:type="firstCol">
      <w:rPr>
        <w:color w:val="FFFFFF" w:themeColor="background1"/>
      </w:rPr>
      <w:tblPr/>
      <w:trPr>
        <w:hidden/>
      </w:trPr>
      <w:tcPr>
        <w:tcBorders>
          <w:top w:val="nil"/>
          <w:left w:val="nil"/>
          <w:bottom w:val="nil"/>
          <w:right w:val="nil"/>
          <w:insideH w:val="single" w:sz="4" w:space="0" w:color="4F3737" w:themeColor="accent6" w:themeShade="99"/>
          <w:insideV w:val="nil"/>
        </w:tcBorders>
        <w:shd w:val="clear" w:color="auto" w:fill="4F3737" w:themeFill="accent6"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4F3737" w:themeFill="accent6" w:themeFillShade="99"/>
      </w:tcPr>
    </w:tblStylePr>
    <w:tblStylePr w:type="band1Vert">
      <w:tblPr/>
      <w:trPr>
        <w:hidden/>
      </w:trPr>
      <w:tcPr>
        <w:shd w:val="clear" w:color="auto" w:fill="D0BCBC" w:themeFill="accent6" w:themeFillTint="66"/>
      </w:tcPr>
    </w:tblStylePr>
    <w:tblStylePr w:type="band1Horz">
      <w:tblPr/>
      <w:trPr>
        <w:hidden/>
      </w:trPr>
      <w:tcPr>
        <w:shd w:val="clear" w:color="auto" w:fill="C4ABAB" w:themeFill="accent6" w:themeFillTint="7F"/>
      </w:tcPr>
    </w:tblStylePr>
    <w:tblStylePr w:type="neCell">
      <w:rPr>
        <w:color w:val="000000" w:themeColor="text1"/>
      </w:rPr>
    </w:tblStylePr>
    <w:tblStylePr w:type="nwCell">
      <w:rPr>
        <w:color w:val="000000" w:themeColor="text1"/>
      </w:rPr>
    </w:tblStylePr>
  </w:style>
  <w:style w:type="character" w:customStyle="1" w:styleId="okbasic2">
    <w:name w:val="okbasic2"/>
    <w:basedOn w:val="Standardnpsmoodstavce"/>
    <w:rsid w:val="00AE647D"/>
  </w:style>
  <w:style w:type="table" w:styleId="Svtlstnovn">
    <w:name w:val="Light Shading"/>
    <w:basedOn w:val="Normlntabulka"/>
    <w:uiPriority w:val="60"/>
    <w:rsid w:val="00F7663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rPr>
        <w:hidden/>
      </w:tr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C0C0C0" w:themeFill="text1" w:themeFillTint="3F"/>
      </w:tcPr>
    </w:tblStylePr>
    <w:tblStylePr w:type="band1Horz">
      <w:tblPr/>
      <w:trPr>
        <w:hidden/>
      </w:trPr>
      <w:tcPr>
        <w:tcBorders>
          <w:left w:val="nil"/>
          <w:right w:val="nil"/>
          <w:insideH w:val="nil"/>
          <w:insideV w:val="nil"/>
        </w:tcBorders>
        <w:shd w:val="clear" w:color="auto" w:fill="C0C0C0" w:themeFill="text1" w:themeFillTint="3F"/>
      </w:tcPr>
    </w:tblStylePr>
  </w:style>
  <w:style w:type="table" w:styleId="Svtlstnovnzvraznn4">
    <w:name w:val="Light Shading Accent 4"/>
    <w:basedOn w:val="Normlntabulka"/>
    <w:uiPriority w:val="60"/>
    <w:rsid w:val="001E6A12"/>
    <w:rPr>
      <w:color w:val="9B2D1F" w:themeColor="accent2"/>
    </w:rPr>
    <w:tblPr>
      <w:tblStyleRowBandSize w:val="1"/>
      <w:tblStyleColBandSize w:val="1"/>
      <w:tblInd w:w="0" w:type="dxa"/>
      <w:tblBorders>
        <w:top w:val="single" w:sz="8" w:space="0" w:color="956251" w:themeColor="accent4"/>
        <w:bottom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56251" w:themeColor="accent4"/>
          <w:left w:val="nil"/>
          <w:bottom w:val="single" w:sz="8" w:space="0" w:color="956251" w:themeColor="accent4"/>
          <w:right w:val="nil"/>
          <w:insideH w:val="nil"/>
          <w:insideV w:val="nil"/>
        </w:tcBorders>
      </w:tcPr>
    </w:tblStylePr>
    <w:tblStylePr w:type="lastRow">
      <w:pPr>
        <w:spacing w:before="0" w:after="0" w:line="240" w:lineRule="auto"/>
      </w:pPr>
      <w:rPr>
        <w:b/>
        <w:bCs/>
      </w:rPr>
      <w:tblPr/>
      <w:trPr>
        <w:hidden/>
      </w:trPr>
      <w:tcPr>
        <w:tcBorders>
          <w:top w:val="single" w:sz="8" w:space="0" w:color="956251" w:themeColor="accent4"/>
          <w:left w:val="nil"/>
          <w:bottom w:val="single" w:sz="8" w:space="0" w:color="956251" w:themeColor="accent4"/>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6D7D2" w:themeFill="accent4" w:themeFillTint="3F"/>
      </w:tcPr>
    </w:tblStylePr>
    <w:tblStylePr w:type="band1Horz">
      <w:tblPr/>
      <w:trPr>
        <w:hidden/>
      </w:trPr>
      <w:tcPr>
        <w:tcBorders>
          <w:left w:val="nil"/>
          <w:right w:val="nil"/>
          <w:insideH w:val="nil"/>
          <w:insideV w:val="nil"/>
        </w:tcBorders>
        <w:shd w:val="clear" w:color="auto" w:fill="E6D7D2" w:themeFill="accent4" w:themeFillTint="3F"/>
      </w:tcPr>
    </w:tblStylePr>
  </w:style>
  <w:style w:type="table" w:styleId="Svtlstnovnzvraznn5">
    <w:name w:val="Light Shading Accent 5"/>
    <w:basedOn w:val="Normlntabulka"/>
    <w:uiPriority w:val="60"/>
    <w:rsid w:val="00F76637"/>
    <w:rPr>
      <w:color w:val="6D6262" w:themeColor="accent5" w:themeShade="BF"/>
    </w:rPr>
    <w:tblPr>
      <w:tblStyleRowBandSize w:val="1"/>
      <w:tblStyleColBandSize w:val="1"/>
      <w:tblInd w:w="0" w:type="dxa"/>
      <w:tblBorders>
        <w:top w:val="single" w:sz="8" w:space="0" w:color="918485" w:themeColor="accent5"/>
        <w:bottom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18485" w:themeColor="accent5"/>
          <w:left w:val="nil"/>
          <w:bottom w:val="single" w:sz="8" w:space="0" w:color="918485" w:themeColor="accent5"/>
          <w:right w:val="nil"/>
          <w:insideH w:val="nil"/>
          <w:insideV w:val="nil"/>
        </w:tcBorders>
      </w:tcPr>
    </w:tblStylePr>
    <w:tblStylePr w:type="lastRow">
      <w:pPr>
        <w:spacing w:before="0" w:after="0" w:line="240" w:lineRule="auto"/>
      </w:pPr>
      <w:rPr>
        <w:b/>
        <w:bCs/>
      </w:rPr>
      <w:tblPr/>
      <w:trPr>
        <w:hidden/>
      </w:trPr>
      <w:tcPr>
        <w:tcBorders>
          <w:top w:val="single" w:sz="8" w:space="0" w:color="918485" w:themeColor="accent5"/>
          <w:left w:val="nil"/>
          <w:bottom w:val="single" w:sz="8" w:space="0" w:color="918485" w:themeColor="accent5"/>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3E0E0" w:themeFill="accent5" w:themeFillTint="3F"/>
      </w:tcPr>
    </w:tblStylePr>
    <w:tblStylePr w:type="band1Horz">
      <w:tblPr/>
      <w:trPr>
        <w:hidden/>
      </w:trPr>
      <w:tcPr>
        <w:tcBorders>
          <w:left w:val="nil"/>
          <w:right w:val="nil"/>
          <w:insideH w:val="nil"/>
          <w:insideV w:val="nil"/>
        </w:tcBorders>
        <w:shd w:val="clear" w:color="auto" w:fill="E3E0E0" w:themeFill="accent5" w:themeFillTint="3F"/>
      </w:tcPr>
    </w:tblStylePr>
  </w:style>
  <w:style w:type="table" w:styleId="Svtlstnovnzvraznn6">
    <w:name w:val="Light Shading Accent 6"/>
    <w:basedOn w:val="Normlntabulka"/>
    <w:uiPriority w:val="60"/>
    <w:rsid w:val="00F76637"/>
    <w:rPr>
      <w:color w:val="634545" w:themeColor="accent6" w:themeShade="BF"/>
    </w:rPr>
    <w:tblPr>
      <w:tblStyleRowBandSize w:val="1"/>
      <w:tblStyleColBandSize w:val="1"/>
      <w:tblInd w:w="0" w:type="dxa"/>
      <w:tblBorders>
        <w:top w:val="single" w:sz="8" w:space="0" w:color="855D5D" w:themeColor="accent6"/>
        <w:bottom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855D5D" w:themeColor="accent6"/>
          <w:left w:val="nil"/>
          <w:bottom w:val="single" w:sz="8" w:space="0" w:color="855D5D" w:themeColor="accent6"/>
          <w:right w:val="nil"/>
          <w:insideH w:val="nil"/>
          <w:insideV w:val="nil"/>
        </w:tcBorders>
      </w:tcPr>
    </w:tblStylePr>
    <w:tblStylePr w:type="lastRow">
      <w:pPr>
        <w:spacing w:before="0" w:after="0" w:line="240" w:lineRule="auto"/>
      </w:pPr>
      <w:rPr>
        <w:b/>
        <w:bCs/>
      </w:rPr>
      <w:tblPr/>
      <w:trPr>
        <w:hidden/>
      </w:trPr>
      <w:tcPr>
        <w:tcBorders>
          <w:top w:val="single" w:sz="8" w:space="0" w:color="855D5D" w:themeColor="accent6"/>
          <w:left w:val="nil"/>
          <w:bottom w:val="single" w:sz="8" w:space="0" w:color="855D5D" w:themeColor="accent6"/>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2D5D5" w:themeFill="accent6" w:themeFillTint="3F"/>
      </w:tcPr>
    </w:tblStylePr>
    <w:tblStylePr w:type="band1Horz">
      <w:tblPr/>
      <w:trPr>
        <w:hidden/>
      </w:trPr>
      <w:tcPr>
        <w:tcBorders>
          <w:left w:val="nil"/>
          <w:right w:val="nil"/>
          <w:insideH w:val="nil"/>
          <w:insideV w:val="nil"/>
        </w:tcBorders>
        <w:shd w:val="clear" w:color="auto" w:fill="E2D5D5" w:themeFill="accent6" w:themeFillTint="3F"/>
      </w:tcPr>
    </w:tblStylePr>
  </w:style>
  <w:style w:type="table" w:styleId="Svtlstnovnzvraznn3">
    <w:name w:val="Light Shading Accent 3"/>
    <w:basedOn w:val="Normlntabulka"/>
    <w:uiPriority w:val="60"/>
    <w:rsid w:val="00D97C49"/>
    <w:rPr>
      <w:color w:val="7B6A4D" w:themeColor="accent3" w:themeShade="BF"/>
    </w:rPr>
    <w:tblPr>
      <w:tblStyleRowBandSize w:val="1"/>
      <w:tblStyleColBandSize w:val="1"/>
      <w:tblInd w:w="0" w:type="dxa"/>
      <w:tblBorders>
        <w:top w:val="single" w:sz="8" w:space="0" w:color="A28E6A" w:themeColor="accent3"/>
        <w:bottom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A28E6A" w:themeColor="accent3"/>
          <w:left w:val="nil"/>
          <w:bottom w:val="single" w:sz="8" w:space="0" w:color="A28E6A" w:themeColor="accent3"/>
          <w:right w:val="nil"/>
          <w:insideH w:val="nil"/>
          <w:insideV w:val="nil"/>
        </w:tcBorders>
      </w:tcPr>
    </w:tblStylePr>
    <w:tblStylePr w:type="lastRow">
      <w:pPr>
        <w:spacing w:before="0" w:after="0" w:line="240" w:lineRule="auto"/>
      </w:pPr>
      <w:rPr>
        <w:b/>
        <w:bCs/>
      </w:rPr>
      <w:tblPr/>
      <w:trPr>
        <w:hidden/>
      </w:trPr>
      <w:tcPr>
        <w:tcBorders>
          <w:top w:val="single" w:sz="8" w:space="0" w:color="A28E6A" w:themeColor="accent3"/>
          <w:left w:val="nil"/>
          <w:bottom w:val="single" w:sz="8" w:space="0" w:color="A28E6A" w:themeColor="accent3"/>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8E2DA" w:themeFill="accent3" w:themeFillTint="3F"/>
      </w:tcPr>
    </w:tblStylePr>
    <w:tblStylePr w:type="band1Horz">
      <w:tblPr/>
      <w:trPr>
        <w:hidden/>
      </w:trPr>
      <w:tcPr>
        <w:tcBorders>
          <w:left w:val="nil"/>
          <w:right w:val="nil"/>
          <w:insideH w:val="nil"/>
          <w:insideV w:val="nil"/>
        </w:tcBorders>
        <w:shd w:val="clear" w:color="auto" w:fill="E8E2DA" w:themeFill="accent3" w:themeFillTint="3F"/>
      </w:tcPr>
    </w:tblStylePr>
  </w:style>
  <w:style w:type="paragraph" w:styleId="Obsah1">
    <w:name w:val="toc 1"/>
    <w:basedOn w:val="Normln"/>
    <w:next w:val="Normln"/>
    <w:autoRedefine/>
    <w:uiPriority w:val="39"/>
    <w:unhideWhenUsed/>
    <w:rsid w:val="00E54029"/>
    <w:pPr>
      <w:spacing w:after="100"/>
    </w:pPr>
  </w:style>
  <w:style w:type="paragraph" w:styleId="Obsah2">
    <w:name w:val="toc 2"/>
    <w:basedOn w:val="Normln"/>
    <w:next w:val="Normln"/>
    <w:autoRedefine/>
    <w:uiPriority w:val="39"/>
    <w:unhideWhenUsed/>
    <w:rsid w:val="00E54029"/>
    <w:pPr>
      <w:spacing w:after="100"/>
      <w:ind w:left="210"/>
    </w:pPr>
  </w:style>
  <w:style w:type="paragraph" w:styleId="Obsah3">
    <w:name w:val="toc 3"/>
    <w:basedOn w:val="Normln"/>
    <w:next w:val="Normln"/>
    <w:autoRedefine/>
    <w:uiPriority w:val="39"/>
    <w:unhideWhenUsed/>
    <w:rsid w:val="00E54029"/>
    <w:pPr>
      <w:spacing w:after="100"/>
      <w:ind w:left="420"/>
    </w:pPr>
  </w:style>
  <w:style w:type="character" w:styleId="Hypertextovodkaz">
    <w:name w:val="Hyperlink"/>
    <w:basedOn w:val="Standardnpsmoodstavce"/>
    <w:uiPriority w:val="99"/>
    <w:unhideWhenUsed/>
    <w:rsid w:val="00E54029"/>
    <w:rPr>
      <w:color w:val="CC9900" w:themeColor="hyperlink"/>
      <w:u w:val="single"/>
    </w:rPr>
  </w:style>
  <w:style w:type="character" w:customStyle="1" w:styleId="bold">
    <w:name w:val="bold"/>
    <w:basedOn w:val="Standardnpsmoodstavce"/>
    <w:rsid w:val="00B333A8"/>
  </w:style>
  <w:style w:type="table" w:styleId="Svtlseznamzvraznn2">
    <w:name w:val="Light List Accent 2"/>
    <w:basedOn w:val="Normlntabulka"/>
    <w:uiPriority w:val="61"/>
    <w:rsid w:val="00D0158A"/>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B2D1F" w:themeFill="accent2"/>
      </w:tcPr>
    </w:tblStylePr>
    <w:tblStylePr w:type="lastRow">
      <w:pPr>
        <w:spacing w:before="0" w:after="0" w:line="240" w:lineRule="auto"/>
      </w:pPr>
      <w:rPr>
        <w:b/>
        <w:bCs/>
      </w:rPr>
      <w:tblPr/>
      <w:trPr>
        <w:hidden/>
      </w:trPr>
      <w:tcPr>
        <w:tcBorders>
          <w:top w:val="double" w:sz="6" w:space="0" w:color="9B2D1F" w:themeColor="accent2"/>
          <w:left w:val="single" w:sz="8" w:space="0" w:color="9B2D1F" w:themeColor="accent2"/>
          <w:bottom w:val="single" w:sz="8" w:space="0" w:color="9B2D1F" w:themeColor="accent2"/>
          <w:right w:val="single" w:sz="8" w:space="0" w:color="9B2D1F" w:themeColor="accent2"/>
        </w:tcBorders>
      </w:tcPr>
    </w:tblStylePr>
    <w:tblStylePr w:type="firstCol">
      <w:rPr>
        <w:b/>
        <w:bCs/>
      </w:rPr>
    </w:tblStylePr>
    <w:tblStylePr w:type="lastCol">
      <w:rPr>
        <w:b/>
        <w:bCs/>
      </w:rPr>
    </w:tblStylePr>
    <w:tblStylePr w:type="band1Vert">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tblStylePr w:type="band1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style>
  <w:style w:type="table" w:styleId="Svtlseznamzvraznn5">
    <w:name w:val="Light List Accent 5"/>
    <w:basedOn w:val="Normlntabulka"/>
    <w:uiPriority w:val="61"/>
    <w:rsid w:val="00D0158A"/>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18485" w:themeFill="accent5"/>
      </w:tcPr>
    </w:tblStylePr>
    <w:tblStylePr w:type="lastRow">
      <w:pPr>
        <w:spacing w:before="0" w:after="0" w:line="240" w:lineRule="auto"/>
      </w:pPr>
      <w:rPr>
        <w:b/>
        <w:bCs/>
      </w:rPr>
      <w:tblPr/>
      <w:trPr>
        <w:hidden/>
      </w:trPr>
      <w:tcPr>
        <w:tcBorders>
          <w:top w:val="double" w:sz="6" w:space="0" w:color="918485" w:themeColor="accent5"/>
          <w:left w:val="single" w:sz="8" w:space="0" w:color="918485" w:themeColor="accent5"/>
          <w:bottom w:val="single" w:sz="8" w:space="0" w:color="918485" w:themeColor="accent5"/>
          <w:right w:val="single" w:sz="8" w:space="0" w:color="918485" w:themeColor="accent5"/>
        </w:tcBorders>
      </w:tcPr>
    </w:tblStylePr>
    <w:tblStylePr w:type="firstCol">
      <w:rPr>
        <w:b/>
        <w:bCs/>
      </w:rPr>
    </w:tblStylePr>
    <w:tblStylePr w:type="lastCol">
      <w:rPr>
        <w:b/>
        <w:bCs/>
      </w:rPr>
    </w:tblStylePr>
    <w:tblStylePr w:type="band1Vert">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tblStylePr w:type="band1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style>
  <w:style w:type="table" w:styleId="Svtlseznamzvraznn6">
    <w:name w:val="Light List Accent 6"/>
    <w:basedOn w:val="Normlntabulka"/>
    <w:uiPriority w:val="61"/>
    <w:rsid w:val="00D0158A"/>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855D5D" w:themeFill="accent6"/>
      </w:tcPr>
    </w:tblStylePr>
    <w:tblStylePr w:type="lastRow">
      <w:pPr>
        <w:spacing w:before="0" w:after="0" w:line="240" w:lineRule="auto"/>
      </w:pPr>
      <w:rPr>
        <w:b/>
        <w:bCs/>
      </w:rPr>
      <w:tblPr/>
      <w:trPr>
        <w:hidden/>
      </w:trPr>
      <w:tcPr>
        <w:tcBorders>
          <w:top w:val="double" w:sz="6" w:space="0" w:color="855D5D" w:themeColor="accent6"/>
          <w:left w:val="single" w:sz="8" w:space="0" w:color="855D5D" w:themeColor="accent6"/>
          <w:bottom w:val="single" w:sz="8" w:space="0" w:color="855D5D" w:themeColor="accent6"/>
          <w:right w:val="single" w:sz="8" w:space="0" w:color="855D5D" w:themeColor="accent6"/>
        </w:tcBorders>
      </w:tcPr>
    </w:tblStylePr>
    <w:tblStylePr w:type="firstCol">
      <w:rPr>
        <w:b/>
        <w:bCs/>
      </w:rPr>
    </w:tblStylePr>
    <w:tblStylePr w:type="lastCol">
      <w:rPr>
        <w:b/>
        <w:bCs/>
      </w:rPr>
    </w:tblStylePr>
    <w:tblStylePr w:type="band1Vert">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tblStylePr w:type="band1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style>
  <w:style w:type="table" w:styleId="Stednstnovn1">
    <w:name w:val="Medium Shading 1"/>
    <w:basedOn w:val="Normlntabulka"/>
    <w:uiPriority w:val="63"/>
    <w:rsid w:val="00D0158A"/>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rPr>
        <w:hidden/>
      </w:tr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0C0C0" w:themeFill="text1" w:themeFillTint="3F"/>
      </w:tcPr>
    </w:tblStylePr>
    <w:tblStylePr w:type="band1Horz">
      <w:tblPr/>
      <w:trPr>
        <w:hidden/>
      </w:trPr>
      <w:tcPr>
        <w:tcBorders>
          <w:insideH w:val="nil"/>
          <w:insideV w:val="nil"/>
        </w:tcBorders>
        <w:shd w:val="clear" w:color="auto" w:fill="C0C0C0" w:themeFill="text1" w:themeFillTint="3F"/>
      </w:tcPr>
    </w:tblStylePr>
    <w:tblStylePr w:type="band2Horz">
      <w:tblPr/>
      <w:trPr>
        <w:hidden/>
      </w:trPr>
      <w:tcPr>
        <w:tcBorders>
          <w:insideH w:val="nil"/>
          <w:insideV w:val="nil"/>
        </w:tcBorders>
      </w:tcPr>
    </w:tblStylePr>
  </w:style>
  <w:style w:type="table" w:styleId="Svtlmkazvraznn6">
    <w:name w:val="Light Grid Accent 6"/>
    <w:basedOn w:val="Normlntabulka"/>
    <w:uiPriority w:val="62"/>
    <w:rsid w:val="00D0158A"/>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insideH w:val="single" w:sz="8" w:space="0" w:color="855D5D" w:themeColor="accent6"/>
        <w:insideV w:val="single" w:sz="8" w:space="0" w:color="855D5D" w:themeColor="accent6"/>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855D5D" w:themeColor="accent6"/>
          <w:left w:val="single" w:sz="8" w:space="0" w:color="855D5D" w:themeColor="accent6"/>
          <w:bottom w:val="single" w:sz="18" w:space="0" w:color="855D5D" w:themeColor="accent6"/>
          <w:right w:val="single" w:sz="8" w:space="0" w:color="855D5D" w:themeColor="accent6"/>
          <w:insideH w:val="nil"/>
          <w:insideV w:val="single" w:sz="8" w:space="0" w:color="855D5D" w:themeColor="accent6"/>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855D5D" w:themeColor="accent6"/>
          <w:left w:val="single" w:sz="8" w:space="0" w:color="855D5D" w:themeColor="accent6"/>
          <w:bottom w:val="single" w:sz="8" w:space="0" w:color="855D5D" w:themeColor="accent6"/>
          <w:right w:val="single" w:sz="8" w:space="0" w:color="855D5D" w:themeColor="accent6"/>
          <w:insideH w:val="nil"/>
          <w:insideV w:val="single" w:sz="8" w:space="0" w:color="855D5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tcPr>
    </w:tblStylePr>
    <w:tblStylePr w:type="band1Vert">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tcBorders>
        <w:shd w:val="clear" w:color="auto" w:fill="E2D5D5" w:themeFill="accent6" w:themeFillTint="3F"/>
      </w:tcPr>
    </w:tblStylePr>
    <w:tblStylePr w:type="band1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insideV w:val="single" w:sz="8" w:space="0" w:color="855D5D" w:themeColor="accent6"/>
        </w:tcBorders>
        <w:shd w:val="clear" w:color="auto" w:fill="E2D5D5" w:themeFill="accent6" w:themeFillTint="3F"/>
      </w:tcPr>
    </w:tblStylePr>
    <w:tblStylePr w:type="band2Horz">
      <w:tblPr/>
      <w:trPr>
        <w:hidden/>
      </w:trPr>
      <w:tcPr>
        <w:tcBorders>
          <w:top w:val="single" w:sz="8" w:space="0" w:color="855D5D" w:themeColor="accent6"/>
          <w:left w:val="single" w:sz="8" w:space="0" w:color="855D5D" w:themeColor="accent6"/>
          <w:bottom w:val="single" w:sz="8" w:space="0" w:color="855D5D" w:themeColor="accent6"/>
          <w:right w:val="single" w:sz="8" w:space="0" w:color="855D5D" w:themeColor="accent6"/>
          <w:insideV w:val="single" w:sz="8" w:space="0" w:color="855D5D" w:themeColor="accent6"/>
        </w:tcBorders>
      </w:tcPr>
    </w:tblStylePr>
  </w:style>
  <w:style w:type="table" w:styleId="Svtlmkazvraznn1">
    <w:name w:val="Light Grid Accent 1"/>
    <w:basedOn w:val="Normlntabulka"/>
    <w:uiPriority w:val="62"/>
    <w:rsid w:val="00D0158A"/>
    <w:tblPr>
      <w:tblStyleRowBandSize w:val="1"/>
      <w:tblStyleColBandSize w:val="1"/>
      <w:tblInd w:w="0" w:type="dxa"/>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D34817" w:themeColor="accent1"/>
          <w:left w:val="single" w:sz="8" w:space="0" w:color="D34817" w:themeColor="accent1"/>
          <w:bottom w:val="single" w:sz="18" w:space="0" w:color="D34817" w:themeColor="accent1"/>
          <w:right w:val="single" w:sz="8" w:space="0" w:color="D34817" w:themeColor="accent1"/>
          <w:insideH w:val="nil"/>
          <w:insideV w:val="single" w:sz="8" w:space="0" w:color="D34817" w:themeColor="accen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D34817" w:themeColor="accent1"/>
          <w:left w:val="single" w:sz="8" w:space="0" w:color="D34817" w:themeColor="accent1"/>
          <w:bottom w:val="single" w:sz="8" w:space="0" w:color="D34817" w:themeColor="accent1"/>
          <w:right w:val="single" w:sz="8" w:space="0" w:color="D34817" w:themeColor="accent1"/>
          <w:insideH w:val="nil"/>
          <w:insideV w:val="single" w:sz="8" w:space="0" w:color="D3481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tcPr>
    </w:tblStylePr>
    <w:tblStylePr w:type="band1Vert">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tcBorders>
        <w:shd w:val="clear" w:color="auto" w:fill="F8CFC1" w:themeFill="accent1" w:themeFillTint="3F"/>
      </w:tcPr>
    </w:tblStylePr>
    <w:tblStylePr w:type="band1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insideV w:val="single" w:sz="8" w:space="0" w:color="D34817" w:themeColor="accent1"/>
        </w:tcBorders>
        <w:shd w:val="clear" w:color="auto" w:fill="F8CFC1" w:themeFill="accent1" w:themeFillTint="3F"/>
      </w:tcPr>
    </w:tblStylePr>
    <w:tblStylePr w:type="band2Horz">
      <w:tblPr/>
      <w:trPr>
        <w:hidden/>
      </w:trPr>
      <w:tcPr>
        <w:tcBorders>
          <w:top w:val="single" w:sz="8" w:space="0" w:color="D34817" w:themeColor="accent1"/>
          <w:left w:val="single" w:sz="8" w:space="0" w:color="D34817" w:themeColor="accent1"/>
          <w:bottom w:val="single" w:sz="8" w:space="0" w:color="D34817" w:themeColor="accent1"/>
          <w:right w:val="single" w:sz="8" w:space="0" w:color="D34817" w:themeColor="accent1"/>
          <w:insideV w:val="single" w:sz="8" w:space="0" w:color="D34817" w:themeColor="accent1"/>
        </w:tcBorders>
      </w:tcPr>
    </w:tblStylePr>
  </w:style>
  <w:style w:type="table" w:styleId="Stednstnovn1zvraznn1">
    <w:name w:val="Medium Shading 1 Accent 1"/>
    <w:basedOn w:val="Normlntabulka"/>
    <w:uiPriority w:val="63"/>
    <w:rsid w:val="00D0158A"/>
    <w:tblPr>
      <w:tblStyleRowBandSize w:val="1"/>
      <w:tblStyleColBandSize w:val="1"/>
      <w:tblInd w:w="0" w:type="dxa"/>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nil"/>
          <w:insideV w:val="nil"/>
        </w:tcBorders>
        <w:shd w:val="clear" w:color="auto" w:fill="D34817" w:themeFill="accent1"/>
      </w:tcPr>
    </w:tblStylePr>
    <w:tblStylePr w:type="lastRow">
      <w:pPr>
        <w:spacing w:before="0" w:after="0" w:line="240" w:lineRule="auto"/>
      </w:pPr>
      <w:rPr>
        <w:b/>
        <w:bCs/>
      </w:rPr>
      <w:tblPr/>
      <w:trPr>
        <w:hidden/>
      </w:trPr>
      <w:tcPr>
        <w:tcBorders>
          <w:top w:val="double" w:sz="6"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nil"/>
          <w:insideV w:val="nil"/>
        </w:tcBorders>
      </w:tcPr>
    </w:tblStylePr>
    <w:tblStylePr w:type="firstCol">
      <w:rPr>
        <w:b/>
        <w:bCs/>
      </w:rPr>
    </w:tblStylePr>
    <w:tblStylePr w:type="lastCol">
      <w:rPr>
        <w:b/>
        <w:bCs/>
      </w:rPr>
    </w:tblStylePr>
    <w:tblStylePr w:type="band1Vert">
      <w:tblPr/>
      <w:trPr>
        <w:hidden/>
      </w:trPr>
      <w:tcPr>
        <w:shd w:val="clear" w:color="auto" w:fill="F8CFC1" w:themeFill="accent1" w:themeFillTint="3F"/>
      </w:tcPr>
    </w:tblStylePr>
    <w:tblStylePr w:type="band1Horz">
      <w:tblPr/>
      <w:trPr>
        <w:hidden/>
      </w:trPr>
      <w:tcPr>
        <w:tcBorders>
          <w:insideH w:val="nil"/>
          <w:insideV w:val="nil"/>
        </w:tcBorders>
        <w:shd w:val="clear" w:color="auto" w:fill="F8CFC1" w:themeFill="accent1" w:themeFillTint="3F"/>
      </w:tcPr>
    </w:tblStylePr>
    <w:tblStylePr w:type="band2Horz">
      <w:tblPr/>
      <w:trPr>
        <w:hidden/>
      </w:trPr>
      <w:tcPr>
        <w:tcBorders>
          <w:insideH w:val="nil"/>
          <w:insideV w:val="nil"/>
        </w:tcBorders>
      </w:tcPr>
    </w:tblStylePr>
  </w:style>
  <w:style w:type="table" w:styleId="Stednstnovn2zvraznn1">
    <w:name w:val="Medium Shading 2 Accent 1"/>
    <w:basedOn w:val="Normlntabulka"/>
    <w:uiPriority w:val="64"/>
    <w:rsid w:val="00D0158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D34817" w:themeFill="accent1"/>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D34817" w:themeFill="accent1"/>
      </w:tcPr>
    </w:tblStylePr>
    <w:tblStylePr w:type="lastCol">
      <w:rPr>
        <w:b/>
        <w:bCs/>
        <w:color w:val="FFFFFF" w:themeColor="background1"/>
      </w:rPr>
      <w:tblPr/>
      <w:trPr>
        <w:hidden/>
      </w:trPr>
      <w:tcPr>
        <w:tcBorders>
          <w:left w:val="nil"/>
          <w:right w:val="nil"/>
          <w:insideH w:val="nil"/>
          <w:insideV w:val="nil"/>
        </w:tcBorders>
        <w:shd w:val="clear" w:color="auto" w:fill="D34817" w:themeFill="accent1"/>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table" w:styleId="Svtlmkazvraznn4">
    <w:name w:val="Light Grid Accent 4"/>
    <w:basedOn w:val="Normlntabulka"/>
    <w:uiPriority w:val="62"/>
    <w:rsid w:val="00D0158A"/>
    <w:tblPr>
      <w:tblStyleRowBandSize w:val="1"/>
      <w:tblStyleColBandSize w:val="1"/>
      <w:tblInd w:w="0" w:type="dxa"/>
      <w:tblBorders>
        <w:top w:val="single" w:sz="8" w:space="0" w:color="956251" w:themeColor="accent4"/>
        <w:left w:val="single" w:sz="8" w:space="0" w:color="956251" w:themeColor="accent4"/>
        <w:bottom w:val="single" w:sz="8" w:space="0" w:color="956251" w:themeColor="accent4"/>
        <w:right w:val="single" w:sz="8" w:space="0" w:color="956251" w:themeColor="accent4"/>
        <w:insideH w:val="single" w:sz="8" w:space="0" w:color="956251" w:themeColor="accent4"/>
        <w:insideV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56251" w:themeColor="accent4"/>
          <w:left w:val="single" w:sz="8" w:space="0" w:color="956251" w:themeColor="accent4"/>
          <w:bottom w:val="single" w:sz="18" w:space="0" w:color="956251" w:themeColor="accent4"/>
          <w:right w:val="single" w:sz="8" w:space="0" w:color="956251" w:themeColor="accent4"/>
          <w:insideH w:val="nil"/>
          <w:insideV w:val="single" w:sz="8" w:space="0" w:color="956251"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56251" w:themeColor="accent4"/>
          <w:left w:val="single" w:sz="8" w:space="0" w:color="956251" w:themeColor="accent4"/>
          <w:bottom w:val="single" w:sz="8" w:space="0" w:color="956251" w:themeColor="accent4"/>
          <w:right w:val="single" w:sz="8" w:space="0" w:color="956251" w:themeColor="accent4"/>
          <w:insideH w:val="nil"/>
          <w:insideV w:val="single" w:sz="8" w:space="0" w:color="95625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tblStylePr w:type="band1Vert">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shd w:val="clear" w:color="auto" w:fill="E6D7D2" w:themeFill="accent4" w:themeFillTint="3F"/>
      </w:tcPr>
    </w:tblStylePr>
    <w:tblStylePr w:type="band1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insideV w:val="single" w:sz="8" w:space="0" w:color="956251" w:themeColor="accent4"/>
        </w:tcBorders>
        <w:shd w:val="clear" w:color="auto" w:fill="E6D7D2" w:themeFill="accent4" w:themeFillTint="3F"/>
      </w:tcPr>
    </w:tblStylePr>
    <w:tblStylePr w:type="band2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insideV w:val="single" w:sz="8" w:space="0" w:color="956251" w:themeColor="accent4"/>
        </w:tcBorders>
      </w:tcPr>
    </w:tblStylePr>
  </w:style>
  <w:style w:type="table" w:styleId="Svtlmkazvraznn2">
    <w:name w:val="Light Grid Accent 2"/>
    <w:basedOn w:val="Normlntabulka"/>
    <w:uiPriority w:val="62"/>
    <w:rsid w:val="00D0158A"/>
    <w:tblPr>
      <w:tblStyleRowBandSize w:val="1"/>
      <w:tblStyleColBandSize w:val="1"/>
      <w:tblInd w:w="0" w:type="dxa"/>
      <w:tblBorders>
        <w:top w:val="single" w:sz="8" w:space="0" w:color="9B2D1F" w:themeColor="accent2"/>
        <w:left w:val="single" w:sz="8" w:space="0" w:color="9B2D1F" w:themeColor="accent2"/>
        <w:bottom w:val="single" w:sz="8" w:space="0" w:color="9B2D1F" w:themeColor="accent2"/>
        <w:right w:val="single" w:sz="8" w:space="0" w:color="9B2D1F" w:themeColor="accent2"/>
        <w:insideH w:val="single" w:sz="8" w:space="0" w:color="9B2D1F" w:themeColor="accent2"/>
        <w:insideV w:val="single" w:sz="8" w:space="0" w:color="9B2D1F" w:themeColor="accent2"/>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B2D1F" w:themeColor="accent2"/>
          <w:left w:val="single" w:sz="8" w:space="0" w:color="9B2D1F" w:themeColor="accent2"/>
          <w:bottom w:val="single" w:sz="18" w:space="0" w:color="9B2D1F" w:themeColor="accent2"/>
          <w:right w:val="single" w:sz="8" w:space="0" w:color="9B2D1F" w:themeColor="accent2"/>
          <w:insideH w:val="nil"/>
          <w:insideV w:val="single" w:sz="8" w:space="0" w:color="9B2D1F" w:themeColor="accent2"/>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B2D1F" w:themeColor="accent2"/>
          <w:left w:val="single" w:sz="8" w:space="0" w:color="9B2D1F" w:themeColor="accent2"/>
          <w:bottom w:val="single" w:sz="8" w:space="0" w:color="9B2D1F" w:themeColor="accent2"/>
          <w:right w:val="single" w:sz="8" w:space="0" w:color="9B2D1F" w:themeColor="accent2"/>
          <w:insideH w:val="nil"/>
          <w:insideV w:val="single" w:sz="8" w:space="0" w:color="9B2D1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tcPr>
    </w:tblStylePr>
    <w:tblStylePr w:type="band1Vert">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tcBorders>
        <w:shd w:val="clear" w:color="auto" w:fill="F1C1BC" w:themeFill="accent2" w:themeFillTint="3F"/>
      </w:tcPr>
    </w:tblStylePr>
    <w:tblStylePr w:type="band1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insideV w:val="single" w:sz="8" w:space="0" w:color="9B2D1F" w:themeColor="accent2"/>
        </w:tcBorders>
        <w:shd w:val="clear" w:color="auto" w:fill="F1C1BC" w:themeFill="accent2" w:themeFillTint="3F"/>
      </w:tcPr>
    </w:tblStylePr>
    <w:tblStylePr w:type="band2Horz">
      <w:tblPr/>
      <w:trPr>
        <w:hidden/>
      </w:trPr>
      <w:tcPr>
        <w:tcBorders>
          <w:top w:val="single" w:sz="8" w:space="0" w:color="9B2D1F" w:themeColor="accent2"/>
          <w:left w:val="single" w:sz="8" w:space="0" w:color="9B2D1F" w:themeColor="accent2"/>
          <w:bottom w:val="single" w:sz="8" w:space="0" w:color="9B2D1F" w:themeColor="accent2"/>
          <w:right w:val="single" w:sz="8" w:space="0" w:color="9B2D1F" w:themeColor="accent2"/>
          <w:insideV w:val="single" w:sz="8" w:space="0" w:color="9B2D1F" w:themeColor="accent2"/>
        </w:tcBorders>
      </w:tcPr>
    </w:tblStylePr>
  </w:style>
  <w:style w:type="table" w:styleId="Svtlmka">
    <w:name w:val="Light Grid"/>
    <w:basedOn w:val="Normlntabulka"/>
    <w:uiPriority w:val="62"/>
    <w:rsid w:val="009426D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3">
    <w:name w:val="Light Grid Accent 3"/>
    <w:basedOn w:val="Normlntabulka"/>
    <w:uiPriority w:val="62"/>
    <w:rsid w:val="009426D4"/>
    <w:tblPr>
      <w:tblStyleRowBandSize w:val="1"/>
      <w:tblStyleColBandSize w:val="1"/>
      <w:tblInd w:w="0" w:type="dxa"/>
      <w:tblBorders>
        <w:top w:val="single" w:sz="8" w:space="0" w:color="A28E6A" w:themeColor="accent3"/>
        <w:left w:val="single" w:sz="8" w:space="0" w:color="A28E6A" w:themeColor="accent3"/>
        <w:bottom w:val="single" w:sz="8" w:space="0" w:color="A28E6A" w:themeColor="accent3"/>
        <w:right w:val="single" w:sz="8" w:space="0" w:color="A28E6A" w:themeColor="accent3"/>
        <w:insideH w:val="single" w:sz="8" w:space="0" w:color="A28E6A" w:themeColor="accent3"/>
        <w:insideV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A28E6A" w:themeColor="accent3"/>
          <w:left w:val="single" w:sz="8" w:space="0" w:color="A28E6A" w:themeColor="accent3"/>
          <w:bottom w:val="single" w:sz="18" w:space="0" w:color="A28E6A" w:themeColor="accent3"/>
          <w:right w:val="single" w:sz="8" w:space="0" w:color="A28E6A" w:themeColor="accent3"/>
          <w:insideH w:val="nil"/>
          <w:insideV w:val="single" w:sz="8" w:space="0" w:color="A28E6A" w:themeColor="accent3"/>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A28E6A" w:themeColor="accent3"/>
          <w:left w:val="single" w:sz="8" w:space="0" w:color="A28E6A" w:themeColor="accent3"/>
          <w:bottom w:val="single" w:sz="8" w:space="0" w:color="A28E6A" w:themeColor="accent3"/>
          <w:right w:val="single" w:sz="8" w:space="0" w:color="A28E6A" w:themeColor="accent3"/>
          <w:insideH w:val="nil"/>
          <w:insideV w:val="single" w:sz="8" w:space="0" w:color="A28E6A"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tblStylePr w:type="band1Vert">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shd w:val="clear" w:color="auto" w:fill="E8E2DA" w:themeFill="accent3" w:themeFillTint="3F"/>
      </w:tcPr>
    </w:tblStylePr>
    <w:tblStylePr w:type="band1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insideV w:val="single" w:sz="8" w:space="0" w:color="A28E6A" w:themeColor="accent3"/>
        </w:tcBorders>
        <w:shd w:val="clear" w:color="auto" w:fill="E8E2DA" w:themeFill="accent3" w:themeFillTint="3F"/>
      </w:tcPr>
    </w:tblStylePr>
    <w:tblStylePr w:type="band2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insideV w:val="single" w:sz="8" w:space="0" w:color="A28E6A" w:themeColor="accent3"/>
        </w:tcBorders>
      </w:tcPr>
    </w:tblStylePr>
  </w:style>
  <w:style w:type="table" w:styleId="Stednstnovn2zvraznn6">
    <w:name w:val="Medium Shading 2 Accent 6"/>
    <w:basedOn w:val="Normlntabulka"/>
    <w:uiPriority w:val="64"/>
    <w:rsid w:val="009426D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18" w:space="0" w:color="auto"/>
          <w:left w:val="nil"/>
          <w:bottom w:val="single" w:sz="18" w:space="0" w:color="auto"/>
          <w:right w:val="nil"/>
          <w:insideH w:val="nil"/>
          <w:insideV w:val="nil"/>
        </w:tcBorders>
        <w:shd w:val="clear" w:color="auto" w:fill="855D5D" w:themeFill="accent6"/>
      </w:tcPr>
    </w:tblStylePr>
    <w:tblStylePr w:type="lastRow">
      <w:pPr>
        <w:spacing w:before="0" w:after="0" w:line="240" w:lineRule="auto"/>
      </w:pPr>
      <w:rPr>
        <w:color w:val="auto"/>
      </w:rPr>
      <w:tblPr/>
      <w:trPr>
        <w:hidden/>
      </w:t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rPr>
        <w:hidden/>
      </w:trPr>
      <w:tcPr>
        <w:tcBorders>
          <w:top w:val="nil"/>
          <w:left w:val="nil"/>
          <w:bottom w:val="single" w:sz="18" w:space="0" w:color="auto"/>
          <w:right w:val="nil"/>
          <w:insideH w:val="nil"/>
          <w:insideV w:val="nil"/>
        </w:tcBorders>
        <w:shd w:val="clear" w:color="auto" w:fill="855D5D" w:themeFill="accent6"/>
      </w:tcPr>
    </w:tblStylePr>
    <w:tblStylePr w:type="lastCol">
      <w:rPr>
        <w:b/>
        <w:bCs/>
        <w:color w:val="FFFFFF" w:themeColor="background1"/>
      </w:rPr>
      <w:tblPr/>
      <w:trPr>
        <w:hidden/>
      </w:trPr>
      <w:tcPr>
        <w:tcBorders>
          <w:left w:val="nil"/>
          <w:right w:val="nil"/>
          <w:insideH w:val="nil"/>
          <w:insideV w:val="nil"/>
        </w:tcBorders>
        <w:shd w:val="clear" w:color="auto" w:fill="855D5D" w:themeFill="accent6"/>
      </w:tcPr>
    </w:tblStylePr>
    <w:tblStylePr w:type="band1Vert">
      <w:tblPr/>
      <w:trPr>
        <w:hidden/>
      </w:trPr>
      <w:tcPr>
        <w:tcBorders>
          <w:left w:val="nil"/>
          <w:right w:val="nil"/>
          <w:insideH w:val="nil"/>
          <w:insideV w:val="nil"/>
        </w:tcBorders>
        <w:shd w:val="clear" w:color="auto" w:fill="D8D8D8" w:themeFill="background1" w:themeFillShade="D8"/>
      </w:tcPr>
    </w:tblStylePr>
    <w:tblStylePr w:type="band1Horz">
      <w:tblPr/>
      <w:trPr>
        <w:hidden/>
      </w:trPr>
      <w:tcPr>
        <w:shd w:val="clear" w:color="auto" w:fill="D8D8D8" w:themeFill="background1" w:themeFillShade="D8"/>
      </w:tcPr>
    </w:tblStylePr>
    <w:tblStylePr w:type="neCell">
      <w:tblPr/>
      <w:trPr>
        <w:hidden/>
      </w:tr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rPr>
        <w:hidden/>
      </w:trPr>
      <w:tcPr>
        <w:tcBorders>
          <w:top w:val="single" w:sz="18" w:space="0" w:color="auto"/>
          <w:left w:val="nil"/>
          <w:bottom w:val="single" w:sz="18" w:space="0" w:color="auto"/>
          <w:right w:val="nil"/>
          <w:insideH w:val="nil"/>
          <w:insideV w:val="nil"/>
        </w:tcBorders>
      </w:tcPr>
    </w:tblStylePr>
  </w:style>
  <w:style w:type="table" w:styleId="Stednstnovn1zvraznn5">
    <w:name w:val="Medium Shading 1 Accent 5"/>
    <w:basedOn w:val="Normlntabulka"/>
    <w:uiPriority w:val="63"/>
    <w:rsid w:val="009426D4"/>
    <w:tblPr>
      <w:tblStyleRowBandSize w:val="1"/>
      <w:tblStyleColBandSize w:val="1"/>
      <w:tblInd w:w="0" w:type="dxa"/>
      <w:tblBorders>
        <w:top w:val="single" w:sz="8"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single" w:sz="8" w:space="0" w:color="ACA2A3" w:themeColor="accent5"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nil"/>
          <w:insideV w:val="nil"/>
        </w:tcBorders>
        <w:shd w:val="clear" w:color="auto" w:fill="918485" w:themeFill="accent5"/>
      </w:tcPr>
    </w:tblStylePr>
    <w:tblStylePr w:type="lastRow">
      <w:pPr>
        <w:spacing w:before="0" w:after="0" w:line="240" w:lineRule="auto"/>
      </w:pPr>
      <w:rPr>
        <w:b/>
        <w:bCs/>
      </w:rPr>
      <w:tblPr/>
      <w:trPr>
        <w:hidden/>
      </w:trPr>
      <w:tcPr>
        <w:tcBorders>
          <w:top w:val="double" w:sz="6" w:space="0" w:color="ACA2A3" w:themeColor="accent5" w:themeTint="BF"/>
          <w:left w:val="single" w:sz="8" w:space="0" w:color="ACA2A3" w:themeColor="accent5" w:themeTint="BF"/>
          <w:bottom w:val="single" w:sz="8" w:space="0" w:color="ACA2A3" w:themeColor="accent5" w:themeTint="BF"/>
          <w:right w:val="single" w:sz="8" w:space="0" w:color="ACA2A3" w:themeColor="accent5" w:themeTint="BF"/>
          <w:insideH w:val="nil"/>
          <w:insideV w:val="nil"/>
        </w:tcBorders>
      </w:tcPr>
    </w:tblStylePr>
    <w:tblStylePr w:type="firstCol">
      <w:rPr>
        <w:b/>
        <w:bCs/>
      </w:rPr>
    </w:tblStylePr>
    <w:tblStylePr w:type="lastCol">
      <w:rPr>
        <w:b/>
        <w:bCs/>
      </w:rPr>
    </w:tblStylePr>
    <w:tblStylePr w:type="band1Vert">
      <w:tblPr/>
      <w:trPr>
        <w:hidden/>
      </w:trPr>
      <w:tcPr>
        <w:shd w:val="clear" w:color="auto" w:fill="E3E0E0" w:themeFill="accent5" w:themeFillTint="3F"/>
      </w:tcPr>
    </w:tblStylePr>
    <w:tblStylePr w:type="band1Horz">
      <w:tblPr/>
      <w:trPr>
        <w:hidden/>
      </w:trPr>
      <w:tcPr>
        <w:tcBorders>
          <w:insideH w:val="nil"/>
          <w:insideV w:val="nil"/>
        </w:tcBorders>
        <w:shd w:val="clear" w:color="auto" w:fill="E3E0E0" w:themeFill="accent5" w:themeFillTint="3F"/>
      </w:tcPr>
    </w:tblStylePr>
    <w:tblStylePr w:type="band2Horz">
      <w:tblPr/>
      <w:trPr>
        <w:hidden/>
      </w:trPr>
      <w:tcPr>
        <w:tcBorders>
          <w:insideH w:val="nil"/>
          <w:insideV w:val="nil"/>
        </w:tcBorders>
      </w:tcPr>
    </w:tblStylePr>
  </w:style>
  <w:style w:type="table" w:styleId="Barevnstnovn">
    <w:name w:val="Colorful Shading"/>
    <w:basedOn w:val="Normlntabulka"/>
    <w:uiPriority w:val="71"/>
    <w:rsid w:val="009426D4"/>
    <w:rPr>
      <w:color w:val="000000" w:themeColor="text1"/>
    </w:rPr>
    <w:tblPr>
      <w:tblStyleRowBandSize w:val="1"/>
      <w:tblStyleColBandSize w:val="1"/>
      <w:tblInd w:w="0" w:type="dxa"/>
      <w:tblBorders>
        <w:top w:val="single" w:sz="24" w:space="0" w:color="9B2D1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rPr>
      <w:hidden/>
    </w:trPr>
    <w:tcPr>
      <w:shd w:val="clear" w:color="auto" w:fill="E6E6E6" w:themeFill="text1" w:themeFillTint="19"/>
    </w:tcPr>
    <w:tblStylePr w:type="firstRow">
      <w:rPr>
        <w:b/>
        <w:bCs/>
      </w:rPr>
      <w:tblPr/>
      <w:trPr>
        <w:hidden/>
      </w:trPr>
      <w:tcPr>
        <w:tcBorders>
          <w:top w:val="nil"/>
          <w:left w:val="nil"/>
          <w:bottom w:val="single" w:sz="24" w:space="0" w:color="9B2D1F" w:themeColor="accent2"/>
          <w:right w:val="nil"/>
          <w:insideH w:val="nil"/>
          <w:insideV w:val="nil"/>
        </w:tcBorders>
        <w:shd w:val="clear" w:color="auto" w:fill="FFFFFF" w:themeFill="background1"/>
      </w:tcPr>
    </w:tblStylePr>
    <w:tblStylePr w:type="lastRow">
      <w:rPr>
        <w:b/>
        <w:bCs/>
        <w:color w:val="FFFFFF" w:themeColor="background1"/>
      </w:rPr>
      <w:tblPr/>
      <w:trPr>
        <w:hidden/>
      </w:trPr>
      <w:tcPr>
        <w:tcBorders>
          <w:top w:val="single" w:sz="6" w:space="0" w:color="FFFFFF" w:themeColor="background1"/>
        </w:tcBorders>
        <w:shd w:val="clear" w:color="auto" w:fill="000000" w:themeFill="text1" w:themeFillShade="99"/>
      </w:tcPr>
    </w:tblStylePr>
    <w:tblStylePr w:type="firstCol">
      <w:rPr>
        <w:color w:val="FFFFFF" w:themeColor="background1"/>
      </w:rPr>
      <w:tblPr/>
      <w:trPr>
        <w:hidden/>
      </w:tr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rPr>
        <w:hidden/>
      </w:trPr>
      <w:tcPr>
        <w:tcBorders>
          <w:top w:val="nil"/>
          <w:left w:val="nil"/>
          <w:bottom w:val="nil"/>
          <w:right w:val="nil"/>
          <w:insideH w:val="nil"/>
          <w:insideV w:val="nil"/>
        </w:tcBorders>
        <w:shd w:val="clear" w:color="auto" w:fill="000000" w:themeFill="text1" w:themeFillShade="BF"/>
      </w:tcPr>
    </w:tblStylePr>
    <w:tblStylePr w:type="band1Vert">
      <w:tblPr/>
      <w:trPr>
        <w:hidden/>
      </w:trPr>
      <w:tcPr>
        <w:shd w:val="clear" w:color="auto" w:fill="999999" w:themeFill="text1" w:themeFillTint="66"/>
      </w:tcPr>
    </w:tblStylePr>
    <w:tblStylePr w:type="band1Horz">
      <w:tblPr/>
      <w:trPr>
        <w:hidden/>
      </w:tr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mavseznamzvraznn6">
    <w:name w:val="Dark List Accent 6"/>
    <w:basedOn w:val="Normlntabulka"/>
    <w:uiPriority w:val="70"/>
    <w:rsid w:val="009426D4"/>
    <w:rPr>
      <w:color w:val="FFFFFF" w:themeColor="background1"/>
    </w:rPr>
    <w:tblPr>
      <w:tblStyleRowBandSize w:val="1"/>
      <w:tblStyleColBandSize w:val="1"/>
      <w:tblInd w:w="0" w:type="dxa"/>
      <w:tblCellMar>
        <w:top w:w="0" w:type="dxa"/>
        <w:left w:w="108" w:type="dxa"/>
        <w:bottom w:w="0" w:type="dxa"/>
        <w:right w:w="108" w:type="dxa"/>
      </w:tblCellMar>
    </w:tblPr>
    <w:trPr>
      <w:hidden/>
    </w:trPr>
    <w:tcPr>
      <w:shd w:val="clear" w:color="auto" w:fill="855D5D" w:themeFill="accent6"/>
    </w:tcPr>
    <w:tblStylePr w:type="firstRow">
      <w:rPr>
        <w:b/>
        <w:bCs/>
      </w:rPr>
      <w:tblPr/>
      <w:trPr>
        <w:hidden/>
      </w:tr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rPr>
        <w:hidden/>
      </w:trPr>
      <w:tcPr>
        <w:tcBorders>
          <w:top w:val="single" w:sz="18" w:space="0" w:color="FFFFFF" w:themeColor="background1"/>
          <w:left w:val="nil"/>
          <w:bottom w:val="nil"/>
          <w:right w:val="nil"/>
          <w:insideH w:val="nil"/>
          <w:insideV w:val="nil"/>
        </w:tcBorders>
        <w:shd w:val="clear" w:color="auto" w:fill="422E2E" w:themeFill="accent6" w:themeFillShade="7F"/>
      </w:tcPr>
    </w:tblStylePr>
    <w:tblStylePr w:type="firstCol">
      <w:tblPr/>
      <w:trPr>
        <w:hidden/>
      </w:trPr>
      <w:tcPr>
        <w:tcBorders>
          <w:top w:val="nil"/>
          <w:left w:val="nil"/>
          <w:bottom w:val="nil"/>
          <w:right w:val="single" w:sz="18" w:space="0" w:color="FFFFFF" w:themeColor="background1"/>
          <w:insideH w:val="nil"/>
          <w:insideV w:val="nil"/>
        </w:tcBorders>
        <w:shd w:val="clear" w:color="auto" w:fill="634545" w:themeFill="accent6" w:themeFillShade="BF"/>
      </w:tcPr>
    </w:tblStylePr>
    <w:tblStylePr w:type="lastCol">
      <w:tblPr/>
      <w:trPr>
        <w:hidden/>
      </w:trPr>
      <w:tcPr>
        <w:tcBorders>
          <w:top w:val="nil"/>
          <w:left w:val="single" w:sz="18" w:space="0" w:color="FFFFFF" w:themeColor="background1"/>
          <w:bottom w:val="nil"/>
          <w:right w:val="nil"/>
          <w:insideH w:val="nil"/>
          <w:insideV w:val="nil"/>
        </w:tcBorders>
        <w:shd w:val="clear" w:color="auto" w:fill="634545" w:themeFill="accent6" w:themeFillShade="BF"/>
      </w:tcPr>
    </w:tblStylePr>
    <w:tblStylePr w:type="band1Vert">
      <w:tblPr/>
      <w:trPr>
        <w:hidden/>
      </w:trPr>
      <w:tcPr>
        <w:tcBorders>
          <w:top w:val="nil"/>
          <w:left w:val="nil"/>
          <w:bottom w:val="nil"/>
          <w:right w:val="nil"/>
          <w:insideH w:val="nil"/>
          <w:insideV w:val="nil"/>
        </w:tcBorders>
        <w:shd w:val="clear" w:color="auto" w:fill="634545" w:themeFill="accent6" w:themeFillShade="BF"/>
      </w:tcPr>
    </w:tblStylePr>
    <w:tblStylePr w:type="band1Horz">
      <w:tblPr/>
      <w:trPr>
        <w:hidden/>
      </w:trPr>
      <w:tcPr>
        <w:tcBorders>
          <w:top w:val="nil"/>
          <w:left w:val="nil"/>
          <w:bottom w:val="nil"/>
          <w:right w:val="nil"/>
          <w:insideH w:val="nil"/>
          <w:insideV w:val="nil"/>
        </w:tcBorders>
        <w:shd w:val="clear" w:color="auto" w:fill="634545" w:themeFill="accent6" w:themeFillShade="BF"/>
      </w:tcPr>
    </w:tblStylePr>
  </w:style>
  <w:style w:type="table" w:styleId="Tmavseznamzvraznn4">
    <w:name w:val="Dark List Accent 4"/>
    <w:basedOn w:val="Normlntabulka"/>
    <w:uiPriority w:val="70"/>
    <w:rsid w:val="009426D4"/>
    <w:rPr>
      <w:color w:val="FFFFFF" w:themeColor="background1"/>
    </w:rPr>
    <w:tblPr>
      <w:tblStyleRowBandSize w:val="1"/>
      <w:tblStyleColBandSize w:val="1"/>
      <w:tblInd w:w="0" w:type="dxa"/>
      <w:tblCellMar>
        <w:top w:w="0" w:type="dxa"/>
        <w:left w:w="108" w:type="dxa"/>
        <w:bottom w:w="0" w:type="dxa"/>
        <w:right w:w="108" w:type="dxa"/>
      </w:tblCellMar>
    </w:tblPr>
    <w:trPr>
      <w:hidden/>
    </w:trPr>
    <w:tcPr>
      <w:shd w:val="clear" w:color="auto" w:fill="956251" w:themeFill="accent4"/>
    </w:tcPr>
    <w:tblStylePr w:type="firstRow">
      <w:rPr>
        <w:b/>
        <w:bCs/>
      </w:rPr>
      <w:tblPr/>
      <w:trPr>
        <w:hidden/>
      </w:tr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rPr>
        <w:hidden/>
      </w:trPr>
      <w:tcPr>
        <w:tcBorders>
          <w:top w:val="single" w:sz="18" w:space="0" w:color="FFFFFF" w:themeColor="background1"/>
          <w:left w:val="nil"/>
          <w:bottom w:val="nil"/>
          <w:right w:val="nil"/>
          <w:insideH w:val="nil"/>
          <w:insideV w:val="nil"/>
        </w:tcBorders>
        <w:shd w:val="clear" w:color="auto" w:fill="4A3028" w:themeFill="accent4" w:themeFillShade="7F"/>
      </w:tcPr>
    </w:tblStylePr>
    <w:tblStylePr w:type="firstCol">
      <w:tblPr/>
      <w:trPr>
        <w:hidden/>
      </w:trPr>
      <w:tcPr>
        <w:tcBorders>
          <w:top w:val="nil"/>
          <w:left w:val="nil"/>
          <w:bottom w:val="nil"/>
          <w:right w:val="single" w:sz="18" w:space="0" w:color="FFFFFF" w:themeColor="background1"/>
          <w:insideH w:val="nil"/>
          <w:insideV w:val="nil"/>
        </w:tcBorders>
        <w:shd w:val="clear" w:color="auto" w:fill="6F493C" w:themeFill="accent4" w:themeFillShade="BF"/>
      </w:tcPr>
    </w:tblStylePr>
    <w:tblStylePr w:type="lastCol">
      <w:tblPr/>
      <w:trPr>
        <w:hidden/>
      </w:trPr>
      <w:tcPr>
        <w:tcBorders>
          <w:top w:val="nil"/>
          <w:left w:val="single" w:sz="18" w:space="0" w:color="FFFFFF" w:themeColor="background1"/>
          <w:bottom w:val="nil"/>
          <w:right w:val="nil"/>
          <w:insideH w:val="nil"/>
          <w:insideV w:val="nil"/>
        </w:tcBorders>
        <w:shd w:val="clear" w:color="auto" w:fill="6F493C" w:themeFill="accent4" w:themeFillShade="BF"/>
      </w:tcPr>
    </w:tblStylePr>
    <w:tblStylePr w:type="band1Vert">
      <w:tblPr/>
      <w:trPr>
        <w:hidden/>
      </w:trPr>
      <w:tcPr>
        <w:tcBorders>
          <w:top w:val="nil"/>
          <w:left w:val="nil"/>
          <w:bottom w:val="nil"/>
          <w:right w:val="nil"/>
          <w:insideH w:val="nil"/>
          <w:insideV w:val="nil"/>
        </w:tcBorders>
        <w:shd w:val="clear" w:color="auto" w:fill="6F493C" w:themeFill="accent4" w:themeFillShade="BF"/>
      </w:tcPr>
    </w:tblStylePr>
    <w:tblStylePr w:type="band1Horz">
      <w:tblPr/>
      <w:trPr>
        <w:hidden/>
      </w:trPr>
      <w:tcPr>
        <w:tcBorders>
          <w:top w:val="nil"/>
          <w:left w:val="nil"/>
          <w:bottom w:val="nil"/>
          <w:right w:val="nil"/>
          <w:insideH w:val="nil"/>
          <w:insideV w:val="nil"/>
        </w:tcBorders>
        <w:shd w:val="clear" w:color="auto" w:fill="6F493C" w:themeFill="accent4" w:themeFillShade="BF"/>
      </w:tcPr>
    </w:tblStylePr>
  </w:style>
  <w:style w:type="table" w:styleId="Stednmka1">
    <w:name w:val="Medium Grid 1"/>
    <w:basedOn w:val="Normlntabulka"/>
    <w:uiPriority w:val="67"/>
    <w:rsid w:val="009426D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rPr>
      <w:hidden/>
    </w:trPr>
    <w:tcPr>
      <w:shd w:val="clear" w:color="auto" w:fill="C0C0C0" w:themeFill="text1" w:themeFillTint="3F"/>
    </w:tcPr>
    <w:tblStylePr w:type="firstRow">
      <w:rPr>
        <w:b/>
        <w:bCs/>
      </w:rPr>
    </w:tblStylePr>
    <w:tblStylePr w:type="lastRow">
      <w:rPr>
        <w:b/>
        <w:bCs/>
      </w:rPr>
      <w:tblPr/>
      <w:trPr>
        <w:hidden/>
      </w:trPr>
      <w:tcPr>
        <w:tcBorders>
          <w:top w:val="single" w:sz="18" w:space="0" w:color="404040" w:themeColor="text1" w:themeTint="BF"/>
        </w:tcBorders>
      </w:tcPr>
    </w:tblStylePr>
    <w:tblStylePr w:type="firstCol">
      <w:rPr>
        <w:b/>
        <w:bCs/>
      </w:rPr>
    </w:tblStylePr>
    <w:tblStylePr w:type="lastCol">
      <w:rPr>
        <w:b/>
        <w:bCs/>
      </w:rPr>
    </w:tblStylePr>
    <w:tblStylePr w:type="band1Vert">
      <w:tblPr/>
      <w:trPr>
        <w:hidden/>
      </w:trPr>
      <w:tcPr>
        <w:shd w:val="clear" w:color="auto" w:fill="808080" w:themeFill="text1" w:themeFillTint="7F"/>
      </w:tcPr>
    </w:tblStylePr>
    <w:tblStylePr w:type="band1Horz">
      <w:tblPr/>
      <w:trPr>
        <w:hidden/>
      </w:trPr>
      <w:tcPr>
        <w:shd w:val="clear" w:color="auto" w:fill="808080" w:themeFill="text1" w:themeFillTint="7F"/>
      </w:tcPr>
    </w:tblStylePr>
  </w:style>
  <w:style w:type="table" w:styleId="Stednseznam2zvraznn6">
    <w:name w:val="Medium List 2 Accent 6"/>
    <w:basedOn w:val="Normlntabulka"/>
    <w:uiPriority w:val="66"/>
    <w:rsid w:val="009426D4"/>
    <w:rPr>
      <w:rFonts w:asciiTheme="majorHAnsi" w:eastAsiaTheme="majorEastAsia" w:hAnsiTheme="majorHAnsi" w:cstheme="majorBidi"/>
      <w:color w:val="000000" w:themeColor="text1"/>
    </w:rPr>
    <w:tblPr>
      <w:tblStyleRowBandSize w:val="1"/>
      <w:tblStyleColBandSize w:val="1"/>
      <w:tblInd w:w="0" w:type="dxa"/>
      <w:tblBorders>
        <w:top w:val="single" w:sz="8" w:space="0" w:color="855D5D" w:themeColor="accent6"/>
        <w:left w:val="single" w:sz="8" w:space="0" w:color="855D5D" w:themeColor="accent6"/>
        <w:bottom w:val="single" w:sz="8" w:space="0" w:color="855D5D" w:themeColor="accent6"/>
        <w:right w:val="single" w:sz="8" w:space="0" w:color="855D5D" w:themeColor="accent6"/>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855D5D" w:themeColor="accent6"/>
          <w:right w:val="nil"/>
          <w:insideH w:val="nil"/>
          <w:insideV w:val="nil"/>
        </w:tcBorders>
        <w:shd w:val="clear" w:color="auto" w:fill="FFFFFF" w:themeFill="background1"/>
      </w:tcPr>
    </w:tblStylePr>
    <w:tblStylePr w:type="lastRow">
      <w:tblPr/>
      <w:trPr>
        <w:hidden/>
      </w:trPr>
      <w:tcPr>
        <w:tcBorders>
          <w:top w:val="single" w:sz="8" w:space="0" w:color="855D5D" w:themeColor="accent6"/>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855D5D" w:themeColor="accent6"/>
          <w:insideH w:val="nil"/>
          <w:insideV w:val="nil"/>
        </w:tcBorders>
        <w:shd w:val="clear" w:color="auto" w:fill="FFFFFF" w:themeFill="background1"/>
      </w:tcPr>
    </w:tblStylePr>
    <w:tblStylePr w:type="lastCol">
      <w:tblPr/>
      <w:trPr>
        <w:hidden/>
      </w:trPr>
      <w:tcPr>
        <w:tcBorders>
          <w:top w:val="nil"/>
          <w:left w:val="single" w:sz="8" w:space="0" w:color="855D5D" w:themeColor="accent6"/>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E2D5D5" w:themeFill="accent6" w:themeFillTint="3F"/>
      </w:tcPr>
    </w:tblStylePr>
    <w:tblStylePr w:type="band1Horz">
      <w:tblPr/>
      <w:trPr>
        <w:hidden/>
      </w:trPr>
      <w:tcPr>
        <w:tcBorders>
          <w:top w:val="nil"/>
          <w:bottom w:val="nil"/>
          <w:insideH w:val="nil"/>
          <w:insideV w:val="nil"/>
        </w:tcBorders>
        <w:shd w:val="clear" w:color="auto" w:fill="E2D5D5" w:themeFill="accent6"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tednstnovn1zvraznn4">
    <w:name w:val="Medium Shading 1 Accent 4"/>
    <w:basedOn w:val="Normlntabulka"/>
    <w:uiPriority w:val="63"/>
    <w:rsid w:val="009426D4"/>
    <w:tblPr>
      <w:tblStyleRowBandSize w:val="1"/>
      <w:tblStyleColBandSize w:val="1"/>
      <w:tblInd w:w="0" w:type="dxa"/>
      <w:tblBorders>
        <w:top w:val="single" w:sz="8"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single" w:sz="8" w:space="0" w:color="B58676" w:themeColor="accent4" w:themeTint="BF"/>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tcBorders>
          <w:top w:val="single" w:sz="8"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nil"/>
          <w:insideV w:val="nil"/>
        </w:tcBorders>
        <w:shd w:val="clear" w:color="auto" w:fill="956251" w:themeFill="accent4"/>
      </w:tcPr>
    </w:tblStylePr>
    <w:tblStylePr w:type="lastRow">
      <w:pPr>
        <w:spacing w:before="0" w:after="0" w:line="240" w:lineRule="auto"/>
      </w:pPr>
      <w:rPr>
        <w:b/>
        <w:bCs/>
      </w:rPr>
      <w:tblPr/>
      <w:trPr>
        <w:hidden/>
      </w:trPr>
      <w:tcPr>
        <w:tcBorders>
          <w:top w:val="double" w:sz="6" w:space="0" w:color="B58676" w:themeColor="accent4" w:themeTint="BF"/>
          <w:left w:val="single" w:sz="8" w:space="0" w:color="B58676" w:themeColor="accent4" w:themeTint="BF"/>
          <w:bottom w:val="single" w:sz="8" w:space="0" w:color="B58676" w:themeColor="accent4" w:themeTint="BF"/>
          <w:right w:val="single" w:sz="8" w:space="0" w:color="B58676"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E6D7D2" w:themeFill="accent4" w:themeFillTint="3F"/>
      </w:tcPr>
    </w:tblStylePr>
    <w:tblStylePr w:type="band1Horz">
      <w:tblPr/>
      <w:trPr>
        <w:hidden/>
      </w:trPr>
      <w:tcPr>
        <w:tcBorders>
          <w:insideH w:val="nil"/>
          <w:insideV w:val="nil"/>
        </w:tcBorders>
        <w:shd w:val="clear" w:color="auto" w:fill="E6D7D2" w:themeFill="accent4" w:themeFillTint="3F"/>
      </w:tcPr>
    </w:tblStylePr>
    <w:tblStylePr w:type="band2Horz">
      <w:tblPr/>
      <w:trPr>
        <w:hidden/>
      </w:trPr>
      <w:tcPr>
        <w:tcBorders>
          <w:insideH w:val="nil"/>
          <w:insideV w:val="nil"/>
        </w:tcBorders>
      </w:tcPr>
    </w:tblStylePr>
  </w:style>
  <w:style w:type="table" w:styleId="Svtlseznamzvraznn3">
    <w:name w:val="Light List Accent 3"/>
    <w:basedOn w:val="Normlntabulka"/>
    <w:uiPriority w:val="61"/>
    <w:rsid w:val="004569BA"/>
    <w:tblPr>
      <w:tblStyleRowBandSize w:val="1"/>
      <w:tblStyleColBandSize w:val="1"/>
      <w:tblInd w:w="0" w:type="dxa"/>
      <w:tblBorders>
        <w:top w:val="single" w:sz="8" w:space="0" w:color="A28E6A" w:themeColor="accent3"/>
        <w:left w:val="single" w:sz="8" w:space="0" w:color="A28E6A" w:themeColor="accent3"/>
        <w:bottom w:val="single" w:sz="8" w:space="0" w:color="A28E6A" w:themeColor="accent3"/>
        <w:right w:val="single" w:sz="8" w:space="0" w:color="A28E6A" w:themeColor="accent3"/>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A28E6A" w:themeFill="accent3"/>
      </w:tcPr>
    </w:tblStylePr>
    <w:tblStylePr w:type="lastRow">
      <w:pPr>
        <w:spacing w:before="0" w:after="0" w:line="240" w:lineRule="auto"/>
      </w:pPr>
      <w:rPr>
        <w:b/>
        <w:bCs/>
      </w:rPr>
      <w:tblPr/>
      <w:trPr>
        <w:hidden/>
      </w:trPr>
      <w:tcPr>
        <w:tcBorders>
          <w:top w:val="double" w:sz="6" w:space="0" w:color="A28E6A" w:themeColor="accent3"/>
          <w:left w:val="single" w:sz="8" w:space="0" w:color="A28E6A" w:themeColor="accent3"/>
          <w:bottom w:val="single" w:sz="8" w:space="0" w:color="A28E6A" w:themeColor="accent3"/>
          <w:right w:val="single" w:sz="8" w:space="0" w:color="A28E6A" w:themeColor="accent3"/>
        </w:tcBorders>
      </w:tcPr>
    </w:tblStylePr>
    <w:tblStylePr w:type="firstCol">
      <w:rPr>
        <w:b/>
        <w:bCs/>
      </w:rPr>
    </w:tblStylePr>
    <w:tblStylePr w:type="lastCol">
      <w:rPr>
        <w:b/>
        <w:bCs/>
      </w:rPr>
    </w:tblStylePr>
    <w:tblStylePr w:type="band1Vert">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tblStylePr w:type="band1Horz">
      <w:tblPr/>
      <w:trPr>
        <w:hidden/>
      </w:trPr>
      <w:tcPr>
        <w:tcBorders>
          <w:top w:val="single" w:sz="8" w:space="0" w:color="A28E6A" w:themeColor="accent3"/>
          <w:left w:val="single" w:sz="8" w:space="0" w:color="A28E6A" w:themeColor="accent3"/>
          <w:bottom w:val="single" w:sz="8" w:space="0" w:color="A28E6A" w:themeColor="accent3"/>
          <w:right w:val="single" w:sz="8" w:space="0" w:color="A28E6A" w:themeColor="accent3"/>
        </w:tcBorders>
      </w:tcPr>
    </w:tblStylePr>
  </w:style>
  <w:style w:type="table" w:styleId="Svtlseznamzvraznn4">
    <w:name w:val="Light List Accent 4"/>
    <w:basedOn w:val="Normlntabulka"/>
    <w:uiPriority w:val="61"/>
    <w:rsid w:val="004569BA"/>
    <w:tblPr>
      <w:tblStyleRowBandSize w:val="1"/>
      <w:tblStyleColBandSize w:val="1"/>
      <w:tblInd w:w="0" w:type="dxa"/>
      <w:tblBorders>
        <w:top w:val="single" w:sz="8" w:space="0" w:color="956251" w:themeColor="accent4"/>
        <w:left w:val="single" w:sz="8" w:space="0" w:color="956251" w:themeColor="accent4"/>
        <w:bottom w:val="single" w:sz="8" w:space="0" w:color="956251" w:themeColor="accent4"/>
        <w:right w:val="single" w:sz="8" w:space="0" w:color="956251" w:themeColor="accent4"/>
      </w:tblBorders>
      <w:tblCellMar>
        <w:top w:w="0" w:type="dxa"/>
        <w:left w:w="108" w:type="dxa"/>
        <w:bottom w:w="0" w:type="dxa"/>
        <w:right w:w="108" w:type="dxa"/>
      </w:tblCellMar>
    </w:tblPr>
    <w:trPr>
      <w:hidden/>
    </w:trPr>
    <w:tblStylePr w:type="firstRow">
      <w:pPr>
        <w:spacing w:before="0" w:after="0" w:line="240" w:lineRule="auto"/>
      </w:pPr>
      <w:rPr>
        <w:b/>
        <w:bCs/>
        <w:color w:val="FFFFFF" w:themeColor="background1"/>
      </w:rPr>
      <w:tblPr/>
      <w:trPr>
        <w:hidden/>
      </w:trPr>
      <w:tcPr>
        <w:shd w:val="clear" w:color="auto" w:fill="956251" w:themeFill="accent4"/>
      </w:tcPr>
    </w:tblStylePr>
    <w:tblStylePr w:type="lastRow">
      <w:pPr>
        <w:spacing w:before="0" w:after="0" w:line="240" w:lineRule="auto"/>
      </w:pPr>
      <w:rPr>
        <w:b/>
        <w:bCs/>
      </w:rPr>
      <w:tblPr/>
      <w:trPr>
        <w:hidden/>
      </w:trPr>
      <w:tcPr>
        <w:tcBorders>
          <w:top w:val="double" w:sz="6" w:space="0" w:color="956251" w:themeColor="accent4"/>
          <w:left w:val="single" w:sz="8" w:space="0" w:color="956251" w:themeColor="accent4"/>
          <w:bottom w:val="single" w:sz="8" w:space="0" w:color="956251" w:themeColor="accent4"/>
          <w:right w:val="single" w:sz="8" w:space="0" w:color="956251" w:themeColor="accent4"/>
        </w:tcBorders>
      </w:tcPr>
    </w:tblStylePr>
    <w:tblStylePr w:type="firstCol">
      <w:rPr>
        <w:b/>
        <w:bCs/>
      </w:rPr>
    </w:tblStylePr>
    <w:tblStylePr w:type="lastCol">
      <w:rPr>
        <w:b/>
        <w:bCs/>
      </w:rPr>
    </w:tblStylePr>
    <w:tblStylePr w:type="band1Vert">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tblStylePr w:type="band1Horz">
      <w:tblPr/>
      <w:trPr>
        <w:hidden/>
      </w:trPr>
      <w:tcPr>
        <w:tcBorders>
          <w:top w:val="single" w:sz="8" w:space="0" w:color="956251" w:themeColor="accent4"/>
          <w:left w:val="single" w:sz="8" w:space="0" w:color="956251" w:themeColor="accent4"/>
          <w:bottom w:val="single" w:sz="8" w:space="0" w:color="956251" w:themeColor="accent4"/>
          <w:right w:val="single" w:sz="8" w:space="0" w:color="956251" w:themeColor="accent4"/>
        </w:tcBorders>
      </w:tcPr>
    </w:tblStylePr>
  </w:style>
  <w:style w:type="table" w:styleId="Stednseznam2zvraznn5">
    <w:name w:val="Medium List 2 Accent 5"/>
    <w:basedOn w:val="Normlntabulka"/>
    <w:uiPriority w:val="66"/>
    <w:rsid w:val="004569BA"/>
    <w:rPr>
      <w:rFonts w:asciiTheme="majorHAnsi" w:eastAsiaTheme="majorEastAsia" w:hAnsiTheme="majorHAnsi" w:cstheme="majorBidi"/>
      <w:color w:val="000000" w:themeColor="text1"/>
    </w:rPr>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tblBorders>
      <w:tblCellMar>
        <w:top w:w="0" w:type="dxa"/>
        <w:left w:w="108" w:type="dxa"/>
        <w:bottom w:w="0" w:type="dxa"/>
        <w:right w:w="108" w:type="dxa"/>
      </w:tblCellMar>
    </w:tblPr>
    <w:trPr>
      <w:hidden/>
    </w:trPr>
    <w:tblStylePr w:type="firstRow">
      <w:rPr>
        <w:sz w:val="24"/>
        <w:szCs w:val="24"/>
      </w:rPr>
      <w:tblPr/>
      <w:trPr>
        <w:hidden/>
      </w:trPr>
      <w:tcPr>
        <w:tcBorders>
          <w:top w:val="nil"/>
          <w:left w:val="nil"/>
          <w:bottom w:val="single" w:sz="24" w:space="0" w:color="918485" w:themeColor="accent5"/>
          <w:right w:val="nil"/>
          <w:insideH w:val="nil"/>
          <w:insideV w:val="nil"/>
        </w:tcBorders>
        <w:shd w:val="clear" w:color="auto" w:fill="FFFFFF" w:themeFill="background1"/>
      </w:tcPr>
    </w:tblStylePr>
    <w:tblStylePr w:type="lastRow">
      <w:tblPr/>
      <w:trPr>
        <w:hidden/>
      </w:trPr>
      <w:tcPr>
        <w:tcBorders>
          <w:top w:val="single" w:sz="8" w:space="0" w:color="918485" w:themeColor="accent5"/>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918485" w:themeColor="accent5"/>
          <w:insideH w:val="nil"/>
          <w:insideV w:val="nil"/>
        </w:tcBorders>
        <w:shd w:val="clear" w:color="auto" w:fill="FFFFFF" w:themeFill="background1"/>
      </w:tcPr>
    </w:tblStylePr>
    <w:tblStylePr w:type="lastCol">
      <w:tblPr/>
      <w:trPr>
        <w:hidden/>
      </w:trPr>
      <w:tcPr>
        <w:tcBorders>
          <w:top w:val="nil"/>
          <w:left w:val="single" w:sz="8" w:space="0" w:color="918485" w:themeColor="accent5"/>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E3E0E0" w:themeFill="accent5" w:themeFillTint="3F"/>
      </w:tcPr>
    </w:tblStylePr>
    <w:tblStylePr w:type="band1Horz">
      <w:tblPr/>
      <w:trPr>
        <w:hidden/>
      </w:trPr>
      <w:tcPr>
        <w:tcBorders>
          <w:top w:val="nil"/>
          <w:bottom w:val="nil"/>
          <w:insideH w:val="nil"/>
          <w:insideV w:val="nil"/>
        </w:tcBorders>
        <w:shd w:val="clear" w:color="auto" w:fill="E3E0E0" w:themeFill="accent5"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table" w:styleId="Svtlmkazvraznn5">
    <w:name w:val="Light Grid Accent 5"/>
    <w:basedOn w:val="Normlntabulka"/>
    <w:uiPriority w:val="62"/>
    <w:rsid w:val="004569BA"/>
    <w:tblPr>
      <w:tblStyleRowBandSize w:val="1"/>
      <w:tblStyleColBandSize w:val="1"/>
      <w:tblInd w:w="0" w:type="dxa"/>
      <w:tblBorders>
        <w:top w:val="single" w:sz="8" w:space="0" w:color="918485" w:themeColor="accent5"/>
        <w:left w:val="single" w:sz="8" w:space="0" w:color="918485" w:themeColor="accent5"/>
        <w:bottom w:val="single" w:sz="8" w:space="0" w:color="918485" w:themeColor="accent5"/>
        <w:right w:val="single" w:sz="8" w:space="0" w:color="918485" w:themeColor="accent5"/>
        <w:insideH w:val="single" w:sz="8" w:space="0" w:color="918485" w:themeColor="accent5"/>
        <w:insideV w:val="single" w:sz="8" w:space="0" w:color="918485" w:themeColor="accent5"/>
      </w:tblBorders>
      <w:tblCellMar>
        <w:top w:w="0" w:type="dxa"/>
        <w:left w:w="108" w:type="dxa"/>
        <w:bottom w:w="0" w:type="dxa"/>
        <w:right w:w="108" w:type="dxa"/>
      </w:tblCellMar>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918485" w:themeColor="accent5"/>
          <w:left w:val="single" w:sz="8" w:space="0" w:color="918485" w:themeColor="accent5"/>
          <w:bottom w:val="single" w:sz="18" w:space="0" w:color="918485" w:themeColor="accent5"/>
          <w:right w:val="single" w:sz="8" w:space="0" w:color="918485" w:themeColor="accent5"/>
          <w:insideH w:val="nil"/>
          <w:insideV w:val="single" w:sz="8" w:space="0" w:color="918485" w:themeColor="accent5"/>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918485" w:themeColor="accent5"/>
          <w:left w:val="single" w:sz="8" w:space="0" w:color="918485" w:themeColor="accent5"/>
          <w:bottom w:val="single" w:sz="8" w:space="0" w:color="918485" w:themeColor="accent5"/>
          <w:right w:val="single" w:sz="8" w:space="0" w:color="918485" w:themeColor="accent5"/>
          <w:insideH w:val="nil"/>
          <w:insideV w:val="single" w:sz="8" w:space="0" w:color="91848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tcPr>
    </w:tblStylePr>
    <w:tblStylePr w:type="band1Vert">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tcBorders>
        <w:shd w:val="clear" w:color="auto" w:fill="E3E0E0" w:themeFill="accent5" w:themeFillTint="3F"/>
      </w:tcPr>
    </w:tblStylePr>
    <w:tblStylePr w:type="band1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insideV w:val="single" w:sz="8" w:space="0" w:color="918485" w:themeColor="accent5"/>
        </w:tcBorders>
        <w:shd w:val="clear" w:color="auto" w:fill="E3E0E0" w:themeFill="accent5" w:themeFillTint="3F"/>
      </w:tcPr>
    </w:tblStylePr>
    <w:tblStylePr w:type="band2Horz">
      <w:tblPr/>
      <w:trPr>
        <w:hidden/>
      </w:trPr>
      <w:tcPr>
        <w:tcBorders>
          <w:top w:val="single" w:sz="8" w:space="0" w:color="918485" w:themeColor="accent5"/>
          <w:left w:val="single" w:sz="8" w:space="0" w:color="918485" w:themeColor="accent5"/>
          <w:bottom w:val="single" w:sz="8" w:space="0" w:color="918485" w:themeColor="accent5"/>
          <w:right w:val="single" w:sz="8" w:space="0" w:color="918485" w:themeColor="accent5"/>
          <w:insideV w:val="single" w:sz="8" w:space="0" w:color="91848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5795">
      <w:bodyDiv w:val="1"/>
      <w:marLeft w:val="0"/>
      <w:marRight w:val="0"/>
      <w:marTop w:val="0"/>
      <w:marBottom w:val="0"/>
      <w:divBdr>
        <w:top w:val="none" w:sz="0" w:space="0" w:color="auto"/>
        <w:left w:val="none" w:sz="0" w:space="0" w:color="auto"/>
        <w:bottom w:val="none" w:sz="0" w:space="0" w:color="auto"/>
        <w:right w:val="none" w:sz="0" w:space="0" w:color="auto"/>
      </w:divBdr>
      <w:divsChild>
        <w:div w:id="766004039">
          <w:marLeft w:val="0"/>
          <w:marRight w:val="0"/>
          <w:marTop w:val="0"/>
          <w:marBottom w:val="0"/>
          <w:divBdr>
            <w:top w:val="none" w:sz="0" w:space="0" w:color="auto"/>
            <w:left w:val="none" w:sz="0" w:space="0" w:color="auto"/>
            <w:bottom w:val="none" w:sz="0" w:space="0" w:color="auto"/>
            <w:right w:val="none" w:sz="0" w:space="0" w:color="auto"/>
          </w:divBdr>
          <w:divsChild>
            <w:div w:id="1490438741">
              <w:marLeft w:val="0"/>
              <w:marRight w:val="0"/>
              <w:marTop w:val="0"/>
              <w:marBottom w:val="0"/>
              <w:divBdr>
                <w:top w:val="none" w:sz="0" w:space="0" w:color="auto"/>
                <w:left w:val="none" w:sz="0" w:space="0" w:color="auto"/>
                <w:bottom w:val="none" w:sz="0" w:space="0" w:color="auto"/>
                <w:right w:val="none" w:sz="0" w:space="0" w:color="auto"/>
              </w:divBdr>
              <w:divsChild>
                <w:div w:id="977997407">
                  <w:marLeft w:val="0"/>
                  <w:marRight w:val="0"/>
                  <w:marTop w:val="0"/>
                  <w:marBottom w:val="0"/>
                  <w:divBdr>
                    <w:top w:val="none" w:sz="0" w:space="0" w:color="auto"/>
                    <w:left w:val="none" w:sz="0" w:space="0" w:color="auto"/>
                    <w:bottom w:val="none" w:sz="0" w:space="0" w:color="auto"/>
                    <w:right w:val="none" w:sz="0" w:space="0" w:color="auto"/>
                  </w:divBdr>
                  <w:divsChild>
                    <w:div w:id="1383561356">
                      <w:marLeft w:val="0"/>
                      <w:marRight w:val="0"/>
                      <w:marTop w:val="0"/>
                      <w:marBottom w:val="0"/>
                      <w:divBdr>
                        <w:top w:val="none" w:sz="0" w:space="0" w:color="auto"/>
                        <w:left w:val="none" w:sz="0" w:space="0" w:color="auto"/>
                        <w:bottom w:val="none" w:sz="0" w:space="0" w:color="auto"/>
                        <w:right w:val="none" w:sz="0" w:space="0" w:color="auto"/>
                      </w:divBdr>
                      <w:divsChild>
                        <w:div w:id="690716643">
                          <w:marLeft w:val="0"/>
                          <w:marRight w:val="0"/>
                          <w:marTop w:val="0"/>
                          <w:marBottom w:val="0"/>
                          <w:divBdr>
                            <w:top w:val="none" w:sz="0" w:space="0" w:color="auto"/>
                            <w:left w:val="none" w:sz="0" w:space="0" w:color="auto"/>
                            <w:bottom w:val="none" w:sz="0" w:space="0" w:color="auto"/>
                            <w:right w:val="none" w:sz="0" w:space="0" w:color="auto"/>
                          </w:divBdr>
                          <w:divsChild>
                            <w:div w:id="1155148063">
                              <w:marLeft w:val="0"/>
                              <w:marRight w:val="0"/>
                              <w:marTop w:val="0"/>
                              <w:marBottom w:val="0"/>
                              <w:divBdr>
                                <w:top w:val="none" w:sz="0" w:space="0" w:color="auto"/>
                                <w:left w:val="none" w:sz="0" w:space="0" w:color="auto"/>
                                <w:bottom w:val="none" w:sz="0" w:space="0" w:color="auto"/>
                                <w:right w:val="none" w:sz="0" w:space="0" w:color="auto"/>
                              </w:divBdr>
                              <w:divsChild>
                                <w:div w:id="953176529">
                                  <w:marLeft w:val="0"/>
                                  <w:marRight w:val="0"/>
                                  <w:marTop w:val="0"/>
                                  <w:marBottom w:val="0"/>
                                  <w:divBdr>
                                    <w:top w:val="none" w:sz="0" w:space="0" w:color="auto"/>
                                    <w:left w:val="none" w:sz="0" w:space="0" w:color="auto"/>
                                    <w:bottom w:val="none" w:sz="0" w:space="0" w:color="auto"/>
                                    <w:right w:val="none" w:sz="0" w:space="0" w:color="auto"/>
                                  </w:divBdr>
                                </w:div>
                                <w:div w:id="168023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592676">
      <w:bodyDiv w:val="1"/>
      <w:marLeft w:val="0"/>
      <w:marRight w:val="0"/>
      <w:marTop w:val="0"/>
      <w:marBottom w:val="0"/>
      <w:divBdr>
        <w:top w:val="none" w:sz="0" w:space="0" w:color="auto"/>
        <w:left w:val="none" w:sz="0" w:space="0" w:color="auto"/>
        <w:bottom w:val="none" w:sz="0" w:space="0" w:color="auto"/>
        <w:right w:val="none" w:sz="0" w:space="0" w:color="auto"/>
      </w:divBdr>
    </w:div>
    <w:div w:id="811870666">
      <w:bodyDiv w:val="1"/>
      <w:marLeft w:val="0"/>
      <w:marRight w:val="0"/>
      <w:marTop w:val="0"/>
      <w:marBottom w:val="0"/>
      <w:divBdr>
        <w:top w:val="none" w:sz="0" w:space="0" w:color="auto"/>
        <w:left w:val="none" w:sz="0" w:space="0" w:color="auto"/>
        <w:bottom w:val="none" w:sz="0" w:space="0" w:color="auto"/>
        <w:right w:val="none" w:sz="0" w:space="0" w:color="auto"/>
      </w:divBdr>
      <w:divsChild>
        <w:div w:id="895504441">
          <w:marLeft w:val="0"/>
          <w:marRight w:val="0"/>
          <w:marTop w:val="0"/>
          <w:marBottom w:val="0"/>
          <w:divBdr>
            <w:top w:val="none" w:sz="0" w:space="0" w:color="auto"/>
            <w:left w:val="none" w:sz="0" w:space="0" w:color="auto"/>
            <w:bottom w:val="none" w:sz="0" w:space="0" w:color="auto"/>
            <w:right w:val="none" w:sz="0" w:space="0" w:color="auto"/>
          </w:divBdr>
          <w:divsChild>
            <w:div w:id="321348082">
              <w:marLeft w:val="0"/>
              <w:marRight w:val="0"/>
              <w:marTop w:val="0"/>
              <w:marBottom w:val="0"/>
              <w:divBdr>
                <w:top w:val="none" w:sz="0" w:space="0" w:color="auto"/>
                <w:left w:val="none" w:sz="0" w:space="0" w:color="auto"/>
                <w:bottom w:val="none" w:sz="0" w:space="0" w:color="auto"/>
                <w:right w:val="none" w:sz="0" w:space="0" w:color="auto"/>
              </w:divBdr>
              <w:divsChild>
                <w:div w:id="407650979">
                  <w:marLeft w:val="0"/>
                  <w:marRight w:val="0"/>
                  <w:marTop w:val="0"/>
                  <w:marBottom w:val="0"/>
                  <w:divBdr>
                    <w:top w:val="none" w:sz="0" w:space="0" w:color="auto"/>
                    <w:left w:val="none" w:sz="0" w:space="0" w:color="auto"/>
                    <w:bottom w:val="none" w:sz="0" w:space="0" w:color="auto"/>
                    <w:right w:val="none" w:sz="0" w:space="0" w:color="auto"/>
                  </w:divBdr>
                  <w:divsChild>
                    <w:div w:id="1107236416">
                      <w:marLeft w:val="0"/>
                      <w:marRight w:val="0"/>
                      <w:marTop w:val="0"/>
                      <w:marBottom w:val="0"/>
                      <w:divBdr>
                        <w:top w:val="none" w:sz="0" w:space="0" w:color="auto"/>
                        <w:left w:val="none" w:sz="0" w:space="0" w:color="auto"/>
                        <w:bottom w:val="none" w:sz="0" w:space="0" w:color="auto"/>
                        <w:right w:val="none" w:sz="0" w:space="0" w:color="auto"/>
                      </w:divBdr>
                      <w:divsChild>
                        <w:div w:id="1055809838">
                          <w:marLeft w:val="0"/>
                          <w:marRight w:val="0"/>
                          <w:marTop w:val="0"/>
                          <w:marBottom w:val="0"/>
                          <w:divBdr>
                            <w:top w:val="none" w:sz="0" w:space="0" w:color="auto"/>
                            <w:left w:val="none" w:sz="0" w:space="0" w:color="auto"/>
                            <w:bottom w:val="none" w:sz="0" w:space="0" w:color="auto"/>
                            <w:right w:val="none" w:sz="0" w:space="0" w:color="auto"/>
                          </w:divBdr>
                          <w:divsChild>
                            <w:div w:id="1219319906">
                              <w:marLeft w:val="0"/>
                              <w:marRight w:val="0"/>
                              <w:marTop w:val="0"/>
                              <w:marBottom w:val="0"/>
                              <w:divBdr>
                                <w:top w:val="none" w:sz="0" w:space="0" w:color="auto"/>
                                <w:left w:val="none" w:sz="0" w:space="0" w:color="auto"/>
                                <w:bottom w:val="none" w:sz="0" w:space="0" w:color="auto"/>
                                <w:right w:val="none" w:sz="0" w:space="0" w:color="auto"/>
                              </w:divBdr>
                              <w:divsChild>
                                <w:div w:id="71195843">
                                  <w:marLeft w:val="0"/>
                                  <w:marRight w:val="0"/>
                                  <w:marTop w:val="0"/>
                                  <w:marBottom w:val="0"/>
                                  <w:divBdr>
                                    <w:top w:val="none" w:sz="0" w:space="0" w:color="auto"/>
                                    <w:left w:val="none" w:sz="0" w:space="0" w:color="auto"/>
                                    <w:bottom w:val="none" w:sz="0" w:space="0" w:color="auto"/>
                                    <w:right w:val="none" w:sz="0" w:space="0" w:color="auto"/>
                                  </w:divBdr>
                                  <w:divsChild>
                                    <w:div w:id="1919512277">
                                      <w:marLeft w:val="0"/>
                                      <w:marRight w:val="0"/>
                                      <w:marTop w:val="0"/>
                                      <w:marBottom w:val="0"/>
                                      <w:divBdr>
                                        <w:top w:val="none" w:sz="0" w:space="0" w:color="auto"/>
                                        <w:left w:val="none" w:sz="0" w:space="0" w:color="auto"/>
                                        <w:bottom w:val="none" w:sz="0" w:space="0" w:color="auto"/>
                                        <w:right w:val="none" w:sz="0" w:space="0" w:color="auto"/>
                                      </w:divBdr>
                                      <w:divsChild>
                                        <w:div w:id="213760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1443739">
      <w:bodyDiv w:val="1"/>
      <w:marLeft w:val="0"/>
      <w:marRight w:val="0"/>
      <w:marTop w:val="0"/>
      <w:marBottom w:val="0"/>
      <w:divBdr>
        <w:top w:val="none" w:sz="0" w:space="0" w:color="auto"/>
        <w:left w:val="none" w:sz="0" w:space="0" w:color="auto"/>
        <w:bottom w:val="none" w:sz="0" w:space="0" w:color="auto"/>
        <w:right w:val="none" w:sz="0" w:space="0" w:color="auto"/>
      </w:divBdr>
    </w:div>
    <w:div w:id="1110585307">
      <w:bodyDiv w:val="1"/>
      <w:marLeft w:val="0"/>
      <w:marRight w:val="0"/>
      <w:marTop w:val="0"/>
      <w:marBottom w:val="0"/>
      <w:divBdr>
        <w:top w:val="none" w:sz="0" w:space="0" w:color="auto"/>
        <w:left w:val="none" w:sz="0" w:space="0" w:color="auto"/>
        <w:bottom w:val="none" w:sz="0" w:space="0" w:color="auto"/>
        <w:right w:val="none" w:sz="0" w:space="0" w:color="auto"/>
      </w:divBdr>
    </w:div>
    <w:div w:id="1692606774">
      <w:bodyDiv w:val="1"/>
      <w:marLeft w:val="0"/>
      <w:marRight w:val="0"/>
      <w:marTop w:val="0"/>
      <w:marBottom w:val="0"/>
      <w:divBdr>
        <w:top w:val="none" w:sz="0" w:space="0" w:color="auto"/>
        <w:left w:val="none" w:sz="0" w:space="0" w:color="auto"/>
        <w:bottom w:val="none" w:sz="0" w:space="0" w:color="auto"/>
        <w:right w:val="none" w:sz="0" w:space="0" w:color="auto"/>
      </w:divBdr>
      <w:divsChild>
        <w:div w:id="1043092995">
          <w:marLeft w:val="0"/>
          <w:marRight w:val="0"/>
          <w:marTop w:val="0"/>
          <w:marBottom w:val="0"/>
          <w:divBdr>
            <w:top w:val="none" w:sz="0" w:space="0" w:color="auto"/>
            <w:left w:val="single" w:sz="6" w:space="0" w:color="A7A7A7"/>
            <w:bottom w:val="none" w:sz="0" w:space="0" w:color="auto"/>
            <w:right w:val="single" w:sz="6" w:space="0" w:color="A7A7A7"/>
          </w:divBdr>
          <w:divsChild>
            <w:div w:id="720788905">
              <w:marLeft w:val="0"/>
              <w:marRight w:val="0"/>
              <w:marTop w:val="0"/>
              <w:marBottom w:val="0"/>
              <w:divBdr>
                <w:top w:val="none" w:sz="0" w:space="0" w:color="auto"/>
                <w:left w:val="none" w:sz="0" w:space="0" w:color="auto"/>
                <w:bottom w:val="none" w:sz="0" w:space="0" w:color="auto"/>
                <w:right w:val="none" w:sz="0" w:space="0" w:color="auto"/>
              </w:divBdr>
              <w:divsChild>
                <w:div w:id="184709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640505">
      <w:bodyDiv w:val="1"/>
      <w:marLeft w:val="0"/>
      <w:marRight w:val="0"/>
      <w:marTop w:val="0"/>
      <w:marBottom w:val="0"/>
      <w:divBdr>
        <w:top w:val="none" w:sz="0" w:space="0" w:color="auto"/>
        <w:left w:val="none" w:sz="0" w:space="0" w:color="auto"/>
        <w:bottom w:val="none" w:sz="0" w:space="0" w:color="auto"/>
        <w:right w:val="none" w:sz="0" w:space="0" w:color="auto"/>
      </w:divBdr>
    </w:div>
    <w:div w:id="1900509868">
      <w:bodyDiv w:val="1"/>
      <w:marLeft w:val="0"/>
      <w:marRight w:val="0"/>
      <w:marTop w:val="0"/>
      <w:marBottom w:val="0"/>
      <w:divBdr>
        <w:top w:val="none" w:sz="0" w:space="0" w:color="auto"/>
        <w:left w:val="none" w:sz="0" w:space="0" w:color="auto"/>
        <w:bottom w:val="none" w:sz="0" w:space="0" w:color="auto"/>
        <w:right w:val="none" w:sz="0" w:space="0" w:color="auto"/>
      </w:divBdr>
    </w:div>
    <w:div w:id="1951819353">
      <w:bodyDiv w:val="1"/>
      <w:marLeft w:val="0"/>
      <w:marRight w:val="0"/>
      <w:marTop w:val="0"/>
      <w:marBottom w:val="0"/>
      <w:divBdr>
        <w:top w:val="none" w:sz="0" w:space="0" w:color="auto"/>
        <w:left w:val="none" w:sz="0" w:space="0" w:color="auto"/>
        <w:bottom w:val="none" w:sz="0" w:space="0" w:color="auto"/>
        <w:right w:val="none" w:sz="0" w:space="0" w:color="auto"/>
      </w:divBdr>
    </w:div>
    <w:div w:id="1989436205">
      <w:bodyDiv w:val="1"/>
      <w:marLeft w:val="0"/>
      <w:marRight w:val="0"/>
      <w:marTop w:val="0"/>
      <w:marBottom w:val="0"/>
      <w:divBdr>
        <w:top w:val="none" w:sz="0" w:space="0" w:color="auto"/>
        <w:left w:val="none" w:sz="0" w:space="0" w:color="auto"/>
        <w:bottom w:val="none" w:sz="0" w:space="0" w:color="auto"/>
        <w:right w:val="none" w:sz="0" w:space="0" w:color="auto"/>
      </w:divBdr>
      <w:divsChild>
        <w:div w:id="1276903434">
          <w:marLeft w:val="0"/>
          <w:marRight w:val="0"/>
          <w:marTop w:val="0"/>
          <w:marBottom w:val="0"/>
          <w:divBdr>
            <w:top w:val="none" w:sz="0" w:space="0" w:color="auto"/>
            <w:left w:val="none" w:sz="0" w:space="0" w:color="auto"/>
            <w:bottom w:val="none" w:sz="0" w:space="0" w:color="auto"/>
            <w:right w:val="none" w:sz="0" w:space="0" w:color="auto"/>
          </w:divBdr>
          <w:divsChild>
            <w:div w:id="1950426090">
              <w:marLeft w:val="0"/>
              <w:marRight w:val="0"/>
              <w:marTop w:val="0"/>
              <w:marBottom w:val="0"/>
              <w:divBdr>
                <w:top w:val="none" w:sz="0" w:space="0" w:color="auto"/>
                <w:left w:val="none" w:sz="0" w:space="0" w:color="auto"/>
                <w:bottom w:val="none" w:sz="0" w:space="0" w:color="auto"/>
                <w:right w:val="none" w:sz="0" w:space="0" w:color="auto"/>
              </w:divBdr>
              <w:divsChild>
                <w:div w:id="430006709">
                  <w:marLeft w:val="0"/>
                  <w:marRight w:val="0"/>
                  <w:marTop w:val="0"/>
                  <w:marBottom w:val="0"/>
                  <w:divBdr>
                    <w:top w:val="none" w:sz="0" w:space="0" w:color="auto"/>
                    <w:left w:val="none" w:sz="0" w:space="0" w:color="auto"/>
                    <w:bottom w:val="none" w:sz="0" w:space="0" w:color="auto"/>
                    <w:right w:val="none" w:sz="0" w:space="0" w:color="auto"/>
                  </w:divBdr>
                  <w:divsChild>
                    <w:div w:id="989167505">
                      <w:marLeft w:val="0"/>
                      <w:marRight w:val="0"/>
                      <w:marTop w:val="0"/>
                      <w:marBottom w:val="0"/>
                      <w:divBdr>
                        <w:top w:val="none" w:sz="0" w:space="0" w:color="auto"/>
                        <w:left w:val="none" w:sz="0" w:space="0" w:color="auto"/>
                        <w:bottom w:val="none" w:sz="0" w:space="0" w:color="auto"/>
                        <w:right w:val="none" w:sz="0" w:space="0" w:color="auto"/>
                      </w:divBdr>
                      <w:divsChild>
                        <w:div w:id="182199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chart" Target="charts/chart10.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hyperlink" Target="http://databaze-strategie.cz/" TargetMode="Externa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chart" Target="charts/chart13.xml"/><Relationship Id="rId5" Type="http://schemas.microsoft.com/office/2007/relationships/stylesWithEffects" Target="stylesWithEffect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footer" Target="footer1.xml"/><Relationship Id="rId10" Type="http://schemas.openxmlformats.org/officeDocument/2006/relationships/image" Target="media/image1.gif"/><Relationship Id="rId19" Type="http://schemas.openxmlformats.org/officeDocument/2006/relationships/chart" Target="charts/chart8.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header" Target="header2.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S\VTP\OKE\_strategie%20Evropa%202020\_evropsk&#253;%20semestr%202014\NPR%202014\_P&#345;&#237;prava%20-%20materi&#225;ly\Data%20NP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voboda\AppData\Local\Temp\notesFCBCEE\Data_saldo.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Struktura%20uchaze&#269;&#367;%20o%20zam&#283;stn&#225;n&#23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S\VTP\OKE\_strategie%20Evropa%202020\_evropsk&#253;%20semestr%202014\NPR%202014\_P&#345;&#237;prava%20-%20materi&#225;ly\Data%20NP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Deficit!$C$3</c:f>
              <c:strCache>
                <c:ptCount val="1"/>
                <c:pt idx="0">
                  <c:v>Cyklická složka</c:v>
                </c:pt>
              </c:strCache>
            </c:strRef>
          </c:tx>
          <c:spPr>
            <a:solidFill>
              <a:srgbClr val="92D050"/>
            </a:solidFill>
            <a:ln w="12700">
              <a:solidFill>
                <a:schemeClr val="tx1"/>
              </a:solidFill>
            </a:ln>
          </c:spPr>
          <c:invertIfNegative val="0"/>
          <c:cat>
            <c:numRef>
              <c:f>Deficit!$D$1:$P$1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Deficit!$D$3:$P$3</c:f>
              <c:numCache>
                <c:formatCode>0.0%</c:formatCode>
                <c:ptCount val="13"/>
                <c:pt idx="0">
                  <c:v>0</c:v>
                </c:pt>
                <c:pt idx="1">
                  <c:v>8.9999999999999993E-3</c:v>
                </c:pt>
                <c:pt idx="2">
                  <c:v>1.2999999999999999E-2</c:v>
                </c:pt>
                <c:pt idx="3">
                  <c:v>1.2999999999999999E-2</c:v>
                </c:pt>
                <c:pt idx="4">
                  <c:v>-1.0999999999999999E-2</c:v>
                </c:pt>
                <c:pt idx="5">
                  <c:v>-5.0000000000000001E-3</c:v>
                </c:pt>
                <c:pt idx="6">
                  <c:v>-1E-3</c:v>
                </c:pt>
                <c:pt idx="7">
                  <c:v>-5.0000000000000001E-3</c:v>
                </c:pt>
                <c:pt idx="8">
                  <c:v>-0.01</c:v>
                </c:pt>
                <c:pt idx="9">
                  <c:v>-6.0000000000000001E-3</c:v>
                </c:pt>
                <c:pt idx="10">
                  <c:v>-4.0000000000000001E-3</c:v>
                </c:pt>
                <c:pt idx="11">
                  <c:v>-2E-3</c:v>
                </c:pt>
                <c:pt idx="12">
                  <c:v>0</c:v>
                </c:pt>
              </c:numCache>
            </c:numRef>
          </c:val>
        </c:ser>
        <c:ser>
          <c:idx val="1"/>
          <c:order val="1"/>
          <c:tx>
            <c:strRef>
              <c:f>Deficit!$C$4</c:f>
              <c:strCache>
                <c:ptCount val="1"/>
                <c:pt idx="0">
                  <c:v>Jednorázové operace</c:v>
                </c:pt>
              </c:strCache>
            </c:strRef>
          </c:tx>
          <c:spPr>
            <a:solidFill>
              <a:srgbClr val="00B0F0"/>
            </a:solidFill>
            <a:ln w="12700">
              <a:solidFill>
                <a:schemeClr val="tx1"/>
              </a:solidFill>
            </a:ln>
          </c:spPr>
          <c:invertIfNegative val="0"/>
          <c:cat>
            <c:numRef>
              <c:f>Deficit!$D$1:$P$1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Deficit!$D$4:$P$4</c:f>
              <c:numCache>
                <c:formatCode>0.0%</c:formatCode>
                <c:ptCount val="13"/>
                <c:pt idx="0">
                  <c:v>-1.4999999999999999E-2</c:v>
                </c:pt>
                <c:pt idx="1">
                  <c:v>-7.0000000000000001E-3</c:v>
                </c:pt>
                <c:pt idx="2">
                  <c:v>-3.0000000000000001E-3</c:v>
                </c:pt>
                <c:pt idx="3">
                  <c:v>-1E-3</c:v>
                </c:pt>
                <c:pt idx="4">
                  <c:v>0</c:v>
                </c:pt>
                <c:pt idx="5">
                  <c:v>0</c:v>
                </c:pt>
                <c:pt idx="6">
                  <c:v>-2E-3</c:v>
                </c:pt>
                <c:pt idx="7">
                  <c:v>-2.1000000000000001E-2</c:v>
                </c:pt>
                <c:pt idx="8">
                  <c:v>-2E-3</c:v>
                </c:pt>
                <c:pt idx="9">
                  <c:v>1E-3</c:v>
                </c:pt>
                <c:pt idx="10">
                  <c:v>-1E-3</c:v>
                </c:pt>
                <c:pt idx="11">
                  <c:v>-1E-3</c:v>
                </c:pt>
                <c:pt idx="12">
                  <c:v>0</c:v>
                </c:pt>
              </c:numCache>
            </c:numRef>
          </c:val>
        </c:ser>
        <c:ser>
          <c:idx val="2"/>
          <c:order val="2"/>
          <c:tx>
            <c:strRef>
              <c:f>Deficit!$C$5</c:f>
              <c:strCache>
                <c:ptCount val="1"/>
                <c:pt idx="0">
                  <c:v>Strukturální saldo</c:v>
                </c:pt>
              </c:strCache>
            </c:strRef>
          </c:tx>
          <c:spPr>
            <a:solidFill>
              <a:srgbClr val="FF0000"/>
            </a:solidFill>
            <a:ln w="12700">
              <a:solidFill>
                <a:schemeClr val="tx1"/>
              </a:solidFill>
            </a:ln>
          </c:spPr>
          <c:invertIfNegative val="0"/>
          <c:cat>
            <c:numRef>
              <c:f>Deficit!$D$1:$P$1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Deficit!$D$5:$P$5</c:f>
              <c:numCache>
                <c:formatCode>0.0%</c:formatCode>
                <c:ptCount val="13"/>
                <c:pt idx="0">
                  <c:v>-1.7999999999999999E-2</c:v>
                </c:pt>
                <c:pt idx="1">
                  <c:v>-2.5000000000000001E-2</c:v>
                </c:pt>
                <c:pt idx="2">
                  <c:v>-1.7999999999999999E-2</c:v>
                </c:pt>
                <c:pt idx="3">
                  <c:v>-3.4000000000000002E-2</c:v>
                </c:pt>
                <c:pt idx="4">
                  <c:v>-4.8000000000000001E-2</c:v>
                </c:pt>
                <c:pt idx="5">
                  <c:v>-4.2999999999999997E-2</c:v>
                </c:pt>
                <c:pt idx="6">
                  <c:v>-2.9000000000000001E-2</c:v>
                </c:pt>
                <c:pt idx="7">
                  <c:v>-1.6E-2</c:v>
                </c:pt>
                <c:pt idx="8">
                  <c:v>-3.0000000000000001E-3</c:v>
                </c:pt>
                <c:pt idx="9">
                  <c:v>-1.2999999999999999E-2</c:v>
                </c:pt>
                <c:pt idx="10">
                  <c:v>-1.7999999999999999E-2</c:v>
                </c:pt>
                <c:pt idx="11">
                  <c:v>-1.7000000000000001E-2</c:v>
                </c:pt>
                <c:pt idx="12">
                  <c:v>-1.7000000000000001E-2</c:v>
                </c:pt>
              </c:numCache>
            </c:numRef>
          </c:val>
        </c:ser>
        <c:dLbls>
          <c:showLegendKey val="0"/>
          <c:showVal val="0"/>
          <c:showCatName val="0"/>
          <c:showSerName val="0"/>
          <c:showPercent val="0"/>
          <c:showBubbleSize val="0"/>
        </c:dLbls>
        <c:gapWidth val="75"/>
        <c:overlap val="100"/>
        <c:axId val="302017152"/>
        <c:axId val="282820992"/>
      </c:barChart>
      <c:catAx>
        <c:axId val="302017152"/>
        <c:scaling>
          <c:orientation val="minMax"/>
        </c:scaling>
        <c:delete val="0"/>
        <c:axPos val="b"/>
        <c:numFmt formatCode="General" sourceLinked="1"/>
        <c:majorTickMark val="none"/>
        <c:minorTickMark val="none"/>
        <c:tickLblPos val="high"/>
        <c:txPr>
          <a:bodyPr/>
          <a:lstStyle/>
          <a:p>
            <a:pPr>
              <a:defRPr b="1"/>
            </a:pPr>
            <a:endParaRPr lang="cs-CZ"/>
          </a:p>
        </c:txPr>
        <c:crossAx val="282820992"/>
        <c:crosses val="autoZero"/>
        <c:auto val="0"/>
        <c:lblAlgn val="ctr"/>
        <c:lblOffset val="100"/>
        <c:noMultiLvlLbl val="0"/>
      </c:catAx>
      <c:valAx>
        <c:axId val="282820992"/>
        <c:scaling>
          <c:orientation val="minMax"/>
        </c:scaling>
        <c:delete val="0"/>
        <c:axPos val="l"/>
        <c:majorGridlines/>
        <c:numFmt formatCode="0.0%" sourceLinked="1"/>
        <c:majorTickMark val="none"/>
        <c:minorTickMark val="none"/>
        <c:tickLblPos val="nextTo"/>
        <c:spPr>
          <a:ln w="9525">
            <a:noFill/>
          </a:ln>
        </c:spPr>
        <c:txPr>
          <a:bodyPr/>
          <a:lstStyle/>
          <a:p>
            <a:pPr>
              <a:defRPr b="1"/>
            </a:pPr>
            <a:endParaRPr lang="cs-CZ"/>
          </a:p>
        </c:txPr>
        <c:crossAx val="302017152"/>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v>Soukromé domácí</c:v>
          </c:tx>
          <c:spPr>
            <a:solidFill>
              <a:srgbClr val="FF0000"/>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VAV!$B$29:$I$29</c:f>
              <c:numCache>
                <c:formatCode>#,##0" "</c:formatCode>
                <c:ptCount val="8"/>
                <c:pt idx="0">
                  <c:v>18384.453049999989</c:v>
                </c:pt>
                <c:pt idx="1">
                  <c:v>21233.919014999981</c:v>
                </c:pt>
                <c:pt idx="2">
                  <c:v>23591.785959999961</c:v>
                </c:pt>
                <c:pt idx="3">
                  <c:v>22467.27616499997</c:v>
                </c:pt>
                <c:pt idx="4">
                  <c:v>20225.73529000003</c:v>
                </c:pt>
                <c:pt idx="5">
                  <c:v>21596.861050000021</c:v>
                </c:pt>
                <c:pt idx="6">
                  <c:v>23647.648589999979</c:v>
                </c:pt>
                <c:pt idx="7">
                  <c:v>26328.087510000019</c:v>
                </c:pt>
              </c:numCache>
            </c:numRef>
          </c:val>
        </c:ser>
        <c:ser>
          <c:idx val="1"/>
          <c:order val="1"/>
          <c:tx>
            <c:v>Soukromé zahraniční</c:v>
          </c:tx>
          <c:spPr>
            <a:solidFill>
              <a:srgbClr val="00B0F0"/>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VAV!$B$30:$I$30</c:f>
              <c:numCache>
                <c:formatCode>#,##0" "</c:formatCode>
                <c:ptCount val="8"/>
                <c:pt idx="0">
                  <c:v>1391.6234400000001</c:v>
                </c:pt>
                <c:pt idx="1">
                  <c:v>1340.7064049999999</c:v>
                </c:pt>
                <c:pt idx="2">
                  <c:v>2707.24143</c:v>
                </c:pt>
                <c:pt idx="3">
                  <c:v>3467.0507349999998</c:v>
                </c:pt>
                <c:pt idx="4">
                  <c:v>4431.1332499999999</c:v>
                </c:pt>
                <c:pt idx="5">
                  <c:v>5160.3967000000002</c:v>
                </c:pt>
                <c:pt idx="6">
                  <c:v>6242.422910000002</c:v>
                </c:pt>
                <c:pt idx="7">
                  <c:v>7136.2200900000007</c:v>
                </c:pt>
              </c:numCache>
            </c:numRef>
          </c:val>
        </c:ser>
        <c:ser>
          <c:idx val="2"/>
          <c:order val="2"/>
          <c:tx>
            <c:v>Veřejné domácí</c:v>
          </c:tx>
          <c:spPr>
            <a:solidFill>
              <a:srgbClr val="00B050"/>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VAV!$B$31:$I$31</c:f>
              <c:numCache>
                <c:formatCode>#,##0" "</c:formatCode>
                <c:ptCount val="8"/>
                <c:pt idx="0">
                  <c:v>17248.266360000009</c:v>
                </c:pt>
                <c:pt idx="1">
                  <c:v>19445.161820000001</c:v>
                </c:pt>
                <c:pt idx="2">
                  <c:v>22361.96748000001</c:v>
                </c:pt>
                <c:pt idx="3">
                  <c:v>22342.191260000011</c:v>
                </c:pt>
                <c:pt idx="4">
                  <c:v>24300.86122000001</c:v>
                </c:pt>
                <c:pt idx="5">
                  <c:v>23538.875410000001</c:v>
                </c:pt>
                <c:pt idx="6">
                  <c:v>26179.053029999999</c:v>
                </c:pt>
                <c:pt idx="7">
                  <c:v>26616.46185</c:v>
                </c:pt>
              </c:numCache>
            </c:numRef>
          </c:val>
        </c:ser>
        <c:ser>
          <c:idx val="3"/>
          <c:order val="3"/>
          <c:tx>
            <c:v>Veřejné zahraniční</c:v>
          </c:tx>
          <c:spPr>
            <a:solidFill>
              <a:srgbClr val="FFC000"/>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VAV!$B$32:$I$32</c:f>
              <c:numCache>
                <c:formatCode>#,##0" "</c:formatCode>
                <c:ptCount val="8"/>
                <c:pt idx="0">
                  <c:v>665.64731999999981</c:v>
                </c:pt>
                <c:pt idx="1">
                  <c:v>720.93416999999988</c:v>
                </c:pt>
                <c:pt idx="2">
                  <c:v>925.17300000000034</c:v>
                </c:pt>
                <c:pt idx="3">
                  <c:v>964.08</c:v>
                </c:pt>
                <c:pt idx="4">
                  <c:v>1305.18426</c:v>
                </c:pt>
                <c:pt idx="5">
                  <c:v>2216.0030700000002</c:v>
                </c:pt>
                <c:pt idx="6">
                  <c:v>6093.1831400000001</c:v>
                </c:pt>
                <c:pt idx="7">
                  <c:v>11622.015259999989</c:v>
                </c:pt>
              </c:numCache>
            </c:numRef>
          </c:val>
        </c:ser>
        <c:ser>
          <c:idx val="4"/>
          <c:order val="4"/>
          <c:tx>
            <c:v>Ostatní</c:v>
          </c:tx>
          <c:spPr>
            <a:solidFill>
              <a:schemeClr val="tx1"/>
            </a:solidFill>
          </c:spPr>
          <c:invertIfNegative val="0"/>
          <c:cat>
            <c:numRef>
              <c:f>VAV!$B$3:$I$3</c:f>
              <c:numCache>
                <c:formatCode>####" "</c:formatCode>
                <c:ptCount val="8"/>
                <c:pt idx="0">
                  <c:v>2005</c:v>
                </c:pt>
                <c:pt idx="1">
                  <c:v>2006</c:v>
                </c:pt>
                <c:pt idx="2">
                  <c:v>2007</c:v>
                </c:pt>
                <c:pt idx="3">
                  <c:v>2008</c:v>
                </c:pt>
                <c:pt idx="4">
                  <c:v>2009</c:v>
                </c:pt>
                <c:pt idx="5">
                  <c:v>2010</c:v>
                </c:pt>
                <c:pt idx="6">
                  <c:v>2011</c:v>
                </c:pt>
                <c:pt idx="7">
                  <c:v>2012</c:v>
                </c:pt>
              </c:numCache>
            </c:numRef>
          </c:cat>
          <c:val>
            <c:numRef>
              <c:f>VAV!$B$33:$I$33</c:f>
              <c:numCache>
                <c:formatCode>#,##0" "</c:formatCode>
                <c:ptCount val="8"/>
                <c:pt idx="0">
                  <c:v>455.75516999999991</c:v>
                </c:pt>
                <c:pt idx="1">
                  <c:v>527.53204999999991</c:v>
                </c:pt>
                <c:pt idx="2">
                  <c:v>422.72005999999988</c:v>
                </c:pt>
                <c:pt idx="3">
                  <c:v>631.37899999999979</c:v>
                </c:pt>
                <c:pt idx="4">
                  <c:v>611.70500000000015</c:v>
                </c:pt>
                <c:pt idx="5">
                  <c:v>461.43143000000009</c:v>
                </c:pt>
                <c:pt idx="6">
                  <c:v>591.09530999999981</c:v>
                </c:pt>
                <c:pt idx="7">
                  <c:v>657.52267999999958</c:v>
                </c:pt>
              </c:numCache>
            </c:numRef>
          </c:val>
        </c:ser>
        <c:dLbls>
          <c:showLegendKey val="0"/>
          <c:showVal val="0"/>
          <c:showCatName val="0"/>
          <c:showSerName val="0"/>
          <c:showPercent val="0"/>
          <c:showBubbleSize val="0"/>
        </c:dLbls>
        <c:gapWidth val="75"/>
        <c:overlap val="100"/>
        <c:axId val="288484736"/>
        <c:axId val="288498816"/>
      </c:barChart>
      <c:catAx>
        <c:axId val="288484736"/>
        <c:scaling>
          <c:orientation val="minMax"/>
        </c:scaling>
        <c:delete val="0"/>
        <c:axPos val="b"/>
        <c:numFmt formatCode="####&quot; &quot;" sourceLinked="1"/>
        <c:majorTickMark val="none"/>
        <c:minorTickMark val="none"/>
        <c:tickLblPos val="nextTo"/>
        <c:crossAx val="288498816"/>
        <c:crosses val="autoZero"/>
        <c:auto val="1"/>
        <c:lblAlgn val="ctr"/>
        <c:lblOffset val="100"/>
        <c:noMultiLvlLbl val="0"/>
      </c:catAx>
      <c:valAx>
        <c:axId val="288498816"/>
        <c:scaling>
          <c:orientation val="minMax"/>
        </c:scaling>
        <c:delete val="0"/>
        <c:axPos val="l"/>
        <c:majorGridlines/>
        <c:title>
          <c:tx>
            <c:rich>
              <a:bodyPr rot="-5400000" vert="horz"/>
              <a:lstStyle/>
              <a:p>
                <a:pPr>
                  <a:defRPr/>
                </a:pPr>
                <a:r>
                  <a:rPr lang="cs-CZ"/>
                  <a:t>mil. Kč</a:t>
                </a:r>
              </a:p>
            </c:rich>
          </c:tx>
          <c:layout/>
          <c:overlay val="0"/>
        </c:title>
        <c:numFmt formatCode="#,##0&quot; &quot;" sourceLinked="1"/>
        <c:majorTickMark val="none"/>
        <c:minorTickMark val="none"/>
        <c:tickLblPos val="nextTo"/>
        <c:spPr>
          <a:ln w="9525">
            <a:noFill/>
          </a:ln>
        </c:spPr>
        <c:crossAx val="288484736"/>
        <c:crosses val="autoZero"/>
        <c:crossBetween val="between"/>
      </c:valAx>
    </c:plotArea>
    <c:legend>
      <c:legendPos val="b"/>
      <c:layout/>
      <c:overlay val="0"/>
    </c:legend>
    <c:plotVisOnly val="1"/>
    <c:dispBlanksAs val="gap"/>
    <c:showDLblsOverMax val="0"/>
  </c:chart>
  <c:txPr>
    <a:bodyPr/>
    <a:lstStyle/>
    <a:p>
      <a:pPr>
        <a:defRPr sz="900"/>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List3!$A$4</c:f>
              <c:strCache>
                <c:ptCount val="1"/>
                <c:pt idx="0">
                  <c:v>Podnikatelský </c:v>
                </c:pt>
              </c:strCache>
            </c:strRef>
          </c:tx>
          <c:spPr>
            <a:solidFill>
              <a:srgbClr val="FF0000"/>
            </a:solidFill>
          </c:spPr>
          <c:invertIfNegative val="0"/>
          <c:cat>
            <c:numRef>
              <c:f>List3!$B$3:$I$3</c:f>
              <c:numCache>
                <c:formatCode>####" "</c:formatCode>
                <c:ptCount val="8"/>
                <c:pt idx="0">
                  <c:v>2005</c:v>
                </c:pt>
                <c:pt idx="1">
                  <c:v>2006</c:v>
                </c:pt>
                <c:pt idx="2">
                  <c:v>2007</c:v>
                </c:pt>
                <c:pt idx="3">
                  <c:v>2008</c:v>
                </c:pt>
                <c:pt idx="4">
                  <c:v>2009</c:v>
                </c:pt>
                <c:pt idx="5">
                  <c:v>2010</c:v>
                </c:pt>
                <c:pt idx="6">
                  <c:v>2011</c:v>
                </c:pt>
                <c:pt idx="7">
                  <c:v>2012</c:v>
                </c:pt>
              </c:numCache>
            </c:numRef>
          </c:cat>
          <c:val>
            <c:numRef>
              <c:f>List3!$B$4:$I$4</c:f>
              <c:numCache>
                <c:formatCode>#,##0" "</c:formatCode>
                <c:ptCount val="8"/>
                <c:pt idx="0">
                  <c:v>22603.909840000011</c:v>
                </c:pt>
                <c:pt idx="1">
                  <c:v>25837.503300000011</c:v>
                </c:pt>
                <c:pt idx="2">
                  <c:v>29345.052070000009</c:v>
                </c:pt>
                <c:pt idx="3">
                  <c:v>29249.219470000011</c:v>
                </c:pt>
                <c:pt idx="4">
                  <c:v>28742.75530000003</c:v>
                </c:pt>
                <c:pt idx="5">
                  <c:v>30564.212680000001</c:v>
                </c:pt>
                <c:pt idx="6">
                  <c:v>34716.926579999999</c:v>
                </c:pt>
                <c:pt idx="7">
                  <c:v>38790.181750000003</c:v>
                </c:pt>
              </c:numCache>
            </c:numRef>
          </c:val>
        </c:ser>
        <c:ser>
          <c:idx val="1"/>
          <c:order val="1"/>
          <c:tx>
            <c:strRef>
              <c:f>List3!$A$8</c:f>
              <c:strCache>
                <c:ptCount val="1"/>
                <c:pt idx="0">
                  <c:v>Vládní </c:v>
                </c:pt>
              </c:strCache>
            </c:strRef>
          </c:tx>
          <c:spPr>
            <a:solidFill>
              <a:srgbClr val="00B050"/>
            </a:solidFill>
          </c:spPr>
          <c:invertIfNegative val="0"/>
          <c:cat>
            <c:numRef>
              <c:f>List3!$B$3:$I$3</c:f>
              <c:numCache>
                <c:formatCode>####" "</c:formatCode>
                <c:ptCount val="8"/>
                <c:pt idx="0">
                  <c:v>2005</c:v>
                </c:pt>
                <c:pt idx="1">
                  <c:v>2006</c:v>
                </c:pt>
                <c:pt idx="2">
                  <c:v>2007</c:v>
                </c:pt>
                <c:pt idx="3">
                  <c:v>2008</c:v>
                </c:pt>
                <c:pt idx="4">
                  <c:v>2009</c:v>
                </c:pt>
                <c:pt idx="5">
                  <c:v>2010</c:v>
                </c:pt>
                <c:pt idx="6">
                  <c:v>2011</c:v>
                </c:pt>
                <c:pt idx="7">
                  <c:v>2012</c:v>
                </c:pt>
              </c:numCache>
            </c:numRef>
          </c:cat>
          <c:val>
            <c:numRef>
              <c:f>List3!$B$8:$I$8</c:f>
              <c:numCache>
                <c:formatCode>#,##0" "</c:formatCode>
                <c:ptCount val="8"/>
                <c:pt idx="0">
                  <c:v>8440.8549799999982</c:v>
                </c:pt>
                <c:pt idx="1">
                  <c:v>9308.84</c:v>
                </c:pt>
                <c:pt idx="2">
                  <c:v>11306.490999999991</c:v>
                </c:pt>
                <c:pt idx="3">
                  <c:v>11324.80899999999</c:v>
                </c:pt>
                <c:pt idx="4">
                  <c:v>11835.925679999989</c:v>
                </c:pt>
                <c:pt idx="5">
                  <c:v>11469.111000000001</c:v>
                </c:pt>
                <c:pt idx="6">
                  <c:v>12402.783030000001</c:v>
                </c:pt>
                <c:pt idx="7">
                  <c:v>13322.197999999989</c:v>
                </c:pt>
              </c:numCache>
            </c:numRef>
          </c:val>
        </c:ser>
        <c:ser>
          <c:idx val="2"/>
          <c:order val="2"/>
          <c:tx>
            <c:strRef>
              <c:f>List3!$A$13</c:f>
              <c:strCache>
                <c:ptCount val="1"/>
                <c:pt idx="0">
                  <c:v>Vysokoškolský </c:v>
                </c:pt>
              </c:strCache>
            </c:strRef>
          </c:tx>
          <c:spPr>
            <a:solidFill>
              <a:srgbClr val="FFC000"/>
            </a:solidFill>
          </c:spPr>
          <c:invertIfNegative val="0"/>
          <c:cat>
            <c:numRef>
              <c:f>List3!$B$3:$I$3</c:f>
              <c:numCache>
                <c:formatCode>####" "</c:formatCode>
                <c:ptCount val="8"/>
                <c:pt idx="0">
                  <c:v>2005</c:v>
                </c:pt>
                <c:pt idx="1">
                  <c:v>2006</c:v>
                </c:pt>
                <c:pt idx="2">
                  <c:v>2007</c:v>
                </c:pt>
                <c:pt idx="3">
                  <c:v>2008</c:v>
                </c:pt>
                <c:pt idx="4">
                  <c:v>2009</c:v>
                </c:pt>
                <c:pt idx="5">
                  <c:v>2010</c:v>
                </c:pt>
                <c:pt idx="6">
                  <c:v>2011</c:v>
                </c:pt>
                <c:pt idx="7">
                  <c:v>2012</c:v>
                </c:pt>
              </c:numCache>
            </c:numRef>
          </c:cat>
          <c:val>
            <c:numRef>
              <c:f>List3!$B$13:$I$13</c:f>
              <c:numCache>
                <c:formatCode>#,##0" "</c:formatCode>
                <c:ptCount val="8"/>
                <c:pt idx="0">
                  <c:v>6907.46695</c:v>
                </c:pt>
                <c:pt idx="1">
                  <c:v>7918.3319999999976</c:v>
                </c:pt>
                <c:pt idx="2">
                  <c:v>9158.4010000000017</c:v>
                </c:pt>
                <c:pt idx="3">
                  <c:v>9089.8519999999953</c:v>
                </c:pt>
                <c:pt idx="4">
                  <c:v>10022.1</c:v>
                </c:pt>
                <c:pt idx="5">
                  <c:v>10616.060999999991</c:v>
                </c:pt>
                <c:pt idx="6">
                  <c:v>15288.401</c:v>
                </c:pt>
                <c:pt idx="7">
                  <c:v>19878.532999999999</c:v>
                </c:pt>
              </c:numCache>
            </c:numRef>
          </c:val>
        </c:ser>
        <c:ser>
          <c:idx val="3"/>
          <c:order val="3"/>
          <c:tx>
            <c:strRef>
              <c:f>List3!$A$17</c:f>
              <c:strCache>
                <c:ptCount val="1"/>
                <c:pt idx="0">
                  <c:v>Soukromý neziskový</c:v>
                </c:pt>
              </c:strCache>
            </c:strRef>
          </c:tx>
          <c:spPr>
            <a:solidFill>
              <a:schemeClr val="tx1"/>
            </a:solidFill>
          </c:spPr>
          <c:invertIfNegative val="0"/>
          <c:cat>
            <c:numRef>
              <c:f>List3!$B$3:$I$3</c:f>
              <c:numCache>
                <c:formatCode>####" "</c:formatCode>
                <c:ptCount val="8"/>
                <c:pt idx="0">
                  <c:v>2005</c:v>
                </c:pt>
                <c:pt idx="1">
                  <c:v>2006</c:v>
                </c:pt>
                <c:pt idx="2">
                  <c:v>2007</c:v>
                </c:pt>
                <c:pt idx="3">
                  <c:v>2008</c:v>
                </c:pt>
                <c:pt idx="4">
                  <c:v>2009</c:v>
                </c:pt>
                <c:pt idx="5">
                  <c:v>2010</c:v>
                </c:pt>
                <c:pt idx="6">
                  <c:v>2011</c:v>
                </c:pt>
                <c:pt idx="7">
                  <c:v>2012</c:v>
                </c:pt>
              </c:numCache>
            </c:numRef>
          </c:cat>
          <c:val>
            <c:numRef>
              <c:f>List3!$B$17:$I$17</c:f>
              <c:numCache>
                <c:formatCode>#,##0" "</c:formatCode>
                <c:ptCount val="8"/>
                <c:pt idx="0">
                  <c:v>193.5135699999999</c:v>
                </c:pt>
                <c:pt idx="1">
                  <c:v>203.57816</c:v>
                </c:pt>
                <c:pt idx="2">
                  <c:v>198.94386</c:v>
                </c:pt>
                <c:pt idx="3">
                  <c:v>208.09669</c:v>
                </c:pt>
                <c:pt idx="4">
                  <c:v>273.83803999999981</c:v>
                </c:pt>
                <c:pt idx="5">
                  <c:v>324.18295000000001</c:v>
                </c:pt>
                <c:pt idx="6">
                  <c:v>345.29234999999989</c:v>
                </c:pt>
                <c:pt idx="7">
                  <c:v>369.39463000000001</c:v>
                </c:pt>
              </c:numCache>
            </c:numRef>
          </c:val>
        </c:ser>
        <c:dLbls>
          <c:showLegendKey val="0"/>
          <c:showVal val="0"/>
          <c:showCatName val="0"/>
          <c:showSerName val="0"/>
          <c:showPercent val="0"/>
          <c:showBubbleSize val="0"/>
        </c:dLbls>
        <c:gapWidth val="75"/>
        <c:overlap val="100"/>
        <c:axId val="288562176"/>
        <c:axId val="288572160"/>
      </c:barChart>
      <c:catAx>
        <c:axId val="288562176"/>
        <c:scaling>
          <c:orientation val="minMax"/>
        </c:scaling>
        <c:delete val="0"/>
        <c:axPos val="b"/>
        <c:numFmt formatCode="####&quot; &quot;" sourceLinked="1"/>
        <c:majorTickMark val="none"/>
        <c:minorTickMark val="none"/>
        <c:tickLblPos val="nextTo"/>
        <c:crossAx val="288572160"/>
        <c:crosses val="autoZero"/>
        <c:auto val="1"/>
        <c:lblAlgn val="ctr"/>
        <c:lblOffset val="100"/>
        <c:noMultiLvlLbl val="0"/>
      </c:catAx>
      <c:valAx>
        <c:axId val="288572160"/>
        <c:scaling>
          <c:orientation val="minMax"/>
        </c:scaling>
        <c:delete val="0"/>
        <c:axPos val="l"/>
        <c:majorGridlines/>
        <c:numFmt formatCode="0%" sourceLinked="1"/>
        <c:majorTickMark val="none"/>
        <c:minorTickMark val="none"/>
        <c:tickLblPos val="nextTo"/>
        <c:spPr>
          <a:ln w="9525">
            <a:noFill/>
          </a:ln>
        </c:spPr>
        <c:crossAx val="288562176"/>
        <c:crosses val="autoZero"/>
        <c:crossBetween val="between"/>
      </c:valAx>
    </c:plotArea>
    <c:legend>
      <c:legendPos val="b"/>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v>Soukromé domácí</c:v>
          </c:tx>
          <c:spPr>
            <a:solidFill>
              <a:srgbClr val="FF0000"/>
            </a:solidFill>
          </c:spPr>
          <c:invertIfNegative val="0"/>
          <c:cat>
            <c:strRef>
              <c:f>(VAV!$A$4;VAV!$A$10;VAV!$A$16)</c:f>
              <c:strCache>
                <c:ptCount val="3"/>
                <c:pt idx="0">
                  <c:v>Podnikatelský</c:v>
                </c:pt>
                <c:pt idx="1">
                  <c:v>Vládní</c:v>
                </c:pt>
                <c:pt idx="2">
                  <c:v>Vysokoškolský</c:v>
                </c:pt>
              </c:strCache>
            </c:strRef>
          </c:cat>
          <c:val>
            <c:numRef>
              <c:f>(VAV!$I$5;VAV!$I$11;VAV!$I$17)</c:f>
              <c:numCache>
                <c:formatCode>#,##0" "</c:formatCode>
                <c:ptCount val="3"/>
                <c:pt idx="0">
                  <c:v>25513.39480000002</c:v>
                </c:pt>
                <c:pt idx="1">
                  <c:v>534.49900000000002</c:v>
                </c:pt>
                <c:pt idx="2">
                  <c:v>158.41499999999999</c:v>
                </c:pt>
              </c:numCache>
            </c:numRef>
          </c:val>
        </c:ser>
        <c:ser>
          <c:idx val="1"/>
          <c:order val="1"/>
          <c:tx>
            <c:v>Soukromé zahraniční</c:v>
          </c:tx>
          <c:spPr>
            <a:solidFill>
              <a:srgbClr val="00B0F0"/>
            </a:solidFill>
          </c:spPr>
          <c:invertIfNegative val="0"/>
          <c:cat>
            <c:strRef>
              <c:f>(VAV!$A$4;VAV!$A$10;VAV!$A$16)</c:f>
              <c:strCache>
                <c:ptCount val="3"/>
                <c:pt idx="0">
                  <c:v>Podnikatelský</c:v>
                </c:pt>
                <c:pt idx="1">
                  <c:v>Vládní</c:v>
                </c:pt>
                <c:pt idx="2">
                  <c:v>Vysokoškolský</c:v>
                </c:pt>
              </c:strCache>
            </c:strRef>
          </c:cat>
          <c:val>
            <c:numRef>
              <c:f>(VAV!$I$6;VAV!$I$12;VAV!$I$18)</c:f>
              <c:numCache>
                <c:formatCode>#,##0" "</c:formatCode>
                <c:ptCount val="3"/>
                <c:pt idx="0">
                  <c:v>5953.5290900000009</c:v>
                </c:pt>
                <c:pt idx="1">
                  <c:v>1179.691</c:v>
                </c:pt>
                <c:pt idx="2">
                  <c:v>3</c:v>
                </c:pt>
              </c:numCache>
            </c:numRef>
          </c:val>
        </c:ser>
        <c:ser>
          <c:idx val="2"/>
          <c:order val="2"/>
          <c:tx>
            <c:v>Veřejné domácí</c:v>
          </c:tx>
          <c:spPr>
            <a:solidFill>
              <a:srgbClr val="00B050"/>
            </a:solidFill>
          </c:spPr>
          <c:invertIfNegative val="0"/>
          <c:cat>
            <c:strRef>
              <c:f>(VAV!$A$4;VAV!$A$10;VAV!$A$16)</c:f>
              <c:strCache>
                <c:ptCount val="3"/>
                <c:pt idx="0">
                  <c:v>Podnikatelský</c:v>
                </c:pt>
                <c:pt idx="1">
                  <c:v>Vládní</c:v>
                </c:pt>
                <c:pt idx="2">
                  <c:v>Vysokoškolský</c:v>
                </c:pt>
              </c:strCache>
            </c:strRef>
          </c:cat>
          <c:val>
            <c:numRef>
              <c:f>(VAV!$I$7;VAV!$I$13;VAV!$I$19)</c:f>
              <c:numCache>
                <c:formatCode>#,##0" "</c:formatCode>
                <c:ptCount val="3"/>
                <c:pt idx="0">
                  <c:v>5327.6870600000047</c:v>
                </c:pt>
                <c:pt idx="1">
                  <c:v>9483.1959999999963</c:v>
                </c:pt>
                <c:pt idx="2">
                  <c:v>11640.232999999989</c:v>
                </c:pt>
              </c:numCache>
            </c:numRef>
          </c:val>
        </c:ser>
        <c:ser>
          <c:idx val="3"/>
          <c:order val="3"/>
          <c:tx>
            <c:v>Veřejné zahraniční</c:v>
          </c:tx>
          <c:spPr>
            <a:solidFill>
              <a:srgbClr val="FFC000"/>
            </a:solidFill>
          </c:spPr>
          <c:invertIfNegative val="0"/>
          <c:cat>
            <c:strRef>
              <c:f>(VAV!$A$4;VAV!$A$10;VAV!$A$16)</c:f>
              <c:strCache>
                <c:ptCount val="3"/>
                <c:pt idx="0">
                  <c:v>Podnikatelský</c:v>
                </c:pt>
                <c:pt idx="1">
                  <c:v>Vládní</c:v>
                </c:pt>
                <c:pt idx="2">
                  <c:v>Vysokoškolský</c:v>
                </c:pt>
              </c:strCache>
            </c:strRef>
          </c:cat>
          <c:val>
            <c:numRef>
              <c:f>(VAV!$I$8;VAV!$I$14;VAV!$I$20)</c:f>
              <c:numCache>
                <c:formatCode>#,##0" "</c:formatCode>
                <c:ptCount val="3"/>
                <c:pt idx="0">
                  <c:v>1979.2783799999991</c:v>
                </c:pt>
                <c:pt idx="1">
                  <c:v>2118.366</c:v>
                </c:pt>
                <c:pt idx="2">
                  <c:v>7442.9139999999961</c:v>
                </c:pt>
              </c:numCache>
            </c:numRef>
          </c:val>
        </c:ser>
        <c:ser>
          <c:idx val="4"/>
          <c:order val="4"/>
          <c:tx>
            <c:v>Ostatní</c:v>
          </c:tx>
          <c:spPr>
            <a:solidFill>
              <a:schemeClr val="tx1"/>
            </a:solidFill>
          </c:spPr>
          <c:invertIfNegative val="0"/>
          <c:cat>
            <c:strRef>
              <c:f>(VAV!$A$4;VAV!$A$10;VAV!$A$16)</c:f>
              <c:strCache>
                <c:ptCount val="3"/>
                <c:pt idx="0">
                  <c:v>Podnikatelský</c:v>
                </c:pt>
                <c:pt idx="1">
                  <c:v>Vládní</c:v>
                </c:pt>
                <c:pt idx="2">
                  <c:v>Vysokoškolský</c:v>
                </c:pt>
              </c:strCache>
            </c:strRef>
          </c:cat>
          <c:val>
            <c:numRef>
              <c:f>(VAV!$I$9;VAV!$I$15;VAV!$I$21)</c:f>
              <c:numCache>
                <c:formatCode>#,##0" "</c:formatCode>
                <c:ptCount val="3"/>
                <c:pt idx="0">
                  <c:v>16.29243</c:v>
                </c:pt>
                <c:pt idx="1">
                  <c:v>6.4459999999999997</c:v>
                </c:pt>
                <c:pt idx="2">
                  <c:v>633.97099999999966</c:v>
                </c:pt>
              </c:numCache>
            </c:numRef>
          </c:val>
        </c:ser>
        <c:dLbls>
          <c:showLegendKey val="0"/>
          <c:showVal val="0"/>
          <c:showCatName val="0"/>
          <c:showSerName val="0"/>
          <c:showPercent val="0"/>
          <c:showBubbleSize val="0"/>
        </c:dLbls>
        <c:gapWidth val="75"/>
        <c:overlap val="100"/>
        <c:axId val="288595328"/>
        <c:axId val="289023104"/>
      </c:barChart>
      <c:catAx>
        <c:axId val="288595328"/>
        <c:scaling>
          <c:orientation val="minMax"/>
        </c:scaling>
        <c:delete val="0"/>
        <c:axPos val="b"/>
        <c:majorTickMark val="none"/>
        <c:minorTickMark val="none"/>
        <c:tickLblPos val="nextTo"/>
        <c:crossAx val="289023104"/>
        <c:crosses val="autoZero"/>
        <c:auto val="1"/>
        <c:lblAlgn val="ctr"/>
        <c:lblOffset val="100"/>
        <c:noMultiLvlLbl val="0"/>
      </c:catAx>
      <c:valAx>
        <c:axId val="289023104"/>
        <c:scaling>
          <c:orientation val="minMax"/>
        </c:scaling>
        <c:delete val="0"/>
        <c:axPos val="l"/>
        <c:majorGridlines/>
        <c:numFmt formatCode="0%" sourceLinked="1"/>
        <c:majorTickMark val="none"/>
        <c:minorTickMark val="none"/>
        <c:tickLblPos val="nextTo"/>
        <c:spPr>
          <a:ln w="9525">
            <a:noFill/>
          </a:ln>
        </c:spPr>
        <c:crossAx val="288595328"/>
        <c:crosses val="autoZero"/>
        <c:crossBetween val="between"/>
      </c:valAx>
    </c:plotArea>
    <c:legend>
      <c:legendPos val="b"/>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169345567341301"/>
          <c:y val="4.9831775965167698E-2"/>
          <c:w val="0.84406412008416298"/>
          <c:h val="0.70625237501877902"/>
        </c:manualLayout>
      </c:layout>
      <c:barChart>
        <c:barDir val="col"/>
        <c:grouping val="clustered"/>
        <c:varyColors val="0"/>
        <c:ser>
          <c:idx val="0"/>
          <c:order val="0"/>
          <c:invertIfNegative val="0"/>
          <c:dPt>
            <c:idx val="0"/>
            <c:invertIfNegative val="0"/>
            <c:bubble3D val="0"/>
            <c:spPr>
              <a:solidFill>
                <a:srgbClr val="FFC000"/>
              </a:solidFill>
            </c:spPr>
          </c:dPt>
          <c:dPt>
            <c:idx val="1"/>
            <c:invertIfNegative val="0"/>
            <c:bubble3D val="0"/>
            <c:spPr>
              <a:solidFill>
                <a:srgbClr val="FFC000"/>
              </a:solidFill>
            </c:spPr>
          </c:dPt>
          <c:dPt>
            <c:idx val="2"/>
            <c:invertIfNegative val="0"/>
            <c:bubble3D val="0"/>
            <c:spPr>
              <a:solidFill>
                <a:srgbClr val="FFC000"/>
              </a:solidFill>
            </c:spPr>
          </c:dPt>
          <c:dPt>
            <c:idx val="3"/>
            <c:invertIfNegative val="0"/>
            <c:bubble3D val="0"/>
            <c:spPr>
              <a:solidFill>
                <a:srgbClr val="FF0000"/>
              </a:solidFill>
            </c:spPr>
          </c:dPt>
          <c:dPt>
            <c:idx val="4"/>
            <c:invertIfNegative val="0"/>
            <c:bubble3D val="0"/>
            <c:spPr>
              <a:solidFill>
                <a:srgbClr val="FF0000"/>
              </a:solidFill>
            </c:spPr>
          </c:dPt>
          <c:dPt>
            <c:idx val="5"/>
            <c:invertIfNegative val="0"/>
            <c:bubble3D val="0"/>
            <c:spPr>
              <a:solidFill>
                <a:srgbClr val="FF0000"/>
              </a:solidFill>
            </c:spPr>
          </c:dPt>
          <c:dPt>
            <c:idx val="6"/>
            <c:invertIfNegative val="0"/>
            <c:bubble3D val="0"/>
            <c:spPr>
              <a:solidFill>
                <a:srgbClr val="FF0000"/>
              </a:solidFill>
            </c:spPr>
          </c:dPt>
          <c:dPt>
            <c:idx val="7"/>
            <c:invertIfNegative val="0"/>
            <c:bubble3D val="0"/>
            <c:spPr>
              <a:solidFill>
                <a:srgbClr val="FF0000"/>
              </a:solidFill>
            </c:spPr>
          </c:dPt>
          <c:dPt>
            <c:idx val="8"/>
            <c:invertIfNegative val="0"/>
            <c:bubble3D val="0"/>
            <c:spPr>
              <a:solidFill>
                <a:srgbClr val="FF0000"/>
              </a:solidFill>
            </c:spPr>
          </c:dPt>
          <c:dPt>
            <c:idx val="9"/>
            <c:invertIfNegative val="0"/>
            <c:bubble3D val="0"/>
            <c:spPr>
              <a:solidFill>
                <a:srgbClr val="FF0000"/>
              </a:solidFill>
            </c:spPr>
          </c:dPt>
          <c:dPt>
            <c:idx val="10"/>
            <c:invertIfNegative val="0"/>
            <c:bubble3D val="0"/>
            <c:spPr>
              <a:solidFill>
                <a:srgbClr val="FF0000"/>
              </a:solidFill>
            </c:spPr>
          </c:dPt>
          <c:dPt>
            <c:idx val="11"/>
            <c:invertIfNegative val="0"/>
            <c:bubble3D val="0"/>
            <c:spPr>
              <a:solidFill>
                <a:srgbClr val="FF0000"/>
              </a:solidFill>
            </c:spPr>
          </c:dPt>
          <c:dPt>
            <c:idx val="12"/>
            <c:invertIfNegative val="0"/>
            <c:bubble3D val="0"/>
            <c:spPr>
              <a:solidFill>
                <a:srgbClr val="FF0000"/>
              </a:solidFill>
              <a:ln w="12700">
                <a:noFill/>
              </a:ln>
            </c:spPr>
          </c:dPt>
          <c:dPt>
            <c:idx val="13"/>
            <c:invertIfNegative val="0"/>
            <c:bubble3D val="0"/>
            <c:spPr>
              <a:solidFill>
                <a:srgbClr val="FF0000"/>
              </a:solidFill>
            </c:spPr>
          </c:dPt>
          <c:dPt>
            <c:idx val="14"/>
            <c:invertIfNegative val="0"/>
            <c:bubble3D val="0"/>
            <c:spPr>
              <a:solidFill>
                <a:srgbClr val="0070C0"/>
              </a:solidFill>
            </c:spPr>
          </c:dPt>
          <c:dPt>
            <c:idx val="15"/>
            <c:invertIfNegative val="0"/>
            <c:bubble3D val="0"/>
            <c:spPr>
              <a:solidFill>
                <a:srgbClr val="0070C0"/>
              </a:solidFill>
            </c:spPr>
          </c:dPt>
          <c:dPt>
            <c:idx val="16"/>
            <c:invertIfNegative val="0"/>
            <c:bubble3D val="0"/>
            <c:spPr>
              <a:solidFill>
                <a:srgbClr val="0070C0"/>
              </a:solidFill>
            </c:spPr>
          </c:dPt>
          <c:dPt>
            <c:idx val="17"/>
            <c:invertIfNegative val="0"/>
            <c:bubble3D val="0"/>
            <c:spPr>
              <a:solidFill>
                <a:schemeClr val="tx1"/>
              </a:solidFill>
            </c:spPr>
          </c:dPt>
          <c:dPt>
            <c:idx val="18"/>
            <c:invertIfNegative val="0"/>
            <c:bubble3D val="0"/>
            <c:spPr>
              <a:solidFill>
                <a:srgbClr val="0070C0"/>
              </a:solidFill>
            </c:spPr>
          </c:dPt>
          <c:dPt>
            <c:idx val="19"/>
            <c:invertIfNegative val="0"/>
            <c:bubble3D val="0"/>
            <c:spPr>
              <a:solidFill>
                <a:srgbClr val="0070C0"/>
              </a:solidFill>
            </c:spPr>
          </c:dPt>
          <c:dPt>
            <c:idx val="20"/>
            <c:invertIfNegative val="0"/>
            <c:bubble3D val="0"/>
            <c:spPr>
              <a:solidFill>
                <a:srgbClr val="0070C0"/>
              </a:solidFill>
            </c:spPr>
          </c:dPt>
          <c:dPt>
            <c:idx val="21"/>
            <c:invertIfNegative val="0"/>
            <c:bubble3D val="0"/>
            <c:spPr>
              <a:solidFill>
                <a:srgbClr val="0070C0"/>
              </a:solidFill>
            </c:spPr>
          </c:dPt>
          <c:dPt>
            <c:idx val="22"/>
            <c:invertIfNegative val="0"/>
            <c:bubble3D val="0"/>
            <c:spPr>
              <a:solidFill>
                <a:srgbClr val="0070C0"/>
              </a:solidFill>
            </c:spPr>
          </c:dPt>
          <c:dPt>
            <c:idx val="23"/>
            <c:invertIfNegative val="0"/>
            <c:bubble3D val="0"/>
            <c:spPr>
              <a:solidFill>
                <a:srgbClr val="0070C0"/>
              </a:solidFill>
            </c:spPr>
          </c:dPt>
          <c:dPt>
            <c:idx val="24"/>
            <c:invertIfNegative val="0"/>
            <c:bubble3D val="0"/>
            <c:spPr>
              <a:solidFill>
                <a:srgbClr val="0070C0"/>
              </a:solidFill>
            </c:spPr>
          </c:dPt>
          <c:dPt>
            <c:idx val="25"/>
            <c:invertIfNegative val="0"/>
            <c:bubble3D val="0"/>
            <c:spPr>
              <a:solidFill>
                <a:srgbClr val="00B050"/>
              </a:solidFill>
            </c:spPr>
          </c:dPt>
          <c:dPt>
            <c:idx val="26"/>
            <c:invertIfNegative val="0"/>
            <c:bubble3D val="0"/>
            <c:spPr>
              <a:solidFill>
                <a:srgbClr val="00B050"/>
              </a:solidFill>
            </c:spPr>
          </c:dPt>
          <c:dPt>
            <c:idx val="27"/>
            <c:invertIfNegative val="0"/>
            <c:bubble3D val="0"/>
            <c:spPr>
              <a:solidFill>
                <a:srgbClr val="00B050"/>
              </a:solidFill>
            </c:spPr>
          </c:dPt>
          <c:dPt>
            <c:idx val="28"/>
            <c:invertIfNegative val="0"/>
            <c:bubble3D val="0"/>
            <c:spPr>
              <a:solidFill>
                <a:srgbClr val="00B050"/>
              </a:solidFill>
            </c:spPr>
          </c:dPt>
          <c:cat>
            <c:strRef>
              <c:f>List4!$A$2:$A$30</c:f>
              <c:strCache>
                <c:ptCount val="29"/>
                <c:pt idx="0">
                  <c:v>BG</c:v>
                </c:pt>
                <c:pt idx="1">
                  <c:v>LV</c:v>
                </c:pt>
                <c:pt idx="2">
                  <c:v>RO</c:v>
                </c:pt>
                <c:pt idx="3">
                  <c:v>PL</c:v>
                </c:pt>
                <c:pt idx="4">
                  <c:v>LT</c:v>
                </c:pt>
                <c:pt idx="5">
                  <c:v>HR</c:v>
                </c:pt>
                <c:pt idx="6">
                  <c:v>MT</c:v>
                </c:pt>
                <c:pt idx="7">
                  <c:v>SK</c:v>
                </c:pt>
                <c:pt idx="8">
                  <c:v>HU</c:v>
                </c:pt>
                <c:pt idx="9">
                  <c:v>EL</c:v>
                </c:pt>
                <c:pt idx="10">
                  <c:v>PT</c:v>
                </c:pt>
                <c:pt idx="11">
                  <c:v>ES</c:v>
                </c:pt>
                <c:pt idx="12">
                  <c:v>CZ</c:v>
                </c:pt>
                <c:pt idx="13">
                  <c:v>IT</c:v>
                </c:pt>
                <c:pt idx="14">
                  <c:v>CY</c:v>
                </c:pt>
                <c:pt idx="15">
                  <c:v>EE</c:v>
                </c:pt>
                <c:pt idx="16">
                  <c:v>SI</c:v>
                </c:pt>
                <c:pt idx="17">
                  <c:v>EU</c:v>
                </c:pt>
                <c:pt idx="18">
                  <c:v>FR</c:v>
                </c:pt>
                <c:pt idx="19">
                  <c:v>AT</c:v>
                </c:pt>
                <c:pt idx="20">
                  <c:v>IE</c:v>
                </c:pt>
                <c:pt idx="21">
                  <c:v>UK</c:v>
                </c:pt>
                <c:pt idx="22">
                  <c:v>BE</c:v>
                </c:pt>
                <c:pt idx="23">
                  <c:v>NL</c:v>
                </c:pt>
                <c:pt idx="24">
                  <c:v>LU</c:v>
                </c:pt>
                <c:pt idx="25">
                  <c:v>FI</c:v>
                </c:pt>
                <c:pt idx="26">
                  <c:v>DE</c:v>
                </c:pt>
                <c:pt idx="27">
                  <c:v>DK</c:v>
                </c:pt>
                <c:pt idx="28">
                  <c:v>SE</c:v>
                </c:pt>
              </c:strCache>
            </c:strRef>
          </c:cat>
          <c:val>
            <c:numRef>
              <c:f>List4!$B$2:$B$30</c:f>
              <c:numCache>
                <c:formatCode>0.000</c:formatCode>
                <c:ptCount val="29"/>
                <c:pt idx="0">
                  <c:v>0.18808550037335101</c:v>
                </c:pt>
                <c:pt idx="1">
                  <c:v>0.22098977399603301</c:v>
                </c:pt>
                <c:pt idx="2">
                  <c:v>0.23675015023881699</c:v>
                </c:pt>
                <c:pt idx="3">
                  <c:v>0.279459435889712</c:v>
                </c:pt>
                <c:pt idx="4">
                  <c:v>0.28855554948165701</c:v>
                </c:pt>
                <c:pt idx="5">
                  <c:v>0.30594849856383199</c:v>
                </c:pt>
                <c:pt idx="6">
                  <c:v>0.31915428439737398</c:v>
                </c:pt>
                <c:pt idx="7">
                  <c:v>0.32839909699738301</c:v>
                </c:pt>
                <c:pt idx="8">
                  <c:v>0.35143812671514102</c:v>
                </c:pt>
                <c:pt idx="9">
                  <c:v>0.38441011607827702</c:v>
                </c:pt>
                <c:pt idx="10">
                  <c:v>0.409612768626265</c:v>
                </c:pt>
                <c:pt idx="11">
                  <c:v>0.41384187505748998</c:v>
                </c:pt>
                <c:pt idx="12">
                  <c:v>0.42178993919841501</c:v>
                </c:pt>
                <c:pt idx="13">
                  <c:v>0.442923105225003</c:v>
                </c:pt>
                <c:pt idx="14">
                  <c:v>0.50068190831830595</c:v>
                </c:pt>
                <c:pt idx="15">
                  <c:v>0.50216944913373995</c:v>
                </c:pt>
                <c:pt idx="16">
                  <c:v>0.51275681814675</c:v>
                </c:pt>
                <c:pt idx="17">
                  <c:v>0.55386229818231403</c:v>
                </c:pt>
                <c:pt idx="18">
                  <c:v>0.57074033912856004</c:v>
                </c:pt>
                <c:pt idx="19">
                  <c:v>0.59909146637092603</c:v>
                </c:pt>
                <c:pt idx="20">
                  <c:v>0.60587268248579695</c:v>
                </c:pt>
                <c:pt idx="21">
                  <c:v>0.61296170133263805</c:v>
                </c:pt>
                <c:pt idx="22">
                  <c:v>0.62700206454644802</c:v>
                </c:pt>
                <c:pt idx="23">
                  <c:v>0.62886710482651298</c:v>
                </c:pt>
                <c:pt idx="24">
                  <c:v>0.64599300080998401</c:v>
                </c:pt>
                <c:pt idx="25">
                  <c:v>0.68370264737159003</c:v>
                </c:pt>
                <c:pt idx="26">
                  <c:v>0.70876573464082104</c:v>
                </c:pt>
                <c:pt idx="27">
                  <c:v>0.72829263647188003</c:v>
                </c:pt>
                <c:pt idx="28">
                  <c:v>0.75018579329785695</c:v>
                </c:pt>
              </c:numCache>
            </c:numRef>
          </c:val>
        </c:ser>
        <c:dLbls>
          <c:showLegendKey val="0"/>
          <c:showVal val="0"/>
          <c:showCatName val="0"/>
          <c:showSerName val="0"/>
          <c:showPercent val="0"/>
          <c:showBubbleSize val="0"/>
        </c:dLbls>
        <c:gapWidth val="75"/>
        <c:overlap val="-25"/>
        <c:axId val="289075968"/>
        <c:axId val="289077504"/>
      </c:barChart>
      <c:catAx>
        <c:axId val="289075968"/>
        <c:scaling>
          <c:orientation val="minMax"/>
        </c:scaling>
        <c:delete val="0"/>
        <c:axPos val="b"/>
        <c:majorTickMark val="none"/>
        <c:minorTickMark val="none"/>
        <c:tickLblPos val="nextTo"/>
        <c:txPr>
          <a:bodyPr/>
          <a:lstStyle/>
          <a:p>
            <a:pPr>
              <a:defRPr sz="800"/>
            </a:pPr>
            <a:endParaRPr lang="cs-CZ"/>
          </a:p>
        </c:txPr>
        <c:crossAx val="289077504"/>
        <c:crosses val="autoZero"/>
        <c:auto val="1"/>
        <c:lblAlgn val="ctr"/>
        <c:lblOffset val="100"/>
        <c:noMultiLvlLbl val="0"/>
      </c:catAx>
      <c:valAx>
        <c:axId val="289077504"/>
        <c:scaling>
          <c:orientation val="minMax"/>
        </c:scaling>
        <c:delete val="0"/>
        <c:axPos val="l"/>
        <c:majorGridlines/>
        <c:title>
          <c:tx>
            <c:rich>
              <a:bodyPr rot="-5400000" vert="horz"/>
              <a:lstStyle/>
              <a:p>
                <a:pPr>
                  <a:defRPr/>
                </a:pPr>
                <a:r>
                  <a:rPr lang="cs-CZ"/>
                  <a:t>Inovační index</a:t>
                </a:r>
              </a:p>
            </c:rich>
          </c:tx>
          <c:overlay val="0"/>
        </c:title>
        <c:numFmt formatCode="0.000" sourceLinked="1"/>
        <c:majorTickMark val="none"/>
        <c:minorTickMark val="none"/>
        <c:tickLblPos val="nextTo"/>
        <c:spPr>
          <a:ln w="9525">
            <a:noFill/>
          </a:ln>
        </c:spPr>
        <c:crossAx val="289075968"/>
        <c:crosses val="autoZero"/>
        <c:crossBetween val="between"/>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57150">
              <a:solidFill>
                <a:srgbClr val="FF0000"/>
              </a:solidFill>
            </a:ln>
          </c:spPr>
          <c:marker>
            <c:symbol val="none"/>
          </c:marker>
          <c:cat>
            <c:numRef>
              <c:f>List1!$B$1:$BT$1</c:f>
              <c:numCache>
                <c:formatCode>General</c:formatCode>
                <c:ptCount val="71"/>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pt idx="15">
                  <c:v>2025</c:v>
                </c:pt>
                <c:pt idx="16">
                  <c:v>2026</c:v>
                </c:pt>
                <c:pt idx="17">
                  <c:v>2027</c:v>
                </c:pt>
                <c:pt idx="18">
                  <c:v>2028</c:v>
                </c:pt>
                <c:pt idx="19">
                  <c:v>2029</c:v>
                </c:pt>
                <c:pt idx="20">
                  <c:v>2030</c:v>
                </c:pt>
                <c:pt idx="21">
                  <c:v>2031</c:v>
                </c:pt>
                <c:pt idx="22">
                  <c:v>2032</c:v>
                </c:pt>
                <c:pt idx="23">
                  <c:v>2033</c:v>
                </c:pt>
                <c:pt idx="24">
                  <c:v>2034</c:v>
                </c:pt>
                <c:pt idx="25">
                  <c:v>2035</c:v>
                </c:pt>
                <c:pt idx="26">
                  <c:v>2036</c:v>
                </c:pt>
                <c:pt idx="27">
                  <c:v>2037</c:v>
                </c:pt>
                <c:pt idx="28">
                  <c:v>2038</c:v>
                </c:pt>
                <c:pt idx="29">
                  <c:v>2039</c:v>
                </c:pt>
                <c:pt idx="30">
                  <c:v>2040</c:v>
                </c:pt>
                <c:pt idx="31">
                  <c:v>2041</c:v>
                </c:pt>
                <c:pt idx="32">
                  <c:v>2042</c:v>
                </c:pt>
                <c:pt idx="33">
                  <c:v>2043</c:v>
                </c:pt>
                <c:pt idx="34">
                  <c:v>2044</c:v>
                </c:pt>
                <c:pt idx="35">
                  <c:v>2045</c:v>
                </c:pt>
                <c:pt idx="36">
                  <c:v>2046</c:v>
                </c:pt>
                <c:pt idx="37">
                  <c:v>2047</c:v>
                </c:pt>
                <c:pt idx="38">
                  <c:v>2048</c:v>
                </c:pt>
                <c:pt idx="39">
                  <c:v>2049</c:v>
                </c:pt>
                <c:pt idx="40">
                  <c:v>2050</c:v>
                </c:pt>
                <c:pt idx="41">
                  <c:v>2051</c:v>
                </c:pt>
                <c:pt idx="42">
                  <c:v>2052</c:v>
                </c:pt>
                <c:pt idx="43">
                  <c:v>2053</c:v>
                </c:pt>
                <c:pt idx="44">
                  <c:v>2054</c:v>
                </c:pt>
                <c:pt idx="45">
                  <c:v>2055</c:v>
                </c:pt>
                <c:pt idx="46">
                  <c:v>2056</c:v>
                </c:pt>
                <c:pt idx="47">
                  <c:v>2057</c:v>
                </c:pt>
                <c:pt idx="48">
                  <c:v>2058</c:v>
                </c:pt>
                <c:pt idx="49">
                  <c:v>2059</c:v>
                </c:pt>
                <c:pt idx="50">
                  <c:v>2060</c:v>
                </c:pt>
                <c:pt idx="51">
                  <c:v>2061</c:v>
                </c:pt>
                <c:pt idx="52">
                  <c:v>2062</c:v>
                </c:pt>
                <c:pt idx="53">
                  <c:v>2063</c:v>
                </c:pt>
                <c:pt idx="54">
                  <c:v>2064</c:v>
                </c:pt>
                <c:pt idx="55">
                  <c:v>2065</c:v>
                </c:pt>
                <c:pt idx="56">
                  <c:v>2066</c:v>
                </c:pt>
                <c:pt idx="57">
                  <c:v>2067</c:v>
                </c:pt>
                <c:pt idx="58">
                  <c:v>2068</c:v>
                </c:pt>
                <c:pt idx="59">
                  <c:v>2069</c:v>
                </c:pt>
                <c:pt idx="60">
                  <c:v>2070</c:v>
                </c:pt>
                <c:pt idx="61">
                  <c:v>2071</c:v>
                </c:pt>
                <c:pt idx="62">
                  <c:v>2072</c:v>
                </c:pt>
                <c:pt idx="63">
                  <c:v>2073</c:v>
                </c:pt>
                <c:pt idx="64">
                  <c:v>2074</c:v>
                </c:pt>
                <c:pt idx="65">
                  <c:v>2075</c:v>
                </c:pt>
                <c:pt idx="66">
                  <c:v>2076</c:v>
                </c:pt>
                <c:pt idx="67">
                  <c:v>2077</c:v>
                </c:pt>
                <c:pt idx="68">
                  <c:v>2078</c:v>
                </c:pt>
                <c:pt idx="69">
                  <c:v>2079</c:v>
                </c:pt>
                <c:pt idx="70">
                  <c:v>2080</c:v>
                </c:pt>
              </c:numCache>
            </c:numRef>
          </c:cat>
          <c:val>
            <c:numRef>
              <c:f>List1!$B$2:$BT$2</c:f>
              <c:numCache>
                <c:formatCode>General</c:formatCode>
                <c:ptCount val="71"/>
                <c:pt idx="0">
                  <c:v>-0.96394252270954905</c:v>
                </c:pt>
                <c:pt idx="1">
                  <c:v>-1.174146160961103</c:v>
                </c:pt>
                <c:pt idx="2" formatCode="#,##0.00">
                  <c:v>-1.320785051398871</c:v>
                </c:pt>
                <c:pt idx="3" formatCode="#,##0.00">
                  <c:v>-1.156308860583799</c:v>
                </c:pt>
                <c:pt idx="4" formatCode="#,##0.00">
                  <c:v>-0.97541684956034902</c:v>
                </c:pt>
                <c:pt idx="5" formatCode="#,##0.00">
                  <c:v>-0.87288901203380898</c:v>
                </c:pt>
                <c:pt idx="6" formatCode="#,##0.00">
                  <c:v>-0.689211314961372</c:v>
                </c:pt>
                <c:pt idx="7" formatCode="#,##0.00">
                  <c:v>-0.55256691983824902</c:v>
                </c:pt>
                <c:pt idx="8" formatCode="#,##0.00">
                  <c:v>-0.52011778644907602</c:v>
                </c:pt>
                <c:pt idx="9" formatCode="#,##0.00">
                  <c:v>-0.41281368839667099</c:v>
                </c:pt>
                <c:pt idx="10" formatCode="#,##0.00">
                  <c:v>-0.41476375525370801</c:v>
                </c:pt>
                <c:pt idx="11" formatCode="#,##0.00">
                  <c:v>-0.31045469132090198</c:v>
                </c:pt>
                <c:pt idx="12" formatCode="#,##0.00">
                  <c:v>-0.27275677288661399</c:v>
                </c:pt>
                <c:pt idx="13" formatCode="#,##0.00">
                  <c:v>-0.18777824505898999</c:v>
                </c:pt>
                <c:pt idx="14" formatCode="#,##0.00">
                  <c:v>-0.16715920835763201</c:v>
                </c:pt>
                <c:pt idx="15" formatCode="#,##0.00">
                  <c:v>-8.1734139936813693E-2</c:v>
                </c:pt>
                <c:pt idx="16" formatCode="#,##0.00">
                  <c:v>-1.1851361397196499E-2</c:v>
                </c:pt>
                <c:pt idx="17" formatCode="#,##0.00">
                  <c:v>9.7528461607977499E-2</c:v>
                </c:pt>
                <c:pt idx="18" formatCode="#,##0.00">
                  <c:v>0.11472212482774299</c:v>
                </c:pt>
                <c:pt idx="19" formatCode="#,##0.00">
                  <c:v>0.174960410611633</c:v>
                </c:pt>
                <c:pt idx="20" formatCode="#,##0.00">
                  <c:v>0.23649620954176101</c:v>
                </c:pt>
                <c:pt idx="21" formatCode="#,##0.00">
                  <c:v>0.33261087687261298</c:v>
                </c:pt>
                <c:pt idx="22" formatCode="#,##0.00">
                  <c:v>0.37030988001024101</c:v>
                </c:pt>
                <c:pt idx="23" formatCode="#,##0.00">
                  <c:v>0.42780974301089297</c:v>
                </c:pt>
                <c:pt idx="24" formatCode="#,##0.00">
                  <c:v>0.46920956052371299</c:v>
                </c:pt>
                <c:pt idx="25" formatCode="#,##0.00">
                  <c:v>0.48566911425761</c:v>
                </c:pt>
                <c:pt idx="26" formatCode="#,##0.00">
                  <c:v>0.45297777530212602</c:v>
                </c:pt>
                <c:pt idx="27" formatCode="#,##0.00">
                  <c:v>0.38268255409555102</c:v>
                </c:pt>
                <c:pt idx="28" formatCode="#,##0.00">
                  <c:v>0.35050509645872102</c:v>
                </c:pt>
                <c:pt idx="29" formatCode="#,##0.00">
                  <c:v>0.22812824015201399</c:v>
                </c:pt>
                <c:pt idx="30" formatCode="#,##0.00">
                  <c:v>9.3669618768356805E-2</c:v>
                </c:pt>
                <c:pt idx="31" formatCode="#,##0.00">
                  <c:v>9.6259196122837704E-2</c:v>
                </c:pt>
                <c:pt idx="32" formatCode="#,##0.00">
                  <c:v>-5.58330599797809E-2</c:v>
                </c:pt>
                <c:pt idx="33" formatCode="#,##0.00">
                  <c:v>-0.16120799155392601</c:v>
                </c:pt>
                <c:pt idx="34" formatCode="#,##0.00">
                  <c:v>-0.36085854079034702</c:v>
                </c:pt>
                <c:pt idx="35" formatCode="#,##0.00">
                  <c:v>-0.49811275023005003</c:v>
                </c:pt>
                <c:pt idx="36" formatCode="#,##0.00">
                  <c:v>-0.65269127214575395</c:v>
                </c:pt>
                <c:pt idx="37" formatCode="#,##0.00">
                  <c:v>-0.75841663655003</c:v>
                </c:pt>
                <c:pt idx="38" formatCode="#,##0.00">
                  <c:v>-0.78904352615334405</c:v>
                </c:pt>
                <c:pt idx="39" formatCode="#,##0.00">
                  <c:v>-0.86501386938240599</c:v>
                </c:pt>
                <c:pt idx="40" formatCode="#,##0.00">
                  <c:v>-0.87373926132512503</c:v>
                </c:pt>
                <c:pt idx="41" formatCode="#,##0.00">
                  <c:v>-0.93718813940259704</c:v>
                </c:pt>
                <c:pt idx="42" formatCode="#,##0.00">
                  <c:v>-1.022907711429464</c:v>
                </c:pt>
                <c:pt idx="43" formatCode="#,##0.00">
                  <c:v>-1.098995569776992</c:v>
                </c:pt>
                <c:pt idx="44" formatCode="#,##0.00">
                  <c:v>-1.0934455502949361</c:v>
                </c:pt>
                <c:pt idx="45" formatCode="#,##0.00">
                  <c:v>-1.1402315692932701</c:v>
                </c:pt>
                <c:pt idx="46" formatCode="#,##0.00">
                  <c:v>-1.1552387253535621</c:v>
                </c:pt>
                <c:pt idx="47" formatCode="#,##0.00">
                  <c:v>-1.2212174563000791</c:v>
                </c:pt>
                <c:pt idx="48" formatCode="#,##0.00">
                  <c:v>-1.275607099110291</c:v>
                </c:pt>
                <c:pt idx="49" formatCode="#,##0.00">
                  <c:v>-1.350074817929324</c:v>
                </c:pt>
                <c:pt idx="50" formatCode="#,##0.00">
                  <c:v>-1.4275196152506491</c:v>
                </c:pt>
                <c:pt idx="51" formatCode="#,##0.00">
                  <c:v>-1.4227959051274801</c:v>
                </c:pt>
                <c:pt idx="52" formatCode="#,##0.00">
                  <c:v>-1.3222289197933179</c:v>
                </c:pt>
                <c:pt idx="53" formatCode="#,##0.00">
                  <c:v>-1.3025336150738609</c:v>
                </c:pt>
                <c:pt idx="54" formatCode="#,##0.00">
                  <c:v>-1.208054945562707</c:v>
                </c:pt>
                <c:pt idx="55" formatCode="#,##0.00">
                  <c:v>-1.153528241517364</c:v>
                </c:pt>
                <c:pt idx="56" formatCode="#,##0.00">
                  <c:v>-1.137809324095576</c:v>
                </c:pt>
                <c:pt idx="57" formatCode="#,##0.00">
                  <c:v>-1.029714581529102</c:v>
                </c:pt>
                <c:pt idx="58" formatCode="#,##0.00">
                  <c:v>-0.92394473464913396</c:v>
                </c:pt>
                <c:pt idx="59" formatCode="#,##0.00">
                  <c:v>-0.89211713363548795</c:v>
                </c:pt>
                <c:pt idx="60" formatCode="#,##0.00">
                  <c:v>-0.86649272604976202</c:v>
                </c:pt>
                <c:pt idx="61" formatCode="#,##0.00">
                  <c:v>-0.85939688235642397</c:v>
                </c:pt>
                <c:pt idx="62" formatCode="#,##0.00">
                  <c:v>-0.90593173031959895</c:v>
                </c:pt>
                <c:pt idx="63" formatCode="#,##0.00">
                  <c:v>-0.88000410656592298</c:v>
                </c:pt>
                <c:pt idx="64" formatCode="#,##0.00">
                  <c:v>-0.87507300609998795</c:v>
                </c:pt>
                <c:pt idx="65" formatCode="#,##0.00">
                  <c:v>-0.831069197276331</c:v>
                </c:pt>
                <c:pt idx="66" formatCode="#,##0.00">
                  <c:v>-0.86217619138354895</c:v>
                </c:pt>
                <c:pt idx="67" formatCode="#,##0.00">
                  <c:v>-0.78859398722513896</c:v>
                </c:pt>
                <c:pt idx="68" formatCode="#,##0.00">
                  <c:v>-0.83175927587166598</c:v>
                </c:pt>
                <c:pt idx="69" formatCode="#,##0.00">
                  <c:v>-0.90123777849672704</c:v>
                </c:pt>
                <c:pt idx="70" formatCode="#,##0.00">
                  <c:v>-1.0647529861246461</c:v>
                </c:pt>
              </c:numCache>
            </c:numRef>
          </c:val>
          <c:smooth val="0"/>
        </c:ser>
        <c:dLbls>
          <c:showLegendKey val="0"/>
          <c:showVal val="0"/>
          <c:showCatName val="0"/>
          <c:showSerName val="0"/>
          <c:showPercent val="0"/>
          <c:showBubbleSize val="0"/>
        </c:dLbls>
        <c:marker val="1"/>
        <c:smooth val="0"/>
        <c:axId val="282832256"/>
        <c:axId val="282842240"/>
      </c:lineChart>
      <c:catAx>
        <c:axId val="282832256"/>
        <c:scaling>
          <c:orientation val="minMax"/>
        </c:scaling>
        <c:delete val="0"/>
        <c:axPos val="b"/>
        <c:numFmt formatCode="General" sourceLinked="1"/>
        <c:majorTickMark val="cross"/>
        <c:minorTickMark val="none"/>
        <c:tickLblPos val="nextTo"/>
        <c:crossAx val="282842240"/>
        <c:crossesAt val="-2"/>
        <c:auto val="1"/>
        <c:lblAlgn val="ctr"/>
        <c:lblOffset val="100"/>
        <c:tickLblSkip val="5"/>
        <c:tickMarkSkip val="5"/>
        <c:noMultiLvlLbl val="0"/>
      </c:catAx>
      <c:valAx>
        <c:axId val="282842240"/>
        <c:scaling>
          <c:orientation val="minMax"/>
          <c:max val="0.5"/>
          <c:min val="-1.5"/>
        </c:scaling>
        <c:delete val="0"/>
        <c:axPos val="l"/>
        <c:majorGridlines/>
        <c:title>
          <c:tx>
            <c:rich>
              <a:bodyPr/>
              <a:lstStyle/>
              <a:p>
                <a:pPr>
                  <a:defRPr/>
                </a:pPr>
                <a:r>
                  <a:rPr lang="cs-CZ" sz="1100" b="1" i="0" u="none" strike="noStrike" baseline="0">
                    <a:effectLst/>
                  </a:rPr>
                  <a:t>% HDP</a:t>
                </a:r>
                <a:endParaRPr lang="cs-CZ"/>
              </a:p>
            </c:rich>
          </c:tx>
          <c:layout/>
          <c:overlay val="0"/>
        </c:title>
        <c:numFmt formatCode="General" sourceLinked="1"/>
        <c:majorTickMark val="none"/>
        <c:minorTickMark val="none"/>
        <c:tickLblPos val="nextTo"/>
        <c:txPr>
          <a:bodyPr/>
          <a:lstStyle/>
          <a:p>
            <a:pPr>
              <a:defRPr sz="1100"/>
            </a:pPr>
            <a:endParaRPr lang="cs-CZ"/>
          </a:p>
        </c:txPr>
        <c:crossAx val="282832256"/>
        <c:crosses val="autoZero"/>
        <c:crossBetween val="between"/>
      </c:valAx>
    </c:plotArea>
    <c:plotVisOnly val="1"/>
    <c:dispBlanksAs val="gap"/>
    <c:showDLblsOverMax val="0"/>
  </c:chart>
  <c:txPr>
    <a:bodyPr/>
    <a:lstStyle/>
    <a:p>
      <a:pPr>
        <a:defRPr sz="1100"/>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barChart>
        <c:barDir val="col"/>
        <c:grouping val="stacked"/>
        <c:varyColors val="0"/>
        <c:ser>
          <c:idx val="0"/>
          <c:order val="0"/>
          <c:tx>
            <c:v>Do 25 let</c:v>
          </c:tx>
          <c:spPr>
            <a:solidFill>
              <a:srgbClr val="FF0000"/>
            </a:solidFill>
            <a:ln>
              <a:solidFill>
                <a:schemeClr val="tx1"/>
              </a:solidFill>
            </a:ln>
          </c:spPr>
          <c:invertIfNegative val="0"/>
          <c:cat>
            <c:numRef>
              <c:f>celkem!$B$4:$H$5</c:f>
              <c:numCache>
                <c:formatCode>General</c:formatCode>
                <c:ptCount val="7"/>
                <c:pt idx="0">
                  <c:v>2007</c:v>
                </c:pt>
                <c:pt idx="1">
                  <c:v>2008</c:v>
                </c:pt>
                <c:pt idx="2">
                  <c:v>2009</c:v>
                </c:pt>
                <c:pt idx="3">
                  <c:v>2010</c:v>
                </c:pt>
                <c:pt idx="4">
                  <c:v>2011</c:v>
                </c:pt>
                <c:pt idx="5">
                  <c:v>2012</c:v>
                </c:pt>
                <c:pt idx="6">
                  <c:v>2013</c:v>
                </c:pt>
              </c:numCache>
            </c:numRef>
          </c:cat>
          <c:val>
            <c:numRef>
              <c:f>celkem!$B$15:$H$15</c:f>
              <c:numCache>
                <c:formatCode>General</c:formatCode>
                <c:ptCount val="7"/>
                <c:pt idx="0">
                  <c:v>54835</c:v>
                </c:pt>
                <c:pt idx="1">
                  <c:v>60686</c:v>
                </c:pt>
                <c:pt idx="2">
                  <c:v>97709</c:v>
                </c:pt>
                <c:pt idx="3">
                  <c:v>94874</c:v>
                </c:pt>
                <c:pt idx="4">
                  <c:v>91942</c:v>
                </c:pt>
                <c:pt idx="5">
                  <c:v>98729</c:v>
                </c:pt>
                <c:pt idx="6">
                  <c:v>100032</c:v>
                </c:pt>
              </c:numCache>
            </c:numRef>
          </c:val>
        </c:ser>
        <c:ser>
          <c:idx val="2"/>
          <c:order val="1"/>
          <c:tx>
            <c:strRef>
              <c:f>celkem!$A$27</c:f>
              <c:strCache>
                <c:ptCount val="1"/>
                <c:pt idx="0">
                  <c:v>26 až 54 let</c:v>
                </c:pt>
              </c:strCache>
            </c:strRef>
          </c:tx>
          <c:spPr>
            <a:solidFill>
              <a:srgbClr val="92D050"/>
            </a:solidFill>
            <a:ln>
              <a:solidFill>
                <a:schemeClr val="tx1"/>
              </a:solidFill>
            </a:ln>
          </c:spPr>
          <c:invertIfNegative val="0"/>
          <c:val>
            <c:numRef>
              <c:f>celkem!$B$27:$H$27</c:f>
              <c:numCache>
                <c:formatCode>#,##0</c:formatCode>
                <c:ptCount val="7"/>
                <c:pt idx="0">
                  <c:v>244963</c:v>
                </c:pt>
                <c:pt idx="1">
                  <c:v>188501</c:v>
                </c:pt>
                <c:pt idx="2">
                  <c:v>296835</c:v>
                </c:pt>
                <c:pt idx="3">
                  <c:v>311053</c:v>
                </c:pt>
                <c:pt idx="4">
                  <c:v>284184</c:v>
                </c:pt>
                <c:pt idx="5">
                  <c:v>301943</c:v>
                </c:pt>
                <c:pt idx="6">
                  <c:v>334671</c:v>
                </c:pt>
              </c:numCache>
            </c:numRef>
          </c:val>
        </c:ser>
        <c:ser>
          <c:idx val="1"/>
          <c:order val="2"/>
          <c:tx>
            <c:strRef>
              <c:f>celkem!$A$20</c:f>
              <c:strCache>
                <c:ptCount val="1"/>
                <c:pt idx="0">
                  <c:v>Nad 55 let</c:v>
                </c:pt>
              </c:strCache>
            </c:strRef>
          </c:tx>
          <c:spPr>
            <a:solidFill>
              <a:srgbClr val="00B0F0"/>
            </a:solidFill>
            <a:ln>
              <a:solidFill>
                <a:schemeClr val="tx1"/>
              </a:solidFill>
            </a:ln>
          </c:spPr>
          <c:invertIfNegative val="0"/>
          <c:val>
            <c:numRef>
              <c:f>celkem!$B$20:$H$20</c:f>
              <c:numCache>
                <c:formatCode>#,##0</c:formatCode>
                <c:ptCount val="7"/>
                <c:pt idx="0">
                  <c:v>55080</c:v>
                </c:pt>
                <c:pt idx="1">
                  <c:v>53915</c:v>
                </c:pt>
                <c:pt idx="2">
                  <c:v>77126</c:v>
                </c:pt>
                <c:pt idx="3">
                  <c:v>88080</c:v>
                </c:pt>
                <c:pt idx="4">
                  <c:v>72379</c:v>
                </c:pt>
                <c:pt idx="5">
                  <c:v>84776</c:v>
                </c:pt>
                <c:pt idx="6">
                  <c:v>98372</c:v>
                </c:pt>
              </c:numCache>
            </c:numRef>
          </c:val>
        </c:ser>
        <c:dLbls>
          <c:showLegendKey val="0"/>
          <c:showVal val="0"/>
          <c:showCatName val="0"/>
          <c:showSerName val="0"/>
          <c:showPercent val="0"/>
          <c:showBubbleSize val="0"/>
        </c:dLbls>
        <c:gapWidth val="75"/>
        <c:overlap val="100"/>
        <c:axId val="282966272"/>
        <c:axId val="282976256"/>
      </c:barChart>
      <c:catAx>
        <c:axId val="282966272"/>
        <c:scaling>
          <c:orientation val="minMax"/>
        </c:scaling>
        <c:delete val="0"/>
        <c:axPos val="b"/>
        <c:numFmt formatCode="General" sourceLinked="1"/>
        <c:majorTickMark val="none"/>
        <c:minorTickMark val="none"/>
        <c:tickLblPos val="nextTo"/>
        <c:crossAx val="282976256"/>
        <c:crosses val="autoZero"/>
        <c:auto val="1"/>
        <c:lblAlgn val="ctr"/>
        <c:lblOffset val="100"/>
        <c:noMultiLvlLbl val="0"/>
      </c:catAx>
      <c:valAx>
        <c:axId val="282976256"/>
        <c:scaling>
          <c:orientation val="minMax"/>
        </c:scaling>
        <c:delete val="0"/>
        <c:axPos val="l"/>
        <c:majorGridlines/>
        <c:numFmt formatCode="General" sourceLinked="1"/>
        <c:majorTickMark val="none"/>
        <c:minorTickMark val="none"/>
        <c:tickLblPos val="nextTo"/>
        <c:spPr>
          <a:ln w="9525">
            <a:noFill/>
          </a:ln>
        </c:spPr>
        <c:crossAx val="282966272"/>
        <c:crosses val="autoZero"/>
        <c:crossBetween val="between"/>
      </c:valAx>
    </c:plotArea>
    <c:legend>
      <c:legendPos val="b"/>
      <c:layout/>
      <c:overlay val="0"/>
      <c:txPr>
        <a:bodyPr/>
        <a:lstStyle/>
        <a:p>
          <a:pPr>
            <a:defRPr sz="900" b="1"/>
          </a:pPr>
          <a:endParaRPr lang="cs-CZ"/>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List2!$C$4</c:f>
              <c:strCache>
                <c:ptCount val="1"/>
                <c:pt idx="0">
                  <c:v>Zemědělství a lesnictví</c:v>
                </c:pt>
              </c:strCache>
            </c:strRef>
          </c:tx>
          <c:spPr>
            <a:solidFill>
              <a:srgbClr val="00B050"/>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List2!$C$5:$C$17</c:f>
              <c:numCache>
                <c:formatCode>General</c:formatCode>
                <c:ptCount val="13"/>
                <c:pt idx="0">
                  <c:v>768.9</c:v>
                </c:pt>
                <c:pt idx="1">
                  <c:v>712.3</c:v>
                </c:pt>
                <c:pt idx="2">
                  <c:v>712.8</c:v>
                </c:pt>
                <c:pt idx="3">
                  <c:v>371</c:v>
                </c:pt>
                <c:pt idx="4">
                  <c:v>336.2</c:v>
                </c:pt>
                <c:pt idx="5">
                  <c:v>306.5</c:v>
                </c:pt>
                <c:pt idx="6">
                  <c:v>348.3</c:v>
                </c:pt>
                <c:pt idx="7">
                  <c:v>370.3</c:v>
                </c:pt>
                <c:pt idx="8">
                  <c:v>436.5</c:v>
                </c:pt>
                <c:pt idx="9">
                  <c:v>405.8</c:v>
                </c:pt>
                <c:pt idx="10">
                  <c:v>325.60000000000002</c:v>
                </c:pt>
                <c:pt idx="11">
                  <c:v>478.8</c:v>
                </c:pt>
                <c:pt idx="12">
                  <c:v>458.3</c:v>
                </c:pt>
              </c:numCache>
            </c:numRef>
          </c:val>
        </c:ser>
        <c:ser>
          <c:idx val="1"/>
          <c:order val="1"/>
          <c:tx>
            <c:strRef>
              <c:f>List2!$D$4</c:f>
              <c:strCache>
                <c:ptCount val="1"/>
                <c:pt idx="0">
                  <c:v>Průmysl</c:v>
                </c:pt>
              </c:strCache>
            </c:strRef>
          </c:tx>
          <c:spPr>
            <a:solidFill>
              <a:srgbClr val="FF0000"/>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List2!$D$5:$D$17</c:f>
              <c:numCache>
                <c:formatCode>General</c:formatCode>
                <c:ptCount val="13"/>
                <c:pt idx="0">
                  <c:v>834</c:v>
                </c:pt>
                <c:pt idx="1">
                  <c:v>719.7</c:v>
                </c:pt>
                <c:pt idx="2">
                  <c:v>712.6</c:v>
                </c:pt>
                <c:pt idx="3">
                  <c:v>675</c:v>
                </c:pt>
                <c:pt idx="4">
                  <c:v>668.3</c:v>
                </c:pt>
                <c:pt idx="5">
                  <c:v>622.6</c:v>
                </c:pt>
                <c:pt idx="6">
                  <c:v>548.4</c:v>
                </c:pt>
                <c:pt idx="7">
                  <c:v>468.9</c:v>
                </c:pt>
                <c:pt idx="8">
                  <c:v>442.3</c:v>
                </c:pt>
                <c:pt idx="9">
                  <c:v>373.7</c:v>
                </c:pt>
                <c:pt idx="10">
                  <c:v>348.6</c:v>
                </c:pt>
                <c:pt idx="11">
                  <c:v>375.7</c:v>
                </c:pt>
                <c:pt idx="12">
                  <c:v>334.6</c:v>
                </c:pt>
              </c:numCache>
            </c:numRef>
          </c:val>
        </c:ser>
        <c:ser>
          <c:idx val="2"/>
          <c:order val="2"/>
          <c:tx>
            <c:strRef>
              <c:f>List2!$E$4</c:f>
              <c:strCache>
                <c:ptCount val="1"/>
                <c:pt idx="0">
                  <c:v>Stavebnictví</c:v>
                </c:pt>
              </c:strCache>
            </c:strRef>
          </c:tx>
          <c:spPr>
            <a:solidFill>
              <a:srgbClr val="FFFF00"/>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List2!$E$5:$E$17</c:f>
              <c:numCache>
                <c:formatCode>General</c:formatCode>
                <c:ptCount val="13"/>
                <c:pt idx="0">
                  <c:v>194.4</c:v>
                </c:pt>
                <c:pt idx="1">
                  <c:v>163.5</c:v>
                </c:pt>
                <c:pt idx="2">
                  <c:v>121.4</c:v>
                </c:pt>
                <c:pt idx="3">
                  <c:v>76.900000000000006</c:v>
                </c:pt>
                <c:pt idx="4">
                  <c:v>81.400000000000006</c:v>
                </c:pt>
                <c:pt idx="5">
                  <c:v>79.3</c:v>
                </c:pt>
                <c:pt idx="6">
                  <c:v>55.7</c:v>
                </c:pt>
                <c:pt idx="7">
                  <c:v>56.7</c:v>
                </c:pt>
                <c:pt idx="8">
                  <c:v>52.3</c:v>
                </c:pt>
                <c:pt idx="9">
                  <c:v>50</c:v>
                </c:pt>
                <c:pt idx="10">
                  <c:v>45.2</c:v>
                </c:pt>
                <c:pt idx="11">
                  <c:v>40.4</c:v>
                </c:pt>
                <c:pt idx="12">
                  <c:v>36.5</c:v>
                </c:pt>
              </c:numCache>
            </c:numRef>
          </c:val>
        </c:ser>
        <c:ser>
          <c:idx val="3"/>
          <c:order val="3"/>
          <c:tx>
            <c:strRef>
              <c:f>List2!$F$4</c:f>
              <c:strCache>
                <c:ptCount val="1"/>
                <c:pt idx="0">
                  <c:v>Doprava</c:v>
                </c:pt>
              </c:strCache>
            </c:strRef>
          </c:tx>
          <c:spPr>
            <a:solidFill>
              <a:srgbClr val="00B0F0"/>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List2!$F$5:$F$17</c:f>
              <c:numCache>
                <c:formatCode>General</c:formatCode>
                <c:ptCount val="13"/>
                <c:pt idx="0">
                  <c:v>871.3</c:v>
                </c:pt>
                <c:pt idx="1">
                  <c:v>860.4</c:v>
                </c:pt>
                <c:pt idx="2">
                  <c:v>888.6</c:v>
                </c:pt>
                <c:pt idx="3" formatCode="#,##0.00">
                  <c:v>1034.4000000000001</c:v>
                </c:pt>
                <c:pt idx="4" formatCode="#,##0.00">
                  <c:v>1117</c:v>
                </c:pt>
                <c:pt idx="5" formatCode="#,##0.00">
                  <c:v>1235.8</c:v>
                </c:pt>
                <c:pt idx="6" formatCode="#,##0.00">
                  <c:v>1320.6</c:v>
                </c:pt>
                <c:pt idx="7" formatCode="#,##0.00">
                  <c:v>1231.3</c:v>
                </c:pt>
                <c:pt idx="8" formatCode="#,##0.00">
                  <c:v>1247.7</c:v>
                </c:pt>
                <c:pt idx="9" formatCode="#,##0.00">
                  <c:v>1221.0999999999999</c:v>
                </c:pt>
                <c:pt idx="10" formatCode="#,##0.00">
                  <c:v>1349</c:v>
                </c:pt>
                <c:pt idx="11" formatCode="#,##0.00">
                  <c:v>1218</c:v>
                </c:pt>
                <c:pt idx="12" formatCode="#,##0.00">
                  <c:v>1270.7</c:v>
                </c:pt>
              </c:numCache>
            </c:numRef>
          </c:val>
        </c:ser>
        <c:ser>
          <c:idx val="4"/>
          <c:order val="4"/>
          <c:tx>
            <c:strRef>
              <c:f>List2!$G$4</c:f>
              <c:strCache>
                <c:ptCount val="1"/>
                <c:pt idx="0">
                  <c:v>Ostatní odvětví</c:v>
                </c:pt>
              </c:strCache>
            </c:strRef>
          </c:tx>
          <c:spPr>
            <a:solidFill>
              <a:schemeClr val="tx1"/>
            </a:solidFill>
          </c:spPr>
          <c:invertIfNegative val="0"/>
          <c:cat>
            <c:numRef>
              <c:f>List2!$B$5:$B$17</c:f>
              <c:numCache>
                <c:formatCode>General</c:formatCod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numCache>
            </c:numRef>
          </c:cat>
          <c:val>
            <c:numRef>
              <c:f>List2!$G$5:$G$17</c:f>
              <c:numCache>
                <c:formatCode>General</c:formatCode>
                <c:ptCount val="13"/>
                <c:pt idx="0">
                  <c:v>79.7</c:v>
                </c:pt>
                <c:pt idx="1">
                  <c:v>79.599999999999994</c:v>
                </c:pt>
                <c:pt idx="2">
                  <c:v>85.2</c:v>
                </c:pt>
                <c:pt idx="3">
                  <c:v>80.7</c:v>
                </c:pt>
                <c:pt idx="4">
                  <c:v>81.599999999999994</c:v>
                </c:pt>
                <c:pt idx="5">
                  <c:v>87.6</c:v>
                </c:pt>
                <c:pt idx="6">
                  <c:v>81.2</c:v>
                </c:pt>
                <c:pt idx="7">
                  <c:v>71.7</c:v>
                </c:pt>
                <c:pt idx="8">
                  <c:v>71</c:v>
                </c:pt>
                <c:pt idx="9">
                  <c:v>65.2</c:v>
                </c:pt>
                <c:pt idx="10">
                  <c:v>65.8</c:v>
                </c:pt>
                <c:pt idx="11">
                  <c:v>75.7</c:v>
                </c:pt>
                <c:pt idx="12">
                  <c:v>64.8</c:v>
                </c:pt>
              </c:numCache>
            </c:numRef>
          </c:val>
        </c:ser>
        <c:dLbls>
          <c:showLegendKey val="0"/>
          <c:showVal val="0"/>
          <c:showCatName val="0"/>
          <c:showSerName val="0"/>
          <c:showPercent val="0"/>
          <c:showBubbleSize val="0"/>
        </c:dLbls>
        <c:gapWidth val="75"/>
        <c:overlap val="100"/>
        <c:axId val="283004288"/>
        <c:axId val="283006080"/>
      </c:barChart>
      <c:catAx>
        <c:axId val="283004288"/>
        <c:scaling>
          <c:orientation val="minMax"/>
        </c:scaling>
        <c:delete val="0"/>
        <c:axPos val="b"/>
        <c:numFmt formatCode="General" sourceLinked="1"/>
        <c:majorTickMark val="none"/>
        <c:minorTickMark val="none"/>
        <c:tickLblPos val="nextTo"/>
        <c:crossAx val="283006080"/>
        <c:crosses val="autoZero"/>
        <c:auto val="1"/>
        <c:lblAlgn val="ctr"/>
        <c:lblOffset val="100"/>
        <c:noMultiLvlLbl val="0"/>
      </c:catAx>
      <c:valAx>
        <c:axId val="283006080"/>
        <c:scaling>
          <c:orientation val="minMax"/>
        </c:scaling>
        <c:delete val="0"/>
        <c:axPos val="l"/>
        <c:majorGridlines/>
        <c:title>
          <c:tx>
            <c:rich>
              <a:bodyPr rot="-5400000" vert="horz"/>
              <a:lstStyle/>
              <a:p>
                <a:pPr>
                  <a:defRPr/>
                </a:pPr>
                <a:r>
                  <a:rPr lang="cs-CZ" sz="1000" b="1" i="0" u="none" strike="noStrike" baseline="0">
                    <a:effectLst/>
                  </a:rPr>
                  <a:t>MJ/tis. Kč</a:t>
                </a:r>
                <a:endParaRPr lang="cs-CZ"/>
              </a:p>
            </c:rich>
          </c:tx>
          <c:overlay val="0"/>
        </c:title>
        <c:numFmt formatCode="General" sourceLinked="1"/>
        <c:majorTickMark val="none"/>
        <c:minorTickMark val="none"/>
        <c:tickLblPos val="nextTo"/>
        <c:spPr>
          <a:ln w="9525">
            <a:noFill/>
          </a:ln>
        </c:spPr>
        <c:crossAx val="283004288"/>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MPSV!$K$5</c:f>
              <c:strCache>
                <c:ptCount val="1"/>
                <c:pt idx="0">
                  <c:v>míra zaměstnanosti osob ve věku 20 - 64 let</c:v>
                </c:pt>
              </c:strCache>
            </c:strRef>
          </c:tx>
          <c:spPr>
            <a:solidFill>
              <a:srgbClr val="FF0000"/>
            </a:solidFill>
            <a:ln>
              <a:solidFill>
                <a:srgbClr val="FF0000"/>
              </a:solidFill>
            </a:ln>
          </c:spPr>
          <c:invertIfNegative val="0"/>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MPSV!$B$5:$J$5</c:f>
              <c:numCache>
                <c:formatCode>0.0</c:formatCode>
                <c:ptCount val="9"/>
                <c:pt idx="0">
                  <c:v>70.7</c:v>
                </c:pt>
                <c:pt idx="1">
                  <c:v>71.2</c:v>
                </c:pt>
                <c:pt idx="2">
                  <c:v>72</c:v>
                </c:pt>
                <c:pt idx="3">
                  <c:v>72.400000000000006</c:v>
                </c:pt>
                <c:pt idx="4">
                  <c:v>70.900000000000006</c:v>
                </c:pt>
                <c:pt idx="5">
                  <c:v>70.400000000000006</c:v>
                </c:pt>
                <c:pt idx="6">
                  <c:v>70.900000000000006</c:v>
                </c:pt>
                <c:pt idx="7">
                  <c:v>71.5</c:v>
                </c:pt>
                <c:pt idx="8">
                  <c:v>72.5</c:v>
                </c:pt>
              </c:numCache>
            </c:numRef>
          </c:val>
        </c:ser>
        <c:ser>
          <c:idx val="1"/>
          <c:order val="1"/>
          <c:tx>
            <c:strRef>
              <c:f>MPSV!$K$6</c:f>
              <c:strCache>
                <c:ptCount val="1"/>
                <c:pt idx="0">
                  <c:v>míra zaměstnanosti žen ve věku 20 - 64 let</c:v>
                </c:pt>
              </c:strCache>
            </c:strRef>
          </c:tx>
          <c:spPr>
            <a:solidFill>
              <a:srgbClr val="00B050"/>
            </a:solidFill>
            <a:ln>
              <a:solidFill>
                <a:srgbClr val="00B050"/>
              </a:solidFill>
            </a:ln>
          </c:spPr>
          <c:invertIfNegative val="0"/>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MPSV!$B$6:$J$6</c:f>
              <c:numCache>
                <c:formatCode>0.0</c:formatCode>
                <c:ptCount val="9"/>
                <c:pt idx="0">
                  <c:v>61.3</c:v>
                </c:pt>
                <c:pt idx="1">
                  <c:v>61.8</c:v>
                </c:pt>
                <c:pt idx="2">
                  <c:v>62.4</c:v>
                </c:pt>
                <c:pt idx="3">
                  <c:v>62.5</c:v>
                </c:pt>
                <c:pt idx="4">
                  <c:v>61.4</c:v>
                </c:pt>
                <c:pt idx="5">
                  <c:v>60.9</c:v>
                </c:pt>
                <c:pt idx="6">
                  <c:v>61.7</c:v>
                </c:pt>
                <c:pt idx="7">
                  <c:v>62.5</c:v>
                </c:pt>
                <c:pt idx="8">
                  <c:v>63.8</c:v>
                </c:pt>
              </c:numCache>
            </c:numRef>
          </c:val>
        </c:ser>
        <c:ser>
          <c:idx val="2"/>
          <c:order val="2"/>
          <c:tx>
            <c:strRef>
              <c:f>MPSV!$K$7</c:f>
              <c:strCache>
                <c:ptCount val="1"/>
                <c:pt idx="0">
                  <c:v>míra zaměstnanosti osob ve věku 55 - 64 let</c:v>
                </c:pt>
              </c:strCache>
            </c:strRef>
          </c:tx>
          <c:spPr>
            <a:solidFill>
              <a:srgbClr val="FFC000"/>
            </a:solidFill>
            <a:ln>
              <a:solidFill>
                <a:srgbClr val="FFC000"/>
              </a:solidFill>
            </a:ln>
          </c:spPr>
          <c:invertIfNegative val="0"/>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MPSV!$B$7:$J$7</c:f>
              <c:numCache>
                <c:formatCode>0.0</c:formatCode>
                <c:ptCount val="9"/>
                <c:pt idx="0">
                  <c:v>44.5</c:v>
                </c:pt>
                <c:pt idx="1">
                  <c:v>45.2</c:v>
                </c:pt>
                <c:pt idx="2">
                  <c:v>46</c:v>
                </c:pt>
                <c:pt idx="3">
                  <c:v>47.6</c:v>
                </c:pt>
                <c:pt idx="4">
                  <c:v>46.8</c:v>
                </c:pt>
                <c:pt idx="5">
                  <c:v>46.5</c:v>
                </c:pt>
                <c:pt idx="6">
                  <c:v>47.7</c:v>
                </c:pt>
                <c:pt idx="7">
                  <c:v>49.3</c:v>
                </c:pt>
                <c:pt idx="8">
                  <c:v>51.6</c:v>
                </c:pt>
              </c:numCache>
            </c:numRef>
          </c:val>
        </c:ser>
        <c:dLbls>
          <c:showLegendKey val="0"/>
          <c:showVal val="0"/>
          <c:showCatName val="0"/>
          <c:showSerName val="0"/>
          <c:showPercent val="0"/>
          <c:showBubbleSize val="0"/>
        </c:dLbls>
        <c:gapWidth val="75"/>
        <c:overlap val="-25"/>
        <c:axId val="283015424"/>
        <c:axId val="283033600"/>
      </c:barChart>
      <c:catAx>
        <c:axId val="283015424"/>
        <c:scaling>
          <c:orientation val="minMax"/>
        </c:scaling>
        <c:delete val="0"/>
        <c:axPos val="b"/>
        <c:numFmt formatCode="General" sourceLinked="1"/>
        <c:majorTickMark val="none"/>
        <c:minorTickMark val="none"/>
        <c:tickLblPos val="nextTo"/>
        <c:crossAx val="283033600"/>
        <c:crosses val="autoZero"/>
        <c:auto val="1"/>
        <c:lblAlgn val="ctr"/>
        <c:lblOffset val="100"/>
        <c:noMultiLvlLbl val="0"/>
      </c:catAx>
      <c:valAx>
        <c:axId val="283033600"/>
        <c:scaling>
          <c:orientation val="minMax"/>
        </c:scaling>
        <c:delete val="0"/>
        <c:axPos val="l"/>
        <c:majorGridlines/>
        <c:numFmt formatCode="0.0" sourceLinked="1"/>
        <c:majorTickMark val="none"/>
        <c:minorTickMark val="none"/>
        <c:tickLblPos val="nextTo"/>
        <c:spPr>
          <a:ln w="9525">
            <a:noFill/>
          </a:ln>
        </c:spPr>
        <c:crossAx val="283015424"/>
        <c:crosses val="autoZero"/>
        <c:crossBetween val="between"/>
      </c:valAx>
    </c:plotArea>
    <c:legend>
      <c:legendPos val="b"/>
      <c:overlay val="0"/>
      <c:txPr>
        <a:bodyPr/>
        <a:lstStyle/>
        <a:p>
          <a:pPr>
            <a:defRPr sz="900"/>
          </a:pPr>
          <a:endParaRPr lang="cs-CZ"/>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MPSV!$K$8</c:f>
              <c:strCache>
                <c:ptCount val="1"/>
                <c:pt idx="0">
                  <c:v>míra nezaměstnanosti mladých osob (15 - 24 let)</c:v>
                </c:pt>
              </c:strCache>
            </c:strRef>
          </c:tx>
          <c:spPr>
            <a:solidFill>
              <a:srgbClr val="FF0000"/>
            </a:solidFill>
            <a:ln>
              <a:solidFill>
                <a:srgbClr val="FF0000"/>
              </a:solidFill>
            </a:ln>
          </c:spPr>
          <c:invertIfNegative val="0"/>
          <c:dPt>
            <c:idx val="0"/>
            <c:invertIfNegative val="0"/>
            <c:bubble3D val="0"/>
            <c:spPr>
              <a:solidFill>
                <a:srgbClr val="FF0000"/>
              </a:solidFill>
              <a:ln>
                <a:solidFill>
                  <a:srgbClr val="FF0000"/>
                </a:solidFill>
              </a:ln>
            </c:spPr>
          </c:dPt>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MPSV!$B$8:$J$8</c:f>
              <c:numCache>
                <c:formatCode>0.0</c:formatCode>
                <c:ptCount val="9"/>
                <c:pt idx="0">
                  <c:v>19.3</c:v>
                </c:pt>
                <c:pt idx="1">
                  <c:v>17.5</c:v>
                </c:pt>
                <c:pt idx="2">
                  <c:v>10.7</c:v>
                </c:pt>
                <c:pt idx="3">
                  <c:v>9.9</c:v>
                </c:pt>
                <c:pt idx="4">
                  <c:v>16.600000000000001</c:v>
                </c:pt>
                <c:pt idx="5">
                  <c:v>18.3</c:v>
                </c:pt>
                <c:pt idx="6">
                  <c:v>18.100000000000001</c:v>
                </c:pt>
                <c:pt idx="7">
                  <c:v>19.5</c:v>
                </c:pt>
                <c:pt idx="8">
                  <c:v>18.899999999999999</c:v>
                </c:pt>
              </c:numCache>
            </c:numRef>
          </c:val>
        </c:ser>
        <c:ser>
          <c:idx val="1"/>
          <c:order val="1"/>
          <c:tx>
            <c:strRef>
              <c:f>MPSV!$K$9</c:f>
              <c:strCache>
                <c:ptCount val="1"/>
                <c:pt idx="0">
                  <c:v>míra nezaměstnanosti osob s nízkou kvalifikací (ISCED 0 -2)</c:v>
                </c:pt>
              </c:strCache>
            </c:strRef>
          </c:tx>
          <c:spPr>
            <a:solidFill>
              <a:srgbClr val="00B0F0"/>
            </a:solidFill>
            <a:ln>
              <a:solidFill>
                <a:srgbClr val="00B0F0"/>
              </a:solidFill>
            </a:ln>
          </c:spPr>
          <c:invertIfNegative val="0"/>
          <c:cat>
            <c:numRef>
              <c:f>MPSV!$B$4:$J$4</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MPSV!$B$9:$J$9</c:f>
              <c:numCache>
                <c:formatCode>0.0</c:formatCode>
                <c:ptCount val="9"/>
                <c:pt idx="0">
                  <c:v>26.8</c:v>
                </c:pt>
                <c:pt idx="1">
                  <c:v>24.5</c:v>
                </c:pt>
                <c:pt idx="2">
                  <c:v>20.100000000000001</c:v>
                </c:pt>
                <c:pt idx="3">
                  <c:v>19.100000000000001</c:v>
                </c:pt>
                <c:pt idx="4">
                  <c:v>24.1</c:v>
                </c:pt>
                <c:pt idx="5">
                  <c:v>25</c:v>
                </c:pt>
                <c:pt idx="6">
                  <c:v>24.3</c:v>
                </c:pt>
                <c:pt idx="7">
                  <c:v>28.5</c:v>
                </c:pt>
                <c:pt idx="8">
                  <c:v>25.6</c:v>
                </c:pt>
              </c:numCache>
            </c:numRef>
          </c:val>
        </c:ser>
        <c:dLbls>
          <c:showLegendKey val="0"/>
          <c:showVal val="0"/>
          <c:showCatName val="0"/>
          <c:showSerName val="0"/>
          <c:showPercent val="0"/>
          <c:showBubbleSize val="0"/>
        </c:dLbls>
        <c:gapWidth val="75"/>
        <c:overlap val="-25"/>
        <c:axId val="288359552"/>
        <c:axId val="288361088"/>
      </c:barChart>
      <c:catAx>
        <c:axId val="288359552"/>
        <c:scaling>
          <c:orientation val="minMax"/>
        </c:scaling>
        <c:delete val="0"/>
        <c:axPos val="b"/>
        <c:numFmt formatCode="General" sourceLinked="1"/>
        <c:majorTickMark val="none"/>
        <c:minorTickMark val="none"/>
        <c:tickLblPos val="nextTo"/>
        <c:crossAx val="288361088"/>
        <c:crosses val="autoZero"/>
        <c:auto val="1"/>
        <c:lblAlgn val="ctr"/>
        <c:lblOffset val="100"/>
        <c:noMultiLvlLbl val="0"/>
      </c:catAx>
      <c:valAx>
        <c:axId val="288361088"/>
        <c:scaling>
          <c:orientation val="minMax"/>
        </c:scaling>
        <c:delete val="0"/>
        <c:axPos val="l"/>
        <c:majorGridlines/>
        <c:numFmt formatCode="0.0" sourceLinked="1"/>
        <c:majorTickMark val="none"/>
        <c:minorTickMark val="none"/>
        <c:tickLblPos val="nextTo"/>
        <c:spPr>
          <a:ln w="9525">
            <a:noFill/>
          </a:ln>
        </c:spPr>
        <c:crossAx val="288359552"/>
        <c:crosses val="autoZero"/>
        <c:crossBetween val="between"/>
      </c:valAx>
    </c:plotArea>
    <c:legend>
      <c:legendPos val="b"/>
      <c:layout>
        <c:manualLayout>
          <c:xMode val="edge"/>
          <c:yMode val="edge"/>
          <c:x val="3.2302830886485598E-2"/>
          <c:y val="0.81708347516470003"/>
          <c:w val="0.94910624948826405"/>
          <c:h val="0.15422391382275899"/>
        </c:manualLayout>
      </c:layout>
      <c:overlay val="0"/>
      <c:txPr>
        <a:bodyPr/>
        <a:lstStyle/>
        <a:p>
          <a:pPr>
            <a:defRPr sz="900"/>
          </a:pPr>
          <a:endParaRPr lang="cs-CZ"/>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MPSV2!$A$4</c:f>
              <c:strCache>
                <c:ptCount val="1"/>
                <c:pt idx="0">
                  <c:v>Počet osob v tis.</c:v>
                </c:pt>
              </c:strCache>
            </c:strRef>
          </c:tx>
          <c:spPr>
            <a:solidFill>
              <a:srgbClr val="00B0F0"/>
            </a:solidFill>
            <a:ln>
              <a:solidFill>
                <a:srgbClr val="00B0F0"/>
              </a:solidFill>
            </a:ln>
          </c:spPr>
          <c:invertIfNegative val="0"/>
          <c:cat>
            <c:numRef>
              <c:f>MPSV2!$B$2:$I$2</c:f>
              <c:numCache>
                <c:formatCode>General</c:formatCode>
                <c:ptCount val="8"/>
                <c:pt idx="0">
                  <c:v>2005</c:v>
                </c:pt>
                <c:pt idx="1">
                  <c:v>2006</c:v>
                </c:pt>
                <c:pt idx="2">
                  <c:v>2007</c:v>
                </c:pt>
                <c:pt idx="3">
                  <c:v>2008</c:v>
                </c:pt>
                <c:pt idx="4">
                  <c:v>2009</c:v>
                </c:pt>
                <c:pt idx="5">
                  <c:v>2010</c:v>
                </c:pt>
                <c:pt idx="6">
                  <c:v>2011</c:v>
                </c:pt>
                <c:pt idx="7">
                  <c:v>2012</c:v>
                </c:pt>
              </c:numCache>
            </c:numRef>
          </c:cat>
          <c:val>
            <c:numRef>
              <c:f>MPSV2!$B$3:$I$3</c:f>
              <c:numCache>
                <c:formatCode>0.0</c:formatCode>
                <c:ptCount val="8"/>
                <c:pt idx="0" formatCode="General">
                  <c:v>19.600000000000001</c:v>
                </c:pt>
                <c:pt idx="1">
                  <c:v>18</c:v>
                </c:pt>
                <c:pt idx="2" formatCode="General">
                  <c:v>15.8</c:v>
                </c:pt>
                <c:pt idx="3" formatCode="General">
                  <c:v>15.3</c:v>
                </c:pt>
                <c:pt idx="4">
                  <c:v>14</c:v>
                </c:pt>
                <c:pt idx="5" formatCode="General">
                  <c:v>14.4</c:v>
                </c:pt>
                <c:pt idx="6" formatCode="General">
                  <c:v>15.3</c:v>
                </c:pt>
                <c:pt idx="7" formatCode="General">
                  <c:v>15.4</c:v>
                </c:pt>
              </c:numCache>
            </c:numRef>
          </c:val>
        </c:ser>
        <c:dLbls>
          <c:showLegendKey val="0"/>
          <c:showVal val="0"/>
          <c:showCatName val="0"/>
          <c:showSerName val="0"/>
          <c:showPercent val="0"/>
          <c:showBubbleSize val="0"/>
        </c:dLbls>
        <c:gapWidth val="152"/>
        <c:overlap val="-25"/>
        <c:axId val="288417280"/>
        <c:axId val="288415104"/>
      </c:barChart>
      <c:lineChart>
        <c:grouping val="standard"/>
        <c:varyColors val="0"/>
        <c:ser>
          <c:idx val="2"/>
          <c:order val="1"/>
          <c:tx>
            <c:strRef>
              <c:f>MPSV2!$A$3</c:f>
              <c:strCache>
                <c:ptCount val="1"/>
                <c:pt idx="0">
                  <c:v>Procento populace</c:v>
                </c:pt>
              </c:strCache>
            </c:strRef>
          </c:tx>
          <c:spPr>
            <a:ln w="28575">
              <a:solidFill>
                <a:srgbClr val="FF0000"/>
              </a:solidFill>
            </a:ln>
          </c:spPr>
          <c:marker>
            <c:symbol val="none"/>
          </c:marker>
          <c:cat>
            <c:numRef>
              <c:f>MPSV2!$B$2:$I$2</c:f>
              <c:numCache>
                <c:formatCode>General</c:formatCode>
                <c:ptCount val="8"/>
                <c:pt idx="0">
                  <c:v>2005</c:v>
                </c:pt>
                <c:pt idx="1">
                  <c:v>2006</c:v>
                </c:pt>
                <c:pt idx="2">
                  <c:v>2007</c:v>
                </c:pt>
                <c:pt idx="3">
                  <c:v>2008</c:v>
                </c:pt>
                <c:pt idx="4">
                  <c:v>2009</c:v>
                </c:pt>
                <c:pt idx="5">
                  <c:v>2010</c:v>
                </c:pt>
                <c:pt idx="6">
                  <c:v>2011</c:v>
                </c:pt>
                <c:pt idx="7">
                  <c:v>2012</c:v>
                </c:pt>
              </c:numCache>
            </c:numRef>
          </c:cat>
          <c:val>
            <c:numRef>
              <c:f>MPSV2!$B$4:$I$4</c:f>
              <c:numCache>
                <c:formatCode>General</c:formatCode>
                <c:ptCount val="8"/>
                <c:pt idx="0">
                  <c:v>1998</c:v>
                </c:pt>
                <c:pt idx="1">
                  <c:v>1832</c:v>
                </c:pt>
                <c:pt idx="2">
                  <c:v>1613</c:v>
                </c:pt>
                <c:pt idx="3">
                  <c:v>1566</c:v>
                </c:pt>
                <c:pt idx="4">
                  <c:v>1448</c:v>
                </c:pt>
                <c:pt idx="5">
                  <c:v>1495</c:v>
                </c:pt>
                <c:pt idx="6">
                  <c:v>1598</c:v>
                </c:pt>
                <c:pt idx="7">
                  <c:v>1580</c:v>
                </c:pt>
              </c:numCache>
            </c:numRef>
          </c:val>
          <c:smooth val="0"/>
        </c:ser>
        <c:dLbls>
          <c:showLegendKey val="0"/>
          <c:showVal val="0"/>
          <c:showCatName val="0"/>
          <c:showSerName val="0"/>
          <c:showPercent val="0"/>
          <c:showBubbleSize val="0"/>
        </c:dLbls>
        <c:marker val="1"/>
        <c:smooth val="0"/>
        <c:axId val="288411648"/>
        <c:axId val="288413184"/>
      </c:lineChart>
      <c:catAx>
        <c:axId val="288411648"/>
        <c:scaling>
          <c:orientation val="minMax"/>
        </c:scaling>
        <c:delete val="0"/>
        <c:axPos val="b"/>
        <c:numFmt formatCode="General" sourceLinked="1"/>
        <c:majorTickMark val="none"/>
        <c:minorTickMark val="none"/>
        <c:tickLblPos val="nextTo"/>
        <c:crossAx val="288413184"/>
        <c:crosses val="autoZero"/>
        <c:auto val="1"/>
        <c:lblAlgn val="ctr"/>
        <c:lblOffset val="100"/>
        <c:noMultiLvlLbl val="0"/>
      </c:catAx>
      <c:valAx>
        <c:axId val="288413184"/>
        <c:scaling>
          <c:orientation val="minMax"/>
        </c:scaling>
        <c:delete val="0"/>
        <c:axPos val="l"/>
        <c:majorGridlines/>
        <c:title>
          <c:tx>
            <c:rich>
              <a:bodyPr rot="-5400000" vert="horz"/>
              <a:lstStyle/>
              <a:p>
                <a:pPr>
                  <a:defRPr/>
                </a:pPr>
                <a:r>
                  <a:rPr lang="cs-CZ"/>
                  <a:t>Počet obyvatel v tis.</a:t>
                </a:r>
              </a:p>
            </c:rich>
          </c:tx>
          <c:overlay val="0"/>
        </c:title>
        <c:numFmt formatCode="General" sourceLinked="1"/>
        <c:majorTickMark val="none"/>
        <c:minorTickMark val="none"/>
        <c:tickLblPos val="nextTo"/>
        <c:spPr>
          <a:ln w="9525">
            <a:noFill/>
          </a:ln>
        </c:spPr>
        <c:crossAx val="288411648"/>
        <c:crosses val="autoZero"/>
        <c:crossBetween val="between"/>
      </c:valAx>
      <c:valAx>
        <c:axId val="288415104"/>
        <c:scaling>
          <c:orientation val="minMax"/>
          <c:max val="25"/>
        </c:scaling>
        <c:delete val="0"/>
        <c:axPos val="r"/>
        <c:title>
          <c:tx>
            <c:rich>
              <a:bodyPr rot="-5400000" vert="horz"/>
              <a:lstStyle/>
              <a:p>
                <a:pPr>
                  <a:defRPr/>
                </a:pPr>
                <a:r>
                  <a:rPr lang="cs-CZ"/>
                  <a:t>Procento populace (v %)</a:t>
                </a:r>
              </a:p>
            </c:rich>
          </c:tx>
          <c:overlay val="0"/>
        </c:title>
        <c:numFmt formatCode="General" sourceLinked="1"/>
        <c:majorTickMark val="out"/>
        <c:minorTickMark val="none"/>
        <c:tickLblPos val="nextTo"/>
        <c:crossAx val="288417280"/>
        <c:crosses val="max"/>
        <c:crossBetween val="between"/>
      </c:valAx>
      <c:catAx>
        <c:axId val="288417280"/>
        <c:scaling>
          <c:orientation val="minMax"/>
        </c:scaling>
        <c:delete val="1"/>
        <c:axPos val="b"/>
        <c:numFmt formatCode="General" sourceLinked="1"/>
        <c:majorTickMark val="out"/>
        <c:minorTickMark val="none"/>
        <c:tickLblPos val="nextTo"/>
        <c:crossAx val="288415104"/>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MSMT!$A$2</c:f>
              <c:strCache>
                <c:ptCount val="1"/>
                <c:pt idx="0">
                  <c:v>Osoby předčasně odcházející ze vzdělávání (v %)</c:v>
                </c:pt>
              </c:strCache>
            </c:strRef>
          </c:tx>
          <c:spPr>
            <a:solidFill>
              <a:srgbClr val="FF0000"/>
            </a:solidFill>
          </c:spPr>
          <c:invertIfNegative val="0"/>
          <c:cat>
            <c:numRef>
              <c:f>MSMT!$B$3:$I$3</c:f>
              <c:numCache>
                <c:formatCode>General</c:formatCode>
                <c:ptCount val="8"/>
                <c:pt idx="0">
                  <c:v>2005</c:v>
                </c:pt>
                <c:pt idx="1">
                  <c:v>2006</c:v>
                </c:pt>
                <c:pt idx="2">
                  <c:v>2007</c:v>
                </c:pt>
                <c:pt idx="3">
                  <c:v>2008</c:v>
                </c:pt>
                <c:pt idx="4">
                  <c:v>2009</c:v>
                </c:pt>
                <c:pt idx="5">
                  <c:v>2010</c:v>
                </c:pt>
                <c:pt idx="6">
                  <c:v>2011</c:v>
                </c:pt>
                <c:pt idx="7">
                  <c:v>2012</c:v>
                </c:pt>
              </c:numCache>
            </c:numRef>
          </c:cat>
          <c:val>
            <c:numRef>
              <c:f>MSMT!$B$5:$I$5</c:f>
              <c:numCache>
                <c:formatCode>0.0</c:formatCode>
                <c:ptCount val="8"/>
                <c:pt idx="0">
                  <c:v>6.2</c:v>
                </c:pt>
                <c:pt idx="1">
                  <c:v>5.0999999999999996</c:v>
                </c:pt>
                <c:pt idx="2">
                  <c:v>5.2</c:v>
                </c:pt>
                <c:pt idx="3">
                  <c:v>5.6</c:v>
                </c:pt>
                <c:pt idx="4">
                  <c:v>5.4</c:v>
                </c:pt>
                <c:pt idx="5">
                  <c:v>4.9000000000000004</c:v>
                </c:pt>
                <c:pt idx="6">
                  <c:v>4.9000000000000004</c:v>
                </c:pt>
                <c:pt idx="7">
                  <c:v>5.5</c:v>
                </c:pt>
              </c:numCache>
            </c:numRef>
          </c:val>
        </c:ser>
        <c:ser>
          <c:idx val="0"/>
          <c:order val="1"/>
          <c:tx>
            <c:strRef>
              <c:f>MSMT!$A$9</c:f>
              <c:strCache>
                <c:ptCount val="1"/>
                <c:pt idx="0">
                  <c:v>Osoby ve věku 30 až 34 let s terciárním vzděláním (v %)</c:v>
                </c:pt>
              </c:strCache>
            </c:strRef>
          </c:tx>
          <c:spPr>
            <a:solidFill>
              <a:srgbClr val="00B0F0"/>
            </a:solidFill>
          </c:spPr>
          <c:invertIfNegative val="0"/>
          <c:cat>
            <c:numRef>
              <c:f>MSMT!$B$3:$I$3</c:f>
              <c:numCache>
                <c:formatCode>General</c:formatCode>
                <c:ptCount val="8"/>
                <c:pt idx="0">
                  <c:v>2005</c:v>
                </c:pt>
                <c:pt idx="1">
                  <c:v>2006</c:v>
                </c:pt>
                <c:pt idx="2">
                  <c:v>2007</c:v>
                </c:pt>
                <c:pt idx="3">
                  <c:v>2008</c:v>
                </c:pt>
                <c:pt idx="4">
                  <c:v>2009</c:v>
                </c:pt>
                <c:pt idx="5">
                  <c:v>2010</c:v>
                </c:pt>
                <c:pt idx="6">
                  <c:v>2011</c:v>
                </c:pt>
                <c:pt idx="7">
                  <c:v>2012</c:v>
                </c:pt>
              </c:numCache>
            </c:numRef>
          </c:cat>
          <c:val>
            <c:numRef>
              <c:f>MSMT!$B$12:$I$12</c:f>
              <c:numCache>
                <c:formatCode>General</c:formatCode>
                <c:ptCount val="8"/>
                <c:pt idx="0">
                  <c:v>13</c:v>
                </c:pt>
                <c:pt idx="1">
                  <c:v>13.1</c:v>
                </c:pt>
                <c:pt idx="2">
                  <c:v>13.3</c:v>
                </c:pt>
                <c:pt idx="3">
                  <c:v>15.4</c:v>
                </c:pt>
                <c:pt idx="4">
                  <c:v>17.5</c:v>
                </c:pt>
                <c:pt idx="5">
                  <c:v>20.399999999999999</c:v>
                </c:pt>
                <c:pt idx="6">
                  <c:v>23.7</c:v>
                </c:pt>
                <c:pt idx="7">
                  <c:v>25.6</c:v>
                </c:pt>
              </c:numCache>
            </c:numRef>
          </c:val>
        </c:ser>
        <c:dLbls>
          <c:showLegendKey val="0"/>
          <c:showVal val="0"/>
          <c:showCatName val="0"/>
          <c:showSerName val="0"/>
          <c:showPercent val="0"/>
          <c:showBubbleSize val="0"/>
        </c:dLbls>
        <c:gapWidth val="75"/>
        <c:overlap val="-25"/>
        <c:axId val="288429952"/>
        <c:axId val="288431488"/>
      </c:barChart>
      <c:catAx>
        <c:axId val="288429952"/>
        <c:scaling>
          <c:orientation val="minMax"/>
        </c:scaling>
        <c:delete val="0"/>
        <c:axPos val="b"/>
        <c:numFmt formatCode="General" sourceLinked="1"/>
        <c:majorTickMark val="none"/>
        <c:minorTickMark val="none"/>
        <c:tickLblPos val="nextTo"/>
        <c:crossAx val="288431488"/>
        <c:crosses val="autoZero"/>
        <c:auto val="1"/>
        <c:lblAlgn val="ctr"/>
        <c:lblOffset val="100"/>
        <c:noMultiLvlLbl val="0"/>
      </c:catAx>
      <c:valAx>
        <c:axId val="288431488"/>
        <c:scaling>
          <c:orientation val="minMax"/>
          <c:max val="27"/>
          <c:min val="0"/>
        </c:scaling>
        <c:delete val="0"/>
        <c:axPos val="l"/>
        <c:majorGridlines/>
        <c:numFmt formatCode="0.0" sourceLinked="1"/>
        <c:majorTickMark val="none"/>
        <c:minorTickMark val="none"/>
        <c:tickLblPos val="nextTo"/>
        <c:spPr>
          <a:ln w="9525">
            <a:noFill/>
          </a:ln>
        </c:spPr>
        <c:crossAx val="288429952"/>
        <c:crosses val="autoZero"/>
        <c:crossBetween val="between"/>
      </c:valAx>
    </c:plotArea>
    <c:legend>
      <c:legendPos val="b"/>
      <c:layout>
        <c:manualLayout>
          <c:xMode val="edge"/>
          <c:yMode val="edge"/>
          <c:x val="3.3933320318431298E-2"/>
          <c:y val="0.84463867517992897"/>
          <c:w val="0.93237300709312199"/>
          <c:h val="0.132438688716919"/>
        </c:manualLayout>
      </c:layout>
      <c:overlay val="0"/>
      <c:txPr>
        <a:bodyPr/>
        <a:lstStyle/>
        <a:p>
          <a:pPr>
            <a:defRPr sz="900"/>
          </a:pPr>
          <a:endParaRPr lang="cs-CZ"/>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MPO!$A$8</c:f>
              <c:strCache>
                <c:ptCount val="1"/>
                <c:pt idx="0">
                  <c:v>Celkem</c:v>
                </c:pt>
              </c:strCache>
            </c:strRef>
          </c:tx>
          <c:spPr>
            <a:solidFill>
              <a:srgbClr val="FF0000"/>
            </a:solidFill>
            <a:ln>
              <a:solidFill>
                <a:srgbClr val="FF0000"/>
              </a:solidFill>
            </a:ln>
          </c:spPr>
          <c:invertIfNegative val="0"/>
          <c:cat>
            <c:numRef>
              <c:f>MPO!$B$1:$F$1</c:f>
              <c:numCache>
                <c:formatCode>General</c:formatCode>
                <c:ptCount val="5"/>
                <c:pt idx="0">
                  <c:v>2008</c:v>
                </c:pt>
                <c:pt idx="1">
                  <c:v>2009</c:v>
                </c:pt>
                <c:pt idx="2">
                  <c:v>2010</c:v>
                </c:pt>
                <c:pt idx="3">
                  <c:v>2011</c:v>
                </c:pt>
                <c:pt idx="4">
                  <c:v>2012</c:v>
                </c:pt>
              </c:numCache>
            </c:numRef>
          </c:cat>
          <c:val>
            <c:numRef>
              <c:f>MPO!$B$8:$F$8</c:f>
              <c:numCache>
                <c:formatCode>0.00%</c:formatCode>
                <c:ptCount val="5"/>
                <c:pt idx="0">
                  <c:v>0.08</c:v>
                </c:pt>
                <c:pt idx="1">
                  <c:v>0.1305</c:v>
                </c:pt>
                <c:pt idx="2">
                  <c:v>0.156</c:v>
                </c:pt>
                <c:pt idx="3">
                  <c:v>0.16389999999999999</c:v>
                </c:pt>
                <c:pt idx="4">
                  <c:v>0.2336</c:v>
                </c:pt>
              </c:numCache>
            </c:numRef>
          </c:val>
        </c:ser>
        <c:dLbls>
          <c:showLegendKey val="0"/>
          <c:showVal val="0"/>
          <c:showCatName val="0"/>
          <c:showSerName val="0"/>
          <c:showPercent val="0"/>
          <c:showBubbleSize val="0"/>
        </c:dLbls>
        <c:gapWidth val="75"/>
        <c:overlap val="-25"/>
        <c:axId val="288443776"/>
        <c:axId val="288449664"/>
      </c:barChart>
      <c:catAx>
        <c:axId val="288443776"/>
        <c:scaling>
          <c:orientation val="minMax"/>
        </c:scaling>
        <c:delete val="0"/>
        <c:axPos val="b"/>
        <c:numFmt formatCode="General" sourceLinked="1"/>
        <c:majorTickMark val="none"/>
        <c:minorTickMark val="none"/>
        <c:tickLblPos val="nextTo"/>
        <c:crossAx val="288449664"/>
        <c:crosses val="autoZero"/>
        <c:auto val="1"/>
        <c:lblAlgn val="ctr"/>
        <c:lblOffset val="100"/>
        <c:noMultiLvlLbl val="0"/>
      </c:catAx>
      <c:valAx>
        <c:axId val="288449664"/>
        <c:scaling>
          <c:orientation val="minMax"/>
        </c:scaling>
        <c:delete val="0"/>
        <c:axPos val="l"/>
        <c:majorGridlines/>
        <c:numFmt formatCode="0.00%" sourceLinked="1"/>
        <c:majorTickMark val="none"/>
        <c:minorTickMark val="none"/>
        <c:tickLblPos val="nextTo"/>
        <c:spPr>
          <a:ln w="9525">
            <a:noFill/>
          </a:ln>
        </c:spPr>
        <c:crossAx val="288443776"/>
        <c:crosses val="autoZero"/>
        <c:crossBetween val="between"/>
      </c:valAx>
    </c:plotArea>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0.41779</cdr:x>
      <cdr:y>0.91688</cdr:y>
    </cdr:from>
    <cdr:to>
      <cdr:x>0.45073</cdr:x>
      <cdr:y>0.96351</cdr:y>
    </cdr:to>
    <cdr:sp macro="" textlink="">
      <cdr:nvSpPr>
        <cdr:cNvPr id="2" name="Textové pole 1"/>
        <cdr:cNvSpPr txBox="1"/>
      </cdr:nvSpPr>
      <cdr:spPr>
        <a:xfrm xmlns:a="http://schemas.openxmlformats.org/drawingml/2006/main">
          <a:off x="2406770" y="3053751"/>
          <a:ext cx="189781" cy="1552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cs-CZ" sz="1100"/>
        </a:p>
      </cdr:txBody>
    </cdr:sp>
  </cdr:relSizeAnchor>
</c:userShapes>
</file>

<file path=word/theme/theme1.xml><?xml version="1.0" encoding="utf-8"?>
<a:theme xmlns:a="http://schemas.openxmlformats.org/drawingml/2006/main" name="Motiv systému Office">
  <a:themeElements>
    <a:clrScheme name="Jmění">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16E047-F6C9-4B59-98C6-A42D3CA0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58</Pages>
  <Words>26825</Words>
  <Characters>158271</Characters>
  <Application>Microsoft Office Word</Application>
  <DocSecurity>0</DocSecurity>
  <Lines>1318</Lines>
  <Paragraphs>369</Paragraphs>
  <ScaleCrop>false</ScaleCrop>
  <HeadingPairs>
    <vt:vector size="2" baseType="variant">
      <vt:variant>
        <vt:lpstr>Název</vt:lpstr>
      </vt:variant>
      <vt:variant>
        <vt:i4>1</vt:i4>
      </vt:variant>
    </vt:vector>
  </HeadingPairs>
  <TitlesOfParts>
    <vt:vector size="1" baseType="lpstr">
      <vt:lpstr>Národní program reforem     České republiky</vt:lpstr>
    </vt:vector>
  </TitlesOfParts>
  <Company>Microsoft</Company>
  <LinksUpToDate>false</LinksUpToDate>
  <CharactersWithSpaces>184727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Národní program reforem     České republiky</dc:title>
  <dc:creator>Úřad vlády České republiky</dc:creator>
  <cp:lastModifiedBy>M27</cp:lastModifiedBy>
  <cp:revision>6</cp:revision>
  <cp:lastPrinted>2014-04-16T07:48:00Z</cp:lastPrinted>
  <dcterms:created xsi:type="dcterms:W3CDTF">2014-04-23T09:40:00Z</dcterms:created>
  <dcterms:modified xsi:type="dcterms:W3CDTF">2014-04-23T09:48:00Z</dcterms:modified>
</cp:coreProperties>
</file>