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omments.xml" ContentType="application/vnd.openxmlformats-officedocument.wordprocessingml.comments+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vanish/>
          <w:highlight w:val="yellow"/>
          <w:lang w:val="en-GB"/>
        </w:rPr>
        <w:id w:val="-1935043033"/>
        <w:docPartObj>
          <w:docPartGallery w:val="Cover Pages"/>
          <w:docPartUnique/>
        </w:docPartObj>
      </w:sdtPr>
      <w:sdtEndPr/>
      <w:sdtContent>
        <w:p w:rsidR="00946869" w:rsidRPr="007A1B09" w:rsidRDefault="00946869" w:rsidP="00457CF9">
          <w:pPr>
            <w:tabs>
              <w:tab w:val="left" w:pos="8789"/>
            </w:tabs>
            <w:rPr>
              <w:lang w:val="en-GB"/>
            </w:rPr>
          </w:pPr>
          <w:r w:rsidRPr="007A1B09">
            <w:rPr>
              <w:noProof/>
              <w:lang w:eastAsia="cs-CZ"/>
            </w:rPr>
            <mc:AlternateContent>
              <mc:Choice Requires="wps">
                <w:drawing>
                  <wp:anchor distT="0" distB="0" distL="114300" distR="114300" simplePos="0" relativeHeight="251661312" behindDoc="0" locked="0" layoutInCell="0" allowOverlap="1" wp14:anchorId="007C8E74" wp14:editId="4571B26F">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804025" cy="1252220"/>
                    <wp:effectExtent l="0" t="0" r="15875" b="24130"/>
                    <wp:wrapNone/>
                    <wp:docPr id="362"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025" cy="1252220"/>
                            </a:xfrm>
                            <a:prstGeom prst="rect">
                              <a:avLst/>
                            </a:prstGeom>
                            <a:solidFill>
                              <a:srgbClr val="FE2626">
                                <a:alpha val="75000"/>
                              </a:srgbClr>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lang w:val="en-GB"/>
                                  </w:rPr>
                                  <w:alias w:val="Název"/>
                                  <w:id w:val="870034543"/>
                                  <w:dataBinding w:prefixMappings="xmlns:ns0='http://schemas.openxmlformats.org/package/2006/metadata/core-properties' xmlns:ns1='http://purl.org/dc/elements/1.1/'" w:xpath="/ns0:coreProperties[1]/ns1:title[1]" w:storeItemID="{6C3C8BC8-F283-45AE-878A-BAB7291924A1}"/>
                                  <w:text/>
                                </w:sdtPr>
                                <w:sdtEndPr/>
                                <w:sdtContent>
                                  <w:p w:rsidR="00E55936" w:rsidRPr="003174B0" w:rsidRDefault="00AE5C15">
                                    <w:pPr>
                                      <w:pStyle w:val="Bezmezer"/>
                                      <w:jc w:val="right"/>
                                      <w:rPr>
                                        <w:rFonts w:asciiTheme="majorHAnsi" w:eastAsiaTheme="majorEastAsia" w:hAnsiTheme="majorHAnsi" w:cstheme="majorBidi"/>
                                        <w:color w:val="FFFFFF" w:themeColor="background1"/>
                                        <w:sz w:val="72"/>
                                        <w:szCs w:val="72"/>
                                        <w:lang w:val="en-GB"/>
                                      </w:rPr>
                                    </w:pPr>
                                    <w:proofErr w:type="spellStart"/>
                                    <w:r>
                                      <w:rPr>
                                        <w:rFonts w:asciiTheme="majorHAnsi" w:eastAsiaTheme="majorEastAsia" w:hAnsiTheme="majorHAnsi" w:cstheme="majorBidi"/>
                                        <w:color w:val="FFFFFF" w:themeColor="background1"/>
                                        <w:sz w:val="72"/>
                                        <w:szCs w:val="72"/>
                                      </w:rPr>
                                      <w:t>National</w:t>
                                    </w:r>
                                    <w:proofErr w:type="spellEnd"/>
                                    <w:r>
                                      <w:rPr>
                                        <w:rFonts w:asciiTheme="majorHAnsi" w:eastAsiaTheme="majorEastAsia" w:hAnsiTheme="majorHAnsi" w:cstheme="majorBidi"/>
                                        <w:color w:val="FFFFFF" w:themeColor="background1"/>
                                        <w:sz w:val="72"/>
                                        <w:szCs w:val="72"/>
                                      </w:rPr>
                                      <w:t xml:space="preserve"> </w:t>
                                    </w:r>
                                    <w:proofErr w:type="spellStart"/>
                                    <w:r>
                                      <w:rPr>
                                        <w:rFonts w:asciiTheme="majorHAnsi" w:eastAsiaTheme="majorEastAsia" w:hAnsiTheme="majorHAnsi" w:cstheme="majorBidi"/>
                                        <w:color w:val="FFFFFF" w:themeColor="background1"/>
                                        <w:sz w:val="72"/>
                                        <w:szCs w:val="72"/>
                                      </w:rPr>
                                      <w:t>Reform</w:t>
                                    </w:r>
                                    <w:proofErr w:type="spellEnd"/>
                                    <w:r>
                                      <w:rPr>
                                        <w:rFonts w:asciiTheme="majorHAnsi" w:eastAsiaTheme="majorEastAsia" w:hAnsiTheme="majorHAnsi" w:cstheme="majorBidi"/>
                                        <w:color w:val="FFFFFF" w:themeColor="background1"/>
                                        <w:sz w:val="72"/>
                                        <w:szCs w:val="72"/>
                                      </w:rPr>
                                      <w:t xml:space="preserve"> </w:t>
                                    </w:r>
                                    <w:proofErr w:type="spellStart"/>
                                    <w:r>
                                      <w:rPr>
                                        <w:rFonts w:asciiTheme="majorHAnsi" w:eastAsiaTheme="majorEastAsia" w:hAnsiTheme="majorHAnsi" w:cstheme="majorBidi"/>
                                        <w:color w:val="FFFFFF" w:themeColor="background1"/>
                                        <w:sz w:val="72"/>
                                        <w:szCs w:val="72"/>
                                      </w:rPr>
                                      <w:t>Programme</w:t>
                                    </w:r>
                                    <w:proofErr w:type="spellEnd"/>
                                    <w:r>
                                      <w:rPr>
                                        <w:rFonts w:asciiTheme="majorHAnsi" w:eastAsiaTheme="majorEastAsia" w:hAnsiTheme="majorHAnsi" w:cstheme="majorBidi"/>
                                        <w:color w:val="FFFFFF" w:themeColor="background1"/>
                                        <w:sz w:val="72"/>
                                        <w:szCs w:val="72"/>
                                      </w:rPr>
                                      <w:t xml:space="preserve"> </w:t>
                                    </w:r>
                                    <w:proofErr w:type="spellStart"/>
                                    <w:r>
                                      <w:rPr>
                                        <w:rFonts w:asciiTheme="majorHAnsi" w:eastAsiaTheme="majorEastAsia" w:hAnsiTheme="majorHAnsi" w:cstheme="majorBidi"/>
                                        <w:color w:val="FFFFFF" w:themeColor="background1"/>
                                        <w:sz w:val="72"/>
                                        <w:szCs w:val="72"/>
                                      </w:rPr>
                                      <w:t>of</w:t>
                                    </w:r>
                                    <w:proofErr w:type="spellEnd"/>
                                    <w:r>
                                      <w:rPr>
                                        <w:rFonts w:asciiTheme="majorHAnsi" w:eastAsiaTheme="majorEastAsia" w:hAnsiTheme="majorHAnsi" w:cstheme="majorBidi"/>
                                        <w:color w:val="FFFFFF" w:themeColor="background1"/>
                                        <w:sz w:val="72"/>
                                        <w:szCs w:val="72"/>
                                      </w:rPr>
                                      <w:t xml:space="preserve"> </w:t>
                                    </w:r>
                                    <w:proofErr w:type="spellStart"/>
                                    <w:r>
                                      <w:rPr>
                                        <w:rFonts w:asciiTheme="majorHAnsi" w:eastAsiaTheme="majorEastAsia" w:hAnsiTheme="majorHAnsi" w:cstheme="majorBidi"/>
                                        <w:color w:val="FFFFFF" w:themeColor="background1"/>
                                        <w:sz w:val="72"/>
                                        <w:szCs w:val="72"/>
                                      </w:rPr>
                                      <w:t>the</w:t>
                                    </w:r>
                                    <w:proofErr w:type="spellEnd"/>
                                    <w:r>
                                      <w:rPr>
                                        <w:rFonts w:asciiTheme="majorHAnsi" w:eastAsiaTheme="majorEastAsia" w:hAnsiTheme="majorHAnsi" w:cstheme="majorBidi"/>
                                        <w:color w:val="FFFFFF" w:themeColor="background1"/>
                                        <w:sz w:val="72"/>
                                        <w:szCs w:val="72"/>
                                      </w:rPr>
                                      <w:t xml:space="preserve"> Czech Republic</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Obdélník 16" o:spid="_x0000_s1026" style="position:absolute;left:0;text-align:left;margin-left:0;margin-top:0;width:535.75pt;height:98.6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" o:allowincell="f" fillcolor="#fe2626" strokecolor="white [3212]" strokeweight="1pt">
                    <v:fill opacity="49087f"/>
                    <v:textbox style="mso-fit-shape-to-text:t" inset="14.4pt,,14.4pt">
                      <w:txbxContent>
                        <w:sdt>
                          <w:sdtPr>
                            <w:rPr>
                              <w:rFonts w:asciiTheme="majorHAnsi" w:eastAsiaTheme="majorEastAsia" w:hAnsiTheme="majorHAnsi" w:cstheme="majorBidi"/>
                              <w:color w:val="FFFFFF" w:themeColor="background1"/>
                              <w:sz w:val="72"/>
                              <w:szCs w:val="72"/>
                              <w:lang w:val="en-GB"/>
                            </w:rPr>
                            <w:alias w:val="Název"/>
                            <w:id w:val="870034543"/>
                            <w:dataBinding w:prefixMappings="xmlns:ns0='http://schemas.openxmlformats.org/package/2006/metadata/core-properties' xmlns:ns1='http://purl.org/dc/elements/1.1/'" w:xpath="/ns0:coreProperties[1]/ns1:title[1]" w:storeItemID="{6C3C8BC8-F283-45AE-878A-BAB7291924A1}"/>
                            <w:text/>
                          </w:sdtPr>
                          <w:sdtContent>
                            <w:p w:rsidR="00E55936" w:rsidRPr="003174B0" w:rsidRDefault="00AE5C15">
                              <w:pPr>
                                <w:pStyle w:val="NoSpacing"/>
                                <w:jc w:val="right"/>
                                <w:rPr>
                                  <w:rFonts w:asciiTheme="majorHAnsi" w:eastAsiaTheme="majorEastAsia" w:hAnsiTheme="majorHAnsi" w:cstheme="majorBidi"/>
                                  <w:color w:val="FFFFFF" w:themeColor="background1"/>
                                  <w:sz w:val="72"/>
                                  <w:szCs w:val="72"/>
                                  <w:lang w:val="en-GB"/>
                                </w:rPr>
                              </w:pPr>
                              <w:r>
                                <w:rPr>
                                  <w:rFonts w:asciiTheme="majorHAnsi" w:eastAsiaTheme="majorEastAsia" w:hAnsiTheme="majorHAnsi" w:cstheme="majorBidi"/>
                                  <w:color w:val="FFFFFF" w:themeColor="background1"/>
                                  <w:sz w:val="72"/>
                                  <w:szCs w:val="72"/>
                                </w:rPr>
                                <w:t>National Reform Programme of the Czech Republic</w:t>
                              </w:r>
                            </w:p>
                          </w:sdtContent>
                        </w:sdt>
                      </w:txbxContent>
                    </v:textbox>
                    <w10:wrap anchorx="page" anchory="page"/>
                  </v:rect>
                </w:pict>
              </mc:Fallback>
            </mc:AlternateContent>
          </w:r>
          <w:r w:rsidRPr="007A1B09">
            <w:rPr>
              <w:noProof/>
              <w:lang w:eastAsia="cs-CZ"/>
            </w:rPr>
            <mc:AlternateContent>
              <mc:Choice Requires="wpg">
                <w:drawing>
                  <wp:anchor distT="0" distB="0" distL="114300" distR="114300" simplePos="0" relativeHeight="251659264" behindDoc="0" locked="0" layoutInCell="0" allowOverlap="1" wp14:anchorId="35D7324E" wp14:editId="1BB1A172">
                    <wp:simplePos x="0" y="0"/>
                    <wp:positionH relativeFrom="page">
                      <wp:align>right</wp:align>
                    </wp:positionH>
                    <wp:positionV relativeFrom="page">
                      <wp:align>top</wp:align>
                    </wp:positionV>
                    <wp:extent cx="3118485" cy="10058400"/>
                    <wp:effectExtent l="0" t="0" r="5080" b="0"/>
                    <wp:wrapNone/>
                    <wp:docPr id="363"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5" cy="15840"/>
                                <a:chOff x="7560" y="0"/>
                                <a:chExt cx="4699" cy="15840"/>
                              </a:xfrm>
                            </wpg:grpSpPr>
                            <wps:wsp>
                              <wps:cNvPr id="365" name="Rectangle 365"/>
                              <wps:cNvSpPr>
                                <a:spLocks noChangeArrowheads="1"/>
                              </wps:cNvSpPr>
                              <wps:spPr bwMode="auto">
                                <a:xfrm>
                                  <a:off x="7754" y="0"/>
                                  <a:ext cx="4505" cy="15840"/>
                                </a:xfrm>
                                <a:prstGeom prst="rect">
                                  <a:avLst/>
                                </a:prstGeom>
                                <a:solidFill>
                                  <a:srgbClr val="0070C0">
                                    <a:alpha val="79000"/>
                                  </a:srgb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rgbClr val="336699">
                                      <a:alpha val="80000"/>
                                    </a:srgb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Rok"/>
                                    <w:id w:val="-547844026"/>
                                    <w:dataBinding w:prefixMappings="xmlns:ns0='http://schemas.microsoft.com/office/2006/coverPageProps'" w:xpath="/ns0:CoverPageProperties[1]/ns0:PublishDate[1]" w:storeItemID="{55AF091B-3C7A-41E3-B477-F2FDAA23CFDA}"/>
                                    <w:date w:fullDate="2014-01-01T00:00:00Z">
                                      <w:dateFormat w:val="yyyy"/>
                                      <w:lid w:val="cs-CZ"/>
                                      <w:storeMappedDataAs w:val="dateTime"/>
                                      <w:calendar w:val="gregorian"/>
                                    </w:date>
                                  </w:sdtPr>
                                  <w:sdtEndPr/>
                                  <w:sdtContent>
                                    <w:p w:rsidR="00E55936" w:rsidRDefault="00E55936">
                                      <w:pPr>
                                        <w:pStyle w:val="Bezmezer"/>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lang w:val="en-GB"/>
                                    </w:rPr>
                                    <w:alias w:val="Autor"/>
                                    <w:id w:val="-1772924102"/>
                                    <w:dataBinding w:prefixMappings="xmlns:ns0='http://schemas.openxmlformats.org/package/2006/metadata/core-properties' xmlns:ns1='http://purl.org/dc/elements/1.1/'" w:xpath="/ns0:coreProperties[1]/ns1:creator[1]" w:storeItemID="{6C3C8BC8-F283-45AE-878A-BAB7291924A1}"/>
                                    <w:text/>
                                  </w:sdtPr>
                                  <w:sdtEndPr/>
                                  <w:sdtContent>
                                    <w:p w:rsidR="00E55936" w:rsidRPr="0033706F" w:rsidRDefault="00E55936">
                                      <w:pPr>
                                        <w:pStyle w:val="Bezmezer"/>
                                        <w:spacing w:line="360" w:lineRule="auto"/>
                                        <w:rPr>
                                          <w:color w:val="FFFFFF" w:themeColor="background1"/>
                                          <w:lang w:val="en-GB"/>
                                        </w:rPr>
                                      </w:pPr>
                                      <w:r w:rsidRPr="0033706F">
                                        <w:rPr>
                                          <w:color w:val="FFFFFF" w:themeColor="background1"/>
                                          <w:lang w:val="en-GB"/>
                                        </w:rPr>
                                        <w:t>Office of the Government of the Czech Republic</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Skupina 14" o:spid="_x0000_s1027" style="position:absolute;left:0;text-align:left;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" o:allowincell="f">
                    <v:group id="Group 364" o:spid="_x0000_s1028" style="position:absolute;left:7344;width:4895;height:15840" coordorigin="7560" coordsize="4699,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4;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UgR8QA&#10;AADcAAAADwAAAGRycy9kb3ducmV2LnhtbESPQWvCQBSE7wX/w/KEXopubKlIdBUJlHgqbRS8PrLP&#10;ZDH7NuyuJv33bqHQ4zAz3zCb3Wg7cScfjGMFi3kGgrh22nCj4HT8mK1AhIissXNMCn4owG47edpg&#10;rt3A33SvYiMShEOOCtoY+1zKULdkMcxdT5y8i/MWY5K+kdrjkOC2k69ZtpQWDaeFFnsqWqqv1c0q&#10;2A/nT1kXoey+jK4yX5Qv5loq9Twd92sQkcb4H/5rH7SCt+U7/J5JR0B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1IEfEAAAA3AAAAA8AAAAAAAAAAAAAAAAAmAIAAGRycy9k&#10;b3ducmV2LnhtbFBLBQYAAAAABAAEAPUAAACJAwAAAAA=&#10;" fillcolor="#0070c0" stroked="f" strokecolor="#d8d8d8">
                        <v:fill opacity="51657f"/>
                      </v:rect>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UeWcMA&#10;AADcAAAADwAAAGRycy9kb3ducmV2LnhtbESPzWrCQBSF9wXfYbhCd3WiQgjRUURUbBeFajbuLplr&#10;EpK5E2bGmL59p1Do8nB+Ps56O5pODOR8Y1nBfJaAIC6tbrhSUFyPbxkIH5A1dpZJwTd52G4mL2vM&#10;tX3yFw2XUIk4wj5HBXUIfS6lL2sy6Ge2J47e3TqDIUpXSe3wGcdNJxdJkkqDDUdCjT3tayrby8NE&#10;7vKTR3dPiyw7tcO7/ijkrT0o9ToddysQgcbwH/5rn7WCZZrC75l4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UeWcMAAADcAAAADwAAAAAAAAAAAAAAAACYAgAAZHJzL2Rv&#10;d25yZXYueG1sUEsFBgAAAAAEAAQA9QAAAIgDAAAAAA==&#10;" fillcolor="#369"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Rok"/>
                              <w:id w:val="-547844026"/>
                              <w:dataBinding w:prefixMappings="xmlns:ns0='http://schemas.microsoft.com/office/2006/coverPageProps'" w:xpath="/ns0:CoverPageProperties[1]/ns0:PublishDate[1]" w:storeItemID="{55AF091B-3C7A-41E3-B477-F2FDAA23CFDA}"/>
                              <w:date w:fullDate="2014-01-01T00:00:00Z">
                                <w:dateFormat w:val="yyyy"/>
                                <w:lid w:val="cs-CZ"/>
                                <w:storeMappedDataAs w:val="dateTime"/>
                                <w:calendar w:val="gregorian"/>
                              </w:date>
                            </w:sdtPr>
                            <w:sdtContent>
                              <w:p w:rsidR="00E55936" w:rsidRDefault="00E55936">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lang w:val="en-GB"/>
                              </w:rPr>
                              <w:alias w:val="Autor"/>
                              <w:id w:val="-1772924102"/>
                              <w:dataBinding w:prefixMappings="xmlns:ns0='http://schemas.openxmlformats.org/package/2006/metadata/core-properties' xmlns:ns1='http://purl.org/dc/elements/1.1/'" w:xpath="/ns0:coreProperties[1]/ns1:creator[1]" w:storeItemID="{6C3C8BC8-F283-45AE-878A-BAB7291924A1}"/>
                              <w:text/>
                            </w:sdtPr>
                            <w:sdtContent>
                              <w:p w:rsidR="00E55936" w:rsidRPr="0033706F" w:rsidRDefault="00E55936">
                                <w:pPr>
                                  <w:pStyle w:val="NoSpacing"/>
                                  <w:spacing w:line="360" w:lineRule="auto"/>
                                  <w:rPr>
                                    <w:color w:val="FFFFFF" w:themeColor="background1"/>
                                    <w:lang w:val="en-GB"/>
                                  </w:rPr>
                                </w:pPr>
                                <w:r w:rsidRPr="0033706F">
                                  <w:rPr>
                                    <w:color w:val="FFFFFF" w:themeColor="background1"/>
                                    <w:lang w:val="en-GB"/>
                                  </w:rPr>
                                  <w:t>Office of the Government of the Czech Republic</w:t>
                                </w:r>
                              </w:p>
                            </w:sdtContent>
                          </w:sdt>
                        </w:txbxContent>
                      </v:textbox>
                    </v:rect>
                    <w10:wrap anchorx="page" anchory="page"/>
                  </v:group>
                </w:pict>
              </mc:Fallback>
            </mc:AlternateContent>
          </w:r>
        </w:p>
        <w:p w:rsidR="00946869" w:rsidRPr="007A1B09" w:rsidRDefault="00946869">
          <w:pPr>
            <w:rPr>
              <w:lang w:val="en-GB"/>
            </w:rPr>
          </w:pPr>
          <w:r w:rsidRPr="007A1B09">
            <w:rPr>
              <w:noProof/>
              <w:lang w:eastAsia="cs-CZ"/>
            </w:rPr>
            <w:drawing>
              <wp:anchor distT="0" distB="0" distL="114300" distR="114300" simplePos="0" relativeHeight="251663360" behindDoc="1" locked="0" layoutInCell="1" allowOverlap="1" wp14:anchorId="088B545B" wp14:editId="642FD48A">
                <wp:simplePos x="0" y="0"/>
                <wp:positionH relativeFrom="column">
                  <wp:posOffset>1254760</wp:posOffset>
                </wp:positionH>
                <wp:positionV relativeFrom="paragraph">
                  <wp:posOffset>3749040</wp:posOffset>
                </wp:positionV>
                <wp:extent cx="4196165" cy="5429250"/>
                <wp:effectExtent l="0" t="0" r="0" b="0"/>
                <wp:wrapNone/>
                <wp:docPr id="8" name="Bild 2" descr="podtisk l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podtisk lv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6165" cy="542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B09">
            <w:rPr>
              <w:lang w:val="en-GB"/>
            </w:rPr>
            <w:br w:type="page"/>
          </w:r>
        </w:p>
      </w:sdtContent>
    </w:sdt>
    <w:p w:rsidR="00E54029" w:rsidRPr="007A1B09" w:rsidRDefault="003174B0" w:rsidP="00D26121">
      <w:pPr>
        <w:pStyle w:val="Nadpis1"/>
        <w:ind w:left="720"/>
        <w:rPr>
          <w:lang w:val="en-GB"/>
        </w:rPr>
      </w:pPr>
      <w:bookmarkStart w:id="0" w:name="_Toc385945975"/>
      <w:r>
        <w:rPr>
          <w:lang w:val="en-GB"/>
        </w:rPr>
        <w:lastRenderedPageBreak/>
        <w:t>Contents</w:t>
      </w:r>
      <w:bookmarkEnd w:id="0"/>
    </w:p>
    <w:sdt>
      <w:sdtPr>
        <w:rPr>
          <w:b/>
          <w:bCs/>
          <w:vanish/>
          <w:highlight w:val="yellow"/>
          <w:lang w:val="en-GB"/>
        </w:rPr>
        <w:id w:val="1848138857"/>
        <w:docPartObj>
          <w:docPartGallery w:val="Table of Contents"/>
          <w:docPartUnique/>
        </w:docPartObj>
      </w:sdtPr>
      <w:sdtEndPr>
        <w:rPr>
          <w:b w:val="0"/>
          <w:bCs w:val="0"/>
        </w:rPr>
      </w:sdtEndPr>
      <w:sdtContent>
        <w:p w:rsidR="003174B0" w:rsidRDefault="00E54029">
          <w:pPr>
            <w:pStyle w:val="Obsah1"/>
            <w:tabs>
              <w:tab w:val="right" w:leader="dot" w:pos="9062"/>
            </w:tabs>
            <w:rPr>
              <w:noProof/>
              <w:sz w:val="22"/>
              <w:lang w:eastAsia="cs-CZ"/>
            </w:rPr>
          </w:pPr>
          <w:r w:rsidRPr="007A1B09">
            <w:rPr>
              <w:lang w:val="en-GB"/>
            </w:rPr>
            <w:fldChar w:fldCharType="begin"/>
          </w:r>
          <w:r w:rsidRPr="007A1B09">
            <w:rPr>
              <w:lang w:val="en-GB"/>
            </w:rPr>
            <w:instrText xml:space="preserve"> TOC \o "1-3" \h \z \u </w:instrText>
          </w:r>
          <w:r w:rsidRPr="007A1B09">
            <w:rPr>
              <w:lang w:val="en-GB"/>
            </w:rPr>
            <w:fldChar w:fldCharType="separate"/>
          </w:r>
          <w:hyperlink w:anchor="_Toc385945975" w:history="1">
            <w:r w:rsidR="003174B0" w:rsidRPr="000060D7">
              <w:rPr>
                <w:rStyle w:val="Hypertextovodkaz"/>
                <w:noProof/>
                <w:lang w:val="en-GB"/>
              </w:rPr>
              <w:t>Contents</w:t>
            </w:r>
            <w:r w:rsidR="003174B0">
              <w:rPr>
                <w:noProof/>
                <w:webHidden/>
              </w:rPr>
              <w:tab/>
            </w:r>
            <w:r w:rsidR="003174B0">
              <w:rPr>
                <w:noProof/>
                <w:webHidden/>
              </w:rPr>
              <w:fldChar w:fldCharType="begin"/>
            </w:r>
            <w:r w:rsidR="003174B0">
              <w:rPr>
                <w:noProof/>
                <w:webHidden/>
              </w:rPr>
              <w:instrText xml:space="preserve"> PAGEREF _Toc385945975 \h </w:instrText>
            </w:r>
            <w:r w:rsidR="003174B0">
              <w:rPr>
                <w:noProof/>
                <w:webHidden/>
              </w:rPr>
            </w:r>
            <w:r w:rsidR="003174B0">
              <w:rPr>
                <w:noProof/>
                <w:webHidden/>
              </w:rPr>
              <w:fldChar w:fldCharType="separate"/>
            </w:r>
            <w:r w:rsidR="003174B0">
              <w:rPr>
                <w:noProof/>
                <w:webHidden/>
              </w:rPr>
              <w:t>1</w:t>
            </w:r>
            <w:r w:rsidR="003174B0">
              <w:rPr>
                <w:noProof/>
                <w:webHidden/>
              </w:rPr>
              <w:fldChar w:fldCharType="end"/>
            </w:r>
          </w:hyperlink>
        </w:p>
        <w:p w:rsidR="003174B0" w:rsidRDefault="00323F83">
          <w:pPr>
            <w:pStyle w:val="Obsah1"/>
            <w:tabs>
              <w:tab w:val="left" w:pos="420"/>
              <w:tab w:val="right" w:leader="dot" w:pos="9062"/>
            </w:tabs>
            <w:rPr>
              <w:noProof/>
              <w:sz w:val="22"/>
              <w:lang w:eastAsia="cs-CZ"/>
            </w:rPr>
          </w:pPr>
          <w:hyperlink w:anchor="_Toc385945976" w:history="1">
            <w:r w:rsidR="003174B0" w:rsidRPr="000060D7">
              <w:rPr>
                <w:rStyle w:val="Hypertextovodkaz"/>
                <w:noProof/>
                <w:lang w:val="en-GB"/>
              </w:rPr>
              <w:t>1.</w:t>
            </w:r>
            <w:r w:rsidR="003174B0">
              <w:rPr>
                <w:noProof/>
                <w:sz w:val="22"/>
                <w:lang w:eastAsia="cs-CZ"/>
              </w:rPr>
              <w:tab/>
            </w:r>
            <w:r w:rsidR="003174B0" w:rsidRPr="000060D7">
              <w:rPr>
                <w:rStyle w:val="Hypertextovodkaz"/>
                <w:noProof/>
                <w:lang w:val="en-GB"/>
              </w:rPr>
              <w:t>Introduction</w:t>
            </w:r>
            <w:r w:rsidR="003174B0">
              <w:rPr>
                <w:noProof/>
                <w:webHidden/>
              </w:rPr>
              <w:tab/>
            </w:r>
            <w:r w:rsidR="003174B0">
              <w:rPr>
                <w:noProof/>
                <w:webHidden/>
              </w:rPr>
              <w:fldChar w:fldCharType="begin"/>
            </w:r>
            <w:r w:rsidR="003174B0">
              <w:rPr>
                <w:noProof/>
                <w:webHidden/>
              </w:rPr>
              <w:instrText xml:space="preserve"> PAGEREF _Toc385945976 \h </w:instrText>
            </w:r>
            <w:r w:rsidR="003174B0">
              <w:rPr>
                <w:noProof/>
                <w:webHidden/>
              </w:rPr>
            </w:r>
            <w:r w:rsidR="003174B0">
              <w:rPr>
                <w:noProof/>
                <w:webHidden/>
              </w:rPr>
              <w:fldChar w:fldCharType="separate"/>
            </w:r>
            <w:r w:rsidR="003174B0">
              <w:rPr>
                <w:noProof/>
                <w:webHidden/>
              </w:rPr>
              <w:t>4</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77" w:history="1">
            <w:r w:rsidR="003174B0" w:rsidRPr="000060D7">
              <w:rPr>
                <w:rStyle w:val="Hypertextovodkaz"/>
                <w:noProof/>
                <w:lang w:val="en-GB"/>
              </w:rPr>
              <w:t>1.1.</w:t>
            </w:r>
            <w:r w:rsidR="003174B0">
              <w:rPr>
                <w:noProof/>
                <w:sz w:val="22"/>
                <w:lang w:eastAsia="cs-CZ"/>
              </w:rPr>
              <w:tab/>
            </w:r>
            <w:r w:rsidR="003174B0" w:rsidRPr="000060D7">
              <w:rPr>
                <w:rStyle w:val="Hypertextovodkaz"/>
                <w:noProof/>
                <w:lang w:val="en-GB"/>
              </w:rPr>
              <w:t>Introduction</w:t>
            </w:r>
            <w:r w:rsidR="003174B0">
              <w:rPr>
                <w:noProof/>
                <w:webHidden/>
              </w:rPr>
              <w:tab/>
            </w:r>
            <w:r w:rsidR="003174B0">
              <w:rPr>
                <w:noProof/>
                <w:webHidden/>
              </w:rPr>
              <w:fldChar w:fldCharType="begin"/>
            </w:r>
            <w:r w:rsidR="003174B0">
              <w:rPr>
                <w:noProof/>
                <w:webHidden/>
              </w:rPr>
              <w:instrText xml:space="preserve"> PAGEREF _Toc385945977 \h </w:instrText>
            </w:r>
            <w:r w:rsidR="003174B0">
              <w:rPr>
                <w:noProof/>
                <w:webHidden/>
              </w:rPr>
            </w:r>
            <w:r w:rsidR="003174B0">
              <w:rPr>
                <w:noProof/>
                <w:webHidden/>
              </w:rPr>
              <w:fldChar w:fldCharType="separate"/>
            </w:r>
            <w:r w:rsidR="003174B0">
              <w:rPr>
                <w:noProof/>
                <w:webHidden/>
              </w:rPr>
              <w:t>4</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78" w:history="1">
            <w:r w:rsidR="003174B0" w:rsidRPr="000060D7">
              <w:rPr>
                <w:rStyle w:val="Hypertextovodkaz"/>
                <w:noProof/>
                <w:lang w:val="en-GB"/>
              </w:rPr>
              <w:t>1.2.</w:t>
            </w:r>
            <w:r w:rsidR="003174B0">
              <w:rPr>
                <w:noProof/>
                <w:sz w:val="22"/>
                <w:lang w:eastAsia="cs-CZ"/>
              </w:rPr>
              <w:tab/>
            </w:r>
            <w:r w:rsidR="003174B0" w:rsidRPr="000060D7">
              <w:rPr>
                <w:rStyle w:val="Hypertextovodkaz"/>
                <w:noProof/>
                <w:lang w:val="en-GB"/>
              </w:rPr>
              <w:t>The preparation process</w:t>
            </w:r>
            <w:r w:rsidR="003174B0">
              <w:rPr>
                <w:noProof/>
                <w:webHidden/>
              </w:rPr>
              <w:tab/>
            </w:r>
            <w:r w:rsidR="003174B0">
              <w:rPr>
                <w:noProof/>
                <w:webHidden/>
              </w:rPr>
              <w:fldChar w:fldCharType="begin"/>
            </w:r>
            <w:r w:rsidR="003174B0">
              <w:rPr>
                <w:noProof/>
                <w:webHidden/>
              </w:rPr>
              <w:instrText xml:space="preserve"> PAGEREF _Toc385945978 \h </w:instrText>
            </w:r>
            <w:r w:rsidR="003174B0">
              <w:rPr>
                <w:noProof/>
                <w:webHidden/>
              </w:rPr>
            </w:r>
            <w:r w:rsidR="003174B0">
              <w:rPr>
                <w:noProof/>
                <w:webHidden/>
              </w:rPr>
              <w:fldChar w:fldCharType="separate"/>
            </w:r>
            <w:r w:rsidR="003174B0">
              <w:rPr>
                <w:noProof/>
                <w:webHidden/>
              </w:rPr>
              <w:t>4</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79" w:history="1">
            <w:r w:rsidR="003174B0" w:rsidRPr="000060D7">
              <w:rPr>
                <w:rStyle w:val="Hypertextovodkaz"/>
                <w:noProof/>
                <w:lang w:val="en-GB"/>
              </w:rPr>
              <w:t>1.3.</w:t>
            </w:r>
            <w:r w:rsidR="003174B0">
              <w:rPr>
                <w:noProof/>
                <w:sz w:val="22"/>
                <w:lang w:eastAsia="cs-CZ"/>
              </w:rPr>
              <w:tab/>
            </w:r>
            <w:r w:rsidR="003174B0" w:rsidRPr="000060D7">
              <w:rPr>
                <w:rStyle w:val="Hypertextovodkaz"/>
                <w:noProof/>
                <w:lang w:val="en-GB"/>
              </w:rPr>
              <w:t>Document structure</w:t>
            </w:r>
            <w:r w:rsidR="003174B0">
              <w:rPr>
                <w:noProof/>
                <w:webHidden/>
              </w:rPr>
              <w:tab/>
            </w:r>
            <w:r w:rsidR="003174B0">
              <w:rPr>
                <w:noProof/>
                <w:webHidden/>
              </w:rPr>
              <w:fldChar w:fldCharType="begin"/>
            </w:r>
            <w:r w:rsidR="003174B0">
              <w:rPr>
                <w:noProof/>
                <w:webHidden/>
              </w:rPr>
              <w:instrText xml:space="preserve"> PAGEREF _Toc385945979 \h </w:instrText>
            </w:r>
            <w:r w:rsidR="003174B0">
              <w:rPr>
                <w:noProof/>
                <w:webHidden/>
              </w:rPr>
            </w:r>
            <w:r w:rsidR="003174B0">
              <w:rPr>
                <w:noProof/>
                <w:webHidden/>
              </w:rPr>
              <w:fldChar w:fldCharType="separate"/>
            </w:r>
            <w:r w:rsidR="003174B0">
              <w:rPr>
                <w:noProof/>
                <w:webHidden/>
              </w:rPr>
              <w:t>5</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80" w:history="1">
            <w:r w:rsidR="003174B0" w:rsidRPr="000060D7">
              <w:rPr>
                <w:rStyle w:val="Hypertextovodkaz"/>
                <w:noProof/>
                <w:lang w:val="en-GB"/>
              </w:rPr>
              <w:t>1.4.</w:t>
            </w:r>
            <w:r w:rsidR="003174B0">
              <w:rPr>
                <w:noProof/>
                <w:sz w:val="22"/>
                <w:lang w:eastAsia="cs-CZ"/>
              </w:rPr>
              <w:tab/>
            </w:r>
            <w:r w:rsidR="003174B0" w:rsidRPr="000060D7">
              <w:rPr>
                <w:rStyle w:val="Hypertextovodkaz"/>
                <w:noProof/>
                <w:lang w:val="en-GB"/>
              </w:rPr>
              <w:t>Impact and implementation of the reform measures</w:t>
            </w:r>
            <w:r w:rsidR="003174B0">
              <w:rPr>
                <w:noProof/>
                <w:webHidden/>
              </w:rPr>
              <w:tab/>
            </w:r>
            <w:r w:rsidR="003174B0">
              <w:rPr>
                <w:noProof/>
                <w:webHidden/>
              </w:rPr>
              <w:fldChar w:fldCharType="begin"/>
            </w:r>
            <w:r w:rsidR="003174B0">
              <w:rPr>
                <w:noProof/>
                <w:webHidden/>
              </w:rPr>
              <w:instrText xml:space="preserve"> PAGEREF _Toc385945980 \h </w:instrText>
            </w:r>
            <w:r w:rsidR="003174B0">
              <w:rPr>
                <w:noProof/>
                <w:webHidden/>
              </w:rPr>
            </w:r>
            <w:r w:rsidR="003174B0">
              <w:rPr>
                <w:noProof/>
                <w:webHidden/>
              </w:rPr>
              <w:fldChar w:fldCharType="separate"/>
            </w:r>
            <w:r w:rsidR="003174B0">
              <w:rPr>
                <w:noProof/>
                <w:webHidden/>
              </w:rPr>
              <w:t>6</w:t>
            </w:r>
            <w:r w:rsidR="003174B0">
              <w:rPr>
                <w:noProof/>
                <w:webHidden/>
              </w:rPr>
              <w:fldChar w:fldCharType="end"/>
            </w:r>
          </w:hyperlink>
        </w:p>
        <w:p w:rsidR="003174B0" w:rsidRDefault="00323F83">
          <w:pPr>
            <w:pStyle w:val="Obsah1"/>
            <w:tabs>
              <w:tab w:val="left" w:pos="420"/>
              <w:tab w:val="right" w:leader="dot" w:pos="9062"/>
            </w:tabs>
            <w:rPr>
              <w:noProof/>
              <w:sz w:val="22"/>
              <w:lang w:eastAsia="cs-CZ"/>
            </w:rPr>
          </w:pPr>
          <w:hyperlink w:anchor="_Toc385945981" w:history="1">
            <w:r w:rsidR="003174B0" w:rsidRPr="000060D7">
              <w:rPr>
                <w:rStyle w:val="Hypertextovodkaz"/>
                <w:noProof/>
                <w:lang w:val="en-GB"/>
              </w:rPr>
              <w:t>2.</w:t>
            </w:r>
            <w:r w:rsidR="003174B0">
              <w:rPr>
                <w:noProof/>
                <w:sz w:val="22"/>
                <w:lang w:eastAsia="cs-CZ"/>
              </w:rPr>
              <w:tab/>
            </w:r>
            <w:r w:rsidR="003174B0" w:rsidRPr="000060D7">
              <w:rPr>
                <w:rStyle w:val="Hypertextovodkaz"/>
                <w:noProof/>
                <w:lang w:val="en-GB"/>
              </w:rPr>
              <w:t>Current macroeconomic prediction of the Czech Republic</w:t>
            </w:r>
            <w:r w:rsidR="003174B0">
              <w:rPr>
                <w:noProof/>
                <w:webHidden/>
              </w:rPr>
              <w:tab/>
            </w:r>
            <w:r w:rsidR="003174B0">
              <w:rPr>
                <w:noProof/>
                <w:webHidden/>
              </w:rPr>
              <w:fldChar w:fldCharType="begin"/>
            </w:r>
            <w:r w:rsidR="003174B0">
              <w:rPr>
                <w:noProof/>
                <w:webHidden/>
              </w:rPr>
              <w:instrText xml:space="preserve"> PAGEREF _Toc385945981 \h </w:instrText>
            </w:r>
            <w:r w:rsidR="003174B0">
              <w:rPr>
                <w:noProof/>
                <w:webHidden/>
              </w:rPr>
            </w:r>
            <w:r w:rsidR="003174B0">
              <w:rPr>
                <w:noProof/>
                <w:webHidden/>
              </w:rPr>
              <w:fldChar w:fldCharType="separate"/>
            </w:r>
            <w:r w:rsidR="003174B0">
              <w:rPr>
                <w:noProof/>
                <w:webHidden/>
              </w:rPr>
              <w:t>7</w:t>
            </w:r>
            <w:r w:rsidR="003174B0">
              <w:rPr>
                <w:noProof/>
                <w:webHidden/>
              </w:rPr>
              <w:fldChar w:fldCharType="end"/>
            </w:r>
          </w:hyperlink>
        </w:p>
        <w:p w:rsidR="003174B0" w:rsidRDefault="00323F83">
          <w:pPr>
            <w:pStyle w:val="Obsah1"/>
            <w:tabs>
              <w:tab w:val="left" w:pos="420"/>
              <w:tab w:val="right" w:leader="dot" w:pos="9062"/>
            </w:tabs>
            <w:rPr>
              <w:noProof/>
              <w:sz w:val="22"/>
              <w:lang w:eastAsia="cs-CZ"/>
            </w:rPr>
          </w:pPr>
          <w:hyperlink w:anchor="_Toc385945982" w:history="1">
            <w:r w:rsidR="003174B0" w:rsidRPr="000060D7">
              <w:rPr>
                <w:rStyle w:val="Hypertextovodkaz"/>
                <w:noProof/>
                <w:lang w:val="en-GB"/>
              </w:rPr>
              <w:t>3.</w:t>
            </w:r>
            <w:r w:rsidR="003174B0">
              <w:rPr>
                <w:noProof/>
                <w:sz w:val="22"/>
                <w:lang w:eastAsia="cs-CZ"/>
              </w:rPr>
              <w:tab/>
            </w:r>
            <w:r w:rsidR="003174B0" w:rsidRPr="000060D7">
              <w:rPr>
                <w:rStyle w:val="Hypertextovodkaz"/>
                <w:noProof/>
                <w:lang w:val="en-GB"/>
              </w:rPr>
              <w:t>Implementation of Council recommendations</w:t>
            </w:r>
            <w:r w:rsidR="003174B0">
              <w:rPr>
                <w:noProof/>
                <w:webHidden/>
              </w:rPr>
              <w:tab/>
            </w:r>
            <w:r w:rsidR="003174B0">
              <w:rPr>
                <w:noProof/>
                <w:webHidden/>
              </w:rPr>
              <w:fldChar w:fldCharType="begin"/>
            </w:r>
            <w:r w:rsidR="003174B0">
              <w:rPr>
                <w:noProof/>
                <w:webHidden/>
              </w:rPr>
              <w:instrText xml:space="preserve"> PAGEREF _Toc385945982 \h </w:instrText>
            </w:r>
            <w:r w:rsidR="003174B0">
              <w:rPr>
                <w:noProof/>
                <w:webHidden/>
              </w:rPr>
            </w:r>
            <w:r w:rsidR="003174B0">
              <w:rPr>
                <w:noProof/>
                <w:webHidden/>
              </w:rPr>
              <w:fldChar w:fldCharType="separate"/>
            </w:r>
            <w:r w:rsidR="003174B0">
              <w:rPr>
                <w:noProof/>
                <w:webHidden/>
              </w:rPr>
              <w:t>8</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83" w:history="1">
            <w:r w:rsidR="003174B0" w:rsidRPr="000060D7">
              <w:rPr>
                <w:rStyle w:val="Hypertextovodkaz"/>
                <w:noProof/>
                <w:lang w:val="en-GB"/>
              </w:rPr>
              <w:t>3.1.</w:t>
            </w:r>
            <w:r w:rsidR="003174B0">
              <w:rPr>
                <w:noProof/>
                <w:sz w:val="22"/>
                <w:lang w:eastAsia="cs-CZ"/>
              </w:rPr>
              <w:tab/>
            </w:r>
            <w:r w:rsidR="003174B0" w:rsidRPr="000060D7">
              <w:rPr>
                <w:rStyle w:val="Hypertextovodkaz"/>
                <w:noProof/>
                <w:lang w:val="en-GB"/>
              </w:rPr>
              <w:t>Fiscal policy and budget strategy</w:t>
            </w:r>
            <w:r w:rsidR="003174B0">
              <w:rPr>
                <w:noProof/>
                <w:webHidden/>
              </w:rPr>
              <w:tab/>
            </w:r>
            <w:r w:rsidR="003174B0">
              <w:rPr>
                <w:noProof/>
                <w:webHidden/>
              </w:rPr>
              <w:fldChar w:fldCharType="begin"/>
            </w:r>
            <w:r w:rsidR="003174B0">
              <w:rPr>
                <w:noProof/>
                <w:webHidden/>
              </w:rPr>
              <w:instrText xml:space="preserve"> PAGEREF _Toc385945983 \h </w:instrText>
            </w:r>
            <w:r w:rsidR="003174B0">
              <w:rPr>
                <w:noProof/>
                <w:webHidden/>
              </w:rPr>
            </w:r>
            <w:r w:rsidR="003174B0">
              <w:rPr>
                <w:noProof/>
                <w:webHidden/>
              </w:rPr>
              <w:fldChar w:fldCharType="separate"/>
            </w:r>
            <w:r w:rsidR="003174B0">
              <w:rPr>
                <w:noProof/>
                <w:webHidden/>
              </w:rPr>
              <w:t>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84" w:history="1">
            <w:r w:rsidR="003174B0" w:rsidRPr="000060D7">
              <w:rPr>
                <w:rStyle w:val="Hypertextovodkaz"/>
                <w:noProof/>
                <w:lang w:val="en-GB"/>
              </w:rPr>
              <w:t>3.1.1.</w:t>
            </w:r>
            <w:r w:rsidR="003174B0">
              <w:rPr>
                <w:noProof/>
                <w:sz w:val="22"/>
                <w:lang w:eastAsia="cs-CZ"/>
              </w:rPr>
              <w:tab/>
            </w:r>
            <w:r w:rsidR="003174B0" w:rsidRPr="000060D7">
              <w:rPr>
                <w:rStyle w:val="Hypertextovodkaz"/>
                <w:noProof/>
                <w:lang w:val="en-GB"/>
              </w:rPr>
              <w:t>Fiscal pact</w:t>
            </w:r>
            <w:r w:rsidR="003174B0">
              <w:rPr>
                <w:noProof/>
                <w:webHidden/>
              </w:rPr>
              <w:tab/>
            </w:r>
            <w:r w:rsidR="003174B0">
              <w:rPr>
                <w:noProof/>
                <w:webHidden/>
              </w:rPr>
              <w:fldChar w:fldCharType="begin"/>
            </w:r>
            <w:r w:rsidR="003174B0">
              <w:rPr>
                <w:noProof/>
                <w:webHidden/>
              </w:rPr>
              <w:instrText xml:space="preserve"> PAGEREF _Toc385945984 \h </w:instrText>
            </w:r>
            <w:r w:rsidR="003174B0">
              <w:rPr>
                <w:noProof/>
                <w:webHidden/>
              </w:rPr>
            </w:r>
            <w:r w:rsidR="003174B0">
              <w:rPr>
                <w:noProof/>
                <w:webHidden/>
              </w:rPr>
              <w:fldChar w:fldCharType="separate"/>
            </w:r>
            <w:r w:rsidR="003174B0">
              <w:rPr>
                <w:noProof/>
                <w:webHidden/>
              </w:rPr>
              <w:t>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85" w:history="1">
            <w:r w:rsidR="003174B0" w:rsidRPr="000060D7">
              <w:rPr>
                <w:rStyle w:val="Hypertextovodkaz"/>
                <w:noProof/>
                <w:lang w:val="en-GB"/>
              </w:rPr>
              <w:t>3.1.2.</w:t>
            </w:r>
            <w:r w:rsidR="003174B0">
              <w:rPr>
                <w:noProof/>
                <w:sz w:val="22"/>
                <w:lang w:eastAsia="cs-CZ"/>
              </w:rPr>
              <w:tab/>
            </w:r>
            <w:r w:rsidR="003174B0" w:rsidRPr="000060D7">
              <w:rPr>
                <w:rStyle w:val="Hypertextovodkaz"/>
                <w:noProof/>
                <w:lang w:val="en-GB"/>
              </w:rPr>
              <w:t>Termination of the excessive deficit procedure</w:t>
            </w:r>
            <w:r w:rsidR="003174B0">
              <w:rPr>
                <w:noProof/>
                <w:webHidden/>
              </w:rPr>
              <w:tab/>
            </w:r>
            <w:r w:rsidR="003174B0">
              <w:rPr>
                <w:noProof/>
                <w:webHidden/>
              </w:rPr>
              <w:fldChar w:fldCharType="begin"/>
            </w:r>
            <w:r w:rsidR="003174B0">
              <w:rPr>
                <w:noProof/>
                <w:webHidden/>
              </w:rPr>
              <w:instrText xml:space="preserve"> PAGEREF _Toc385945985 \h </w:instrText>
            </w:r>
            <w:r w:rsidR="003174B0">
              <w:rPr>
                <w:noProof/>
                <w:webHidden/>
              </w:rPr>
            </w:r>
            <w:r w:rsidR="003174B0">
              <w:rPr>
                <w:noProof/>
                <w:webHidden/>
              </w:rPr>
              <w:fldChar w:fldCharType="separate"/>
            </w:r>
            <w:r w:rsidR="003174B0">
              <w:rPr>
                <w:noProof/>
                <w:webHidden/>
              </w:rPr>
              <w:t>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86" w:history="1">
            <w:r w:rsidR="003174B0" w:rsidRPr="000060D7">
              <w:rPr>
                <w:rStyle w:val="Hypertextovodkaz"/>
                <w:noProof/>
                <w:lang w:val="en-GB"/>
              </w:rPr>
              <w:t>3.1.3.</w:t>
            </w:r>
            <w:r w:rsidR="003174B0">
              <w:rPr>
                <w:noProof/>
                <w:sz w:val="22"/>
                <w:lang w:eastAsia="cs-CZ"/>
              </w:rPr>
              <w:tab/>
            </w:r>
            <w:r w:rsidR="003174B0" w:rsidRPr="000060D7">
              <w:rPr>
                <w:rStyle w:val="Hypertextovodkaz"/>
                <w:noProof/>
                <w:lang w:val="en-GB"/>
              </w:rPr>
              <w:t>Budget strategy 2014-2017</w:t>
            </w:r>
            <w:r w:rsidR="003174B0">
              <w:rPr>
                <w:noProof/>
                <w:webHidden/>
              </w:rPr>
              <w:tab/>
            </w:r>
            <w:r w:rsidR="003174B0">
              <w:rPr>
                <w:noProof/>
                <w:webHidden/>
              </w:rPr>
              <w:fldChar w:fldCharType="begin"/>
            </w:r>
            <w:r w:rsidR="003174B0">
              <w:rPr>
                <w:noProof/>
                <w:webHidden/>
              </w:rPr>
              <w:instrText xml:space="preserve"> PAGEREF _Toc385945986 \h </w:instrText>
            </w:r>
            <w:r w:rsidR="003174B0">
              <w:rPr>
                <w:noProof/>
                <w:webHidden/>
              </w:rPr>
            </w:r>
            <w:r w:rsidR="003174B0">
              <w:rPr>
                <w:noProof/>
                <w:webHidden/>
              </w:rPr>
              <w:fldChar w:fldCharType="separate"/>
            </w:r>
            <w:r w:rsidR="003174B0">
              <w:rPr>
                <w:noProof/>
                <w:webHidden/>
              </w:rPr>
              <w:t>9</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87" w:history="1">
            <w:r w:rsidR="003174B0" w:rsidRPr="000060D7">
              <w:rPr>
                <w:rStyle w:val="Hypertextovodkaz"/>
                <w:noProof/>
                <w:lang w:val="en-GB"/>
              </w:rPr>
              <w:t>3.1.4.</w:t>
            </w:r>
            <w:r w:rsidR="003174B0">
              <w:rPr>
                <w:noProof/>
                <w:sz w:val="22"/>
                <w:lang w:eastAsia="cs-CZ"/>
              </w:rPr>
              <w:tab/>
            </w:r>
            <w:r w:rsidR="003174B0" w:rsidRPr="000060D7">
              <w:rPr>
                <w:rStyle w:val="Hypertextovodkaz"/>
                <w:noProof/>
                <w:lang w:val="en-GB"/>
              </w:rPr>
              <w:t>Drawing European funds within the 2007 - 2013 programming period</w:t>
            </w:r>
            <w:r w:rsidR="003174B0">
              <w:rPr>
                <w:noProof/>
                <w:webHidden/>
              </w:rPr>
              <w:tab/>
            </w:r>
            <w:r w:rsidR="003174B0">
              <w:rPr>
                <w:noProof/>
                <w:webHidden/>
              </w:rPr>
              <w:fldChar w:fldCharType="begin"/>
            </w:r>
            <w:r w:rsidR="003174B0">
              <w:rPr>
                <w:noProof/>
                <w:webHidden/>
              </w:rPr>
              <w:instrText xml:space="preserve"> PAGEREF _Toc385945987 \h </w:instrText>
            </w:r>
            <w:r w:rsidR="003174B0">
              <w:rPr>
                <w:noProof/>
                <w:webHidden/>
              </w:rPr>
            </w:r>
            <w:r w:rsidR="003174B0">
              <w:rPr>
                <w:noProof/>
                <w:webHidden/>
              </w:rPr>
              <w:fldChar w:fldCharType="separate"/>
            </w:r>
            <w:r w:rsidR="003174B0">
              <w:rPr>
                <w:noProof/>
                <w:webHidden/>
              </w:rPr>
              <w:t>9</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88" w:history="1">
            <w:r w:rsidR="003174B0" w:rsidRPr="000060D7">
              <w:rPr>
                <w:rStyle w:val="Hypertextovodkaz"/>
                <w:noProof/>
                <w:lang w:val="en-GB"/>
              </w:rPr>
              <w:t>3.2.</w:t>
            </w:r>
            <w:r w:rsidR="003174B0">
              <w:rPr>
                <w:noProof/>
                <w:sz w:val="22"/>
                <w:lang w:eastAsia="cs-CZ"/>
              </w:rPr>
              <w:tab/>
            </w:r>
            <w:r w:rsidR="003174B0" w:rsidRPr="000060D7">
              <w:rPr>
                <w:rStyle w:val="Hypertextovodkaz"/>
                <w:noProof/>
                <w:lang w:val="en-GB"/>
              </w:rPr>
              <w:t>Tax policy</w:t>
            </w:r>
            <w:r w:rsidR="003174B0">
              <w:rPr>
                <w:noProof/>
                <w:webHidden/>
              </w:rPr>
              <w:tab/>
            </w:r>
            <w:r w:rsidR="003174B0">
              <w:rPr>
                <w:noProof/>
                <w:webHidden/>
              </w:rPr>
              <w:fldChar w:fldCharType="begin"/>
            </w:r>
            <w:r w:rsidR="003174B0">
              <w:rPr>
                <w:noProof/>
                <w:webHidden/>
              </w:rPr>
              <w:instrText xml:space="preserve"> PAGEREF _Toc385945988 \h </w:instrText>
            </w:r>
            <w:r w:rsidR="003174B0">
              <w:rPr>
                <w:noProof/>
                <w:webHidden/>
              </w:rPr>
            </w:r>
            <w:r w:rsidR="003174B0">
              <w:rPr>
                <w:noProof/>
                <w:webHidden/>
              </w:rPr>
              <w:fldChar w:fldCharType="separate"/>
            </w:r>
            <w:r w:rsidR="003174B0">
              <w:rPr>
                <w:noProof/>
                <w:webHidden/>
              </w:rPr>
              <w:t>10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89" w:history="1">
            <w:r w:rsidR="003174B0" w:rsidRPr="000060D7">
              <w:rPr>
                <w:rStyle w:val="Hypertextovodkaz"/>
                <w:noProof/>
                <w:lang w:val="en-GB"/>
              </w:rPr>
              <w:t>3.2.1.</w:t>
            </w:r>
            <w:r w:rsidR="003174B0">
              <w:rPr>
                <w:noProof/>
                <w:sz w:val="22"/>
                <w:lang w:eastAsia="cs-CZ"/>
              </w:rPr>
              <w:tab/>
            </w:r>
            <w:r w:rsidR="003174B0" w:rsidRPr="000060D7">
              <w:rPr>
                <w:rStyle w:val="Hypertextovodkaz"/>
                <w:noProof/>
                <w:lang w:val="en-GB"/>
              </w:rPr>
              <w:t>Tax system changes</w:t>
            </w:r>
            <w:r w:rsidR="003174B0">
              <w:rPr>
                <w:noProof/>
                <w:webHidden/>
              </w:rPr>
              <w:tab/>
            </w:r>
            <w:r w:rsidR="003174B0">
              <w:rPr>
                <w:noProof/>
                <w:webHidden/>
              </w:rPr>
              <w:fldChar w:fldCharType="begin"/>
            </w:r>
            <w:r w:rsidR="003174B0">
              <w:rPr>
                <w:noProof/>
                <w:webHidden/>
              </w:rPr>
              <w:instrText xml:space="preserve"> PAGEREF _Toc385945989 \h </w:instrText>
            </w:r>
            <w:r w:rsidR="003174B0">
              <w:rPr>
                <w:noProof/>
                <w:webHidden/>
              </w:rPr>
            </w:r>
            <w:r w:rsidR="003174B0">
              <w:rPr>
                <w:noProof/>
                <w:webHidden/>
              </w:rPr>
              <w:fldChar w:fldCharType="separate"/>
            </w:r>
            <w:r w:rsidR="003174B0">
              <w:rPr>
                <w:noProof/>
                <w:webHidden/>
              </w:rPr>
              <w:t>10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0" w:history="1">
            <w:r w:rsidR="003174B0" w:rsidRPr="000060D7">
              <w:rPr>
                <w:rStyle w:val="Hypertextovodkaz"/>
                <w:noProof/>
                <w:lang w:val="en-GB"/>
              </w:rPr>
              <w:t>3.2.2.</w:t>
            </w:r>
            <w:r w:rsidR="003174B0">
              <w:rPr>
                <w:noProof/>
                <w:sz w:val="22"/>
                <w:lang w:eastAsia="cs-CZ"/>
              </w:rPr>
              <w:tab/>
            </w:r>
            <w:r w:rsidR="003174B0" w:rsidRPr="000060D7">
              <w:rPr>
                <w:rStyle w:val="Hypertextovodkaz"/>
                <w:noProof/>
                <w:lang w:val="en-GB"/>
              </w:rPr>
              <w:t>Restriction of the self-employed persons’ possibility to use flat rate expenses</w:t>
            </w:r>
            <w:r w:rsidR="003174B0">
              <w:rPr>
                <w:noProof/>
                <w:webHidden/>
              </w:rPr>
              <w:tab/>
            </w:r>
            <w:r w:rsidR="003174B0">
              <w:rPr>
                <w:noProof/>
                <w:webHidden/>
              </w:rPr>
              <w:fldChar w:fldCharType="begin"/>
            </w:r>
            <w:r w:rsidR="003174B0">
              <w:rPr>
                <w:noProof/>
                <w:webHidden/>
              </w:rPr>
              <w:instrText xml:space="preserve"> PAGEREF _Toc385945990 \h </w:instrText>
            </w:r>
            <w:r w:rsidR="003174B0">
              <w:rPr>
                <w:noProof/>
                <w:webHidden/>
              </w:rPr>
            </w:r>
            <w:r w:rsidR="003174B0">
              <w:rPr>
                <w:noProof/>
                <w:webHidden/>
              </w:rPr>
              <w:fldChar w:fldCharType="separate"/>
            </w:r>
            <w:r w:rsidR="003174B0">
              <w:rPr>
                <w:noProof/>
                <w:webHidden/>
              </w:rPr>
              <w:t>11</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1" w:history="1">
            <w:r w:rsidR="003174B0" w:rsidRPr="000060D7">
              <w:rPr>
                <w:rStyle w:val="Hypertextovodkaz"/>
                <w:noProof/>
                <w:lang w:val="en-GB"/>
              </w:rPr>
              <w:t>3.2.3.</w:t>
            </w:r>
            <w:r w:rsidR="003174B0">
              <w:rPr>
                <w:noProof/>
                <w:sz w:val="22"/>
                <w:lang w:eastAsia="cs-CZ"/>
              </w:rPr>
              <w:tab/>
            </w:r>
            <w:r w:rsidR="003174B0" w:rsidRPr="000060D7">
              <w:rPr>
                <w:rStyle w:val="Hypertextovodkaz"/>
                <w:noProof/>
                <w:lang w:val="en-GB"/>
              </w:rPr>
              <w:t>Improvement of tax collection and combatting tax evasion</w:t>
            </w:r>
            <w:r w:rsidR="003174B0">
              <w:rPr>
                <w:noProof/>
                <w:webHidden/>
              </w:rPr>
              <w:tab/>
            </w:r>
            <w:r w:rsidR="003174B0">
              <w:rPr>
                <w:noProof/>
                <w:webHidden/>
              </w:rPr>
              <w:fldChar w:fldCharType="begin"/>
            </w:r>
            <w:r w:rsidR="003174B0">
              <w:rPr>
                <w:noProof/>
                <w:webHidden/>
              </w:rPr>
              <w:instrText xml:space="preserve"> PAGEREF _Toc385945991 \h </w:instrText>
            </w:r>
            <w:r w:rsidR="003174B0">
              <w:rPr>
                <w:noProof/>
                <w:webHidden/>
              </w:rPr>
            </w:r>
            <w:r w:rsidR="003174B0">
              <w:rPr>
                <w:noProof/>
                <w:webHidden/>
              </w:rPr>
              <w:fldChar w:fldCharType="separate"/>
            </w:r>
            <w:r w:rsidR="003174B0">
              <w:rPr>
                <w:noProof/>
                <w:webHidden/>
              </w:rPr>
              <w:t>11</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92" w:history="1">
            <w:r w:rsidR="003174B0" w:rsidRPr="000060D7">
              <w:rPr>
                <w:rStyle w:val="Hypertextovodkaz"/>
                <w:noProof/>
                <w:lang w:val="en-GB"/>
              </w:rPr>
              <w:t>3.3.</w:t>
            </w:r>
            <w:r w:rsidR="003174B0">
              <w:rPr>
                <w:noProof/>
                <w:sz w:val="22"/>
                <w:lang w:eastAsia="cs-CZ"/>
              </w:rPr>
              <w:tab/>
            </w:r>
            <w:r w:rsidR="003174B0" w:rsidRPr="000060D7">
              <w:rPr>
                <w:rStyle w:val="Hypertextovodkaz"/>
                <w:noProof/>
                <w:lang w:val="en-GB"/>
              </w:rPr>
              <w:t>Long-term sustainability of public finances</w:t>
            </w:r>
            <w:r w:rsidR="003174B0">
              <w:rPr>
                <w:noProof/>
                <w:webHidden/>
              </w:rPr>
              <w:tab/>
            </w:r>
            <w:r w:rsidR="003174B0">
              <w:rPr>
                <w:noProof/>
                <w:webHidden/>
              </w:rPr>
              <w:fldChar w:fldCharType="begin"/>
            </w:r>
            <w:r w:rsidR="003174B0">
              <w:rPr>
                <w:noProof/>
                <w:webHidden/>
              </w:rPr>
              <w:instrText xml:space="preserve"> PAGEREF _Toc385945992 \h </w:instrText>
            </w:r>
            <w:r w:rsidR="003174B0">
              <w:rPr>
                <w:noProof/>
                <w:webHidden/>
              </w:rPr>
            </w:r>
            <w:r w:rsidR="003174B0">
              <w:rPr>
                <w:noProof/>
                <w:webHidden/>
              </w:rPr>
              <w:fldChar w:fldCharType="separate"/>
            </w:r>
            <w:r w:rsidR="003174B0">
              <w:rPr>
                <w:noProof/>
                <w:webHidden/>
              </w:rPr>
              <w:t>12</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3" w:history="1">
            <w:r w:rsidR="003174B0" w:rsidRPr="000060D7">
              <w:rPr>
                <w:rStyle w:val="Hypertextovodkaz"/>
                <w:noProof/>
                <w:lang w:val="en-GB"/>
              </w:rPr>
              <w:t>3.3.1.</w:t>
            </w:r>
            <w:r w:rsidR="003174B0">
              <w:rPr>
                <w:noProof/>
                <w:sz w:val="22"/>
                <w:lang w:eastAsia="cs-CZ"/>
              </w:rPr>
              <w:tab/>
            </w:r>
            <w:r w:rsidR="003174B0" w:rsidRPr="000060D7">
              <w:rPr>
                <w:rStyle w:val="Hypertextovodkaz"/>
                <w:noProof/>
                <w:lang w:val="en-GB"/>
              </w:rPr>
              <w:t>Sustainable system of pension insurance</w:t>
            </w:r>
            <w:r w:rsidR="003174B0">
              <w:rPr>
                <w:noProof/>
                <w:webHidden/>
              </w:rPr>
              <w:tab/>
            </w:r>
            <w:r w:rsidR="003174B0">
              <w:rPr>
                <w:noProof/>
                <w:webHidden/>
              </w:rPr>
              <w:fldChar w:fldCharType="begin"/>
            </w:r>
            <w:r w:rsidR="003174B0">
              <w:rPr>
                <w:noProof/>
                <w:webHidden/>
              </w:rPr>
              <w:instrText xml:space="preserve"> PAGEREF _Toc385945993 \h </w:instrText>
            </w:r>
            <w:r w:rsidR="003174B0">
              <w:rPr>
                <w:noProof/>
                <w:webHidden/>
              </w:rPr>
            </w:r>
            <w:r w:rsidR="003174B0">
              <w:rPr>
                <w:noProof/>
                <w:webHidden/>
              </w:rPr>
              <w:fldChar w:fldCharType="separate"/>
            </w:r>
            <w:r w:rsidR="003174B0">
              <w:rPr>
                <w:noProof/>
                <w:webHidden/>
              </w:rPr>
              <w:t>12</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4" w:history="1">
            <w:r w:rsidR="003174B0" w:rsidRPr="000060D7">
              <w:rPr>
                <w:rStyle w:val="Hypertextovodkaz"/>
                <w:noProof/>
                <w:lang w:val="en-GB"/>
              </w:rPr>
              <w:t>3.3.2.</w:t>
            </w:r>
            <w:r w:rsidR="003174B0">
              <w:rPr>
                <w:noProof/>
                <w:sz w:val="22"/>
                <w:lang w:eastAsia="cs-CZ"/>
              </w:rPr>
              <w:tab/>
            </w:r>
            <w:r w:rsidR="003174B0" w:rsidRPr="000060D7">
              <w:rPr>
                <w:rStyle w:val="Hypertextovodkaz"/>
                <w:noProof/>
                <w:lang w:val="en-GB"/>
              </w:rPr>
              <w:t>Employability of older persons</w:t>
            </w:r>
            <w:r w:rsidR="003174B0">
              <w:rPr>
                <w:noProof/>
                <w:webHidden/>
              </w:rPr>
              <w:tab/>
            </w:r>
            <w:r w:rsidR="003174B0">
              <w:rPr>
                <w:noProof/>
                <w:webHidden/>
              </w:rPr>
              <w:fldChar w:fldCharType="begin"/>
            </w:r>
            <w:r w:rsidR="003174B0">
              <w:rPr>
                <w:noProof/>
                <w:webHidden/>
              </w:rPr>
              <w:instrText xml:space="preserve"> PAGEREF _Toc385945994 \h </w:instrText>
            </w:r>
            <w:r w:rsidR="003174B0">
              <w:rPr>
                <w:noProof/>
                <w:webHidden/>
              </w:rPr>
            </w:r>
            <w:r w:rsidR="003174B0">
              <w:rPr>
                <w:noProof/>
                <w:webHidden/>
              </w:rPr>
              <w:fldChar w:fldCharType="separate"/>
            </w:r>
            <w:r w:rsidR="003174B0">
              <w:rPr>
                <w:noProof/>
                <w:webHidden/>
              </w:rPr>
              <w:t>13</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5" w:history="1">
            <w:r w:rsidR="003174B0" w:rsidRPr="000060D7">
              <w:rPr>
                <w:rStyle w:val="Hypertextovodkaz"/>
                <w:noProof/>
                <w:lang w:val="en-GB"/>
              </w:rPr>
              <w:t>3.3.3.</w:t>
            </w:r>
            <w:r w:rsidR="003174B0">
              <w:rPr>
                <w:noProof/>
                <w:sz w:val="22"/>
                <w:lang w:eastAsia="cs-CZ"/>
              </w:rPr>
              <w:tab/>
            </w:r>
            <w:r w:rsidR="003174B0" w:rsidRPr="000060D7">
              <w:rPr>
                <w:rStyle w:val="Hypertextovodkaz"/>
                <w:noProof/>
                <w:lang w:val="en-GB"/>
              </w:rPr>
              <w:t>Pre-pensions</w:t>
            </w:r>
            <w:r w:rsidR="003174B0">
              <w:rPr>
                <w:noProof/>
                <w:webHidden/>
              </w:rPr>
              <w:tab/>
            </w:r>
            <w:r w:rsidR="003174B0">
              <w:rPr>
                <w:noProof/>
                <w:webHidden/>
              </w:rPr>
              <w:fldChar w:fldCharType="begin"/>
            </w:r>
            <w:r w:rsidR="003174B0">
              <w:rPr>
                <w:noProof/>
                <w:webHidden/>
              </w:rPr>
              <w:instrText xml:space="preserve"> PAGEREF _Toc385945995 \h </w:instrText>
            </w:r>
            <w:r w:rsidR="003174B0">
              <w:rPr>
                <w:noProof/>
                <w:webHidden/>
              </w:rPr>
            </w:r>
            <w:r w:rsidR="003174B0">
              <w:rPr>
                <w:noProof/>
                <w:webHidden/>
              </w:rPr>
              <w:fldChar w:fldCharType="separate"/>
            </w:r>
            <w:r w:rsidR="003174B0">
              <w:rPr>
                <w:noProof/>
                <w:webHidden/>
              </w:rPr>
              <w:t>14</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6" w:history="1">
            <w:r w:rsidR="003174B0" w:rsidRPr="000060D7">
              <w:rPr>
                <w:rStyle w:val="Hypertextovodkaz"/>
                <w:noProof/>
                <w:lang w:val="en-GB"/>
              </w:rPr>
              <w:t>3.3.4.</w:t>
            </w:r>
            <w:r w:rsidR="003174B0">
              <w:rPr>
                <w:noProof/>
                <w:sz w:val="22"/>
                <w:lang w:eastAsia="cs-CZ"/>
              </w:rPr>
              <w:tab/>
            </w:r>
            <w:r w:rsidR="003174B0" w:rsidRPr="000060D7">
              <w:rPr>
                <w:rStyle w:val="Hypertextovodkaz"/>
                <w:bCs/>
                <w:noProof/>
                <w:lang w:val="en-GB"/>
              </w:rPr>
              <w:t>High quality and efficient health care</w:t>
            </w:r>
            <w:r w:rsidR="003174B0">
              <w:rPr>
                <w:noProof/>
                <w:webHidden/>
              </w:rPr>
              <w:tab/>
            </w:r>
            <w:r w:rsidR="003174B0">
              <w:rPr>
                <w:noProof/>
                <w:webHidden/>
              </w:rPr>
              <w:fldChar w:fldCharType="begin"/>
            </w:r>
            <w:r w:rsidR="003174B0">
              <w:rPr>
                <w:noProof/>
                <w:webHidden/>
              </w:rPr>
              <w:instrText xml:space="preserve"> PAGEREF _Toc385945996 \h </w:instrText>
            </w:r>
            <w:r w:rsidR="003174B0">
              <w:rPr>
                <w:noProof/>
                <w:webHidden/>
              </w:rPr>
            </w:r>
            <w:r w:rsidR="003174B0">
              <w:rPr>
                <w:noProof/>
                <w:webHidden/>
              </w:rPr>
              <w:fldChar w:fldCharType="separate"/>
            </w:r>
            <w:r w:rsidR="003174B0">
              <w:rPr>
                <w:noProof/>
                <w:webHidden/>
              </w:rPr>
              <w:t>15</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5997" w:history="1">
            <w:r w:rsidR="003174B0" w:rsidRPr="000060D7">
              <w:rPr>
                <w:rStyle w:val="Hypertextovodkaz"/>
                <w:bCs/>
                <w:noProof/>
                <w:lang w:val="en-GB"/>
              </w:rPr>
              <w:t>3.4.</w:t>
            </w:r>
            <w:r w:rsidR="003174B0">
              <w:rPr>
                <w:noProof/>
                <w:sz w:val="22"/>
                <w:lang w:eastAsia="cs-CZ"/>
              </w:rPr>
              <w:tab/>
            </w:r>
            <w:r w:rsidR="003174B0" w:rsidRPr="000060D7">
              <w:rPr>
                <w:rStyle w:val="Hypertextovodkaz"/>
                <w:bCs/>
                <w:noProof/>
                <w:lang w:val="en-GB"/>
              </w:rPr>
              <w:t>Public employment services and the improvement of child care services</w:t>
            </w:r>
            <w:r w:rsidR="003174B0">
              <w:rPr>
                <w:noProof/>
                <w:webHidden/>
              </w:rPr>
              <w:tab/>
            </w:r>
            <w:r w:rsidR="003174B0">
              <w:rPr>
                <w:noProof/>
                <w:webHidden/>
              </w:rPr>
              <w:fldChar w:fldCharType="begin"/>
            </w:r>
            <w:r w:rsidR="003174B0">
              <w:rPr>
                <w:noProof/>
                <w:webHidden/>
              </w:rPr>
              <w:instrText xml:space="preserve"> PAGEREF _Toc385945997 \h </w:instrText>
            </w:r>
            <w:r w:rsidR="003174B0">
              <w:rPr>
                <w:noProof/>
                <w:webHidden/>
              </w:rPr>
            </w:r>
            <w:r w:rsidR="003174B0">
              <w:rPr>
                <w:noProof/>
                <w:webHidden/>
              </w:rPr>
              <w:fldChar w:fldCharType="separate"/>
            </w:r>
            <w:r w:rsidR="003174B0">
              <w:rPr>
                <w:noProof/>
                <w:webHidden/>
              </w:rPr>
              <w:t>16</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8" w:history="1">
            <w:r w:rsidR="003174B0" w:rsidRPr="000060D7">
              <w:rPr>
                <w:rStyle w:val="Hypertextovodkaz"/>
                <w:noProof/>
                <w:lang w:val="en-GB"/>
              </w:rPr>
              <w:t>3.4.1.</w:t>
            </w:r>
            <w:r w:rsidR="003174B0">
              <w:rPr>
                <w:noProof/>
                <w:sz w:val="22"/>
                <w:lang w:eastAsia="cs-CZ"/>
              </w:rPr>
              <w:tab/>
            </w:r>
            <w:r w:rsidR="003174B0" w:rsidRPr="000060D7">
              <w:rPr>
                <w:rStyle w:val="Hypertextovodkaz"/>
                <w:bCs/>
                <w:noProof/>
                <w:lang w:val="en-GB"/>
              </w:rPr>
              <w:t>Strengthening of public employment services</w:t>
            </w:r>
            <w:r w:rsidR="003174B0">
              <w:rPr>
                <w:noProof/>
                <w:webHidden/>
              </w:rPr>
              <w:tab/>
            </w:r>
            <w:r w:rsidR="003174B0">
              <w:rPr>
                <w:noProof/>
                <w:webHidden/>
              </w:rPr>
              <w:fldChar w:fldCharType="begin"/>
            </w:r>
            <w:r w:rsidR="003174B0">
              <w:rPr>
                <w:noProof/>
                <w:webHidden/>
              </w:rPr>
              <w:instrText xml:space="preserve"> PAGEREF _Toc385945998 \h </w:instrText>
            </w:r>
            <w:r w:rsidR="003174B0">
              <w:rPr>
                <w:noProof/>
                <w:webHidden/>
              </w:rPr>
            </w:r>
            <w:r w:rsidR="003174B0">
              <w:rPr>
                <w:noProof/>
                <w:webHidden/>
              </w:rPr>
              <w:fldChar w:fldCharType="separate"/>
            </w:r>
            <w:r w:rsidR="003174B0">
              <w:rPr>
                <w:noProof/>
                <w:webHidden/>
              </w:rPr>
              <w:t>16</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5999" w:history="1">
            <w:r w:rsidR="003174B0" w:rsidRPr="000060D7">
              <w:rPr>
                <w:rStyle w:val="Hypertextovodkaz"/>
                <w:noProof/>
                <w:lang w:val="en-GB"/>
              </w:rPr>
              <w:t>3.4.2.</w:t>
            </w:r>
            <w:r w:rsidR="003174B0">
              <w:rPr>
                <w:noProof/>
                <w:sz w:val="22"/>
                <w:lang w:eastAsia="cs-CZ"/>
              </w:rPr>
              <w:tab/>
            </w:r>
            <w:r w:rsidR="003174B0" w:rsidRPr="000060D7">
              <w:rPr>
                <w:rStyle w:val="Hypertextovodkaz"/>
                <w:bCs/>
                <w:noProof/>
                <w:lang w:val="en-GB"/>
              </w:rPr>
              <w:t>The development of childcare services</w:t>
            </w:r>
            <w:r w:rsidR="003174B0">
              <w:rPr>
                <w:noProof/>
                <w:webHidden/>
              </w:rPr>
              <w:tab/>
            </w:r>
            <w:r w:rsidR="003174B0">
              <w:rPr>
                <w:noProof/>
                <w:webHidden/>
              </w:rPr>
              <w:fldChar w:fldCharType="begin"/>
            </w:r>
            <w:r w:rsidR="003174B0">
              <w:rPr>
                <w:noProof/>
                <w:webHidden/>
              </w:rPr>
              <w:instrText xml:space="preserve"> PAGEREF _Toc385945999 \h </w:instrText>
            </w:r>
            <w:r w:rsidR="003174B0">
              <w:rPr>
                <w:noProof/>
                <w:webHidden/>
              </w:rPr>
            </w:r>
            <w:r w:rsidR="003174B0">
              <w:rPr>
                <w:noProof/>
                <w:webHidden/>
              </w:rPr>
              <w:fldChar w:fldCharType="separate"/>
            </w:r>
            <w:r w:rsidR="003174B0">
              <w:rPr>
                <w:noProof/>
                <w:webHidden/>
              </w:rPr>
              <w:t>17</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00" w:history="1">
            <w:r w:rsidR="003174B0" w:rsidRPr="000060D7">
              <w:rPr>
                <w:rStyle w:val="Hypertextovodkaz"/>
                <w:noProof/>
                <w:lang w:val="en-GB"/>
              </w:rPr>
              <w:t>3.5.</w:t>
            </w:r>
            <w:r w:rsidR="003174B0">
              <w:rPr>
                <w:noProof/>
                <w:sz w:val="22"/>
                <w:lang w:eastAsia="cs-CZ"/>
              </w:rPr>
              <w:tab/>
            </w:r>
            <w:r w:rsidR="003174B0" w:rsidRPr="000060D7">
              <w:rPr>
                <w:rStyle w:val="Hypertextovodkaz"/>
                <w:bCs/>
                <w:noProof/>
                <w:lang w:val="en-GB"/>
              </w:rPr>
              <w:t>The quality of public administration, the fight against corruption, the administration of EU funds and implementation of public procurement</w:t>
            </w:r>
            <w:r w:rsidR="003174B0">
              <w:rPr>
                <w:noProof/>
                <w:webHidden/>
              </w:rPr>
              <w:tab/>
            </w:r>
            <w:r w:rsidR="003174B0">
              <w:rPr>
                <w:noProof/>
                <w:webHidden/>
              </w:rPr>
              <w:fldChar w:fldCharType="begin"/>
            </w:r>
            <w:r w:rsidR="003174B0">
              <w:rPr>
                <w:noProof/>
                <w:webHidden/>
              </w:rPr>
              <w:instrText xml:space="preserve"> PAGEREF _Toc385946000 \h </w:instrText>
            </w:r>
            <w:r w:rsidR="003174B0">
              <w:rPr>
                <w:noProof/>
                <w:webHidden/>
              </w:rPr>
            </w:r>
            <w:r w:rsidR="003174B0">
              <w:rPr>
                <w:noProof/>
                <w:webHidden/>
              </w:rPr>
              <w:fldChar w:fldCharType="separate"/>
            </w:r>
            <w:r w:rsidR="003174B0">
              <w:rPr>
                <w:noProof/>
                <w:webHidden/>
              </w:rPr>
              <w:t>18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1" w:history="1">
            <w:r w:rsidR="003174B0" w:rsidRPr="000060D7">
              <w:rPr>
                <w:rStyle w:val="Hypertextovodkaz"/>
                <w:noProof/>
                <w:lang w:val="en-GB"/>
              </w:rPr>
              <w:t>3.5.1.</w:t>
            </w:r>
            <w:r w:rsidR="003174B0">
              <w:rPr>
                <w:noProof/>
                <w:sz w:val="22"/>
                <w:lang w:eastAsia="cs-CZ"/>
              </w:rPr>
              <w:tab/>
            </w:r>
            <w:r w:rsidR="003174B0" w:rsidRPr="000060D7">
              <w:rPr>
                <w:rStyle w:val="Hypertextovodkaz"/>
                <w:bCs/>
                <w:noProof/>
                <w:lang w:val="en-GB"/>
              </w:rPr>
              <w:t>Quality and transparent government</w:t>
            </w:r>
            <w:r w:rsidR="003174B0">
              <w:rPr>
                <w:noProof/>
                <w:webHidden/>
              </w:rPr>
              <w:tab/>
            </w:r>
            <w:r w:rsidR="003174B0">
              <w:rPr>
                <w:noProof/>
                <w:webHidden/>
              </w:rPr>
              <w:fldChar w:fldCharType="begin"/>
            </w:r>
            <w:r w:rsidR="003174B0">
              <w:rPr>
                <w:noProof/>
                <w:webHidden/>
              </w:rPr>
              <w:instrText xml:space="preserve"> PAGEREF _Toc385946001 \h </w:instrText>
            </w:r>
            <w:r w:rsidR="003174B0">
              <w:rPr>
                <w:noProof/>
                <w:webHidden/>
              </w:rPr>
            </w:r>
            <w:r w:rsidR="003174B0">
              <w:rPr>
                <w:noProof/>
                <w:webHidden/>
              </w:rPr>
              <w:fldChar w:fldCharType="separate"/>
            </w:r>
            <w:r w:rsidR="003174B0">
              <w:rPr>
                <w:noProof/>
                <w:webHidden/>
              </w:rPr>
              <w:t>18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2" w:history="1">
            <w:r w:rsidR="003174B0" w:rsidRPr="000060D7">
              <w:rPr>
                <w:rStyle w:val="Hypertextovodkaz"/>
                <w:noProof/>
                <w:lang w:val="en-GB"/>
              </w:rPr>
              <w:t>3.5.2.</w:t>
            </w:r>
            <w:r w:rsidR="003174B0">
              <w:rPr>
                <w:noProof/>
                <w:sz w:val="22"/>
                <w:lang w:eastAsia="cs-CZ"/>
              </w:rPr>
              <w:tab/>
            </w:r>
            <w:r w:rsidR="003174B0" w:rsidRPr="000060D7">
              <w:rPr>
                <w:rStyle w:val="Hypertextovodkaz"/>
                <w:bCs/>
                <w:noProof/>
                <w:lang w:val="en-GB"/>
              </w:rPr>
              <w:t>Fight against corruption</w:t>
            </w:r>
            <w:r w:rsidR="003174B0">
              <w:rPr>
                <w:noProof/>
                <w:webHidden/>
              </w:rPr>
              <w:tab/>
            </w:r>
            <w:r w:rsidR="003174B0">
              <w:rPr>
                <w:noProof/>
                <w:webHidden/>
              </w:rPr>
              <w:fldChar w:fldCharType="begin"/>
            </w:r>
            <w:r w:rsidR="003174B0">
              <w:rPr>
                <w:noProof/>
                <w:webHidden/>
              </w:rPr>
              <w:instrText xml:space="preserve"> PAGEREF _Toc385946002 \h </w:instrText>
            </w:r>
            <w:r w:rsidR="003174B0">
              <w:rPr>
                <w:noProof/>
                <w:webHidden/>
              </w:rPr>
            </w:r>
            <w:r w:rsidR="003174B0">
              <w:rPr>
                <w:noProof/>
                <w:webHidden/>
              </w:rPr>
              <w:fldChar w:fldCharType="separate"/>
            </w:r>
            <w:r w:rsidR="003174B0">
              <w:rPr>
                <w:noProof/>
                <w:webHidden/>
              </w:rPr>
              <w:t>19</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3" w:history="1">
            <w:r w:rsidR="003174B0" w:rsidRPr="000060D7">
              <w:rPr>
                <w:rStyle w:val="Hypertextovodkaz"/>
                <w:noProof/>
                <w:lang w:val="en-GB"/>
              </w:rPr>
              <w:t>3.5.3.</w:t>
            </w:r>
            <w:r w:rsidR="003174B0">
              <w:rPr>
                <w:noProof/>
                <w:sz w:val="22"/>
                <w:lang w:eastAsia="cs-CZ"/>
              </w:rPr>
              <w:tab/>
            </w:r>
            <w:r w:rsidR="003174B0" w:rsidRPr="000060D7">
              <w:rPr>
                <w:rStyle w:val="Hypertextovodkaz"/>
                <w:bCs/>
                <w:noProof/>
                <w:lang w:val="en-GB"/>
              </w:rPr>
              <w:t>Administration of finances from EU funds with regard to the programming period 2014-2020</w:t>
            </w:r>
            <w:r w:rsidR="003174B0">
              <w:rPr>
                <w:noProof/>
                <w:webHidden/>
              </w:rPr>
              <w:tab/>
            </w:r>
            <w:r w:rsidR="003174B0">
              <w:rPr>
                <w:noProof/>
                <w:webHidden/>
              </w:rPr>
              <w:fldChar w:fldCharType="begin"/>
            </w:r>
            <w:r w:rsidR="003174B0">
              <w:rPr>
                <w:noProof/>
                <w:webHidden/>
              </w:rPr>
              <w:instrText xml:space="preserve"> PAGEREF _Toc385946003 \h </w:instrText>
            </w:r>
            <w:r w:rsidR="003174B0">
              <w:rPr>
                <w:noProof/>
                <w:webHidden/>
              </w:rPr>
            </w:r>
            <w:r w:rsidR="003174B0">
              <w:rPr>
                <w:noProof/>
                <w:webHidden/>
              </w:rPr>
              <w:fldChar w:fldCharType="separate"/>
            </w:r>
            <w:r w:rsidR="003174B0">
              <w:rPr>
                <w:noProof/>
                <w:webHidden/>
              </w:rPr>
              <w:t>19</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4" w:history="1">
            <w:r w:rsidR="003174B0" w:rsidRPr="000060D7">
              <w:rPr>
                <w:rStyle w:val="Hypertextovodkaz"/>
                <w:noProof/>
                <w:lang w:val="en-GB"/>
              </w:rPr>
              <w:t>3.5.4.</w:t>
            </w:r>
            <w:r w:rsidR="003174B0">
              <w:rPr>
                <w:noProof/>
                <w:sz w:val="22"/>
                <w:lang w:eastAsia="cs-CZ"/>
              </w:rPr>
              <w:tab/>
            </w:r>
            <w:r w:rsidR="003174B0" w:rsidRPr="000060D7">
              <w:rPr>
                <w:rStyle w:val="Hypertextovodkaz"/>
                <w:bCs/>
                <w:noProof/>
                <w:lang w:val="en-GB"/>
              </w:rPr>
              <w:t>Procurement</w:t>
            </w:r>
            <w:r w:rsidR="003174B0">
              <w:rPr>
                <w:noProof/>
                <w:webHidden/>
              </w:rPr>
              <w:tab/>
            </w:r>
            <w:r w:rsidR="003174B0">
              <w:rPr>
                <w:noProof/>
                <w:webHidden/>
              </w:rPr>
              <w:fldChar w:fldCharType="begin"/>
            </w:r>
            <w:r w:rsidR="003174B0">
              <w:rPr>
                <w:noProof/>
                <w:webHidden/>
              </w:rPr>
              <w:instrText xml:space="preserve"> PAGEREF _Toc385946004 \h </w:instrText>
            </w:r>
            <w:r w:rsidR="003174B0">
              <w:rPr>
                <w:noProof/>
                <w:webHidden/>
              </w:rPr>
            </w:r>
            <w:r w:rsidR="003174B0">
              <w:rPr>
                <w:noProof/>
                <w:webHidden/>
              </w:rPr>
              <w:fldChar w:fldCharType="separate"/>
            </w:r>
            <w:r w:rsidR="003174B0">
              <w:rPr>
                <w:noProof/>
                <w:webHidden/>
              </w:rPr>
              <w:t>20</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05" w:history="1">
            <w:r w:rsidR="003174B0" w:rsidRPr="000060D7">
              <w:rPr>
                <w:rStyle w:val="Hypertextovodkaz"/>
                <w:noProof/>
                <w:lang w:val="en-GB"/>
              </w:rPr>
              <w:t>3.6.</w:t>
            </w:r>
            <w:r w:rsidR="003174B0">
              <w:rPr>
                <w:noProof/>
                <w:sz w:val="22"/>
                <w:lang w:eastAsia="cs-CZ"/>
              </w:rPr>
              <w:tab/>
            </w:r>
            <w:r w:rsidR="003174B0" w:rsidRPr="000060D7">
              <w:rPr>
                <w:rStyle w:val="Hypertextovodkaz"/>
                <w:bCs/>
                <w:noProof/>
                <w:lang w:val="en-GB"/>
              </w:rPr>
              <w:t>The quality of education and the funding of research institutions</w:t>
            </w:r>
            <w:r w:rsidR="003174B0">
              <w:rPr>
                <w:noProof/>
                <w:webHidden/>
              </w:rPr>
              <w:tab/>
            </w:r>
            <w:r w:rsidR="003174B0">
              <w:rPr>
                <w:noProof/>
                <w:webHidden/>
              </w:rPr>
              <w:fldChar w:fldCharType="begin"/>
            </w:r>
            <w:r w:rsidR="003174B0">
              <w:rPr>
                <w:noProof/>
                <w:webHidden/>
              </w:rPr>
              <w:instrText xml:space="preserve"> PAGEREF _Toc385946005 \h </w:instrText>
            </w:r>
            <w:r w:rsidR="003174B0">
              <w:rPr>
                <w:noProof/>
                <w:webHidden/>
              </w:rPr>
            </w:r>
            <w:r w:rsidR="003174B0">
              <w:rPr>
                <w:noProof/>
                <w:webHidden/>
              </w:rPr>
              <w:fldChar w:fldCharType="separate"/>
            </w:r>
            <w:r w:rsidR="003174B0">
              <w:rPr>
                <w:noProof/>
                <w:webHidden/>
              </w:rPr>
              <w:t>20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6" w:history="1">
            <w:r w:rsidR="003174B0" w:rsidRPr="000060D7">
              <w:rPr>
                <w:rStyle w:val="Hypertextovodkaz"/>
                <w:noProof/>
                <w:lang w:val="en-GB"/>
              </w:rPr>
              <w:t>3.6.1.</w:t>
            </w:r>
            <w:r w:rsidR="003174B0">
              <w:rPr>
                <w:noProof/>
                <w:sz w:val="22"/>
                <w:lang w:eastAsia="cs-CZ"/>
              </w:rPr>
              <w:tab/>
            </w:r>
            <w:r w:rsidR="003174B0" w:rsidRPr="000060D7">
              <w:rPr>
                <w:rStyle w:val="Hypertextovodkaz"/>
                <w:bCs/>
                <w:noProof/>
                <w:lang w:val="en-GB"/>
              </w:rPr>
              <w:t>Evaluation of education in primary schools</w:t>
            </w:r>
            <w:r w:rsidR="003174B0">
              <w:rPr>
                <w:noProof/>
                <w:webHidden/>
              </w:rPr>
              <w:tab/>
            </w:r>
            <w:r w:rsidR="003174B0">
              <w:rPr>
                <w:noProof/>
                <w:webHidden/>
              </w:rPr>
              <w:fldChar w:fldCharType="begin"/>
            </w:r>
            <w:r w:rsidR="003174B0">
              <w:rPr>
                <w:noProof/>
                <w:webHidden/>
              </w:rPr>
              <w:instrText xml:space="preserve"> PAGEREF _Toc385946006 \h </w:instrText>
            </w:r>
            <w:r w:rsidR="003174B0">
              <w:rPr>
                <w:noProof/>
                <w:webHidden/>
              </w:rPr>
            </w:r>
            <w:r w:rsidR="003174B0">
              <w:rPr>
                <w:noProof/>
                <w:webHidden/>
              </w:rPr>
              <w:fldChar w:fldCharType="separate"/>
            </w:r>
            <w:r w:rsidR="003174B0">
              <w:rPr>
                <w:noProof/>
                <w:webHidden/>
              </w:rPr>
              <w:t>20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7" w:history="1">
            <w:r w:rsidR="003174B0" w:rsidRPr="000060D7">
              <w:rPr>
                <w:rStyle w:val="Hypertextovodkaz"/>
                <w:noProof/>
                <w:lang w:val="en-GB"/>
              </w:rPr>
              <w:t>3.6.2.</w:t>
            </w:r>
            <w:r w:rsidR="003174B0">
              <w:rPr>
                <w:noProof/>
                <w:sz w:val="22"/>
                <w:lang w:eastAsia="cs-CZ"/>
              </w:rPr>
              <w:tab/>
            </w:r>
            <w:r w:rsidR="003174B0" w:rsidRPr="000060D7">
              <w:rPr>
                <w:rStyle w:val="Hypertextovodkaz"/>
                <w:bCs/>
                <w:noProof/>
                <w:lang w:val="en-GB"/>
              </w:rPr>
              <w:t>Accreditation and university funding</w:t>
            </w:r>
            <w:r w:rsidR="003174B0">
              <w:rPr>
                <w:noProof/>
                <w:webHidden/>
              </w:rPr>
              <w:tab/>
            </w:r>
            <w:r w:rsidR="003174B0">
              <w:rPr>
                <w:noProof/>
                <w:webHidden/>
              </w:rPr>
              <w:fldChar w:fldCharType="begin"/>
            </w:r>
            <w:r w:rsidR="003174B0">
              <w:rPr>
                <w:noProof/>
                <w:webHidden/>
              </w:rPr>
              <w:instrText xml:space="preserve"> PAGEREF _Toc385946007 \h </w:instrText>
            </w:r>
            <w:r w:rsidR="003174B0">
              <w:rPr>
                <w:noProof/>
                <w:webHidden/>
              </w:rPr>
            </w:r>
            <w:r w:rsidR="003174B0">
              <w:rPr>
                <w:noProof/>
                <w:webHidden/>
              </w:rPr>
              <w:fldChar w:fldCharType="separate"/>
            </w:r>
            <w:r w:rsidR="003174B0">
              <w:rPr>
                <w:noProof/>
                <w:webHidden/>
              </w:rPr>
              <w:t>21</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08" w:history="1">
            <w:r w:rsidR="003174B0" w:rsidRPr="000060D7">
              <w:rPr>
                <w:rStyle w:val="Hypertextovodkaz"/>
                <w:noProof/>
                <w:lang w:val="en-GB"/>
              </w:rPr>
              <w:t>3.6.3.</w:t>
            </w:r>
            <w:r w:rsidR="003174B0">
              <w:rPr>
                <w:noProof/>
                <w:sz w:val="22"/>
                <w:lang w:eastAsia="cs-CZ"/>
              </w:rPr>
              <w:tab/>
            </w:r>
            <w:r w:rsidR="003174B0" w:rsidRPr="000060D7">
              <w:rPr>
                <w:rStyle w:val="Hypertextovodkaz"/>
                <w:bCs/>
                <w:noProof/>
                <w:lang w:val="en-GB"/>
              </w:rPr>
              <w:t>Funding of research organizations</w:t>
            </w:r>
            <w:r w:rsidR="003174B0">
              <w:rPr>
                <w:noProof/>
                <w:webHidden/>
              </w:rPr>
              <w:tab/>
            </w:r>
            <w:r w:rsidR="003174B0">
              <w:rPr>
                <w:noProof/>
                <w:webHidden/>
              </w:rPr>
              <w:fldChar w:fldCharType="begin"/>
            </w:r>
            <w:r w:rsidR="003174B0">
              <w:rPr>
                <w:noProof/>
                <w:webHidden/>
              </w:rPr>
              <w:instrText xml:space="preserve"> PAGEREF _Toc385946008 \h </w:instrText>
            </w:r>
            <w:r w:rsidR="003174B0">
              <w:rPr>
                <w:noProof/>
                <w:webHidden/>
              </w:rPr>
            </w:r>
            <w:r w:rsidR="003174B0">
              <w:rPr>
                <w:noProof/>
                <w:webHidden/>
              </w:rPr>
              <w:fldChar w:fldCharType="separate"/>
            </w:r>
            <w:r w:rsidR="003174B0">
              <w:rPr>
                <w:noProof/>
                <w:webHidden/>
              </w:rPr>
              <w:t>21</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09" w:history="1">
            <w:r w:rsidR="003174B0" w:rsidRPr="000060D7">
              <w:rPr>
                <w:rStyle w:val="Hypertextovodkaz"/>
                <w:noProof/>
                <w:lang w:val="en-GB"/>
              </w:rPr>
              <w:t>3.7.</w:t>
            </w:r>
            <w:r w:rsidR="003174B0">
              <w:rPr>
                <w:noProof/>
                <w:sz w:val="22"/>
                <w:lang w:eastAsia="cs-CZ"/>
              </w:rPr>
              <w:tab/>
            </w:r>
            <w:r w:rsidR="003174B0" w:rsidRPr="000060D7">
              <w:rPr>
                <w:rStyle w:val="Hypertextovodkaz"/>
                <w:bCs/>
                <w:noProof/>
                <w:lang w:val="en-GB"/>
              </w:rPr>
              <w:t>Regulated professions and energy intensity</w:t>
            </w:r>
            <w:r w:rsidR="003174B0">
              <w:rPr>
                <w:noProof/>
                <w:webHidden/>
              </w:rPr>
              <w:tab/>
            </w:r>
            <w:r w:rsidR="003174B0">
              <w:rPr>
                <w:noProof/>
                <w:webHidden/>
              </w:rPr>
              <w:fldChar w:fldCharType="begin"/>
            </w:r>
            <w:r w:rsidR="003174B0">
              <w:rPr>
                <w:noProof/>
                <w:webHidden/>
              </w:rPr>
              <w:instrText xml:space="preserve"> PAGEREF _Toc385946009 \h </w:instrText>
            </w:r>
            <w:r w:rsidR="003174B0">
              <w:rPr>
                <w:noProof/>
                <w:webHidden/>
              </w:rPr>
            </w:r>
            <w:r w:rsidR="003174B0">
              <w:rPr>
                <w:noProof/>
                <w:webHidden/>
              </w:rPr>
              <w:fldChar w:fldCharType="separate"/>
            </w:r>
            <w:r w:rsidR="003174B0">
              <w:rPr>
                <w:noProof/>
                <w:webHidden/>
              </w:rPr>
              <w:t>22</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10" w:history="1">
            <w:r w:rsidR="003174B0" w:rsidRPr="000060D7">
              <w:rPr>
                <w:rStyle w:val="Hypertextovodkaz"/>
                <w:noProof/>
                <w:lang w:val="en-GB"/>
              </w:rPr>
              <w:t>3.7.1.</w:t>
            </w:r>
            <w:r w:rsidR="003174B0">
              <w:rPr>
                <w:noProof/>
                <w:sz w:val="22"/>
                <w:lang w:eastAsia="cs-CZ"/>
              </w:rPr>
              <w:tab/>
            </w:r>
            <w:r w:rsidR="003174B0" w:rsidRPr="000060D7">
              <w:rPr>
                <w:rStyle w:val="Hypertextovodkaz"/>
                <w:bCs/>
                <w:noProof/>
                <w:lang w:val="en-GB"/>
              </w:rPr>
              <w:t>Reducing the number of regulated professions</w:t>
            </w:r>
            <w:r w:rsidR="003174B0">
              <w:rPr>
                <w:noProof/>
                <w:webHidden/>
              </w:rPr>
              <w:tab/>
            </w:r>
            <w:r w:rsidR="003174B0">
              <w:rPr>
                <w:noProof/>
                <w:webHidden/>
              </w:rPr>
              <w:fldChar w:fldCharType="begin"/>
            </w:r>
            <w:r w:rsidR="003174B0">
              <w:rPr>
                <w:noProof/>
                <w:webHidden/>
              </w:rPr>
              <w:instrText xml:space="preserve"> PAGEREF _Toc385946010 \h </w:instrText>
            </w:r>
            <w:r w:rsidR="003174B0">
              <w:rPr>
                <w:noProof/>
                <w:webHidden/>
              </w:rPr>
            </w:r>
            <w:r w:rsidR="003174B0">
              <w:rPr>
                <w:noProof/>
                <w:webHidden/>
              </w:rPr>
              <w:fldChar w:fldCharType="separate"/>
            </w:r>
            <w:r w:rsidR="003174B0">
              <w:rPr>
                <w:noProof/>
                <w:webHidden/>
              </w:rPr>
              <w:t>22</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11" w:history="1">
            <w:r w:rsidR="003174B0" w:rsidRPr="000060D7">
              <w:rPr>
                <w:rStyle w:val="Hypertextovodkaz"/>
                <w:bCs/>
                <w:noProof/>
                <w:lang w:val="en-GB"/>
              </w:rPr>
              <w:t>3.7.2.</w:t>
            </w:r>
            <w:r w:rsidR="003174B0">
              <w:rPr>
                <w:noProof/>
                <w:sz w:val="22"/>
                <w:lang w:eastAsia="cs-CZ"/>
              </w:rPr>
              <w:tab/>
            </w:r>
            <w:r w:rsidR="003174B0" w:rsidRPr="000060D7">
              <w:rPr>
                <w:rStyle w:val="Hypertextovodkaz"/>
                <w:bCs/>
                <w:noProof/>
                <w:lang w:val="en-GB"/>
              </w:rPr>
              <w:t>Increasing energy efficiency</w:t>
            </w:r>
            <w:r w:rsidR="003174B0">
              <w:rPr>
                <w:noProof/>
                <w:webHidden/>
              </w:rPr>
              <w:tab/>
            </w:r>
            <w:r w:rsidR="003174B0">
              <w:rPr>
                <w:noProof/>
                <w:webHidden/>
              </w:rPr>
              <w:fldChar w:fldCharType="begin"/>
            </w:r>
            <w:r w:rsidR="003174B0">
              <w:rPr>
                <w:noProof/>
                <w:webHidden/>
              </w:rPr>
              <w:instrText xml:space="preserve"> PAGEREF _Toc385946011 \h </w:instrText>
            </w:r>
            <w:r w:rsidR="003174B0">
              <w:rPr>
                <w:noProof/>
                <w:webHidden/>
              </w:rPr>
            </w:r>
            <w:r w:rsidR="003174B0">
              <w:rPr>
                <w:noProof/>
                <w:webHidden/>
              </w:rPr>
              <w:fldChar w:fldCharType="separate"/>
            </w:r>
            <w:r w:rsidR="003174B0">
              <w:rPr>
                <w:noProof/>
                <w:webHidden/>
              </w:rPr>
              <w:t>22</w:t>
            </w:r>
            <w:r w:rsidR="003174B0">
              <w:rPr>
                <w:noProof/>
                <w:webHidden/>
              </w:rPr>
              <w:fldChar w:fldCharType="end"/>
            </w:r>
          </w:hyperlink>
        </w:p>
        <w:p w:rsidR="003174B0" w:rsidRDefault="00323F83">
          <w:pPr>
            <w:pStyle w:val="Obsah1"/>
            <w:tabs>
              <w:tab w:val="left" w:pos="420"/>
              <w:tab w:val="right" w:leader="dot" w:pos="9062"/>
            </w:tabs>
            <w:rPr>
              <w:noProof/>
              <w:sz w:val="22"/>
              <w:lang w:eastAsia="cs-CZ"/>
            </w:rPr>
          </w:pPr>
          <w:hyperlink w:anchor="_Toc385946012" w:history="1">
            <w:r w:rsidR="003174B0" w:rsidRPr="000060D7">
              <w:rPr>
                <w:rStyle w:val="Hypertextovodkaz"/>
                <w:noProof/>
                <w:lang w:val="en-GB"/>
              </w:rPr>
              <w:t>4.</w:t>
            </w:r>
            <w:r w:rsidR="003174B0">
              <w:rPr>
                <w:noProof/>
                <w:sz w:val="22"/>
                <w:lang w:eastAsia="cs-CZ"/>
              </w:rPr>
              <w:tab/>
            </w:r>
            <w:r w:rsidR="003174B0" w:rsidRPr="000060D7">
              <w:rPr>
                <w:rStyle w:val="Hypertextovodkaz"/>
                <w:noProof/>
                <w:lang w:val="en-GB"/>
              </w:rPr>
              <w:t>Fulfilling the national targets of Europe 2020</w:t>
            </w:r>
            <w:r w:rsidR="003174B0">
              <w:rPr>
                <w:noProof/>
                <w:webHidden/>
              </w:rPr>
              <w:tab/>
            </w:r>
            <w:r w:rsidR="003174B0">
              <w:rPr>
                <w:noProof/>
                <w:webHidden/>
              </w:rPr>
              <w:fldChar w:fldCharType="begin"/>
            </w:r>
            <w:r w:rsidR="003174B0">
              <w:rPr>
                <w:noProof/>
                <w:webHidden/>
              </w:rPr>
              <w:instrText xml:space="preserve"> PAGEREF _Toc385946012 \h </w:instrText>
            </w:r>
            <w:r w:rsidR="003174B0">
              <w:rPr>
                <w:noProof/>
                <w:webHidden/>
              </w:rPr>
            </w:r>
            <w:r w:rsidR="003174B0">
              <w:rPr>
                <w:noProof/>
                <w:webHidden/>
              </w:rPr>
              <w:fldChar w:fldCharType="separate"/>
            </w:r>
            <w:r w:rsidR="003174B0">
              <w:rPr>
                <w:noProof/>
                <w:webHidden/>
              </w:rPr>
              <w:t>25</w:t>
            </w:r>
            <w:r w:rsidR="003174B0">
              <w:rPr>
                <w:noProof/>
                <w:webHidden/>
              </w:rPr>
              <w:fldChar w:fldCharType="end"/>
            </w:r>
          </w:hyperlink>
        </w:p>
        <w:p w:rsidR="003174B0" w:rsidRDefault="00323F83">
          <w:pPr>
            <w:pStyle w:val="Obsah3"/>
            <w:tabs>
              <w:tab w:val="right" w:leader="dot" w:pos="9062"/>
            </w:tabs>
            <w:rPr>
              <w:noProof/>
              <w:sz w:val="22"/>
              <w:lang w:eastAsia="cs-CZ"/>
            </w:rPr>
          </w:pPr>
          <w:hyperlink w:anchor="_Toc385946013" w:history="1">
            <w:r w:rsidR="003174B0" w:rsidRPr="000060D7">
              <w:rPr>
                <w:rStyle w:val="Hypertextovodkaz"/>
                <w:noProof/>
                <w:lang w:val="en-GB"/>
              </w:rPr>
              <w:t>Employment</w:t>
            </w:r>
            <w:r w:rsidR="003174B0">
              <w:rPr>
                <w:noProof/>
                <w:webHidden/>
              </w:rPr>
              <w:tab/>
            </w:r>
            <w:r w:rsidR="003174B0">
              <w:rPr>
                <w:noProof/>
                <w:webHidden/>
              </w:rPr>
              <w:fldChar w:fldCharType="begin"/>
            </w:r>
            <w:r w:rsidR="003174B0">
              <w:rPr>
                <w:noProof/>
                <w:webHidden/>
              </w:rPr>
              <w:instrText xml:space="preserve"> PAGEREF _Toc385946013 \h </w:instrText>
            </w:r>
            <w:r w:rsidR="003174B0">
              <w:rPr>
                <w:noProof/>
                <w:webHidden/>
              </w:rPr>
            </w:r>
            <w:r w:rsidR="003174B0">
              <w:rPr>
                <w:noProof/>
                <w:webHidden/>
              </w:rPr>
              <w:fldChar w:fldCharType="separate"/>
            </w:r>
            <w:r w:rsidR="003174B0">
              <w:rPr>
                <w:noProof/>
                <w:webHidden/>
              </w:rPr>
              <w:t>25</w:t>
            </w:r>
            <w:r w:rsidR="003174B0">
              <w:rPr>
                <w:noProof/>
                <w:webHidden/>
              </w:rPr>
              <w:fldChar w:fldCharType="end"/>
            </w:r>
          </w:hyperlink>
        </w:p>
        <w:p w:rsidR="003174B0" w:rsidRDefault="00323F83">
          <w:pPr>
            <w:pStyle w:val="Obsah3"/>
            <w:tabs>
              <w:tab w:val="right" w:leader="dot" w:pos="9062"/>
            </w:tabs>
            <w:rPr>
              <w:noProof/>
              <w:sz w:val="22"/>
              <w:lang w:eastAsia="cs-CZ"/>
            </w:rPr>
          </w:pPr>
          <w:hyperlink w:anchor="_Toc385946014" w:history="1">
            <w:r w:rsidR="003174B0" w:rsidRPr="000060D7">
              <w:rPr>
                <w:rStyle w:val="Hypertextovodkaz"/>
                <w:bCs/>
                <w:noProof/>
                <w:lang w:val="en-GB"/>
              </w:rPr>
              <w:t>Combating Poverty and Social Exclusion</w:t>
            </w:r>
            <w:r w:rsidR="003174B0">
              <w:rPr>
                <w:noProof/>
                <w:webHidden/>
              </w:rPr>
              <w:tab/>
            </w:r>
            <w:r w:rsidR="003174B0">
              <w:rPr>
                <w:noProof/>
                <w:webHidden/>
              </w:rPr>
              <w:fldChar w:fldCharType="begin"/>
            </w:r>
            <w:r w:rsidR="003174B0">
              <w:rPr>
                <w:noProof/>
                <w:webHidden/>
              </w:rPr>
              <w:instrText xml:space="preserve"> PAGEREF _Toc385946014 \h </w:instrText>
            </w:r>
            <w:r w:rsidR="003174B0">
              <w:rPr>
                <w:noProof/>
                <w:webHidden/>
              </w:rPr>
            </w:r>
            <w:r w:rsidR="003174B0">
              <w:rPr>
                <w:noProof/>
                <w:webHidden/>
              </w:rPr>
              <w:fldChar w:fldCharType="separate"/>
            </w:r>
            <w:r w:rsidR="003174B0">
              <w:rPr>
                <w:noProof/>
                <w:webHidden/>
              </w:rPr>
              <w:t>26</w:t>
            </w:r>
            <w:r w:rsidR="003174B0">
              <w:rPr>
                <w:noProof/>
                <w:webHidden/>
              </w:rPr>
              <w:fldChar w:fldCharType="end"/>
            </w:r>
          </w:hyperlink>
        </w:p>
        <w:p w:rsidR="003174B0" w:rsidRDefault="00323F83">
          <w:pPr>
            <w:pStyle w:val="Obsah3"/>
            <w:tabs>
              <w:tab w:val="right" w:leader="dot" w:pos="9062"/>
            </w:tabs>
            <w:rPr>
              <w:noProof/>
              <w:sz w:val="22"/>
              <w:lang w:eastAsia="cs-CZ"/>
            </w:rPr>
          </w:pPr>
          <w:hyperlink w:anchor="_Toc385946015" w:history="1">
            <w:r w:rsidR="003174B0" w:rsidRPr="000060D7">
              <w:rPr>
                <w:rStyle w:val="Hypertextovodkaz"/>
                <w:bCs/>
                <w:noProof/>
                <w:lang w:val="en-GB"/>
              </w:rPr>
              <w:t>Education</w:t>
            </w:r>
            <w:r w:rsidR="003174B0">
              <w:rPr>
                <w:noProof/>
                <w:webHidden/>
              </w:rPr>
              <w:tab/>
            </w:r>
            <w:r w:rsidR="003174B0">
              <w:rPr>
                <w:noProof/>
                <w:webHidden/>
              </w:rPr>
              <w:fldChar w:fldCharType="begin"/>
            </w:r>
            <w:r w:rsidR="003174B0">
              <w:rPr>
                <w:noProof/>
                <w:webHidden/>
              </w:rPr>
              <w:instrText xml:space="preserve"> PAGEREF _Toc385946015 \h </w:instrText>
            </w:r>
            <w:r w:rsidR="003174B0">
              <w:rPr>
                <w:noProof/>
                <w:webHidden/>
              </w:rPr>
            </w:r>
            <w:r w:rsidR="003174B0">
              <w:rPr>
                <w:noProof/>
                <w:webHidden/>
              </w:rPr>
              <w:fldChar w:fldCharType="separate"/>
            </w:r>
            <w:r w:rsidR="003174B0">
              <w:rPr>
                <w:noProof/>
                <w:webHidden/>
              </w:rPr>
              <w:t>27</w:t>
            </w:r>
            <w:r w:rsidR="003174B0">
              <w:rPr>
                <w:noProof/>
                <w:webHidden/>
              </w:rPr>
              <w:fldChar w:fldCharType="end"/>
            </w:r>
          </w:hyperlink>
        </w:p>
        <w:p w:rsidR="003174B0" w:rsidRDefault="00323F83">
          <w:pPr>
            <w:pStyle w:val="Obsah3"/>
            <w:tabs>
              <w:tab w:val="right" w:leader="dot" w:pos="9062"/>
            </w:tabs>
            <w:rPr>
              <w:noProof/>
              <w:sz w:val="22"/>
              <w:lang w:eastAsia="cs-CZ"/>
            </w:rPr>
          </w:pPr>
          <w:hyperlink w:anchor="_Toc385946016" w:history="1">
            <w:r w:rsidR="003174B0" w:rsidRPr="000060D7">
              <w:rPr>
                <w:rStyle w:val="Hypertextovodkaz"/>
                <w:bCs/>
                <w:noProof/>
                <w:lang w:val="en-GB"/>
              </w:rPr>
              <w:t>Improving the business environment</w:t>
            </w:r>
            <w:r w:rsidR="003174B0">
              <w:rPr>
                <w:noProof/>
                <w:webHidden/>
              </w:rPr>
              <w:tab/>
            </w:r>
            <w:r w:rsidR="003174B0">
              <w:rPr>
                <w:noProof/>
                <w:webHidden/>
              </w:rPr>
              <w:fldChar w:fldCharType="begin"/>
            </w:r>
            <w:r w:rsidR="003174B0">
              <w:rPr>
                <w:noProof/>
                <w:webHidden/>
              </w:rPr>
              <w:instrText xml:space="preserve"> PAGEREF _Toc385946016 \h </w:instrText>
            </w:r>
            <w:r w:rsidR="003174B0">
              <w:rPr>
                <w:noProof/>
                <w:webHidden/>
              </w:rPr>
            </w:r>
            <w:r w:rsidR="003174B0">
              <w:rPr>
                <w:noProof/>
                <w:webHidden/>
              </w:rPr>
              <w:fldChar w:fldCharType="separate"/>
            </w:r>
            <w:r w:rsidR="003174B0">
              <w:rPr>
                <w:noProof/>
                <w:webHidden/>
              </w:rPr>
              <w:t>28</w:t>
            </w:r>
            <w:r w:rsidR="003174B0">
              <w:rPr>
                <w:noProof/>
                <w:webHidden/>
              </w:rPr>
              <w:fldChar w:fldCharType="end"/>
            </w:r>
          </w:hyperlink>
        </w:p>
        <w:p w:rsidR="003174B0" w:rsidRDefault="00323F83">
          <w:pPr>
            <w:pStyle w:val="Obsah3"/>
            <w:tabs>
              <w:tab w:val="right" w:leader="dot" w:pos="9062"/>
            </w:tabs>
            <w:rPr>
              <w:noProof/>
              <w:sz w:val="22"/>
              <w:lang w:eastAsia="cs-CZ"/>
            </w:rPr>
          </w:pPr>
          <w:hyperlink w:anchor="_Toc385946017" w:history="1">
            <w:r w:rsidR="003174B0" w:rsidRPr="000060D7">
              <w:rPr>
                <w:rStyle w:val="Hypertextovodkaz"/>
                <w:bCs/>
                <w:noProof/>
                <w:lang w:val="en-GB"/>
              </w:rPr>
              <w:t>Research, development and innovation</w:t>
            </w:r>
            <w:r w:rsidR="003174B0">
              <w:rPr>
                <w:noProof/>
                <w:webHidden/>
              </w:rPr>
              <w:tab/>
            </w:r>
            <w:r w:rsidR="003174B0">
              <w:rPr>
                <w:noProof/>
                <w:webHidden/>
              </w:rPr>
              <w:fldChar w:fldCharType="begin"/>
            </w:r>
            <w:r w:rsidR="003174B0">
              <w:rPr>
                <w:noProof/>
                <w:webHidden/>
              </w:rPr>
              <w:instrText xml:space="preserve"> PAGEREF _Toc385946017 \h </w:instrText>
            </w:r>
            <w:r w:rsidR="003174B0">
              <w:rPr>
                <w:noProof/>
                <w:webHidden/>
              </w:rPr>
            </w:r>
            <w:r w:rsidR="003174B0">
              <w:rPr>
                <w:noProof/>
                <w:webHidden/>
              </w:rPr>
              <w:fldChar w:fldCharType="separate"/>
            </w:r>
            <w:r w:rsidR="003174B0">
              <w:rPr>
                <w:noProof/>
                <w:webHidden/>
              </w:rPr>
              <w:t>28</w:t>
            </w:r>
            <w:r w:rsidR="003174B0">
              <w:rPr>
                <w:noProof/>
                <w:webHidden/>
              </w:rPr>
              <w:fldChar w:fldCharType="end"/>
            </w:r>
          </w:hyperlink>
        </w:p>
        <w:p w:rsidR="003174B0" w:rsidRDefault="00323F83">
          <w:pPr>
            <w:pStyle w:val="Obsah1"/>
            <w:tabs>
              <w:tab w:val="right" w:leader="dot" w:pos="9062"/>
            </w:tabs>
            <w:rPr>
              <w:noProof/>
              <w:sz w:val="22"/>
              <w:lang w:eastAsia="cs-CZ"/>
            </w:rPr>
          </w:pPr>
          <w:hyperlink w:anchor="_Toc385946018" w:history="1">
            <w:r w:rsidR="003174B0" w:rsidRPr="000060D7">
              <w:rPr>
                <w:rStyle w:val="Hypertextovodkaz"/>
                <w:noProof/>
                <w:lang w:val="en-GB"/>
              </w:rPr>
              <w:t>The government’s</w:t>
            </w:r>
            <w:r w:rsidR="003174B0" w:rsidRPr="000060D7">
              <w:rPr>
                <w:rStyle w:val="Hypertextovodkaz"/>
                <w:rFonts w:ascii="Cambria" w:eastAsia="Times New Roman" w:hAnsi="Cambria" w:cs="Times New Roman"/>
                <w:noProof/>
                <w:kern w:val="36"/>
                <w:lang w:val="en-GB" w:eastAsia="cs-CZ"/>
              </w:rPr>
              <w:t xml:space="preserve"> </w:t>
            </w:r>
            <w:r w:rsidR="003174B0" w:rsidRPr="000060D7">
              <w:rPr>
                <w:rStyle w:val="Hypertextovodkaz"/>
                <w:noProof/>
                <w:lang w:val="en-GB"/>
              </w:rPr>
              <w:t>reform measures</w:t>
            </w:r>
            <w:r w:rsidR="003174B0">
              <w:rPr>
                <w:noProof/>
                <w:webHidden/>
              </w:rPr>
              <w:tab/>
            </w:r>
            <w:r w:rsidR="003174B0">
              <w:rPr>
                <w:noProof/>
                <w:webHidden/>
              </w:rPr>
              <w:fldChar w:fldCharType="begin"/>
            </w:r>
            <w:r w:rsidR="003174B0">
              <w:rPr>
                <w:noProof/>
                <w:webHidden/>
              </w:rPr>
              <w:instrText xml:space="preserve"> PAGEREF _Toc385946018 \h </w:instrText>
            </w:r>
            <w:r w:rsidR="003174B0">
              <w:rPr>
                <w:noProof/>
                <w:webHidden/>
              </w:rPr>
            </w:r>
            <w:r w:rsidR="003174B0">
              <w:rPr>
                <w:noProof/>
                <w:webHidden/>
              </w:rPr>
              <w:fldChar w:fldCharType="separate"/>
            </w:r>
            <w:r w:rsidR="003174B0">
              <w:rPr>
                <w:noProof/>
                <w:webHidden/>
              </w:rPr>
              <w:t>30</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19" w:history="1">
            <w:r w:rsidR="003174B0" w:rsidRPr="000060D7">
              <w:rPr>
                <w:rStyle w:val="Hypertextovodkaz"/>
                <w:bCs/>
                <w:noProof/>
                <w:lang w:val="en-GB"/>
              </w:rPr>
              <w:t>4.1.</w:t>
            </w:r>
            <w:r w:rsidR="003174B0">
              <w:rPr>
                <w:noProof/>
                <w:sz w:val="22"/>
                <w:lang w:eastAsia="cs-CZ"/>
              </w:rPr>
              <w:tab/>
            </w:r>
            <w:r w:rsidR="003174B0" w:rsidRPr="000060D7">
              <w:rPr>
                <w:rStyle w:val="Hypertextovodkaz"/>
                <w:bCs/>
                <w:noProof/>
                <w:lang w:val="en-GB"/>
              </w:rPr>
              <w:t>Transparent and efficient public finance institutions</w:t>
            </w:r>
            <w:r w:rsidR="003174B0">
              <w:rPr>
                <w:noProof/>
                <w:webHidden/>
              </w:rPr>
              <w:tab/>
            </w:r>
            <w:r w:rsidR="003174B0">
              <w:rPr>
                <w:noProof/>
                <w:webHidden/>
              </w:rPr>
              <w:fldChar w:fldCharType="begin"/>
            </w:r>
            <w:r w:rsidR="003174B0">
              <w:rPr>
                <w:noProof/>
                <w:webHidden/>
              </w:rPr>
              <w:instrText xml:space="preserve"> PAGEREF _Toc385946019 \h </w:instrText>
            </w:r>
            <w:r w:rsidR="003174B0">
              <w:rPr>
                <w:noProof/>
                <w:webHidden/>
              </w:rPr>
            </w:r>
            <w:r w:rsidR="003174B0">
              <w:rPr>
                <w:noProof/>
                <w:webHidden/>
              </w:rPr>
              <w:fldChar w:fldCharType="separate"/>
            </w:r>
            <w:r w:rsidR="003174B0">
              <w:rPr>
                <w:noProof/>
                <w:webHidden/>
              </w:rPr>
              <w:t>30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0" w:history="1">
            <w:r w:rsidR="003174B0" w:rsidRPr="000060D7">
              <w:rPr>
                <w:rStyle w:val="Hypertextovodkaz"/>
                <w:noProof/>
                <w:lang w:val="en-GB"/>
              </w:rPr>
              <w:t>4.1.1.</w:t>
            </w:r>
            <w:r w:rsidR="003174B0">
              <w:rPr>
                <w:noProof/>
                <w:sz w:val="22"/>
                <w:lang w:eastAsia="cs-CZ"/>
              </w:rPr>
              <w:tab/>
            </w:r>
            <w:r w:rsidR="003174B0" w:rsidRPr="000060D7">
              <w:rPr>
                <w:rStyle w:val="Hypertextovodkaz"/>
                <w:noProof/>
                <w:lang w:val="en-GB"/>
              </w:rPr>
              <w:t>Transparent public finance</w:t>
            </w:r>
            <w:r w:rsidR="003174B0">
              <w:rPr>
                <w:noProof/>
                <w:webHidden/>
              </w:rPr>
              <w:tab/>
            </w:r>
            <w:r w:rsidR="003174B0">
              <w:rPr>
                <w:noProof/>
                <w:webHidden/>
              </w:rPr>
              <w:fldChar w:fldCharType="begin"/>
            </w:r>
            <w:r w:rsidR="003174B0">
              <w:rPr>
                <w:noProof/>
                <w:webHidden/>
              </w:rPr>
              <w:instrText xml:space="preserve"> PAGEREF _Toc385946020 \h </w:instrText>
            </w:r>
            <w:r w:rsidR="003174B0">
              <w:rPr>
                <w:noProof/>
                <w:webHidden/>
              </w:rPr>
            </w:r>
            <w:r w:rsidR="003174B0">
              <w:rPr>
                <w:noProof/>
                <w:webHidden/>
              </w:rPr>
              <w:fldChar w:fldCharType="separate"/>
            </w:r>
            <w:r w:rsidR="003174B0">
              <w:rPr>
                <w:noProof/>
                <w:webHidden/>
              </w:rPr>
              <w:t>30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1" w:history="1">
            <w:r w:rsidR="003174B0" w:rsidRPr="000060D7">
              <w:rPr>
                <w:rStyle w:val="Hypertextovodkaz"/>
                <w:noProof/>
                <w:lang w:val="en-GB"/>
              </w:rPr>
              <w:t>4.1.2.</w:t>
            </w:r>
            <w:r w:rsidR="003174B0">
              <w:rPr>
                <w:noProof/>
                <w:sz w:val="22"/>
                <w:lang w:eastAsia="cs-CZ"/>
              </w:rPr>
              <w:tab/>
            </w:r>
            <w:r w:rsidR="003174B0" w:rsidRPr="000060D7">
              <w:rPr>
                <w:rStyle w:val="Hypertextovodkaz"/>
                <w:bCs/>
                <w:noProof/>
                <w:lang w:val="en-GB"/>
              </w:rPr>
              <w:t>Effective governance and quality legislative environment</w:t>
            </w:r>
            <w:r w:rsidR="003174B0">
              <w:rPr>
                <w:noProof/>
                <w:webHidden/>
              </w:rPr>
              <w:tab/>
            </w:r>
            <w:r w:rsidR="003174B0">
              <w:rPr>
                <w:noProof/>
                <w:webHidden/>
              </w:rPr>
              <w:fldChar w:fldCharType="begin"/>
            </w:r>
            <w:r w:rsidR="003174B0">
              <w:rPr>
                <w:noProof/>
                <w:webHidden/>
              </w:rPr>
              <w:instrText xml:space="preserve"> PAGEREF _Toc385946021 \h </w:instrText>
            </w:r>
            <w:r w:rsidR="003174B0">
              <w:rPr>
                <w:noProof/>
                <w:webHidden/>
              </w:rPr>
            </w:r>
            <w:r w:rsidR="003174B0">
              <w:rPr>
                <w:noProof/>
                <w:webHidden/>
              </w:rPr>
              <w:fldChar w:fldCharType="separate"/>
            </w:r>
            <w:r w:rsidR="003174B0">
              <w:rPr>
                <w:noProof/>
                <w:webHidden/>
              </w:rPr>
              <w:t>30</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22" w:history="1">
            <w:r w:rsidR="003174B0" w:rsidRPr="000060D7">
              <w:rPr>
                <w:rStyle w:val="Hypertextovodkaz"/>
                <w:noProof/>
                <w:lang w:val="en-GB"/>
              </w:rPr>
              <w:t>4.2.</w:t>
            </w:r>
            <w:r w:rsidR="003174B0">
              <w:rPr>
                <w:noProof/>
                <w:sz w:val="22"/>
                <w:lang w:eastAsia="cs-CZ"/>
              </w:rPr>
              <w:tab/>
            </w:r>
            <w:r w:rsidR="003174B0" w:rsidRPr="000060D7">
              <w:rPr>
                <w:rStyle w:val="Hypertextovodkaz"/>
                <w:bCs/>
                <w:noProof/>
                <w:lang w:val="en-GB"/>
              </w:rPr>
              <w:t>The attractive business environment and infrastructure development for the Czech industry</w:t>
            </w:r>
            <w:r w:rsidR="003174B0">
              <w:rPr>
                <w:noProof/>
                <w:webHidden/>
              </w:rPr>
              <w:tab/>
            </w:r>
            <w:r w:rsidR="003174B0">
              <w:rPr>
                <w:noProof/>
                <w:webHidden/>
              </w:rPr>
              <w:fldChar w:fldCharType="begin"/>
            </w:r>
            <w:r w:rsidR="003174B0">
              <w:rPr>
                <w:noProof/>
                <w:webHidden/>
              </w:rPr>
              <w:instrText xml:space="preserve"> PAGEREF _Toc385946022 \h </w:instrText>
            </w:r>
            <w:r w:rsidR="003174B0">
              <w:rPr>
                <w:noProof/>
                <w:webHidden/>
              </w:rPr>
            </w:r>
            <w:r w:rsidR="003174B0">
              <w:rPr>
                <w:noProof/>
                <w:webHidden/>
              </w:rPr>
              <w:fldChar w:fldCharType="separate"/>
            </w:r>
            <w:r w:rsidR="003174B0">
              <w:rPr>
                <w:noProof/>
                <w:webHidden/>
              </w:rPr>
              <w:t>31</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3" w:history="1">
            <w:r w:rsidR="003174B0" w:rsidRPr="000060D7">
              <w:rPr>
                <w:rStyle w:val="Hypertextovodkaz"/>
                <w:noProof/>
                <w:lang w:val="en-GB"/>
              </w:rPr>
              <w:t>4.2.1.</w:t>
            </w:r>
            <w:r w:rsidR="003174B0">
              <w:rPr>
                <w:noProof/>
                <w:sz w:val="22"/>
                <w:lang w:eastAsia="cs-CZ"/>
              </w:rPr>
              <w:tab/>
            </w:r>
            <w:r w:rsidR="003174B0" w:rsidRPr="000060D7">
              <w:rPr>
                <w:rStyle w:val="Hypertextovodkaz"/>
                <w:bCs/>
                <w:noProof/>
                <w:lang w:val="en-GB"/>
              </w:rPr>
              <w:t>Improving the business environment, the development of services for business</w:t>
            </w:r>
            <w:r w:rsidR="003174B0">
              <w:rPr>
                <w:noProof/>
                <w:webHidden/>
              </w:rPr>
              <w:tab/>
            </w:r>
            <w:r w:rsidR="003174B0">
              <w:rPr>
                <w:noProof/>
                <w:webHidden/>
              </w:rPr>
              <w:fldChar w:fldCharType="begin"/>
            </w:r>
            <w:r w:rsidR="003174B0">
              <w:rPr>
                <w:noProof/>
                <w:webHidden/>
              </w:rPr>
              <w:instrText xml:space="preserve"> PAGEREF _Toc385946023 \h </w:instrText>
            </w:r>
            <w:r w:rsidR="003174B0">
              <w:rPr>
                <w:noProof/>
                <w:webHidden/>
              </w:rPr>
            </w:r>
            <w:r w:rsidR="003174B0">
              <w:rPr>
                <w:noProof/>
                <w:webHidden/>
              </w:rPr>
              <w:fldChar w:fldCharType="separate"/>
            </w:r>
            <w:r w:rsidR="003174B0">
              <w:rPr>
                <w:noProof/>
                <w:webHidden/>
              </w:rPr>
              <w:t>32</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4" w:history="1">
            <w:r w:rsidR="003174B0" w:rsidRPr="000060D7">
              <w:rPr>
                <w:rStyle w:val="Hypertextovodkaz"/>
                <w:noProof/>
                <w:lang w:val="en-GB"/>
              </w:rPr>
              <w:t>4.2.2.</w:t>
            </w:r>
            <w:r w:rsidR="003174B0">
              <w:rPr>
                <w:noProof/>
                <w:sz w:val="22"/>
                <w:lang w:eastAsia="cs-CZ"/>
              </w:rPr>
              <w:tab/>
            </w:r>
            <w:r w:rsidR="003174B0" w:rsidRPr="000060D7">
              <w:rPr>
                <w:rStyle w:val="Hypertextovodkaz"/>
                <w:bCs/>
                <w:noProof/>
                <w:lang w:val="en-GB"/>
              </w:rPr>
              <w:t>Industrial policy</w:t>
            </w:r>
            <w:r w:rsidR="003174B0">
              <w:rPr>
                <w:noProof/>
                <w:webHidden/>
              </w:rPr>
              <w:tab/>
            </w:r>
            <w:r w:rsidR="003174B0">
              <w:rPr>
                <w:noProof/>
                <w:webHidden/>
              </w:rPr>
              <w:fldChar w:fldCharType="begin"/>
            </w:r>
            <w:r w:rsidR="003174B0">
              <w:rPr>
                <w:noProof/>
                <w:webHidden/>
              </w:rPr>
              <w:instrText xml:space="preserve"> PAGEREF _Toc385946024 \h </w:instrText>
            </w:r>
            <w:r w:rsidR="003174B0">
              <w:rPr>
                <w:noProof/>
                <w:webHidden/>
              </w:rPr>
            </w:r>
            <w:r w:rsidR="003174B0">
              <w:rPr>
                <w:noProof/>
                <w:webHidden/>
              </w:rPr>
              <w:fldChar w:fldCharType="separate"/>
            </w:r>
            <w:r w:rsidR="003174B0">
              <w:rPr>
                <w:noProof/>
                <w:webHidden/>
              </w:rPr>
              <w:t>33</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5" w:history="1">
            <w:r w:rsidR="003174B0" w:rsidRPr="000060D7">
              <w:rPr>
                <w:rStyle w:val="Hypertextovodkaz"/>
                <w:noProof/>
                <w:lang w:val="en-GB"/>
              </w:rPr>
              <w:t>4.2.3.</w:t>
            </w:r>
            <w:r w:rsidR="003174B0">
              <w:rPr>
                <w:noProof/>
                <w:sz w:val="22"/>
                <w:lang w:eastAsia="cs-CZ"/>
              </w:rPr>
              <w:tab/>
            </w:r>
            <w:r w:rsidR="003174B0" w:rsidRPr="000060D7">
              <w:rPr>
                <w:rStyle w:val="Hypertextovodkaz"/>
                <w:noProof/>
                <w:lang w:val="en-GB"/>
              </w:rPr>
              <w:t>Transport infrastructure</w:t>
            </w:r>
            <w:r w:rsidR="003174B0">
              <w:rPr>
                <w:noProof/>
                <w:webHidden/>
              </w:rPr>
              <w:tab/>
            </w:r>
            <w:r w:rsidR="003174B0">
              <w:rPr>
                <w:noProof/>
                <w:webHidden/>
              </w:rPr>
              <w:fldChar w:fldCharType="begin"/>
            </w:r>
            <w:r w:rsidR="003174B0">
              <w:rPr>
                <w:noProof/>
                <w:webHidden/>
              </w:rPr>
              <w:instrText xml:space="preserve"> PAGEREF _Toc385946025 \h </w:instrText>
            </w:r>
            <w:r w:rsidR="003174B0">
              <w:rPr>
                <w:noProof/>
                <w:webHidden/>
              </w:rPr>
            </w:r>
            <w:r w:rsidR="003174B0">
              <w:rPr>
                <w:noProof/>
                <w:webHidden/>
              </w:rPr>
              <w:fldChar w:fldCharType="separate"/>
            </w:r>
            <w:r w:rsidR="003174B0">
              <w:rPr>
                <w:noProof/>
                <w:webHidden/>
              </w:rPr>
              <w:t>34</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6" w:history="1">
            <w:r w:rsidR="003174B0" w:rsidRPr="000060D7">
              <w:rPr>
                <w:rStyle w:val="Hypertextovodkaz"/>
                <w:noProof/>
                <w:lang w:val="en-GB"/>
              </w:rPr>
              <w:t>4.2.4.</w:t>
            </w:r>
            <w:r w:rsidR="003174B0">
              <w:rPr>
                <w:noProof/>
                <w:sz w:val="22"/>
                <w:lang w:eastAsia="cs-CZ"/>
              </w:rPr>
              <w:tab/>
            </w:r>
            <w:r w:rsidR="003174B0" w:rsidRPr="000060D7">
              <w:rPr>
                <w:rStyle w:val="Hypertextovodkaz"/>
                <w:noProof/>
                <w:lang w:val="en-GB"/>
              </w:rPr>
              <w:t>Digital infrastructure</w:t>
            </w:r>
            <w:r w:rsidR="003174B0">
              <w:rPr>
                <w:noProof/>
                <w:webHidden/>
              </w:rPr>
              <w:tab/>
            </w:r>
            <w:r w:rsidR="003174B0">
              <w:rPr>
                <w:noProof/>
                <w:webHidden/>
              </w:rPr>
              <w:fldChar w:fldCharType="begin"/>
            </w:r>
            <w:r w:rsidR="003174B0">
              <w:rPr>
                <w:noProof/>
                <w:webHidden/>
              </w:rPr>
              <w:instrText xml:space="preserve"> PAGEREF _Toc385946026 \h </w:instrText>
            </w:r>
            <w:r w:rsidR="003174B0">
              <w:rPr>
                <w:noProof/>
                <w:webHidden/>
              </w:rPr>
            </w:r>
            <w:r w:rsidR="003174B0">
              <w:rPr>
                <w:noProof/>
                <w:webHidden/>
              </w:rPr>
              <w:fldChar w:fldCharType="separate"/>
            </w:r>
            <w:r w:rsidR="003174B0">
              <w:rPr>
                <w:noProof/>
                <w:webHidden/>
              </w:rPr>
              <w:t>35</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7" w:history="1">
            <w:r w:rsidR="003174B0" w:rsidRPr="000060D7">
              <w:rPr>
                <w:rStyle w:val="Hypertextovodkaz"/>
                <w:noProof/>
                <w:lang w:val="en-GB"/>
              </w:rPr>
              <w:t>4.2.5.</w:t>
            </w:r>
            <w:r w:rsidR="003174B0">
              <w:rPr>
                <w:noProof/>
                <w:sz w:val="22"/>
                <w:lang w:eastAsia="cs-CZ"/>
              </w:rPr>
              <w:tab/>
            </w:r>
            <w:r w:rsidR="003174B0" w:rsidRPr="000060D7">
              <w:rPr>
                <w:rStyle w:val="Hypertextovodkaz"/>
                <w:bCs/>
                <w:noProof/>
                <w:lang w:val="en-GB"/>
              </w:rPr>
              <w:t>Energetics and climate protection</w:t>
            </w:r>
            <w:r w:rsidR="003174B0">
              <w:rPr>
                <w:noProof/>
                <w:webHidden/>
              </w:rPr>
              <w:tab/>
            </w:r>
            <w:r w:rsidR="003174B0">
              <w:rPr>
                <w:noProof/>
                <w:webHidden/>
              </w:rPr>
              <w:fldChar w:fldCharType="begin"/>
            </w:r>
            <w:r w:rsidR="003174B0">
              <w:rPr>
                <w:noProof/>
                <w:webHidden/>
              </w:rPr>
              <w:instrText xml:space="preserve"> PAGEREF _Toc385946027 \h </w:instrText>
            </w:r>
            <w:r w:rsidR="003174B0">
              <w:rPr>
                <w:noProof/>
                <w:webHidden/>
              </w:rPr>
            </w:r>
            <w:r w:rsidR="003174B0">
              <w:rPr>
                <w:noProof/>
                <w:webHidden/>
              </w:rPr>
              <w:fldChar w:fldCharType="separate"/>
            </w:r>
            <w:r w:rsidR="003174B0">
              <w:rPr>
                <w:noProof/>
                <w:webHidden/>
              </w:rPr>
              <w:t>35</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8" w:history="1">
            <w:r w:rsidR="003174B0" w:rsidRPr="000060D7">
              <w:rPr>
                <w:rStyle w:val="Hypertextovodkaz"/>
                <w:noProof/>
                <w:lang w:val="en-GB"/>
              </w:rPr>
              <w:t>4.2.6.</w:t>
            </w:r>
            <w:r w:rsidR="003174B0">
              <w:rPr>
                <w:noProof/>
                <w:sz w:val="22"/>
                <w:lang w:eastAsia="cs-CZ"/>
              </w:rPr>
              <w:tab/>
            </w:r>
            <w:r w:rsidR="003174B0" w:rsidRPr="000060D7">
              <w:rPr>
                <w:rStyle w:val="Hypertextovodkaz"/>
                <w:bCs/>
                <w:noProof/>
                <w:lang w:val="en-GB"/>
              </w:rPr>
              <w:t>Environmental policy</w:t>
            </w:r>
            <w:r w:rsidR="003174B0">
              <w:rPr>
                <w:noProof/>
                <w:webHidden/>
              </w:rPr>
              <w:tab/>
            </w:r>
            <w:r w:rsidR="003174B0">
              <w:rPr>
                <w:noProof/>
                <w:webHidden/>
              </w:rPr>
              <w:fldChar w:fldCharType="begin"/>
            </w:r>
            <w:r w:rsidR="003174B0">
              <w:rPr>
                <w:noProof/>
                <w:webHidden/>
              </w:rPr>
              <w:instrText xml:space="preserve"> PAGEREF _Toc385946028 \h </w:instrText>
            </w:r>
            <w:r w:rsidR="003174B0">
              <w:rPr>
                <w:noProof/>
                <w:webHidden/>
              </w:rPr>
            </w:r>
            <w:r w:rsidR="003174B0">
              <w:rPr>
                <w:noProof/>
                <w:webHidden/>
              </w:rPr>
              <w:fldChar w:fldCharType="separate"/>
            </w:r>
            <w:r w:rsidR="003174B0">
              <w:rPr>
                <w:noProof/>
                <w:webHidden/>
              </w:rPr>
              <w:t>37</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29" w:history="1">
            <w:r w:rsidR="003174B0" w:rsidRPr="000060D7">
              <w:rPr>
                <w:rStyle w:val="Hypertextovodkaz"/>
                <w:noProof/>
                <w:lang w:val="en-GB"/>
              </w:rPr>
              <w:t>4.2.7.</w:t>
            </w:r>
            <w:r w:rsidR="003174B0">
              <w:rPr>
                <w:noProof/>
                <w:sz w:val="22"/>
                <w:lang w:eastAsia="cs-CZ"/>
              </w:rPr>
              <w:tab/>
            </w:r>
            <w:r w:rsidR="003174B0" w:rsidRPr="000060D7">
              <w:rPr>
                <w:rStyle w:val="Hypertextovodkaz"/>
                <w:bCs/>
                <w:noProof/>
                <w:lang w:val="en-GB"/>
              </w:rPr>
              <w:t>Agricultural policy</w:t>
            </w:r>
            <w:r w:rsidR="003174B0">
              <w:rPr>
                <w:noProof/>
                <w:webHidden/>
              </w:rPr>
              <w:tab/>
            </w:r>
            <w:r w:rsidR="003174B0">
              <w:rPr>
                <w:noProof/>
                <w:webHidden/>
              </w:rPr>
              <w:fldChar w:fldCharType="begin"/>
            </w:r>
            <w:r w:rsidR="003174B0">
              <w:rPr>
                <w:noProof/>
                <w:webHidden/>
              </w:rPr>
              <w:instrText xml:space="preserve"> PAGEREF _Toc385946029 \h </w:instrText>
            </w:r>
            <w:r w:rsidR="003174B0">
              <w:rPr>
                <w:noProof/>
                <w:webHidden/>
              </w:rPr>
            </w:r>
            <w:r w:rsidR="003174B0">
              <w:rPr>
                <w:noProof/>
                <w:webHidden/>
              </w:rPr>
              <w:fldChar w:fldCharType="separate"/>
            </w:r>
            <w:r w:rsidR="003174B0">
              <w:rPr>
                <w:noProof/>
                <w:webHidden/>
              </w:rPr>
              <w:t>38</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30" w:history="1">
            <w:r w:rsidR="003174B0" w:rsidRPr="000060D7">
              <w:rPr>
                <w:rStyle w:val="Hypertextovodkaz"/>
                <w:noProof/>
                <w:lang w:val="en-GB"/>
              </w:rPr>
              <w:t>4.3.</w:t>
            </w:r>
            <w:r w:rsidR="003174B0">
              <w:rPr>
                <w:noProof/>
                <w:sz w:val="22"/>
                <w:lang w:eastAsia="cs-CZ"/>
              </w:rPr>
              <w:tab/>
            </w:r>
            <w:r w:rsidR="003174B0" w:rsidRPr="000060D7">
              <w:rPr>
                <w:rStyle w:val="Hypertextovodkaz"/>
                <w:bCs/>
                <w:noProof/>
                <w:lang w:val="en-GB"/>
              </w:rPr>
              <w:t>Functioning labour market, education system and social inclusion</w:t>
            </w:r>
            <w:r w:rsidR="003174B0">
              <w:rPr>
                <w:noProof/>
                <w:webHidden/>
              </w:rPr>
              <w:tab/>
            </w:r>
            <w:r w:rsidR="003174B0">
              <w:rPr>
                <w:noProof/>
                <w:webHidden/>
              </w:rPr>
              <w:fldChar w:fldCharType="begin"/>
            </w:r>
            <w:r w:rsidR="003174B0">
              <w:rPr>
                <w:noProof/>
                <w:webHidden/>
              </w:rPr>
              <w:instrText xml:space="preserve"> PAGEREF _Toc385946030 \h </w:instrText>
            </w:r>
            <w:r w:rsidR="003174B0">
              <w:rPr>
                <w:noProof/>
                <w:webHidden/>
              </w:rPr>
            </w:r>
            <w:r w:rsidR="003174B0">
              <w:rPr>
                <w:noProof/>
                <w:webHidden/>
              </w:rPr>
              <w:fldChar w:fldCharType="separate"/>
            </w:r>
            <w:r w:rsidR="003174B0">
              <w:rPr>
                <w:noProof/>
                <w:webHidden/>
              </w:rPr>
              <w:t>39</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1" w:history="1">
            <w:r w:rsidR="003174B0" w:rsidRPr="000060D7">
              <w:rPr>
                <w:rStyle w:val="Hypertextovodkaz"/>
                <w:noProof/>
                <w:lang w:val="en-GB"/>
              </w:rPr>
              <w:t>4.3.1.</w:t>
            </w:r>
            <w:r w:rsidR="003174B0">
              <w:rPr>
                <w:noProof/>
                <w:sz w:val="22"/>
                <w:lang w:eastAsia="cs-CZ"/>
              </w:rPr>
              <w:tab/>
            </w:r>
            <w:r w:rsidR="003174B0" w:rsidRPr="000060D7">
              <w:rPr>
                <w:rStyle w:val="Hypertextovodkaz"/>
                <w:bCs/>
                <w:noProof/>
                <w:lang w:val="en-GB"/>
              </w:rPr>
              <w:t>The development of the active employment policy; increasing labour productivity</w:t>
            </w:r>
            <w:r w:rsidR="003174B0">
              <w:rPr>
                <w:noProof/>
                <w:webHidden/>
              </w:rPr>
              <w:tab/>
            </w:r>
            <w:r w:rsidR="003174B0">
              <w:rPr>
                <w:noProof/>
                <w:webHidden/>
              </w:rPr>
              <w:fldChar w:fldCharType="begin"/>
            </w:r>
            <w:r w:rsidR="003174B0">
              <w:rPr>
                <w:noProof/>
                <w:webHidden/>
              </w:rPr>
              <w:instrText xml:space="preserve"> PAGEREF _Toc385946031 \h </w:instrText>
            </w:r>
            <w:r w:rsidR="003174B0">
              <w:rPr>
                <w:noProof/>
                <w:webHidden/>
              </w:rPr>
            </w:r>
            <w:r w:rsidR="003174B0">
              <w:rPr>
                <w:noProof/>
                <w:webHidden/>
              </w:rPr>
              <w:fldChar w:fldCharType="separate"/>
            </w:r>
            <w:r w:rsidR="003174B0">
              <w:rPr>
                <w:noProof/>
                <w:webHidden/>
              </w:rPr>
              <w:t>39</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2" w:history="1">
            <w:r w:rsidR="003174B0" w:rsidRPr="000060D7">
              <w:rPr>
                <w:rStyle w:val="Hypertextovodkaz"/>
                <w:noProof/>
                <w:lang w:val="en-GB"/>
              </w:rPr>
              <w:t>4.3.2.</w:t>
            </w:r>
            <w:r w:rsidR="003174B0">
              <w:rPr>
                <w:noProof/>
                <w:sz w:val="22"/>
                <w:lang w:eastAsia="cs-CZ"/>
              </w:rPr>
              <w:tab/>
            </w:r>
            <w:r w:rsidR="003174B0" w:rsidRPr="000060D7">
              <w:rPr>
                <w:rStyle w:val="Hypertextovodkaz"/>
                <w:bCs/>
                <w:noProof/>
                <w:lang w:val="en-GB"/>
              </w:rPr>
              <w:t>Quality, affordable health care</w:t>
            </w:r>
            <w:r w:rsidR="003174B0">
              <w:rPr>
                <w:noProof/>
                <w:webHidden/>
              </w:rPr>
              <w:tab/>
            </w:r>
            <w:r w:rsidR="003174B0">
              <w:rPr>
                <w:noProof/>
                <w:webHidden/>
              </w:rPr>
              <w:fldChar w:fldCharType="begin"/>
            </w:r>
            <w:r w:rsidR="003174B0">
              <w:rPr>
                <w:noProof/>
                <w:webHidden/>
              </w:rPr>
              <w:instrText xml:space="preserve"> PAGEREF _Toc385946032 \h </w:instrText>
            </w:r>
            <w:r w:rsidR="003174B0">
              <w:rPr>
                <w:noProof/>
                <w:webHidden/>
              </w:rPr>
            </w:r>
            <w:r w:rsidR="003174B0">
              <w:rPr>
                <w:noProof/>
                <w:webHidden/>
              </w:rPr>
              <w:fldChar w:fldCharType="separate"/>
            </w:r>
            <w:r w:rsidR="003174B0">
              <w:rPr>
                <w:noProof/>
                <w:webHidden/>
              </w:rPr>
              <w:t>41</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3" w:history="1">
            <w:r w:rsidR="003174B0" w:rsidRPr="000060D7">
              <w:rPr>
                <w:rStyle w:val="Hypertextovodkaz"/>
                <w:noProof/>
                <w:lang w:val="en-GB"/>
              </w:rPr>
              <w:t>4.3.3.</w:t>
            </w:r>
            <w:r w:rsidR="003174B0">
              <w:rPr>
                <w:noProof/>
                <w:sz w:val="22"/>
                <w:lang w:eastAsia="cs-CZ"/>
              </w:rPr>
              <w:tab/>
            </w:r>
            <w:r w:rsidR="003174B0" w:rsidRPr="000060D7">
              <w:rPr>
                <w:rStyle w:val="Hypertextovodkaz"/>
                <w:bCs/>
                <w:noProof/>
                <w:lang w:val="en-GB"/>
              </w:rPr>
              <w:t>Social inclusion and combating poverty</w:t>
            </w:r>
            <w:r w:rsidR="003174B0">
              <w:rPr>
                <w:noProof/>
                <w:webHidden/>
              </w:rPr>
              <w:tab/>
            </w:r>
            <w:r w:rsidR="003174B0">
              <w:rPr>
                <w:noProof/>
                <w:webHidden/>
              </w:rPr>
              <w:fldChar w:fldCharType="begin"/>
            </w:r>
            <w:r w:rsidR="003174B0">
              <w:rPr>
                <w:noProof/>
                <w:webHidden/>
              </w:rPr>
              <w:instrText xml:space="preserve"> PAGEREF _Toc385946033 \h </w:instrText>
            </w:r>
            <w:r w:rsidR="003174B0">
              <w:rPr>
                <w:noProof/>
                <w:webHidden/>
              </w:rPr>
            </w:r>
            <w:r w:rsidR="003174B0">
              <w:rPr>
                <w:noProof/>
                <w:webHidden/>
              </w:rPr>
              <w:fldChar w:fldCharType="separate"/>
            </w:r>
            <w:r w:rsidR="003174B0">
              <w:rPr>
                <w:noProof/>
                <w:webHidden/>
              </w:rPr>
              <w:t>41</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4" w:history="1">
            <w:r w:rsidR="003174B0" w:rsidRPr="000060D7">
              <w:rPr>
                <w:rStyle w:val="Hypertextovodkaz"/>
                <w:noProof/>
                <w:lang w:val="en-GB"/>
              </w:rPr>
              <w:t>4.3.4.</w:t>
            </w:r>
            <w:r w:rsidR="003174B0">
              <w:rPr>
                <w:noProof/>
                <w:sz w:val="22"/>
                <w:lang w:eastAsia="cs-CZ"/>
              </w:rPr>
              <w:tab/>
            </w:r>
            <w:r w:rsidR="003174B0" w:rsidRPr="000060D7">
              <w:rPr>
                <w:rStyle w:val="Hypertextovodkaz"/>
                <w:bCs/>
                <w:noProof/>
                <w:lang w:val="en-GB"/>
              </w:rPr>
              <w:t>The compatibility of work and family life and the issue of gender equality</w:t>
            </w:r>
            <w:r w:rsidR="003174B0">
              <w:rPr>
                <w:noProof/>
                <w:webHidden/>
              </w:rPr>
              <w:tab/>
            </w:r>
            <w:r w:rsidR="003174B0">
              <w:rPr>
                <w:noProof/>
                <w:webHidden/>
              </w:rPr>
              <w:fldChar w:fldCharType="begin"/>
            </w:r>
            <w:r w:rsidR="003174B0">
              <w:rPr>
                <w:noProof/>
                <w:webHidden/>
              </w:rPr>
              <w:instrText xml:space="preserve"> PAGEREF _Toc385946034 \h </w:instrText>
            </w:r>
            <w:r w:rsidR="003174B0">
              <w:rPr>
                <w:noProof/>
                <w:webHidden/>
              </w:rPr>
            </w:r>
            <w:r w:rsidR="003174B0">
              <w:rPr>
                <w:noProof/>
                <w:webHidden/>
              </w:rPr>
              <w:fldChar w:fldCharType="separate"/>
            </w:r>
            <w:r w:rsidR="003174B0">
              <w:rPr>
                <w:noProof/>
                <w:webHidden/>
              </w:rPr>
              <w:t>44</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5" w:history="1">
            <w:r w:rsidR="003174B0" w:rsidRPr="000060D7">
              <w:rPr>
                <w:rStyle w:val="Hypertextovodkaz"/>
                <w:noProof/>
                <w:lang w:val="en-GB"/>
              </w:rPr>
              <w:t>4.3.5.</w:t>
            </w:r>
            <w:r w:rsidR="003174B0">
              <w:rPr>
                <w:noProof/>
                <w:sz w:val="22"/>
                <w:lang w:eastAsia="cs-CZ"/>
              </w:rPr>
              <w:tab/>
            </w:r>
            <w:r w:rsidR="003174B0" w:rsidRPr="000060D7">
              <w:rPr>
                <w:rStyle w:val="Hypertextovodkaz"/>
                <w:bCs/>
                <w:noProof/>
                <w:lang w:val="en-GB"/>
              </w:rPr>
              <w:t>High quality and inclusive education</w:t>
            </w:r>
            <w:r w:rsidR="003174B0">
              <w:rPr>
                <w:noProof/>
                <w:webHidden/>
              </w:rPr>
              <w:tab/>
            </w:r>
            <w:r w:rsidR="003174B0">
              <w:rPr>
                <w:noProof/>
                <w:webHidden/>
              </w:rPr>
              <w:fldChar w:fldCharType="begin"/>
            </w:r>
            <w:r w:rsidR="003174B0">
              <w:rPr>
                <w:noProof/>
                <w:webHidden/>
              </w:rPr>
              <w:instrText xml:space="preserve"> PAGEREF _Toc385946035 \h </w:instrText>
            </w:r>
            <w:r w:rsidR="003174B0">
              <w:rPr>
                <w:noProof/>
                <w:webHidden/>
              </w:rPr>
            </w:r>
            <w:r w:rsidR="003174B0">
              <w:rPr>
                <w:noProof/>
                <w:webHidden/>
              </w:rPr>
              <w:fldChar w:fldCharType="separate"/>
            </w:r>
            <w:r w:rsidR="003174B0">
              <w:rPr>
                <w:noProof/>
                <w:webHidden/>
              </w:rPr>
              <w:t>45</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6" w:history="1">
            <w:r w:rsidR="003174B0" w:rsidRPr="000060D7">
              <w:rPr>
                <w:rStyle w:val="Hypertextovodkaz"/>
                <w:noProof/>
                <w:lang w:val="en-GB"/>
              </w:rPr>
              <w:t>4.3.6.</w:t>
            </w:r>
            <w:r w:rsidR="003174B0">
              <w:rPr>
                <w:noProof/>
                <w:sz w:val="22"/>
                <w:lang w:eastAsia="cs-CZ"/>
              </w:rPr>
              <w:tab/>
            </w:r>
            <w:r w:rsidR="003174B0" w:rsidRPr="000060D7">
              <w:rPr>
                <w:rStyle w:val="Hypertextovodkaz"/>
                <w:bCs/>
                <w:noProof/>
                <w:lang w:val="en-GB"/>
              </w:rPr>
              <w:t>Support for the arrival of skilled workers from abroad</w:t>
            </w:r>
            <w:r w:rsidR="003174B0">
              <w:rPr>
                <w:noProof/>
                <w:webHidden/>
              </w:rPr>
              <w:tab/>
            </w:r>
            <w:r w:rsidR="003174B0">
              <w:rPr>
                <w:noProof/>
                <w:webHidden/>
              </w:rPr>
              <w:fldChar w:fldCharType="begin"/>
            </w:r>
            <w:r w:rsidR="003174B0">
              <w:rPr>
                <w:noProof/>
                <w:webHidden/>
              </w:rPr>
              <w:instrText xml:space="preserve"> PAGEREF _Toc385946036 \h </w:instrText>
            </w:r>
            <w:r w:rsidR="003174B0">
              <w:rPr>
                <w:noProof/>
                <w:webHidden/>
              </w:rPr>
            </w:r>
            <w:r w:rsidR="003174B0">
              <w:rPr>
                <w:noProof/>
                <w:webHidden/>
              </w:rPr>
              <w:fldChar w:fldCharType="separate"/>
            </w:r>
            <w:r w:rsidR="003174B0">
              <w:rPr>
                <w:noProof/>
                <w:webHidden/>
              </w:rPr>
              <w:t>47</w:t>
            </w:r>
            <w:r w:rsidR="003174B0">
              <w:rPr>
                <w:noProof/>
                <w:webHidden/>
              </w:rPr>
              <w:fldChar w:fldCharType="end"/>
            </w:r>
          </w:hyperlink>
        </w:p>
        <w:p w:rsidR="003174B0" w:rsidRDefault="00323F83">
          <w:pPr>
            <w:pStyle w:val="Obsah2"/>
            <w:tabs>
              <w:tab w:val="left" w:pos="880"/>
              <w:tab w:val="right" w:leader="dot" w:pos="9062"/>
            </w:tabs>
            <w:rPr>
              <w:noProof/>
              <w:sz w:val="22"/>
              <w:lang w:eastAsia="cs-CZ"/>
            </w:rPr>
          </w:pPr>
          <w:hyperlink w:anchor="_Toc385946037" w:history="1">
            <w:r w:rsidR="003174B0" w:rsidRPr="000060D7">
              <w:rPr>
                <w:rStyle w:val="Hypertextovodkaz"/>
                <w:noProof/>
                <w:lang w:val="en-GB"/>
              </w:rPr>
              <w:t>4.4.</w:t>
            </w:r>
            <w:r w:rsidR="003174B0">
              <w:rPr>
                <w:noProof/>
                <w:sz w:val="22"/>
                <w:lang w:eastAsia="cs-CZ"/>
              </w:rPr>
              <w:tab/>
            </w:r>
            <w:r w:rsidR="003174B0" w:rsidRPr="000060D7">
              <w:rPr>
                <w:rStyle w:val="Hypertextovodkaz"/>
                <w:bCs/>
                <w:noProof/>
                <w:lang w:val="en-GB"/>
              </w:rPr>
              <w:t>Growth based on research and innovation</w:t>
            </w:r>
            <w:r w:rsidR="003174B0">
              <w:rPr>
                <w:noProof/>
                <w:webHidden/>
              </w:rPr>
              <w:tab/>
            </w:r>
            <w:r w:rsidR="003174B0">
              <w:rPr>
                <w:noProof/>
                <w:webHidden/>
              </w:rPr>
              <w:fldChar w:fldCharType="begin"/>
            </w:r>
            <w:r w:rsidR="003174B0">
              <w:rPr>
                <w:noProof/>
                <w:webHidden/>
              </w:rPr>
              <w:instrText xml:space="preserve"> PAGEREF _Toc385946037 \h </w:instrText>
            </w:r>
            <w:r w:rsidR="003174B0">
              <w:rPr>
                <w:noProof/>
                <w:webHidden/>
              </w:rPr>
            </w:r>
            <w:r w:rsidR="003174B0">
              <w:rPr>
                <w:noProof/>
                <w:webHidden/>
              </w:rPr>
              <w:fldChar w:fldCharType="separate"/>
            </w:r>
            <w:r w:rsidR="003174B0">
              <w:rPr>
                <w:noProof/>
                <w:webHidden/>
              </w:rPr>
              <w:t>47</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8" w:history="1">
            <w:r w:rsidR="003174B0" w:rsidRPr="000060D7">
              <w:rPr>
                <w:rStyle w:val="Hypertextovodkaz"/>
                <w:noProof/>
                <w:lang w:val="en-GB"/>
              </w:rPr>
              <w:t>4.4.1.</w:t>
            </w:r>
            <w:r w:rsidR="003174B0">
              <w:rPr>
                <w:noProof/>
                <w:sz w:val="22"/>
                <w:lang w:eastAsia="cs-CZ"/>
              </w:rPr>
              <w:tab/>
            </w:r>
            <w:r w:rsidR="003174B0" w:rsidRPr="000060D7">
              <w:rPr>
                <w:rStyle w:val="Hypertextovodkaz"/>
                <w:bCs/>
                <w:noProof/>
                <w:lang w:val="en-GB"/>
              </w:rPr>
              <w:t>Development of conditions for excellent research</w:t>
            </w:r>
            <w:r w:rsidR="003174B0">
              <w:rPr>
                <w:noProof/>
                <w:webHidden/>
              </w:rPr>
              <w:tab/>
            </w:r>
            <w:r w:rsidR="003174B0">
              <w:rPr>
                <w:noProof/>
                <w:webHidden/>
              </w:rPr>
              <w:fldChar w:fldCharType="begin"/>
            </w:r>
            <w:r w:rsidR="003174B0">
              <w:rPr>
                <w:noProof/>
                <w:webHidden/>
              </w:rPr>
              <w:instrText xml:space="preserve"> PAGEREF _Toc385946038 \h </w:instrText>
            </w:r>
            <w:r w:rsidR="003174B0">
              <w:rPr>
                <w:noProof/>
                <w:webHidden/>
              </w:rPr>
            </w:r>
            <w:r w:rsidR="003174B0">
              <w:rPr>
                <w:noProof/>
                <w:webHidden/>
              </w:rPr>
              <w:fldChar w:fldCharType="separate"/>
            </w:r>
            <w:r w:rsidR="003174B0">
              <w:rPr>
                <w:noProof/>
                <w:webHidden/>
              </w:rPr>
              <w:t>47</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39" w:history="1">
            <w:r w:rsidR="003174B0" w:rsidRPr="000060D7">
              <w:rPr>
                <w:rStyle w:val="Hypertextovodkaz"/>
                <w:noProof/>
                <w:lang w:val="en-GB"/>
              </w:rPr>
              <w:t>4.4.2.</w:t>
            </w:r>
            <w:r w:rsidR="003174B0">
              <w:rPr>
                <w:noProof/>
                <w:sz w:val="22"/>
                <w:lang w:eastAsia="cs-CZ"/>
              </w:rPr>
              <w:tab/>
            </w:r>
            <w:r w:rsidR="003174B0" w:rsidRPr="000060D7">
              <w:rPr>
                <w:rStyle w:val="Hypertextovodkaz"/>
                <w:bCs/>
                <w:noProof/>
                <w:lang w:val="en-GB"/>
              </w:rPr>
              <w:t>Development of cooperation between the business sector and research organizations</w:t>
            </w:r>
            <w:r w:rsidR="003174B0">
              <w:rPr>
                <w:noProof/>
                <w:webHidden/>
              </w:rPr>
              <w:tab/>
            </w:r>
            <w:r w:rsidR="003174B0">
              <w:rPr>
                <w:noProof/>
                <w:webHidden/>
              </w:rPr>
              <w:fldChar w:fldCharType="begin"/>
            </w:r>
            <w:r w:rsidR="003174B0">
              <w:rPr>
                <w:noProof/>
                <w:webHidden/>
              </w:rPr>
              <w:instrText xml:space="preserve"> PAGEREF _Toc385946039 \h </w:instrText>
            </w:r>
            <w:r w:rsidR="003174B0">
              <w:rPr>
                <w:noProof/>
                <w:webHidden/>
              </w:rPr>
            </w:r>
            <w:r w:rsidR="003174B0">
              <w:rPr>
                <w:noProof/>
                <w:webHidden/>
              </w:rPr>
              <w:fldChar w:fldCharType="separate"/>
            </w:r>
            <w:r w:rsidR="003174B0">
              <w:rPr>
                <w:noProof/>
                <w:webHidden/>
              </w:rPr>
              <w:t>48</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40" w:history="1">
            <w:r w:rsidR="003174B0" w:rsidRPr="000060D7">
              <w:rPr>
                <w:rStyle w:val="Hypertextovodkaz"/>
                <w:noProof/>
                <w:lang w:val="en-GB"/>
              </w:rPr>
              <w:t>4.4.3.</w:t>
            </w:r>
            <w:r w:rsidR="003174B0">
              <w:rPr>
                <w:noProof/>
                <w:sz w:val="22"/>
                <w:lang w:eastAsia="cs-CZ"/>
              </w:rPr>
              <w:tab/>
            </w:r>
            <w:r w:rsidR="003174B0" w:rsidRPr="000060D7">
              <w:rPr>
                <w:rStyle w:val="Hypertextovodkaz"/>
                <w:bCs/>
                <w:noProof/>
                <w:lang w:val="en-GB"/>
              </w:rPr>
              <w:t>Innovation enterprises and business development for start-ups</w:t>
            </w:r>
            <w:r w:rsidR="003174B0">
              <w:rPr>
                <w:noProof/>
                <w:webHidden/>
              </w:rPr>
              <w:tab/>
            </w:r>
            <w:r w:rsidR="003174B0">
              <w:rPr>
                <w:noProof/>
                <w:webHidden/>
              </w:rPr>
              <w:fldChar w:fldCharType="begin"/>
            </w:r>
            <w:r w:rsidR="003174B0">
              <w:rPr>
                <w:noProof/>
                <w:webHidden/>
              </w:rPr>
              <w:instrText xml:space="preserve"> PAGEREF _Toc385946040 \h </w:instrText>
            </w:r>
            <w:r w:rsidR="003174B0">
              <w:rPr>
                <w:noProof/>
                <w:webHidden/>
              </w:rPr>
            </w:r>
            <w:r w:rsidR="003174B0">
              <w:rPr>
                <w:noProof/>
                <w:webHidden/>
              </w:rPr>
              <w:fldChar w:fldCharType="separate"/>
            </w:r>
            <w:r w:rsidR="003174B0">
              <w:rPr>
                <w:noProof/>
                <w:webHidden/>
              </w:rPr>
              <w:t>50</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41" w:history="1">
            <w:r w:rsidR="003174B0" w:rsidRPr="000060D7">
              <w:rPr>
                <w:rStyle w:val="Hypertextovodkaz"/>
                <w:noProof/>
                <w:lang w:val="en-GB"/>
              </w:rPr>
              <w:t>4.4.4.</w:t>
            </w:r>
            <w:r w:rsidR="003174B0">
              <w:rPr>
                <w:noProof/>
                <w:sz w:val="22"/>
                <w:lang w:eastAsia="cs-CZ"/>
              </w:rPr>
              <w:tab/>
            </w:r>
            <w:r w:rsidR="003174B0" w:rsidRPr="000060D7">
              <w:rPr>
                <w:rStyle w:val="Hypertextovodkaz"/>
                <w:bCs/>
                <w:noProof/>
                <w:lang w:val="en-GB"/>
              </w:rPr>
              <w:t>Space activities</w:t>
            </w:r>
            <w:r w:rsidR="003174B0">
              <w:rPr>
                <w:noProof/>
                <w:webHidden/>
              </w:rPr>
              <w:tab/>
            </w:r>
            <w:r w:rsidR="003174B0">
              <w:rPr>
                <w:noProof/>
                <w:webHidden/>
              </w:rPr>
              <w:fldChar w:fldCharType="begin"/>
            </w:r>
            <w:r w:rsidR="003174B0">
              <w:rPr>
                <w:noProof/>
                <w:webHidden/>
              </w:rPr>
              <w:instrText xml:space="preserve"> PAGEREF _Toc385946041 \h </w:instrText>
            </w:r>
            <w:r w:rsidR="003174B0">
              <w:rPr>
                <w:noProof/>
                <w:webHidden/>
              </w:rPr>
            </w:r>
            <w:r w:rsidR="003174B0">
              <w:rPr>
                <w:noProof/>
                <w:webHidden/>
              </w:rPr>
              <w:fldChar w:fldCharType="separate"/>
            </w:r>
            <w:r w:rsidR="003174B0">
              <w:rPr>
                <w:noProof/>
                <w:webHidden/>
              </w:rPr>
              <w:t>53</w:t>
            </w:r>
            <w:r w:rsidR="003174B0">
              <w:rPr>
                <w:noProof/>
                <w:webHidden/>
              </w:rPr>
              <w:fldChar w:fldCharType="end"/>
            </w:r>
          </w:hyperlink>
        </w:p>
        <w:p w:rsidR="003174B0" w:rsidRDefault="00323F83">
          <w:pPr>
            <w:pStyle w:val="Obsah1"/>
            <w:tabs>
              <w:tab w:val="left" w:pos="420"/>
              <w:tab w:val="right" w:leader="dot" w:pos="9062"/>
            </w:tabs>
            <w:rPr>
              <w:noProof/>
              <w:sz w:val="22"/>
              <w:lang w:eastAsia="cs-CZ"/>
            </w:rPr>
          </w:pPr>
          <w:hyperlink w:anchor="_Toc385946042" w:history="1">
            <w:r w:rsidR="003174B0" w:rsidRPr="000060D7">
              <w:rPr>
                <w:rStyle w:val="Hypertextovodkaz"/>
                <w:noProof/>
                <w:lang w:val="en-GB"/>
              </w:rPr>
              <w:t>5.</w:t>
            </w:r>
            <w:r w:rsidR="003174B0">
              <w:rPr>
                <w:noProof/>
                <w:sz w:val="22"/>
                <w:lang w:eastAsia="cs-CZ"/>
              </w:rPr>
              <w:tab/>
            </w:r>
            <w:r w:rsidR="003174B0" w:rsidRPr="000060D7">
              <w:rPr>
                <w:rStyle w:val="Hypertextovodkaz"/>
                <w:noProof/>
                <w:lang w:val="en-GB"/>
              </w:rPr>
              <w:t>Implementation of the cohesion policy programmes and the use of European Structural and Investment Funds as tools for the implementation of the Europe 2020 priorities</w:t>
            </w:r>
            <w:r w:rsidR="003174B0">
              <w:rPr>
                <w:noProof/>
                <w:webHidden/>
              </w:rPr>
              <w:tab/>
            </w:r>
            <w:r w:rsidR="003174B0">
              <w:rPr>
                <w:noProof/>
                <w:webHidden/>
              </w:rPr>
              <w:fldChar w:fldCharType="begin"/>
            </w:r>
            <w:r w:rsidR="003174B0">
              <w:rPr>
                <w:noProof/>
                <w:webHidden/>
              </w:rPr>
              <w:instrText xml:space="preserve"> PAGEREF _Toc385946042 \h </w:instrText>
            </w:r>
            <w:r w:rsidR="003174B0">
              <w:rPr>
                <w:noProof/>
                <w:webHidden/>
              </w:rPr>
            </w:r>
            <w:r w:rsidR="003174B0">
              <w:rPr>
                <w:noProof/>
                <w:webHidden/>
              </w:rPr>
              <w:fldChar w:fldCharType="separate"/>
            </w:r>
            <w:r w:rsidR="003174B0">
              <w:rPr>
                <w:noProof/>
                <w:webHidden/>
              </w:rPr>
              <w:t>54</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43" w:history="1">
            <w:r w:rsidR="003174B0" w:rsidRPr="000060D7">
              <w:rPr>
                <w:rStyle w:val="Hypertextovodkaz"/>
                <w:noProof/>
                <w:lang w:val="en-GB"/>
              </w:rPr>
              <w:t>5.1.1.</w:t>
            </w:r>
            <w:r w:rsidR="003174B0">
              <w:rPr>
                <w:noProof/>
                <w:sz w:val="22"/>
                <w:lang w:eastAsia="cs-CZ"/>
              </w:rPr>
              <w:tab/>
            </w:r>
            <w:r w:rsidR="003174B0" w:rsidRPr="000060D7">
              <w:rPr>
                <w:rStyle w:val="Hypertextovodkaz"/>
                <w:bCs/>
                <w:noProof/>
                <w:lang w:val="en-GB"/>
              </w:rPr>
              <w:t>Programming period 2007-2013</w:t>
            </w:r>
            <w:r w:rsidR="003174B0">
              <w:rPr>
                <w:noProof/>
                <w:webHidden/>
              </w:rPr>
              <w:tab/>
            </w:r>
            <w:r w:rsidR="003174B0">
              <w:rPr>
                <w:noProof/>
                <w:webHidden/>
              </w:rPr>
              <w:fldChar w:fldCharType="begin"/>
            </w:r>
            <w:r w:rsidR="003174B0">
              <w:rPr>
                <w:noProof/>
                <w:webHidden/>
              </w:rPr>
              <w:instrText xml:space="preserve"> PAGEREF _Toc385946043 \h </w:instrText>
            </w:r>
            <w:r w:rsidR="003174B0">
              <w:rPr>
                <w:noProof/>
                <w:webHidden/>
              </w:rPr>
            </w:r>
            <w:r w:rsidR="003174B0">
              <w:rPr>
                <w:noProof/>
                <w:webHidden/>
              </w:rPr>
              <w:fldChar w:fldCharType="separate"/>
            </w:r>
            <w:r w:rsidR="003174B0">
              <w:rPr>
                <w:noProof/>
                <w:webHidden/>
              </w:rPr>
              <w:t>54</w:t>
            </w:r>
            <w:r w:rsidR="003174B0">
              <w:rPr>
                <w:noProof/>
                <w:webHidden/>
              </w:rPr>
              <w:fldChar w:fldCharType="end"/>
            </w:r>
          </w:hyperlink>
        </w:p>
        <w:p w:rsidR="003174B0" w:rsidRDefault="00323F83">
          <w:pPr>
            <w:pStyle w:val="Obsah3"/>
            <w:tabs>
              <w:tab w:val="left" w:pos="1320"/>
              <w:tab w:val="right" w:leader="dot" w:pos="9062"/>
            </w:tabs>
            <w:rPr>
              <w:noProof/>
              <w:sz w:val="22"/>
              <w:lang w:eastAsia="cs-CZ"/>
            </w:rPr>
          </w:pPr>
          <w:hyperlink w:anchor="_Toc385946044" w:history="1">
            <w:r w:rsidR="003174B0" w:rsidRPr="000060D7">
              <w:rPr>
                <w:rStyle w:val="Hypertextovodkaz"/>
                <w:noProof/>
                <w:lang w:val="en-GB"/>
              </w:rPr>
              <w:t>5.1.2.</w:t>
            </w:r>
            <w:r w:rsidR="003174B0">
              <w:rPr>
                <w:noProof/>
                <w:sz w:val="22"/>
                <w:lang w:eastAsia="cs-CZ"/>
              </w:rPr>
              <w:tab/>
            </w:r>
            <w:r w:rsidR="003174B0" w:rsidRPr="000060D7">
              <w:rPr>
                <w:rStyle w:val="Hypertextovodkaz"/>
                <w:bCs/>
                <w:noProof/>
                <w:lang w:val="en-GB"/>
              </w:rPr>
              <w:t>Programming period 2014-2020 and the status of its preparation</w:t>
            </w:r>
            <w:r w:rsidR="003174B0">
              <w:rPr>
                <w:noProof/>
                <w:webHidden/>
              </w:rPr>
              <w:tab/>
            </w:r>
            <w:r w:rsidR="003174B0">
              <w:rPr>
                <w:noProof/>
                <w:webHidden/>
              </w:rPr>
              <w:fldChar w:fldCharType="begin"/>
            </w:r>
            <w:r w:rsidR="003174B0">
              <w:rPr>
                <w:noProof/>
                <w:webHidden/>
              </w:rPr>
              <w:instrText xml:space="preserve"> PAGEREF _Toc385946044 \h </w:instrText>
            </w:r>
            <w:r w:rsidR="003174B0">
              <w:rPr>
                <w:noProof/>
                <w:webHidden/>
              </w:rPr>
            </w:r>
            <w:r w:rsidR="003174B0">
              <w:rPr>
                <w:noProof/>
                <w:webHidden/>
              </w:rPr>
              <w:fldChar w:fldCharType="separate"/>
            </w:r>
            <w:r w:rsidR="003174B0">
              <w:rPr>
                <w:noProof/>
                <w:webHidden/>
              </w:rPr>
              <w:t>54</w:t>
            </w:r>
            <w:r w:rsidR="003174B0">
              <w:rPr>
                <w:noProof/>
                <w:webHidden/>
              </w:rPr>
              <w:fldChar w:fldCharType="end"/>
            </w:r>
          </w:hyperlink>
        </w:p>
        <w:p w:rsidR="003174B0" w:rsidRDefault="00323F83">
          <w:pPr>
            <w:pStyle w:val="Obsah1"/>
            <w:tabs>
              <w:tab w:val="right" w:leader="dot" w:pos="9062"/>
            </w:tabs>
            <w:rPr>
              <w:noProof/>
              <w:sz w:val="22"/>
              <w:lang w:eastAsia="cs-CZ"/>
            </w:rPr>
          </w:pPr>
          <w:hyperlink w:anchor="_Toc385946045" w:history="1">
            <w:r w:rsidR="003174B0" w:rsidRPr="000060D7">
              <w:rPr>
                <w:rStyle w:val="Hypertextovodkaz"/>
                <w:noProof/>
                <w:lang w:val="en-GB"/>
              </w:rPr>
              <w:t>List of Annexes</w:t>
            </w:r>
            <w:r w:rsidR="003174B0">
              <w:rPr>
                <w:noProof/>
                <w:webHidden/>
              </w:rPr>
              <w:tab/>
            </w:r>
            <w:r w:rsidR="003174B0">
              <w:rPr>
                <w:noProof/>
                <w:webHidden/>
              </w:rPr>
              <w:fldChar w:fldCharType="begin"/>
            </w:r>
            <w:r w:rsidR="003174B0">
              <w:rPr>
                <w:noProof/>
                <w:webHidden/>
              </w:rPr>
              <w:instrText xml:space="preserve"> PAGEREF _Toc385946045 \h </w:instrText>
            </w:r>
            <w:r w:rsidR="003174B0">
              <w:rPr>
                <w:noProof/>
                <w:webHidden/>
              </w:rPr>
            </w:r>
            <w:r w:rsidR="003174B0">
              <w:rPr>
                <w:noProof/>
                <w:webHidden/>
              </w:rPr>
              <w:fldChar w:fldCharType="separate"/>
            </w:r>
            <w:r w:rsidR="003174B0">
              <w:rPr>
                <w:noProof/>
                <w:webHidden/>
              </w:rPr>
              <w:t>58</w:t>
            </w:r>
            <w:r w:rsidR="003174B0">
              <w:rPr>
                <w:noProof/>
                <w:webHidden/>
              </w:rPr>
              <w:fldChar w:fldCharType="end"/>
            </w:r>
          </w:hyperlink>
        </w:p>
        <w:p w:rsidR="003174B0" w:rsidRDefault="00323F83">
          <w:pPr>
            <w:pStyle w:val="Obsah2"/>
            <w:tabs>
              <w:tab w:val="right" w:leader="dot" w:pos="9062"/>
            </w:tabs>
            <w:rPr>
              <w:noProof/>
              <w:sz w:val="22"/>
              <w:lang w:eastAsia="cs-CZ"/>
            </w:rPr>
          </w:pPr>
          <w:hyperlink w:anchor="_Toc385946046" w:history="1">
            <w:r w:rsidR="003174B0" w:rsidRPr="000060D7">
              <w:rPr>
                <w:rStyle w:val="Hypertextovodkaz"/>
                <w:noProof/>
                <w:lang w:val="en-GB"/>
              </w:rPr>
              <w:t>Annex No.1: Overview of the government strategic and conceptual documents</w:t>
            </w:r>
            <w:r w:rsidR="003174B0">
              <w:rPr>
                <w:noProof/>
                <w:webHidden/>
              </w:rPr>
              <w:tab/>
            </w:r>
            <w:r w:rsidR="003174B0">
              <w:rPr>
                <w:noProof/>
                <w:webHidden/>
              </w:rPr>
              <w:fldChar w:fldCharType="begin"/>
            </w:r>
            <w:r w:rsidR="003174B0">
              <w:rPr>
                <w:noProof/>
                <w:webHidden/>
              </w:rPr>
              <w:instrText xml:space="preserve"> PAGEREF _Toc385946046 \h </w:instrText>
            </w:r>
            <w:r w:rsidR="003174B0">
              <w:rPr>
                <w:noProof/>
                <w:webHidden/>
              </w:rPr>
            </w:r>
            <w:r w:rsidR="003174B0">
              <w:rPr>
                <w:noProof/>
                <w:webHidden/>
              </w:rPr>
              <w:fldChar w:fldCharType="separate"/>
            </w:r>
            <w:r w:rsidR="003174B0">
              <w:rPr>
                <w:noProof/>
                <w:webHidden/>
              </w:rPr>
              <w:t>59</w:t>
            </w:r>
            <w:r w:rsidR="003174B0">
              <w:rPr>
                <w:noProof/>
                <w:webHidden/>
              </w:rPr>
              <w:fldChar w:fldCharType="end"/>
            </w:r>
          </w:hyperlink>
        </w:p>
        <w:p w:rsidR="00E54029" w:rsidRPr="007A1B09" w:rsidRDefault="00E54029">
          <w:pPr>
            <w:rPr>
              <w:lang w:val="en-GB"/>
            </w:rPr>
          </w:pPr>
          <w:r w:rsidRPr="007A1B09">
            <w:rPr>
              <w:b/>
              <w:bCs/>
              <w:lang w:val="en-GB"/>
            </w:rPr>
            <w:fldChar w:fldCharType="end"/>
          </w:r>
        </w:p>
      </w:sdtContent>
    </w:sdt>
    <w:p w:rsidR="009C3A9D" w:rsidRPr="007A1B09" w:rsidRDefault="00946869" w:rsidP="00E54029">
      <w:pPr>
        <w:rPr>
          <w:lang w:val="en-GB"/>
        </w:rPr>
      </w:pPr>
      <w:r w:rsidRPr="007A1B09">
        <w:rPr>
          <w:lang w:val="en-GB"/>
        </w:rPr>
        <w:lastRenderedPageBreak/>
        <w:br w:type="page"/>
      </w:r>
    </w:p>
    <w:p w:rsidR="00946869" w:rsidRPr="007A1B09" w:rsidRDefault="0033706F" w:rsidP="001202C4">
      <w:pPr>
        <w:pStyle w:val="Nadpis1"/>
        <w:numPr>
          <w:ilvl w:val="0"/>
          <w:numId w:val="4"/>
        </w:numPr>
        <w:rPr>
          <w:lang w:val="en-GB"/>
        </w:rPr>
      </w:pPr>
      <w:bookmarkStart w:id="1" w:name="_Toc385945976"/>
      <w:r w:rsidRPr="007A1B09">
        <w:rPr>
          <w:lang w:val="en-GB"/>
        </w:rPr>
        <w:lastRenderedPageBreak/>
        <w:t>Introduction</w:t>
      </w:r>
      <w:bookmarkEnd w:id="1"/>
    </w:p>
    <w:p w:rsidR="00E54029" w:rsidRPr="007A1B09" w:rsidRDefault="0033706F" w:rsidP="00E54029">
      <w:pPr>
        <w:pStyle w:val="Nadpis2"/>
        <w:numPr>
          <w:ilvl w:val="1"/>
          <w:numId w:val="4"/>
        </w:numPr>
        <w:ind w:left="851" w:hanging="851"/>
        <w:rPr>
          <w:lang w:val="en-GB"/>
        </w:rPr>
      </w:pPr>
      <w:bookmarkStart w:id="2" w:name="_Toc385945977"/>
      <w:r w:rsidRPr="007A1B09">
        <w:rPr>
          <w:lang w:val="en-GB"/>
        </w:rPr>
        <w:t>Introduction</w:t>
      </w:r>
      <w:bookmarkEnd w:id="2"/>
    </w:p>
    <w:p w:rsidR="0033706F" w:rsidRPr="007A1B09" w:rsidRDefault="0033706F" w:rsidP="0033706F">
      <w:pPr>
        <w:rPr>
          <w:lang w:val="en-GB"/>
        </w:rPr>
      </w:pPr>
      <w:r w:rsidRPr="007A1B09">
        <w:rPr>
          <w:lang w:val="en-GB"/>
        </w:rPr>
        <w:t xml:space="preserve">The Czech Republic’s 2014 National Reform Programme (NRP) is a conceptual national policy document, which in accordance with the economic priorities of the European Union (EU) sets a plan of key measures to support the economic growth in the Czech Republic while upholding the responsible fiscal policy. The measures included in this document react to the current economic situation and are based on the priorities defined by the government of the Czech Republic (government). </w:t>
      </w:r>
    </w:p>
    <w:p w:rsidR="0033706F" w:rsidRPr="007A1B09" w:rsidRDefault="0033706F" w:rsidP="0033706F">
      <w:pPr>
        <w:rPr>
          <w:lang w:val="en-GB"/>
        </w:rPr>
      </w:pPr>
      <w:r w:rsidRPr="007A1B09">
        <w:rPr>
          <w:lang w:val="en-GB"/>
        </w:rPr>
        <w:t xml:space="preserve">After the slowing down of the economic development in recent years the Czech Republic is gradually returning to economic growth. The revival of the economy is still fragile and gradual however. The growth rate as well as its sustainability remains uncertain. In this context the government’s main goal is to support the economy’s revival as well as increase the potential for further growth. The government also strives to achieve sustainable growth and to create ties between the economic, social and environmental policies. </w:t>
      </w:r>
    </w:p>
    <w:p w:rsidR="0033706F" w:rsidRPr="007A1B09" w:rsidRDefault="0033706F" w:rsidP="0033706F">
      <w:pPr>
        <w:rPr>
          <w:lang w:val="en-GB"/>
        </w:rPr>
      </w:pPr>
      <w:r w:rsidRPr="007A1B09">
        <w:rPr>
          <w:lang w:val="en-GB"/>
        </w:rPr>
        <w:t>The reform measures included in the NRP aim to fulfil the national goals set within the Europe 2020 Strategy and also reflect the recommendations within the Integrated Guidelines and in individual EU flagship initiatives. The also react to the current economic and social situation in the Czech Republic. The government focuses mainly on the implementation of the Commission’s recommendations, which the Czech Republic received in 2013.</w:t>
      </w:r>
    </w:p>
    <w:p w:rsidR="0033706F" w:rsidRPr="007A1B09" w:rsidRDefault="0033706F" w:rsidP="0033706F">
      <w:pPr>
        <w:rPr>
          <w:lang w:val="en-GB"/>
        </w:rPr>
      </w:pPr>
      <w:r w:rsidRPr="007A1B09">
        <w:rPr>
          <w:lang w:val="en-GB"/>
        </w:rPr>
        <w:t xml:space="preserve">As the </w:t>
      </w:r>
      <w:smartTag w:uri="urn:schemas-microsoft-com:office:smarttags" w:element="stockticker">
        <w:r w:rsidRPr="007A1B09">
          <w:rPr>
            <w:lang w:val="en-GB"/>
          </w:rPr>
          <w:t>NRP</w:t>
        </w:r>
      </w:smartTag>
      <w:r w:rsidRPr="007A1B09">
        <w:rPr>
          <w:lang w:val="en-GB"/>
        </w:rPr>
        <w:t xml:space="preserve"> is a conceptual and not a legislative document, it is necessary to view the measures included within as the government’s political goals. Interwoven within the document are the reform efforts of individual state policy sectors supporting the increase in competitiveness and prosperity of the Czech </w:t>
      </w:r>
      <w:proofErr w:type="gramStart"/>
      <w:r w:rsidRPr="007A1B09">
        <w:rPr>
          <w:lang w:val="en-GB"/>
        </w:rPr>
        <w:t>Republic.</w:t>
      </w:r>
      <w:proofErr w:type="gramEnd"/>
      <w:r w:rsidRPr="007A1B09">
        <w:rPr>
          <w:lang w:val="en-GB"/>
        </w:rPr>
        <w:t xml:space="preserve"> The Programme’s framework is set to match the implementation period of the Europe 2020 Strategy, emphasizing that significant changes should take place as soon as possible.  With regard to the fact that the NRP is being updated on a yearly basis, the main focus is on measures, which may be implemented or at least started in 2014.</w:t>
      </w:r>
    </w:p>
    <w:p w:rsidR="0033706F" w:rsidRPr="007A1B09" w:rsidRDefault="0033706F" w:rsidP="0033706F">
      <w:pPr>
        <w:rPr>
          <w:lang w:val="en-GB"/>
        </w:rPr>
      </w:pPr>
      <w:r w:rsidRPr="007A1B09">
        <w:rPr>
          <w:lang w:val="en-GB"/>
        </w:rPr>
        <w:t>The NRP is also interconnected with other strategic documents in the field of economy and sustainable growth. The aim of this Programme is not to supplant these documents, but to be a complementary document that summarizes priorities across the Czech Republic’s economic policy.</w:t>
      </w:r>
    </w:p>
    <w:p w:rsidR="0033706F" w:rsidRPr="007A1B09" w:rsidRDefault="0033706F" w:rsidP="0033706F">
      <w:pPr>
        <w:rPr>
          <w:lang w:val="en-GB"/>
        </w:rPr>
      </w:pPr>
      <w:r w:rsidRPr="007A1B09">
        <w:rPr>
          <w:lang w:val="en-GB"/>
        </w:rPr>
        <w:t xml:space="preserve">The government‘s aim is also the efficient use of European funds, whereas emphasis is on the cohesion policy‘s benefits to the competitiveness and sustainable growth. In this regard there is a synergy between the NRP and the Partnership Agreement for the 2014 – 2020 programme period, which sets the goals and priorities for efficient use of European Structural and Investment Funds. The Agreement is a strategic document, based on thorough analysis of the Czech Republic’s current social and economic situation, economic trends and needs, based on which the priorities are set for funding in the years 2014 – 2020 while the fulfilment of the common goals of the EU is being monitored as well. </w:t>
      </w:r>
    </w:p>
    <w:p w:rsidR="0033706F" w:rsidRPr="007A1B09" w:rsidRDefault="0033706F" w:rsidP="0033706F">
      <w:pPr>
        <w:rPr>
          <w:lang w:val="en-GB"/>
        </w:rPr>
      </w:pPr>
      <w:r w:rsidRPr="007A1B09">
        <w:rPr>
          <w:lang w:val="en-GB"/>
        </w:rPr>
        <w:t>In the field of macroeconomic and fiscal policy the NRP is supplemented by the Convergence Programme 2014, which specifies in more detail the basic summary fiscal data and provides a more detailed list of the most important planned measures that have an impact on the budget in the form of the government’s medium-term fiscal strategy.</w:t>
      </w:r>
    </w:p>
    <w:p w:rsidR="0033706F" w:rsidRPr="007A1B09" w:rsidRDefault="0033706F" w:rsidP="00E54029">
      <w:pPr>
        <w:rPr>
          <w:lang w:val="en-GB"/>
        </w:rPr>
      </w:pPr>
    </w:p>
    <w:p w:rsidR="00E54029" w:rsidRPr="007A1B09" w:rsidRDefault="007A1B09" w:rsidP="007A1B09">
      <w:pPr>
        <w:pStyle w:val="Nadpis2"/>
        <w:numPr>
          <w:ilvl w:val="1"/>
          <w:numId w:val="4"/>
        </w:numPr>
        <w:rPr>
          <w:lang w:val="en-GB"/>
        </w:rPr>
      </w:pPr>
      <w:bookmarkStart w:id="3" w:name="_Toc385945978"/>
      <w:r w:rsidRPr="007A1B09">
        <w:rPr>
          <w:lang w:val="en-GB"/>
        </w:rPr>
        <w:t>The preparation process</w:t>
      </w:r>
      <w:bookmarkEnd w:id="3"/>
    </w:p>
    <w:p w:rsidR="007A1B09" w:rsidRPr="007A1B09" w:rsidRDefault="007A1B09" w:rsidP="007A1B09">
      <w:pPr>
        <w:rPr>
          <w:lang w:val="en-GB"/>
        </w:rPr>
      </w:pPr>
      <w:r w:rsidRPr="007A1B09">
        <w:rPr>
          <w:lang w:val="en-GB"/>
        </w:rPr>
        <w:t xml:space="preserve">The government considers the active dialogue with parliamentary representatives and social and economic partners as one of the key elements of an efficient cooperation and social consensus on the </w:t>
      </w:r>
      <w:r w:rsidRPr="007A1B09">
        <w:rPr>
          <w:lang w:val="en-GB"/>
        </w:rPr>
        <w:lastRenderedPageBreak/>
        <w:t xml:space="preserve">economic direction of the country. In this regard the government strives for the maximum possible involvement of a wide spectrum of interested parties in the preparation of all important strategic documents. Since the very early phases the NRP has been prepared in close cooperation of all interested parties in order to create sufficient space for the interested public to influence its contents. </w:t>
      </w:r>
    </w:p>
    <w:p w:rsidR="007A1B09" w:rsidRPr="007A1B09" w:rsidRDefault="007A1B09" w:rsidP="007A1B09">
      <w:pPr>
        <w:rPr>
          <w:lang w:val="en-GB"/>
        </w:rPr>
      </w:pPr>
      <w:r w:rsidRPr="007A1B09">
        <w:rPr>
          <w:lang w:val="en-GB"/>
        </w:rPr>
        <w:t>A number of intensive formal and informal discussions took place from February until April 2014 with the participation of affected departments, representatives of the Czech Parliament, economic and social partners (particularly the with Czech-Moravian Confederation of Trade Unions, Association of Independent Unions, Confederation of Industry of the Czech Republic, Czech Chamber of Commerce, Confederation of Employers and Entrepreneurs‘ Associations of the CZECH REPUBLIC), Association of Regions of the Czech Republic, Union of Towns and Municipalities of the Czech Republic universities, academic sphere, members of the National Economic Council, NGOs, European Commission Prague representation, experts and professional public.</w:t>
      </w:r>
    </w:p>
    <w:p w:rsidR="007A1B09" w:rsidRPr="007A1B09" w:rsidRDefault="007A1B09" w:rsidP="007A1B09">
      <w:pPr>
        <w:rPr>
          <w:lang w:val="en-GB"/>
        </w:rPr>
      </w:pPr>
      <w:r w:rsidRPr="007A1B09">
        <w:rPr>
          <w:lang w:val="en-GB"/>
        </w:rPr>
        <w:t>At the start of the preparation process the individual ministries prepared topical drafts, which where the basis for the following expert discussions. Based on the results of this dialogue the government, in accordance with its Programme Declaration, prepared a draft document, which was again discussed with all interested parties. Prior to its approval by the government the NRP was discussed by relevant committees of the Chamber of Deputies and the Senate of the Czech Parliament, as well as the Working Team of the Council of Economic and Social Agreement. The representatives of social and economic partners expressed its appraisal for the inclusive process of its preparation and pointed out the need for strict supervision of its implementation.</w:t>
      </w:r>
    </w:p>
    <w:p w:rsidR="007A1B09" w:rsidRPr="007A1B09" w:rsidRDefault="007A1B09" w:rsidP="007A1B09">
      <w:pPr>
        <w:rPr>
          <w:lang w:val="en-GB"/>
        </w:rPr>
      </w:pPr>
      <w:r w:rsidRPr="007A1B09">
        <w:rPr>
          <w:lang w:val="en-GB"/>
        </w:rPr>
        <w:t>The Government’s main effort was to ensure that the whole preparation process is as transparent, open and inclusive as possible and that the resulting document would be as consensual as possible. The government used a number of suggestions for partial adjustments and additions to the document. Some of the substantial suggestions, which could not be reflected in the document, were used as stimuli to elaborate on other more detailed measures within the government’s economic programme. As a result, the National Reform Programme reflects a number of comments and suggestion put forward by the public and contains a consensual set of priorities corresponding with the government competencies, as they arise from the constitutional order of the Czech Republic. The NRP is a document that is approved at government level, and therefore it cannot contain priorities and measures, whose implementation falls within the competences of other bodies.</w:t>
      </w:r>
    </w:p>
    <w:p w:rsidR="00FA7E91" w:rsidRPr="007A1B09" w:rsidRDefault="00067D26" w:rsidP="00FA7E91">
      <w:pPr>
        <w:rPr>
          <w:lang w:val="en-GB"/>
        </w:rPr>
      </w:pPr>
      <w:r w:rsidRPr="007A1B09">
        <w:rPr>
          <w:lang w:val="en-GB"/>
        </w:rPr>
        <w:t xml:space="preserve"> </w:t>
      </w:r>
    </w:p>
    <w:p w:rsidR="00E54029" w:rsidRPr="007A1B09" w:rsidRDefault="007A1B09" w:rsidP="007A1B09">
      <w:pPr>
        <w:pStyle w:val="Nadpis2"/>
        <w:numPr>
          <w:ilvl w:val="1"/>
          <w:numId w:val="4"/>
        </w:numPr>
        <w:rPr>
          <w:lang w:val="en-GB"/>
        </w:rPr>
      </w:pPr>
      <w:bookmarkStart w:id="4" w:name="_Toc385945979"/>
      <w:r w:rsidRPr="007A1B09">
        <w:rPr>
          <w:lang w:val="en-GB"/>
        </w:rPr>
        <w:t>Document structure</w:t>
      </w:r>
      <w:bookmarkEnd w:id="4"/>
    </w:p>
    <w:p w:rsidR="007A1B09" w:rsidRDefault="007A1B09" w:rsidP="007A1B09">
      <w:pPr>
        <w:rPr>
          <w:lang w:val="en-GB"/>
        </w:rPr>
      </w:pPr>
      <w:r w:rsidRPr="007A1B09">
        <w:rPr>
          <w:lang w:val="en-GB"/>
        </w:rPr>
        <w:t>The NRP structure and content correspond with the European Council’s guidelines, which the Czech Republic received in October 2013. The main focus is on the implementation of the Council’s recommendations, which the government considers important for the fulfilment of the Europe 2020 Strategy goals at the national level. The key lines of the government’s reform efforts are further outlined in four chapters:</w:t>
      </w:r>
    </w:p>
    <w:p w:rsidR="007A1B09" w:rsidRPr="007A1B09" w:rsidRDefault="007A1B09" w:rsidP="007A1B09">
      <w:pPr>
        <w:pStyle w:val="Odstavecseseznamem"/>
        <w:numPr>
          <w:ilvl w:val="0"/>
          <w:numId w:val="16"/>
        </w:numPr>
        <w:rPr>
          <w:lang w:val="en-GB"/>
        </w:rPr>
      </w:pPr>
      <w:r w:rsidRPr="007A1B09">
        <w:rPr>
          <w:lang w:val="en-GB"/>
        </w:rPr>
        <w:t>Transparent public finances and efficient investments</w:t>
      </w:r>
    </w:p>
    <w:p w:rsidR="007A1B09" w:rsidRPr="007A1B09" w:rsidRDefault="007A1B09" w:rsidP="007A1B09">
      <w:pPr>
        <w:pStyle w:val="Odstavecseseznamem"/>
        <w:numPr>
          <w:ilvl w:val="0"/>
          <w:numId w:val="16"/>
        </w:numPr>
        <w:rPr>
          <w:lang w:val="en-GB"/>
        </w:rPr>
      </w:pPr>
      <w:r w:rsidRPr="007A1B09">
        <w:rPr>
          <w:lang w:val="en-GB"/>
        </w:rPr>
        <w:t>Attractive business environment and development of infrastructure for Czech industry</w:t>
      </w:r>
    </w:p>
    <w:p w:rsidR="007A1B09" w:rsidRPr="007A1B09" w:rsidRDefault="007A1B09" w:rsidP="007A1B09">
      <w:pPr>
        <w:pStyle w:val="Odstavecseseznamem"/>
        <w:numPr>
          <w:ilvl w:val="0"/>
          <w:numId w:val="16"/>
        </w:numPr>
        <w:rPr>
          <w:lang w:val="en-GB"/>
        </w:rPr>
      </w:pPr>
      <w:r w:rsidRPr="007A1B09">
        <w:rPr>
          <w:lang w:val="en-GB"/>
        </w:rPr>
        <w:t>Functional labour market, system of education and social inclusion</w:t>
      </w:r>
    </w:p>
    <w:p w:rsidR="007A1B09" w:rsidRPr="007A1B09" w:rsidRDefault="007A1B09" w:rsidP="007A1B09">
      <w:pPr>
        <w:pStyle w:val="Odstavecseseznamem"/>
        <w:numPr>
          <w:ilvl w:val="0"/>
          <w:numId w:val="16"/>
        </w:numPr>
        <w:rPr>
          <w:lang w:val="en-GB"/>
        </w:rPr>
      </w:pPr>
      <w:r w:rsidRPr="007A1B09">
        <w:rPr>
          <w:lang w:val="en-GB"/>
        </w:rPr>
        <w:t>Growth base on research and innovation</w:t>
      </w:r>
    </w:p>
    <w:p w:rsidR="007A1B09" w:rsidRPr="007A1B09" w:rsidRDefault="007A1B09" w:rsidP="007A1B09">
      <w:pPr>
        <w:rPr>
          <w:lang w:val="en-GB"/>
        </w:rPr>
      </w:pPr>
      <w:r w:rsidRPr="007A1B09">
        <w:rPr>
          <w:lang w:val="en-GB"/>
        </w:rPr>
        <w:t>The overarching axis of the reform effort is the consolidation of the state’s functioning as the fundamental condition for further economic, social and environmental development of the Czech Republic. As the NRP is one of the bases for defining the national priorities of the EU Cohesion Policy, it contains a separate chapter, which deals with the implementation of the Cohesion Policy and the use of EU Structural and Investment Funds Programmes as tools for implementing the Europe 2020 Strategy priorities.</w:t>
      </w:r>
    </w:p>
    <w:p w:rsidR="00E54029" w:rsidRPr="007A1B09" w:rsidRDefault="007A1B09" w:rsidP="007A1B09">
      <w:pPr>
        <w:rPr>
          <w:lang w:val="en-GB"/>
        </w:rPr>
      </w:pPr>
      <w:r w:rsidRPr="007A1B09">
        <w:rPr>
          <w:lang w:val="en-GB"/>
        </w:rPr>
        <w:lastRenderedPageBreak/>
        <w:t>The implementation of the NRP and the fulfilment of the Europe 2020 Strategy priorities is regularly monitored in cooperation with the European Commission according to the mutually agreed methodology. NRP will continue to be updated annually and submitted to the European Commission each year by the end of April in order to evaluate the macroeconomic and structural measures and further specify the process of fulfilment of long-term goals.</w:t>
      </w:r>
    </w:p>
    <w:p w:rsidR="0001303C" w:rsidRPr="007A1B09" w:rsidRDefault="007A1B09" w:rsidP="007A1B09">
      <w:pPr>
        <w:pStyle w:val="Nadpis2"/>
        <w:numPr>
          <w:ilvl w:val="1"/>
          <w:numId w:val="4"/>
        </w:numPr>
        <w:rPr>
          <w:lang w:val="en-GB"/>
        </w:rPr>
      </w:pPr>
      <w:bookmarkStart w:id="5" w:name="_Toc385945980"/>
      <w:r w:rsidRPr="007A1B09">
        <w:rPr>
          <w:lang w:val="en-GB"/>
        </w:rPr>
        <w:t>Impact and implementation of the reform measures</w:t>
      </w:r>
      <w:bookmarkEnd w:id="5"/>
    </w:p>
    <w:p w:rsidR="007A1B09" w:rsidRPr="007A1B09" w:rsidRDefault="007A1B09" w:rsidP="007A1B09">
      <w:pPr>
        <w:rPr>
          <w:lang w:val="en-GB"/>
        </w:rPr>
      </w:pPr>
      <w:r w:rsidRPr="007A1B09">
        <w:rPr>
          <w:lang w:val="en-GB"/>
        </w:rPr>
        <w:t xml:space="preserve">The final document also contains the Appendices focusing on the impacts of individual reforms and the time schedule of their fulfilment. The list of qualitative and quantitative impacts, including the impacts on public budgets, represents the indicative political goals of the government. The precise impacts and expected costs of the planned structural measures often cannot be determined or quantified in advance due to the given preparation phase. The accurate public budget costs for the coming years may be subject to change depending on the preparation of the state budget for the year 2015 and the outlook for 2013 and 2017.   </w:t>
      </w:r>
    </w:p>
    <w:p w:rsidR="007A1B09" w:rsidRPr="007A1B09" w:rsidRDefault="007A1B09" w:rsidP="007A1B09">
      <w:pPr>
        <w:rPr>
          <w:lang w:val="en-GB"/>
        </w:rPr>
      </w:pPr>
      <w:r w:rsidRPr="007A1B09">
        <w:rPr>
          <w:lang w:val="en-GB"/>
        </w:rPr>
        <w:t>However, the government views the list of qualitative and quantitative impacts as a possibility to determine the benefits of individual reform measures for the national economy. Based on these data and in reaction to the current economic outlook such pro-growth measures were selected for the NRP, in which the government identified the potential of positive effects on employment, labour market efficiency, standard of living, efficiency of the use of public funds, environment, competitiveness of businesses and the development of the Czech citizens’ education.  The impacts on vulnerable groups of citizens and the equal development of regions and municipalities were also thoroughly considered. The aim of the document in this regard is to reflect as much as possible the current challenges of the national economy as well as take into account the needs of employers, employees as well as socially endangered persons.</w:t>
      </w:r>
    </w:p>
    <w:p w:rsidR="007A1B09" w:rsidRPr="007A1B09" w:rsidRDefault="007A1B09" w:rsidP="007A1B09">
      <w:pPr>
        <w:rPr>
          <w:lang w:val="en-GB"/>
        </w:rPr>
      </w:pPr>
      <w:r w:rsidRPr="007A1B09">
        <w:rPr>
          <w:lang w:val="en-GB"/>
        </w:rPr>
        <w:t xml:space="preserve">The document also includes an indicative time schedule of implementation of individual measures, the fulfilment of which will be regularly monitored and evaluated by the Office of the Government with full cooperation of all responsible departments. The fulfilment of the time schedule will also be regularly evaluated by the government in the form of evaluation reports on the status of implementation of reform measures on regular dates that will be specified in advance. </w:t>
      </w:r>
    </w:p>
    <w:p w:rsidR="009A364D" w:rsidRPr="007A1B09" w:rsidRDefault="009A364D" w:rsidP="00995253">
      <w:pPr>
        <w:rPr>
          <w:lang w:val="en-GB"/>
        </w:rPr>
      </w:pPr>
    </w:p>
    <w:p w:rsidR="009A364D" w:rsidRPr="007A1B09" w:rsidRDefault="009A364D" w:rsidP="00995253">
      <w:pPr>
        <w:rPr>
          <w:lang w:val="en-GB"/>
        </w:rPr>
      </w:pPr>
    </w:p>
    <w:p w:rsidR="009A364D" w:rsidRPr="007A1B09" w:rsidRDefault="009A364D" w:rsidP="00995253">
      <w:pPr>
        <w:rPr>
          <w:lang w:val="en-GB"/>
        </w:rPr>
      </w:pPr>
      <w:r w:rsidRPr="007A1B09">
        <w:rPr>
          <w:lang w:val="en-GB"/>
        </w:rPr>
        <w:t xml:space="preserve"> </w:t>
      </w:r>
    </w:p>
    <w:p w:rsidR="009A364D" w:rsidRPr="007A1B09" w:rsidRDefault="009A364D">
      <w:pPr>
        <w:spacing w:after="0"/>
        <w:ind w:firstLine="360"/>
        <w:jc w:val="left"/>
        <w:rPr>
          <w:rFonts w:asciiTheme="majorHAnsi" w:eastAsiaTheme="majorEastAsia" w:hAnsiTheme="majorHAnsi" w:cstheme="majorBidi"/>
          <w:b/>
          <w:bCs/>
          <w:color w:val="9D3511" w:themeColor="accent1" w:themeShade="BF"/>
          <w:sz w:val="30"/>
          <w:szCs w:val="24"/>
          <w:lang w:val="en-GB"/>
        </w:rPr>
      </w:pPr>
      <w:r w:rsidRPr="007A1B09">
        <w:rPr>
          <w:lang w:val="en-GB"/>
        </w:rPr>
        <w:br w:type="page"/>
      </w:r>
    </w:p>
    <w:p w:rsidR="00946869" w:rsidRPr="007A1B09" w:rsidRDefault="007A1B09" w:rsidP="007A1B09">
      <w:pPr>
        <w:pStyle w:val="Nadpis1"/>
        <w:numPr>
          <w:ilvl w:val="0"/>
          <w:numId w:val="4"/>
        </w:numPr>
        <w:rPr>
          <w:lang w:val="en-GB"/>
        </w:rPr>
      </w:pPr>
      <w:bookmarkStart w:id="6" w:name="_Toc385945981"/>
      <w:r w:rsidRPr="007A1B09">
        <w:rPr>
          <w:lang w:val="en-GB"/>
        </w:rPr>
        <w:lastRenderedPageBreak/>
        <w:t>Current macroeconomic prediction of the Czech R</w:t>
      </w:r>
      <w:bookmarkStart w:id="7" w:name="_GoBack"/>
      <w:bookmarkEnd w:id="7"/>
      <w:r w:rsidRPr="007A1B09">
        <w:rPr>
          <w:lang w:val="en-GB"/>
        </w:rPr>
        <w:t>epublic</w:t>
      </w:r>
      <w:bookmarkEnd w:id="6"/>
    </w:p>
    <w:p w:rsidR="007A1B09" w:rsidRPr="007A1B09" w:rsidRDefault="007A1B09" w:rsidP="007A1B09">
      <w:pPr>
        <w:rPr>
          <w:lang w:val="en-US"/>
        </w:rPr>
      </w:pPr>
      <w:r w:rsidRPr="007A1B09">
        <w:rPr>
          <w:lang w:val="en-GB"/>
        </w:rPr>
        <w:t>According to the data provided by the Czech Statistical Office (CZSO) the real GDP decreased by 0.9% in 2013.The surprisingly strong quarterly growth by 1.8% in the 4</w:t>
      </w:r>
      <w:r w:rsidRPr="007A1B09">
        <w:rPr>
          <w:vertAlign w:val="superscript"/>
          <w:lang w:val="en-GB"/>
        </w:rPr>
        <w:t>th</w:t>
      </w:r>
      <w:r w:rsidRPr="007A1B09">
        <w:rPr>
          <w:lang w:val="en-GB"/>
        </w:rPr>
        <w:t xml:space="preserve"> quarter was caused largely by one-time factors (pre-stocking with cigarette stamps regarding the increased cigarette consumer tax effective from 1</w:t>
      </w:r>
      <w:r w:rsidRPr="007A1B09">
        <w:rPr>
          <w:vertAlign w:val="superscript"/>
          <w:lang w:val="en-GB"/>
        </w:rPr>
        <w:t>st</w:t>
      </w:r>
      <w:r w:rsidRPr="007A1B09">
        <w:rPr>
          <w:lang w:val="en-GB"/>
        </w:rPr>
        <w:t xml:space="preserve"> January 2014), which will have a negative effect on growth, particularly in the 1</w:t>
      </w:r>
      <w:r w:rsidRPr="007A1B09">
        <w:rPr>
          <w:vertAlign w:val="superscript"/>
          <w:lang w:val="en-GB"/>
        </w:rPr>
        <w:t>st</w:t>
      </w:r>
      <w:r w:rsidRPr="007A1B09">
        <w:rPr>
          <w:lang w:val="en-GB"/>
        </w:rPr>
        <w:t xml:space="preserve"> quarter of this year</w:t>
      </w:r>
      <w:r w:rsidRPr="007A1B09">
        <w:rPr>
          <w:lang w:val="en-US"/>
        </w:rPr>
        <w:t>; however the gradual rejuvenation of the economic activity should continue. This year’s GDP could grow by 1.7% and in the following year the growth could accelerate up to 2.5% in 2017. In the prediction and outlook horizon all expenditures should contribute positively to the GDP growth.</w:t>
      </w:r>
    </w:p>
    <w:p w:rsidR="007A1B09" w:rsidRPr="007A1B09" w:rsidRDefault="007A1B09" w:rsidP="007A1B09">
      <w:pPr>
        <w:rPr>
          <w:lang w:val="en-GB"/>
        </w:rPr>
      </w:pPr>
      <w:r w:rsidRPr="007A1B09">
        <w:rPr>
          <w:lang w:val="en-US"/>
        </w:rPr>
        <w:t xml:space="preserve">Despite the depreciation of the Czech Crown due to the interventions by the Czech National Bank (CNB) only very low inflation should occur in 2014. Unlike in the previous years </w:t>
      </w:r>
      <w:r w:rsidRPr="007A1B09">
        <w:rPr>
          <w:lang w:val="en-GB"/>
        </w:rPr>
        <w:t>in 2014 all administrative influences (particularly the decrease in electricity costs) should act to counter the inflation. The inflation rate could reach 1.0% this year. In 2015 the growth of consumer prices could accelerate up to 2.3% due to the rejuvenated economy and delayed effects of the depreciated Crown. The expected implementation of the third VAT rate of 10% for selected goods and services in 2015 together with the abolishment of the regulatory fees for medical treatment should also have a mild counter-inflationary effect. The changes in indirect taxes should also affect the development of consumer prices in 2016, when the current VAT rates should be lowered by 1 percentage point (i.e. to 14% and 20%). In 2017 the inflation rate should be very close to the CNB inflation target.</w:t>
      </w:r>
    </w:p>
    <w:p w:rsidR="007A1B09" w:rsidRPr="007A1B09" w:rsidRDefault="007A1B09" w:rsidP="007A1B09">
      <w:pPr>
        <w:rPr>
          <w:lang w:val="en-GB"/>
        </w:rPr>
      </w:pPr>
      <w:r w:rsidRPr="007A1B09">
        <w:rPr>
          <w:lang w:val="en-GB"/>
        </w:rPr>
        <w:t>The employer’s effort to increase the labour productivity should lead to only a minimal increase in employment in this or the following year. We also expect an impact on the unemployment rate (LFS), which should decrease only slightly in both years despite the gradual economic growth. The slight increase in employment and gradual decrease of the unemployment rate should characterize the development in the labour market in the outlook years as well.</w:t>
      </w:r>
    </w:p>
    <w:p w:rsidR="007A1B09" w:rsidRPr="007A1B09" w:rsidRDefault="007A1B09" w:rsidP="007A1B09">
      <w:pPr>
        <w:rPr>
          <w:lang w:val="en-GB"/>
        </w:rPr>
      </w:pPr>
      <w:r w:rsidRPr="007A1B09">
        <w:rPr>
          <w:lang w:val="en-GB"/>
        </w:rPr>
        <w:t>The volume of wages and salaries could increase by 1.8% this year, in 2015 we expect the growth to accelerate to 3.5%. Similar growth rates could be expected in 2016 and in 2017 the growth could accelerate up to 4.1%. The compensation of employees to nominal GDP ratio should significantly decrease this year, in the following years it should increase slightly.</w:t>
      </w:r>
    </w:p>
    <w:p w:rsidR="007A1B09" w:rsidRPr="007A1B09" w:rsidRDefault="007A1B09" w:rsidP="007A1B09">
      <w:pPr>
        <w:rPr>
          <w:lang w:val="en-GB"/>
        </w:rPr>
      </w:pPr>
      <w:r w:rsidRPr="007A1B09">
        <w:rPr>
          <w:lang w:val="en-GB"/>
        </w:rPr>
        <w:t xml:space="preserve">We expect that due to the positive development of the foreign trade balance the deficit of the current account of the balance of payments should be negligible. We perceive the prediction risks as balanced. </w:t>
      </w:r>
    </w:p>
    <w:p w:rsidR="00B26170" w:rsidRPr="007A1B09" w:rsidRDefault="00B26170" w:rsidP="00B26170">
      <w:pPr>
        <w:rPr>
          <w:lang w:val="en-GB"/>
        </w:rPr>
      </w:pPr>
    </w:p>
    <w:p w:rsidR="00B26170" w:rsidRPr="007A1B09" w:rsidRDefault="00B26170" w:rsidP="00B26170">
      <w:pPr>
        <w:pStyle w:val="Titulek"/>
        <w:keepNext/>
        <w:rPr>
          <w:lang w:val="en-GB"/>
        </w:rPr>
      </w:pPr>
      <w:r w:rsidRPr="007A1B09">
        <w:rPr>
          <w:lang w:val="en-GB"/>
        </w:rPr>
        <w:t>Tab</w:t>
      </w:r>
      <w:r w:rsidR="007A1B09">
        <w:rPr>
          <w:lang w:val="en-GB"/>
        </w:rPr>
        <w:t>le</w:t>
      </w:r>
      <w:r w:rsidRPr="007A1B09">
        <w:rPr>
          <w:lang w:val="en-GB"/>
        </w:rPr>
        <w:t xml:space="preserve"> </w:t>
      </w:r>
      <w:r w:rsidR="005B4FA9" w:rsidRPr="007A1B09">
        <w:rPr>
          <w:lang w:val="en-GB"/>
        </w:rPr>
        <w:fldChar w:fldCharType="begin"/>
      </w:r>
      <w:r w:rsidR="005B4FA9" w:rsidRPr="007A1B09">
        <w:rPr>
          <w:lang w:val="en-GB"/>
        </w:rPr>
        <w:instrText xml:space="preserve"> SEQ Tabulka \* ARABIC </w:instrText>
      </w:r>
      <w:r w:rsidR="005B4FA9" w:rsidRPr="007A1B09">
        <w:rPr>
          <w:lang w:val="en-GB"/>
        </w:rPr>
        <w:fldChar w:fldCharType="separate"/>
      </w:r>
      <w:r w:rsidRPr="007A1B09">
        <w:rPr>
          <w:noProof/>
          <w:lang w:val="en-GB"/>
        </w:rPr>
        <w:t>1</w:t>
      </w:r>
      <w:r w:rsidR="005B4FA9" w:rsidRPr="007A1B09">
        <w:rPr>
          <w:noProof/>
          <w:lang w:val="en-GB"/>
        </w:rPr>
        <w:fldChar w:fldCharType="end"/>
      </w:r>
      <w:r w:rsidRPr="007A1B09">
        <w:rPr>
          <w:lang w:val="en-GB"/>
        </w:rPr>
        <w:t xml:space="preserve">: </w:t>
      </w:r>
      <w:r w:rsidR="007A1B09">
        <w:rPr>
          <w:lang w:val="en-GB"/>
        </w:rPr>
        <w:t>Main macroeconomic indicators</w:t>
      </w:r>
    </w:p>
    <w:tbl>
      <w:tblPr>
        <w:tblStyle w:val="Svtlstnovnzvraznn2"/>
        <w:tblW w:w="5000" w:type="pct"/>
        <w:tblLook w:val="04A0" w:firstRow="1" w:lastRow="0" w:firstColumn="1" w:lastColumn="0" w:noHBand="0" w:noVBand="1"/>
      </w:tblPr>
      <w:tblGrid>
        <w:gridCol w:w="2507"/>
        <w:gridCol w:w="1402"/>
        <w:gridCol w:w="527"/>
        <w:gridCol w:w="527"/>
        <w:gridCol w:w="527"/>
        <w:gridCol w:w="527"/>
        <w:gridCol w:w="527"/>
        <w:gridCol w:w="699"/>
        <w:gridCol w:w="699"/>
        <w:gridCol w:w="673"/>
        <w:gridCol w:w="673"/>
      </w:tblGrid>
      <w:tr w:rsidR="00CD03EE" w:rsidRPr="007A1B09" w:rsidTr="00CD03EE">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B26170" w:rsidP="00B26170">
            <w:pPr>
              <w:spacing w:after="0"/>
              <w:jc w:val="center"/>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 </w:t>
            </w:r>
          </w:p>
        </w:tc>
        <w:tc>
          <w:tcPr>
            <w:tcW w:w="767" w:type="pct"/>
            <w:noWrap/>
            <w:hideMark/>
          </w:tcPr>
          <w:p w:rsidR="00B26170" w:rsidRPr="007A1B09" w:rsidRDefault="00B26170" w:rsidP="00B26170">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 </w:t>
            </w:r>
          </w:p>
        </w:tc>
        <w:tc>
          <w:tcPr>
            <w:tcW w:w="286"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2009</w:t>
            </w:r>
          </w:p>
        </w:tc>
        <w:tc>
          <w:tcPr>
            <w:tcW w:w="286"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2010</w:t>
            </w:r>
          </w:p>
        </w:tc>
        <w:tc>
          <w:tcPr>
            <w:tcW w:w="286"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2011</w:t>
            </w:r>
          </w:p>
        </w:tc>
        <w:tc>
          <w:tcPr>
            <w:tcW w:w="286"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2012</w:t>
            </w:r>
          </w:p>
        </w:tc>
        <w:tc>
          <w:tcPr>
            <w:tcW w:w="286"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2013</w:t>
            </w:r>
          </w:p>
        </w:tc>
        <w:tc>
          <w:tcPr>
            <w:tcW w:w="383"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2014</w:t>
            </w:r>
          </w:p>
          <w:p w:rsidR="00305FF5" w:rsidRPr="007A1B09" w:rsidRDefault="00CD03EE" w:rsidP="00CD03EE">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Pr>
                <w:rFonts w:ascii="Calibri" w:eastAsia="Times New Roman" w:hAnsi="Calibri" w:cs="Arial CE"/>
                <w:i/>
                <w:iCs/>
                <w:sz w:val="15"/>
                <w:szCs w:val="15"/>
                <w:lang w:val="en-GB" w:eastAsia="cs-CZ"/>
              </w:rPr>
              <w:t>For</w:t>
            </w:r>
            <w:r>
              <w:rPr>
                <w:rFonts w:ascii="Calibri" w:eastAsia="Times New Roman" w:hAnsi="Calibri" w:cs="Arial CE"/>
                <w:i/>
                <w:iCs/>
                <w:sz w:val="15"/>
                <w:szCs w:val="15"/>
                <w:lang w:val="en-GB" w:eastAsia="cs-CZ"/>
              </w:rPr>
              <w:t>e</w:t>
            </w:r>
            <w:r>
              <w:rPr>
                <w:rFonts w:ascii="Calibri" w:eastAsia="Times New Roman" w:hAnsi="Calibri" w:cs="Arial CE"/>
                <w:i/>
                <w:iCs/>
                <w:sz w:val="15"/>
                <w:szCs w:val="15"/>
                <w:lang w:val="en-GB" w:eastAsia="cs-CZ"/>
              </w:rPr>
              <w:t>cast</w:t>
            </w:r>
          </w:p>
        </w:tc>
        <w:tc>
          <w:tcPr>
            <w:tcW w:w="383"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2015</w:t>
            </w:r>
          </w:p>
          <w:p w:rsidR="00305FF5" w:rsidRPr="007A1B09" w:rsidRDefault="00CD03EE"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Pr>
                <w:rFonts w:ascii="Calibri" w:eastAsia="Times New Roman" w:hAnsi="Calibri" w:cs="Arial CE"/>
                <w:i/>
                <w:iCs/>
                <w:sz w:val="15"/>
                <w:szCs w:val="15"/>
                <w:lang w:val="en-GB" w:eastAsia="cs-CZ"/>
              </w:rPr>
              <w:t>For</w:t>
            </w:r>
            <w:r>
              <w:rPr>
                <w:rFonts w:ascii="Calibri" w:eastAsia="Times New Roman" w:hAnsi="Calibri" w:cs="Arial CE"/>
                <w:i/>
                <w:iCs/>
                <w:sz w:val="15"/>
                <w:szCs w:val="15"/>
                <w:lang w:val="en-GB" w:eastAsia="cs-CZ"/>
              </w:rPr>
              <w:t>e</w:t>
            </w:r>
            <w:r>
              <w:rPr>
                <w:rFonts w:ascii="Calibri" w:eastAsia="Times New Roman" w:hAnsi="Calibri" w:cs="Arial CE"/>
                <w:i/>
                <w:iCs/>
                <w:sz w:val="15"/>
                <w:szCs w:val="15"/>
                <w:lang w:val="en-GB" w:eastAsia="cs-CZ"/>
              </w:rPr>
              <w:t>cast</w:t>
            </w:r>
          </w:p>
        </w:tc>
        <w:tc>
          <w:tcPr>
            <w:tcW w:w="332"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2016</w:t>
            </w:r>
          </w:p>
          <w:p w:rsidR="00305FF5" w:rsidRPr="007A1B09" w:rsidRDefault="00CD03EE"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Pr>
                <w:rFonts w:ascii="Calibri" w:eastAsia="Times New Roman" w:hAnsi="Calibri" w:cs="Arial CE"/>
                <w:i/>
                <w:iCs/>
                <w:sz w:val="15"/>
                <w:szCs w:val="15"/>
                <w:lang w:val="en-GB" w:eastAsia="cs-CZ"/>
              </w:rPr>
              <w:t>Ou</w:t>
            </w:r>
            <w:r>
              <w:rPr>
                <w:rFonts w:ascii="Calibri" w:eastAsia="Times New Roman" w:hAnsi="Calibri" w:cs="Arial CE"/>
                <w:i/>
                <w:iCs/>
                <w:sz w:val="15"/>
                <w:szCs w:val="15"/>
                <w:lang w:val="en-GB" w:eastAsia="cs-CZ"/>
              </w:rPr>
              <w:t>t</w:t>
            </w:r>
            <w:r>
              <w:rPr>
                <w:rFonts w:ascii="Calibri" w:eastAsia="Times New Roman" w:hAnsi="Calibri" w:cs="Arial CE"/>
                <w:i/>
                <w:iCs/>
                <w:sz w:val="15"/>
                <w:szCs w:val="15"/>
                <w:lang w:val="en-GB" w:eastAsia="cs-CZ"/>
              </w:rPr>
              <w:t>look</w:t>
            </w:r>
          </w:p>
        </w:tc>
        <w:tc>
          <w:tcPr>
            <w:tcW w:w="332" w:type="pct"/>
            <w:noWrap/>
            <w:hideMark/>
          </w:tcPr>
          <w:p w:rsidR="00B26170" w:rsidRPr="007A1B09"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sidRPr="007A1B09">
              <w:rPr>
                <w:rFonts w:ascii="Calibri" w:eastAsia="Times New Roman" w:hAnsi="Calibri" w:cs="Arial CE"/>
                <w:sz w:val="15"/>
                <w:szCs w:val="15"/>
                <w:lang w:val="en-GB" w:eastAsia="cs-CZ"/>
              </w:rPr>
              <w:t>2017</w:t>
            </w:r>
          </w:p>
          <w:p w:rsidR="00305FF5" w:rsidRPr="007A1B09" w:rsidRDefault="00CD03EE"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val="en-GB" w:eastAsia="cs-CZ"/>
              </w:rPr>
            </w:pPr>
            <w:r>
              <w:rPr>
                <w:rFonts w:ascii="Calibri" w:eastAsia="Times New Roman" w:hAnsi="Calibri" w:cs="Arial CE"/>
                <w:i/>
                <w:iCs/>
                <w:sz w:val="15"/>
                <w:szCs w:val="15"/>
                <w:lang w:val="en-GB" w:eastAsia="cs-CZ"/>
              </w:rPr>
              <w:t>Ou</w:t>
            </w:r>
            <w:r>
              <w:rPr>
                <w:rFonts w:ascii="Calibri" w:eastAsia="Times New Roman" w:hAnsi="Calibri" w:cs="Arial CE"/>
                <w:i/>
                <w:iCs/>
                <w:sz w:val="15"/>
                <w:szCs w:val="15"/>
                <w:lang w:val="en-GB" w:eastAsia="cs-CZ"/>
              </w:rPr>
              <w:t>t</w:t>
            </w:r>
            <w:r>
              <w:rPr>
                <w:rFonts w:ascii="Calibri" w:eastAsia="Times New Roman" w:hAnsi="Calibri" w:cs="Arial CE"/>
                <w:i/>
                <w:iCs/>
                <w:sz w:val="15"/>
                <w:szCs w:val="15"/>
                <w:lang w:val="en-GB" w:eastAsia="cs-CZ"/>
              </w:rPr>
              <w:t>look</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GDP</w:t>
            </w:r>
          </w:p>
        </w:tc>
        <w:tc>
          <w:tcPr>
            <w:tcW w:w="767" w:type="pct"/>
            <w:noWrap/>
            <w:hideMark/>
          </w:tcPr>
          <w:p w:rsidR="00B26170" w:rsidRPr="007A1B09" w:rsidRDefault="007A1B09" w:rsidP="007A1B09">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Bn. CZK</w:t>
            </w:r>
            <w:r w:rsidR="00B26170" w:rsidRPr="007A1B09">
              <w:rPr>
                <w:rFonts w:ascii="Calibri" w:eastAsia="Times New Roman" w:hAnsi="Calibri" w:cs="Arial CE"/>
                <w:i/>
                <w:iCs/>
                <w:sz w:val="15"/>
                <w:szCs w:val="15"/>
                <w:lang w:val="en-GB" w:eastAsia="cs-CZ"/>
              </w:rPr>
              <w:t xml:space="preserve"> </w:t>
            </w:r>
            <w:proofErr w:type="spellStart"/>
            <w:r>
              <w:rPr>
                <w:rFonts w:ascii="Calibri" w:eastAsia="Times New Roman" w:hAnsi="Calibri" w:cs="Arial CE"/>
                <w:i/>
                <w:iCs/>
                <w:sz w:val="15"/>
                <w:szCs w:val="15"/>
                <w:lang w:val="en-GB" w:eastAsia="cs-CZ"/>
              </w:rPr>
              <w:t>curr</w:t>
            </w:r>
            <w:proofErr w:type="spellEnd"/>
            <w:r>
              <w:rPr>
                <w:rFonts w:ascii="Calibri" w:eastAsia="Times New Roman" w:hAnsi="Calibri" w:cs="Arial CE"/>
                <w:i/>
                <w:iCs/>
                <w:sz w:val="15"/>
                <w:szCs w:val="15"/>
                <w:lang w:val="en-GB" w:eastAsia="cs-CZ"/>
              </w:rPr>
              <w:t>. p.</w:t>
            </w:r>
            <w:r w:rsidR="00B26170"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3 759</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3 791</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3 823</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3 846</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3 884</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4 023</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4 173</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4 303</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4 471</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GDP</w:t>
            </w:r>
          </w:p>
        </w:tc>
        <w:tc>
          <w:tcPr>
            <w:tcW w:w="767" w:type="pct"/>
            <w:noWrap/>
            <w:hideMark/>
          </w:tcPr>
          <w:p w:rsidR="00B26170" w:rsidRPr="007A1B09" w:rsidRDefault="00CD03EE" w:rsidP="00CD03EE">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00B26170"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t>const.p</w:t>
            </w:r>
            <w:proofErr w:type="spellEnd"/>
            <w:r w:rsidR="00B26170"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-4,5</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2,5</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1,8</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-0,9</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1,7</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2,0</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2,2</w:t>
            </w:r>
            <w:r w:rsidR="00305FF5" w:rsidRPr="007A1B09">
              <w:rPr>
                <w:rFonts w:ascii="Calibri" w:eastAsia="Times New Roman" w:hAnsi="Calibri" w:cs="Arial CE"/>
                <w:bCs/>
                <w:sz w:val="15"/>
                <w:szCs w:val="15"/>
                <w:lang w:val="en-GB" w:eastAsia="cs-CZ"/>
              </w:rPr>
              <w:t xml:space="preserve"> </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2,5</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Household consumption</w:t>
            </w:r>
          </w:p>
        </w:tc>
        <w:tc>
          <w:tcPr>
            <w:tcW w:w="767" w:type="pct"/>
            <w:noWrap/>
            <w:hideMark/>
          </w:tcPr>
          <w:p w:rsidR="00B26170" w:rsidRPr="007A1B09" w:rsidRDefault="00CD03E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t>const.p</w:t>
            </w:r>
            <w:proofErr w:type="spellEnd"/>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0,9</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0,5</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-2,1</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0,1</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1,5</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Government consumption</w:t>
            </w:r>
          </w:p>
        </w:tc>
        <w:tc>
          <w:tcPr>
            <w:tcW w:w="767" w:type="pct"/>
            <w:noWrap/>
            <w:hideMark/>
          </w:tcPr>
          <w:p w:rsidR="00B26170" w:rsidRPr="007A1B09" w:rsidRDefault="00CD03E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t>const.p</w:t>
            </w:r>
            <w:proofErr w:type="spellEnd"/>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4,0</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-2,7</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1,6</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0,8</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0,7</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1,2</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1,2</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Gross fixed capital formation</w:t>
            </w:r>
          </w:p>
        </w:tc>
        <w:tc>
          <w:tcPr>
            <w:tcW w:w="767" w:type="pct"/>
            <w:noWrap/>
            <w:hideMark/>
          </w:tcPr>
          <w:p w:rsidR="00B26170" w:rsidRPr="007A1B09" w:rsidRDefault="00CD03E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t>const.p</w:t>
            </w:r>
            <w:proofErr w:type="spellEnd"/>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-11,0</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0,4</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-4,5</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-3,5</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2,7</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2,0</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2,1</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3,1</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Cont. of foreign trade to GDP growth</w:t>
            </w:r>
          </w:p>
        </w:tc>
        <w:tc>
          <w:tcPr>
            <w:tcW w:w="767" w:type="pct"/>
            <w:noWrap/>
            <w:hideMark/>
          </w:tcPr>
          <w:p w:rsidR="00B26170" w:rsidRPr="007A1B09" w:rsidRDefault="00CD03E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p.p.</w:t>
            </w:r>
            <w:r w:rsidRPr="007A1B09">
              <w:rPr>
                <w:rFonts w:ascii="Calibri" w:eastAsia="Times New Roman" w:hAnsi="Calibri" w:cs="Arial CE"/>
                <w:i/>
                <w:iCs/>
                <w:sz w:val="15"/>
                <w:szCs w:val="15"/>
                <w:lang w:val="en-GB" w:eastAsia="cs-CZ"/>
              </w:rPr>
              <w:t xml:space="preserve"> </w:t>
            </w:r>
            <w:proofErr w:type="spellStart"/>
            <w:r>
              <w:rPr>
                <w:rFonts w:ascii="Calibri" w:eastAsia="Times New Roman" w:hAnsi="Calibri" w:cs="Arial CE"/>
                <w:i/>
                <w:iCs/>
                <w:sz w:val="15"/>
                <w:szCs w:val="15"/>
                <w:lang w:val="en-GB" w:eastAsia="cs-CZ"/>
              </w:rPr>
              <w:t>const.p</w:t>
            </w:r>
            <w:proofErr w:type="spellEnd"/>
            <w:r w:rsidR="00B26170"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0,5</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1,7</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-0,3</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0,5</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7A1B09">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Cont. of change in stocks to GDP growth</w:t>
            </w:r>
          </w:p>
        </w:tc>
        <w:tc>
          <w:tcPr>
            <w:tcW w:w="767" w:type="pct"/>
            <w:noWrap/>
            <w:hideMark/>
          </w:tcPr>
          <w:p w:rsidR="00B26170" w:rsidRPr="007A1B09" w:rsidRDefault="00CD03E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p.p.</w:t>
            </w:r>
            <w:r w:rsidRPr="007A1B09">
              <w:rPr>
                <w:rFonts w:ascii="Calibri" w:eastAsia="Times New Roman" w:hAnsi="Calibri" w:cs="Arial CE"/>
                <w:i/>
                <w:iCs/>
                <w:sz w:val="15"/>
                <w:szCs w:val="15"/>
                <w:lang w:val="en-GB" w:eastAsia="cs-CZ"/>
              </w:rPr>
              <w:t xml:space="preserve"> </w:t>
            </w:r>
            <w:proofErr w:type="spellStart"/>
            <w:r>
              <w:rPr>
                <w:rFonts w:ascii="Calibri" w:eastAsia="Times New Roman" w:hAnsi="Calibri" w:cs="Arial CE"/>
                <w:i/>
                <w:iCs/>
                <w:sz w:val="15"/>
                <w:szCs w:val="15"/>
                <w:lang w:val="en-GB" w:eastAsia="cs-CZ"/>
              </w:rPr>
              <w:t>const.p</w:t>
            </w:r>
            <w:proofErr w:type="spellEnd"/>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-2,9</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0,1</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-0,1</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0,1</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0,0</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0,0</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GDP deflator</w:t>
            </w:r>
          </w:p>
        </w:tc>
        <w:tc>
          <w:tcPr>
            <w:tcW w:w="767" w:type="pct"/>
            <w:noWrap/>
            <w:hideMark/>
          </w:tcPr>
          <w:p w:rsidR="00B26170" w:rsidRPr="007A1B09" w:rsidRDefault="00CD03E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2,3</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-1,6</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-0,9</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1,6</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1,8</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1,7</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0,9</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1,3</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Average inflation rate</w:t>
            </w:r>
          </w:p>
        </w:tc>
        <w:tc>
          <w:tcPr>
            <w:tcW w:w="767" w:type="pct"/>
            <w:noWrap/>
            <w:hideMark/>
          </w:tcPr>
          <w:p w:rsidR="00B26170" w:rsidRPr="007A1B09"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1,5</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3,3</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1,4</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2,3</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1,4</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2,1</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7A1B09">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Employment</w:t>
            </w:r>
            <w:r w:rsidR="00B26170" w:rsidRPr="007A1B09">
              <w:rPr>
                <w:rFonts w:ascii="Calibri" w:eastAsia="Times New Roman" w:hAnsi="Calibri" w:cs="Arial CE"/>
                <w:sz w:val="15"/>
                <w:szCs w:val="15"/>
                <w:lang w:val="en-GB" w:eastAsia="cs-CZ"/>
              </w:rPr>
              <w:t xml:space="preserve"> </w:t>
            </w:r>
            <w:r w:rsidR="00B26170" w:rsidRPr="007A1B09">
              <w:rPr>
                <w:rFonts w:ascii="Calibri" w:eastAsia="Times New Roman" w:hAnsi="Calibri" w:cs="Arial CE"/>
                <w:i/>
                <w:iCs/>
                <w:sz w:val="15"/>
                <w:szCs w:val="15"/>
                <w:lang w:val="en-GB" w:eastAsia="cs-CZ"/>
              </w:rPr>
              <w:t>(</w:t>
            </w:r>
            <w:r>
              <w:rPr>
                <w:rFonts w:ascii="Calibri" w:eastAsia="Times New Roman" w:hAnsi="Calibri" w:cs="Arial CE"/>
                <w:i/>
                <w:iCs/>
                <w:sz w:val="15"/>
                <w:szCs w:val="15"/>
                <w:lang w:val="en-GB" w:eastAsia="cs-CZ"/>
              </w:rPr>
              <w:t>LFS</w:t>
            </w:r>
            <w:r w:rsidR="00B26170" w:rsidRPr="007A1B09">
              <w:rPr>
                <w:rFonts w:ascii="Calibri" w:eastAsia="Times New Roman" w:hAnsi="Calibri" w:cs="Arial CE"/>
                <w:i/>
                <w:iCs/>
                <w:sz w:val="15"/>
                <w:szCs w:val="15"/>
                <w:lang w:val="en-GB" w:eastAsia="cs-CZ"/>
              </w:rPr>
              <w:t>)</w:t>
            </w:r>
          </w:p>
        </w:tc>
        <w:tc>
          <w:tcPr>
            <w:tcW w:w="767" w:type="pct"/>
            <w:noWrap/>
            <w:hideMark/>
          </w:tcPr>
          <w:p w:rsidR="00B26170" w:rsidRPr="007A1B09" w:rsidRDefault="00CD03E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-1,4</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0,4</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0,4</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0,2</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7A1B09">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Unemployment rate</w:t>
            </w:r>
            <w:r w:rsidR="00B26170" w:rsidRPr="007A1B09">
              <w:rPr>
                <w:rFonts w:ascii="Calibri" w:eastAsia="Times New Roman" w:hAnsi="Calibri" w:cs="Arial CE"/>
                <w:sz w:val="15"/>
                <w:szCs w:val="15"/>
                <w:lang w:val="en-GB" w:eastAsia="cs-CZ"/>
              </w:rPr>
              <w:t xml:space="preserve"> </w:t>
            </w:r>
            <w:r w:rsidR="00B26170" w:rsidRPr="007A1B09">
              <w:rPr>
                <w:rFonts w:ascii="Calibri" w:eastAsia="Times New Roman" w:hAnsi="Calibri" w:cs="Arial CE"/>
                <w:i/>
                <w:iCs/>
                <w:sz w:val="15"/>
                <w:szCs w:val="15"/>
                <w:lang w:val="en-GB" w:eastAsia="cs-CZ"/>
              </w:rPr>
              <w:t>(</w:t>
            </w:r>
            <w:r>
              <w:rPr>
                <w:rFonts w:ascii="Calibri" w:eastAsia="Times New Roman" w:hAnsi="Calibri" w:cs="Arial CE"/>
                <w:i/>
                <w:iCs/>
                <w:sz w:val="15"/>
                <w:szCs w:val="15"/>
                <w:lang w:val="en-GB" w:eastAsia="cs-CZ"/>
              </w:rPr>
              <w:t>LF</w:t>
            </w:r>
            <w:r w:rsidR="00B26170" w:rsidRPr="007A1B09">
              <w:rPr>
                <w:rFonts w:ascii="Calibri" w:eastAsia="Times New Roman" w:hAnsi="Calibri" w:cs="Arial CE"/>
                <w:i/>
                <w:iCs/>
                <w:sz w:val="15"/>
                <w:szCs w:val="15"/>
                <w:lang w:val="en-GB" w:eastAsia="cs-CZ"/>
              </w:rPr>
              <w:t>S)</w:t>
            </w:r>
          </w:p>
        </w:tc>
        <w:tc>
          <w:tcPr>
            <w:tcW w:w="767" w:type="pct"/>
            <w:noWrap/>
            <w:hideMark/>
          </w:tcPr>
          <w:p w:rsidR="00B26170" w:rsidRPr="007A1B09" w:rsidRDefault="00CD03E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Average in</w:t>
            </w:r>
            <w:r w:rsidR="00B26170" w:rsidRPr="007A1B09">
              <w:rPr>
                <w:rFonts w:ascii="Calibri" w:eastAsia="Times New Roman" w:hAnsi="Calibri" w:cs="Arial CE"/>
                <w:i/>
                <w:iCs/>
                <w:sz w:val="15"/>
                <w:szCs w:val="15"/>
                <w:lang w:val="en-GB" w:eastAsia="cs-CZ"/>
              </w:rPr>
              <w:t xml:space="preserve"> %</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6,7</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7,3</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6,7</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7,0</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7,0</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6,8</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6,6</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6,4</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6,0</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7A1B09">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Wage bill</w:t>
            </w:r>
            <w:r w:rsidR="00B26170" w:rsidRPr="007A1B09">
              <w:rPr>
                <w:rFonts w:ascii="Calibri" w:eastAsia="Times New Roman" w:hAnsi="Calibri" w:cs="Arial CE"/>
                <w:sz w:val="15"/>
                <w:szCs w:val="15"/>
                <w:lang w:val="en-GB" w:eastAsia="cs-CZ"/>
              </w:rPr>
              <w:t xml:space="preserve"> </w:t>
            </w:r>
            <w:r w:rsidR="00B26170" w:rsidRPr="007A1B09">
              <w:rPr>
                <w:rFonts w:ascii="Calibri" w:eastAsia="Times New Roman" w:hAnsi="Calibri" w:cs="Arial CE"/>
                <w:i/>
                <w:iCs/>
                <w:sz w:val="15"/>
                <w:szCs w:val="15"/>
                <w:lang w:val="en-GB" w:eastAsia="cs-CZ"/>
              </w:rPr>
              <w:t>(</w:t>
            </w:r>
            <w:r>
              <w:rPr>
                <w:rFonts w:ascii="Calibri" w:eastAsia="Times New Roman" w:hAnsi="Calibri" w:cs="Arial CE"/>
                <w:i/>
                <w:iCs/>
                <w:sz w:val="15"/>
                <w:szCs w:val="15"/>
                <w:lang w:val="en-GB" w:eastAsia="cs-CZ"/>
              </w:rPr>
              <w:t>domestic concept</w:t>
            </w:r>
            <w:r w:rsidR="00B26170" w:rsidRPr="007A1B09">
              <w:rPr>
                <w:rFonts w:ascii="Calibri" w:eastAsia="Times New Roman" w:hAnsi="Calibri" w:cs="Arial CE"/>
                <w:i/>
                <w:iCs/>
                <w:sz w:val="15"/>
                <w:szCs w:val="15"/>
                <w:lang w:val="en-GB" w:eastAsia="cs-CZ"/>
              </w:rPr>
              <w:t>)</w:t>
            </w:r>
          </w:p>
        </w:tc>
        <w:tc>
          <w:tcPr>
            <w:tcW w:w="767" w:type="pct"/>
            <w:noWrap/>
            <w:hideMark/>
          </w:tcPr>
          <w:p w:rsidR="00B26170" w:rsidRPr="007A1B09" w:rsidRDefault="00CD03EE" w:rsidP="00CD03EE">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lastRenderedPageBreak/>
              <w:t>curr.p</w:t>
            </w:r>
            <w:proofErr w:type="spellEnd"/>
            <w:r w:rsidR="00B26170"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lastRenderedPageBreak/>
              <w:t>-2,1</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0,8</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2,2</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1,8</w:t>
            </w:r>
          </w:p>
        </w:tc>
        <w:tc>
          <w:tcPr>
            <w:tcW w:w="286"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-0,9</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1,8</w:t>
            </w:r>
          </w:p>
        </w:tc>
        <w:tc>
          <w:tcPr>
            <w:tcW w:w="383"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3,5</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3,6</w:t>
            </w:r>
          </w:p>
        </w:tc>
        <w:tc>
          <w:tcPr>
            <w:tcW w:w="332" w:type="pct"/>
            <w:noWrap/>
            <w:hideMark/>
          </w:tcPr>
          <w:p w:rsidR="00B26170" w:rsidRPr="007A1B09"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4,1</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B26170"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lastRenderedPageBreak/>
              <w:t>Current account/GDP</w:t>
            </w:r>
          </w:p>
        </w:tc>
        <w:tc>
          <w:tcPr>
            <w:tcW w:w="767" w:type="pct"/>
            <w:noWrap/>
            <w:hideMark/>
          </w:tcPr>
          <w:p w:rsidR="00B26170" w:rsidRPr="007A1B09"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-2,4</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-3,9</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-2,7</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-1,3</w:t>
            </w:r>
          </w:p>
        </w:tc>
        <w:tc>
          <w:tcPr>
            <w:tcW w:w="286"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-1,4</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-0,4</w:t>
            </w:r>
          </w:p>
        </w:tc>
        <w:tc>
          <w:tcPr>
            <w:tcW w:w="383"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-0,3</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-0,5</w:t>
            </w:r>
          </w:p>
        </w:tc>
        <w:tc>
          <w:tcPr>
            <w:tcW w:w="332" w:type="pct"/>
            <w:noWrap/>
            <w:hideMark/>
          </w:tcPr>
          <w:p w:rsidR="00B26170" w:rsidRPr="007A1B09"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tcPr>
          <w:p w:rsidR="00C335DE" w:rsidRPr="007A1B09" w:rsidRDefault="007A1B09" w:rsidP="00B26170">
            <w:pPr>
              <w:spacing w:after="0"/>
              <w:jc w:val="left"/>
              <w:rPr>
                <w:rFonts w:ascii="Calibri" w:eastAsia="Times New Roman" w:hAnsi="Calibri" w:cs="Arial CE"/>
                <w:b w:val="0"/>
                <w:bCs w:val="0"/>
                <w:sz w:val="15"/>
                <w:szCs w:val="15"/>
                <w:lang w:val="en-GB" w:eastAsia="cs-CZ"/>
              </w:rPr>
            </w:pPr>
            <w:r>
              <w:rPr>
                <w:rFonts w:ascii="Calibri" w:eastAsia="Times New Roman" w:hAnsi="Calibri" w:cs="Arial CE"/>
                <w:b w:val="0"/>
                <w:sz w:val="15"/>
                <w:szCs w:val="15"/>
                <w:u w:val="single"/>
                <w:lang w:val="en-GB" w:eastAsia="cs-CZ"/>
              </w:rPr>
              <w:t>Prerequisites</w:t>
            </w:r>
            <w:r w:rsidR="00C335DE" w:rsidRPr="007A1B09">
              <w:rPr>
                <w:rFonts w:ascii="Calibri" w:eastAsia="Times New Roman" w:hAnsi="Calibri" w:cs="Arial CE"/>
                <w:b w:val="0"/>
                <w:sz w:val="15"/>
                <w:szCs w:val="15"/>
                <w:u w:val="single"/>
                <w:lang w:val="en-GB" w:eastAsia="cs-CZ"/>
              </w:rPr>
              <w:t>:</w:t>
            </w:r>
          </w:p>
        </w:tc>
        <w:tc>
          <w:tcPr>
            <w:tcW w:w="767" w:type="pct"/>
            <w:noWrap/>
          </w:tcPr>
          <w:p w:rsidR="00C335DE" w:rsidRPr="007A1B09" w:rsidRDefault="00C335D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p>
        </w:tc>
        <w:tc>
          <w:tcPr>
            <w:tcW w:w="286"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286"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286"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286"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286"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383"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383"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332"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c>
          <w:tcPr>
            <w:tcW w:w="332" w:type="pct"/>
            <w:noWrap/>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C335DE" w:rsidRPr="007A1B09" w:rsidRDefault="007A1B09" w:rsidP="00C335DE">
            <w:pPr>
              <w:spacing w:after="0"/>
              <w:jc w:val="left"/>
              <w:rPr>
                <w:rFonts w:ascii="Calibri" w:eastAsia="Times New Roman" w:hAnsi="Calibri" w:cs="Arial CE"/>
                <w:sz w:val="15"/>
                <w:szCs w:val="15"/>
                <w:u w:val="single"/>
                <w:lang w:val="en-GB" w:eastAsia="cs-CZ"/>
              </w:rPr>
            </w:pPr>
            <w:r>
              <w:rPr>
                <w:rFonts w:ascii="Calibri" w:eastAsia="Times New Roman" w:hAnsi="Calibri" w:cs="Arial CE"/>
                <w:sz w:val="15"/>
                <w:szCs w:val="15"/>
                <w:lang w:val="en-GB" w:eastAsia="cs-CZ"/>
              </w:rPr>
              <w:t>Exchange rate</w:t>
            </w:r>
            <w:r w:rsidR="00C335DE" w:rsidRPr="007A1B09">
              <w:rPr>
                <w:rFonts w:ascii="Calibri" w:eastAsia="Times New Roman" w:hAnsi="Calibri" w:cs="Arial CE"/>
                <w:sz w:val="15"/>
                <w:szCs w:val="15"/>
                <w:lang w:val="en-GB" w:eastAsia="cs-CZ"/>
              </w:rPr>
              <w:t xml:space="preserve"> CZK/EUR</w:t>
            </w:r>
          </w:p>
        </w:tc>
        <w:tc>
          <w:tcPr>
            <w:tcW w:w="767" w:type="pct"/>
            <w:noWrap/>
            <w:hideMark/>
          </w:tcPr>
          <w:p w:rsidR="00C335DE" w:rsidRPr="007A1B09" w:rsidRDefault="00C335D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 </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26,4</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25,3</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24,6</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25,1</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26,0</w:t>
            </w:r>
          </w:p>
        </w:tc>
        <w:tc>
          <w:tcPr>
            <w:tcW w:w="383"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27,3</w:t>
            </w:r>
          </w:p>
        </w:tc>
        <w:tc>
          <w:tcPr>
            <w:tcW w:w="383"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27,2</w:t>
            </w:r>
          </w:p>
        </w:tc>
        <w:tc>
          <w:tcPr>
            <w:tcW w:w="332"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26,8</w:t>
            </w:r>
          </w:p>
        </w:tc>
        <w:tc>
          <w:tcPr>
            <w:tcW w:w="332"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26,4</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C335DE"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Long-term interest rates</w:t>
            </w:r>
            <w:r w:rsidR="00C335DE" w:rsidRPr="007A1B09">
              <w:rPr>
                <w:rFonts w:ascii="Calibri" w:eastAsia="Times New Roman" w:hAnsi="Calibri" w:cs="Arial CE"/>
                <w:sz w:val="15"/>
                <w:szCs w:val="15"/>
                <w:lang w:val="en-GB" w:eastAsia="cs-CZ"/>
              </w:rPr>
              <w:t xml:space="preserve"> (10 let)</w:t>
            </w:r>
          </w:p>
        </w:tc>
        <w:tc>
          <w:tcPr>
            <w:tcW w:w="767" w:type="pct"/>
            <w:noWrap/>
            <w:hideMark/>
          </w:tcPr>
          <w:p w:rsidR="00C335DE" w:rsidRPr="007A1B09" w:rsidRDefault="00C335D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 p.a.</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4,7</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3,7</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3,7</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2,8</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2,1</w:t>
            </w:r>
          </w:p>
        </w:tc>
        <w:tc>
          <w:tcPr>
            <w:tcW w:w="383"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2,4</w:t>
            </w:r>
          </w:p>
        </w:tc>
        <w:tc>
          <w:tcPr>
            <w:tcW w:w="383"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2,6</w:t>
            </w:r>
          </w:p>
        </w:tc>
        <w:tc>
          <w:tcPr>
            <w:tcW w:w="332"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2,8</w:t>
            </w:r>
          </w:p>
        </w:tc>
        <w:tc>
          <w:tcPr>
            <w:tcW w:w="332"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3,0</w:t>
            </w:r>
          </w:p>
        </w:tc>
      </w:tr>
      <w:tr w:rsidR="00CD03EE" w:rsidRPr="007A1B09" w:rsidTr="00CD03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C335DE"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Crude oil</w:t>
            </w:r>
            <w:r w:rsidR="00C335DE" w:rsidRPr="007A1B09">
              <w:rPr>
                <w:rFonts w:ascii="Calibri" w:eastAsia="Times New Roman" w:hAnsi="Calibri" w:cs="Arial CE"/>
                <w:sz w:val="15"/>
                <w:szCs w:val="15"/>
                <w:lang w:val="en-GB" w:eastAsia="cs-CZ"/>
              </w:rPr>
              <w:t xml:space="preserve"> Brent</w:t>
            </w:r>
          </w:p>
        </w:tc>
        <w:tc>
          <w:tcPr>
            <w:tcW w:w="767" w:type="pct"/>
            <w:noWrap/>
            <w:hideMark/>
          </w:tcPr>
          <w:p w:rsidR="00C335DE" w:rsidRPr="007A1B09" w:rsidRDefault="00C335D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val="en-GB" w:eastAsia="cs-CZ"/>
              </w:rPr>
            </w:pPr>
            <w:r w:rsidRPr="007A1B09">
              <w:rPr>
                <w:rFonts w:ascii="Calibri" w:eastAsia="Times New Roman" w:hAnsi="Calibri" w:cs="Arial CE"/>
                <w:i/>
                <w:iCs/>
                <w:sz w:val="15"/>
                <w:szCs w:val="15"/>
                <w:lang w:val="en-GB" w:eastAsia="cs-CZ"/>
              </w:rPr>
              <w:t>USD/bar</w:t>
            </w:r>
            <w:r w:rsidR="00CD03EE">
              <w:rPr>
                <w:rFonts w:ascii="Calibri" w:eastAsia="Times New Roman" w:hAnsi="Calibri" w:cs="Arial CE"/>
                <w:i/>
                <w:iCs/>
                <w:sz w:val="15"/>
                <w:szCs w:val="15"/>
                <w:lang w:val="en-GB" w:eastAsia="cs-CZ"/>
              </w:rPr>
              <w:t>r</w:t>
            </w:r>
            <w:r w:rsidRPr="007A1B09">
              <w:rPr>
                <w:rFonts w:ascii="Calibri" w:eastAsia="Times New Roman" w:hAnsi="Calibri" w:cs="Arial CE"/>
                <w:i/>
                <w:iCs/>
                <w:sz w:val="15"/>
                <w:szCs w:val="15"/>
                <w:lang w:val="en-GB" w:eastAsia="cs-CZ"/>
              </w:rPr>
              <w:t>el</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62</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80</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111</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112</w:t>
            </w:r>
          </w:p>
        </w:tc>
        <w:tc>
          <w:tcPr>
            <w:tcW w:w="286"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109</w:t>
            </w:r>
          </w:p>
        </w:tc>
        <w:tc>
          <w:tcPr>
            <w:tcW w:w="383"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105</w:t>
            </w:r>
          </w:p>
        </w:tc>
        <w:tc>
          <w:tcPr>
            <w:tcW w:w="383"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101</w:t>
            </w:r>
          </w:p>
        </w:tc>
        <w:tc>
          <w:tcPr>
            <w:tcW w:w="332"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97</w:t>
            </w:r>
          </w:p>
        </w:tc>
        <w:tc>
          <w:tcPr>
            <w:tcW w:w="332" w:type="pct"/>
            <w:noWrap/>
            <w:hideMark/>
          </w:tcPr>
          <w:p w:rsidR="00C335DE" w:rsidRPr="007A1B09"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95</w:t>
            </w:r>
          </w:p>
        </w:tc>
      </w:tr>
      <w:tr w:rsidR="00CD03EE" w:rsidRPr="007A1B09" w:rsidTr="00CD03EE">
        <w:trPr>
          <w:trHeight w:val="255"/>
        </w:trPr>
        <w:tc>
          <w:tcPr>
            <w:cnfStyle w:val="001000000000" w:firstRow="0" w:lastRow="0" w:firstColumn="1" w:lastColumn="0" w:oddVBand="0" w:evenVBand="0" w:oddHBand="0" w:evenHBand="0" w:firstRowFirstColumn="0" w:firstRowLastColumn="0" w:lastRowFirstColumn="0" w:lastRowLastColumn="0"/>
            <w:tcW w:w="1372" w:type="pct"/>
            <w:noWrap/>
            <w:hideMark/>
          </w:tcPr>
          <w:p w:rsidR="00C335DE" w:rsidRPr="007A1B09" w:rsidRDefault="007A1B09" w:rsidP="00B26170">
            <w:pPr>
              <w:spacing w:after="0"/>
              <w:jc w:val="left"/>
              <w:rPr>
                <w:rFonts w:ascii="Calibri" w:eastAsia="Times New Roman" w:hAnsi="Calibri" w:cs="Arial CE"/>
                <w:sz w:val="15"/>
                <w:szCs w:val="15"/>
                <w:lang w:val="en-GB" w:eastAsia="cs-CZ"/>
              </w:rPr>
            </w:pPr>
            <w:r>
              <w:rPr>
                <w:rFonts w:ascii="Calibri" w:eastAsia="Times New Roman" w:hAnsi="Calibri" w:cs="Arial CE"/>
                <w:sz w:val="15"/>
                <w:szCs w:val="15"/>
                <w:lang w:val="en-GB" w:eastAsia="cs-CZ"/>
              </w:rPr>
              <w:t>Eurozone GDP</w:t>
            </w:r>
            <w:r w:rsidR="00C335DE" w:rsidRPr="007A1B09">
              <w:rPr>
                <w:rFonts w:ascii="Calibri" w:eastAsia="Times New Roman" w:hAnsi="Calibri" w:cs="Arial CE"/>
                <w:sz w:val="15"/>
                <w:szCs w:val="15"/>
                <w:lang w:val="en-GB" w:eastAsia="cs-CZ"/>
              </w:rPr>
              <w:t xml:space="preserve"> (EA12)</w:t>
            </w:r>
          </w:p>
        </w:tc>
        <w:tc>
          <w:tcPr>
            <w:tcW w:w="767" w:type="pct"/>
            <w:noWrap/>
            <w:hideMark/>
          </w:tcPr>
          <w:p w:rsidR="00C335DE" w:rsidRPr="007A1B09" w:rsidRDefault="00CD03E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val="en-GB" w:eastAsia="cs-CZ"/>
              </w:rPr>
            </w:pPr>
            <w:r>
              <w:rPr>
                <w:rFonts w:ascii="Calibri" w:eastAsia="Times New Roman" w:hAnsi="Calibri" w:cs="Arial CE"/>
                <w:i/>
                <w:iCs/>
                <w:sz w:val="15"/>
                <w:szCs w:val="15"/>
                <w:lang w:val="en-GB" w:eastAsia="cs-CZ"/>
              </w:rPr>
              <w:t>Growth in</w:t>
            </w:r>
            <w:r w:rsidRPr="007A1B09">
              <w:rPr>
                <w:rFonts w:ascii="Calibri" w:eastAsia="Times New Roman" w:hAnsi="Calibri" w:cs="Arial CE"/>
                <w:i/>
                <w:iCs/>
                <w:sz w:val="15"/>
                <w:szCs w:val="15"/>
                <w:lang w:val="en-GB" w:eastAsia="cs-CZ"/>
              </w:rPr>
              <w:t xml:space="preserve"> %, </w:t>
            </w:r>
            <w:proofErr w:type="spellStart"/>
            <w:r>
              <w:rPr>
                <w:rFonts w:ascii="Calibri" w:eastAsia="Times New Roman" w:hAnsi="Calibri" w:cs="Arial CE"/>
                <w:i/>
                <w:iCs/>
                <w:sz w:val="15"/>
                <w:szCs w:val="15"/>
                <w:lang w:val="en-GB" w:eastAsia="cs-CZ"/>
              </w:rPr>
              <w:t>const.p</w:t>
            </w:r>
            <w:proofErr w:type="spellEnd"/>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-4,4</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1,9</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1,6</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-0,6</w:t>
            </w:r>
          </w:p>
        </w:tc>
        <w:tc>
          <w:tcPr>
            <w:tcW w:w="286"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-0,4</w:t>
            </w:r>
          </w:p>
        </w:tc>
        <w:tc>
          <w:tcPr>
            <w:tcW w:w="383"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1,1</w:t>
            </w:r>
          </w:p>
        </w:tc>
        <w:tc>
          <w:tcPr>
            <w:tcW w:w="383"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1,5</w:t>
            </w:r>
          </w:p>
        </w:tc>
        <w:tc>
          <w:tcPr>
            <w:tcW w:w="332" w:type="pct"/>
            <w:noWrap/>
            <w:hideMark/>
          </w:tcPr>
          <w:p w:rsidR="00C335DE" w:rsidRPr="007A1B09"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val="en-GB" w:eastAsia="cs-CZ"/>
              </w:rPr>
            </w:pPr>
            <w:r w:rsidRPr="007A1B09">
              <w:rPr>
                <w:rFonts w:ascii="Calibri" w:eastAsia="Times New Roman" w:hAnsi="Calibri" w:cs="Arial CE"/>
                <w:bCs/>
                <w:sz w:val="15"/>
                <w:szCs w:val="15"/>
                <w:lang w:val="en-GB" w:eastAsia="cs-CZ"/>
              </w:rPr>
              <w:t>1,8</w:t>
            </w:r>
          </w:p>
        </w:tc>
        <w:tc>
          <w:tcPr>
            <w:tcW w:w="332" w:type="pct"/>
            <w:noWrap/>
            <w:hideMark/>
          </w:tcPr>
          <w:p w:rsidR="00C335DE" w:rsidRPr="007A1B09" w:rsidRDefault="00C335DE" w:rsidP="00ED11E3">
            <w:pPr>
              <w:keepNext/>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color w:val="000000" w:themeColor="text1"/>
                <w:sz w:val="15"/>
                <w:szCs w:val="15"/>
                <w:lang w:val="en-GB" w:eastAsia="cs-CZ"/>
              </w:rPr>
            </w:pPr>
            <w:r w:rsidRPr="007A1B09">
              <w:rPr>
                <w:rFonts w:ascii="Calibri" w:eastAsia="Times New Roman" w:hAnsi="Calibri" w:cs="Arial CE"/>
                <w:bCs/>
                <w:sz w:val="15"/>
                <w:szCs w:val="15"/>
                <w:lang w:val="en-GB" w:eastAsia="cs-CZ"/>
              </w:rPr>
              <w:t>2,1</w:t>
            </w:r>
          </w:p>
        </w:tc>
      </w:tr>
    </w:tbl>
    <w:p w:rsidR="003304C3" w:rsidRPr="007A1B09" w:rsidRDefault="00CD03EE" w:rsidP="00ED11E3">
      <w:pPr>
        <w:pStyle w:val="Titulek"/>
        <w:jc w:val="right"/>
        <w:rPr>
          <w:lang w:val="en-GB"/>
        </w:rPr>
      </w:pPr>
      <w:r>
        <w:rPr>
          <w:lang w:val="en-GB"/>
        </w:rPr>
        <w:t>Source</w:t>
      </w:r>
      <w:r w:rsidR="003304C3" w:rsidRPr="007A1B09">
        <w:rPr>
          <w:lang w:val="en-GB"/>
        </w:rPr>
        <w:t xml:space="preserve">: </w:t>
      </w:r>
      <w:r>
        <w:rPr>
          <w:lang w:val="en-GB"/>
        </w:rPr>
        <w:t>Macroeconomic forecast of the Czech Republic, 11</w:t>
      </w:r>
      <w:r w:rsidRPr="00CD03EE">
        <w:rPr>
          <w:vertAlign w:val="superscript"/>
          <w:lang w:val="en-GB"/>
        </w:rPr>
        <w:t>th</w:t>
      </w:r>
      <w:r>
        <w:rPr>
          <w:lang w:val="en-GB"/>
        </w:rPr>
        <w:t xml:space="preserve"> April</w:t>
      </w:r>
      <w:r w:rsidR="003304C3" w:rsidRPr="007A1B09">
        <w:rPr>
          <w:lang w:val="en-GB"/>
        </w:rPr>
        <w:t xml:space="preserve"> 2014</w:t>
      </w:r>
    </w:p>
    <w:p w:rsidR="00323D02" w:rsidRPr="007A1B09" w:rsidRDefault="00CD03EE" w:rsidP="00CD03EE">
      <w:pPr>
        <w:pStyle w:val="Nadpis1"/>
        <w:numPr>
          <w:ilvl w:val="0"/>
          <w:numId w:val="4"/>
        </w:numPr>
        <w:rPr>
          <w:lang w:val="en-GB"/>
        </w:rPr>
      </w:pPr>
      <w:bookmarkStart w:id="8" w:name="_Toc385945982"/>
      <w:r w:rsidRPr="00CD03EE">
        <w:rPr>
          <w:lang w:val="en-GB"/>
        </w:rPr>
        <w:t>Implementation of Council recommendations</w:t>
      </w:r>
      <w:bookmarkEnd w:id="8"/>
    </w:p>
    <w:p w:rsidR="004262BE" w:rsidRPr="007A1B09" w:rsidRDefault="00CD03EE" w:rsidP="004262BE">
      <w:pPr>
        <w:rPr>
          <w:lang w:val="en-GB"/>
        </w:rPr>
      </w:pPr>
      <w:r>
        <w:rPr>
          <w:lang w:val="en-GB"/>
        </w:rPr>
        <w:t>The 2014 update of the NRP takes into account measures implemented based on the Council’s recommendations for the Czech Republic of 9</w:t>
      </w:r>
      <w:r w:rsidRPr="00BD032C">
        <w:rPr>
          <w:vertAlign w:val="superscript"/>
          <w:lang w:val="en-GB"/>
        </w:rPr>
        <w:t>th</w:t>
      </w:r>
      <w:r>
        <w:rPr>
          <w:lang w:val="en-GB"/>
        </w:rPr>
        <w:t xml:space="preserve"> July 2013. These recommendations and key measures for their fulfilment are summarized in the following part of this chapter.</w:t>
      </w:r>
    </w:p>
    <w:p w:rsidR="00D26121" w:rsidRPr="007A1B09" w:rsidRDefault="00CD03EE" w:rsidP="00CD03EE">
      <w:pPr>
        <w:pStyle w:val="Nadpis2"/>
        <w:numPr>
          <w:ilvl w:val="1"/>
          <w:numId w:val="4"/>
        </w:numPr>
        <w:rPr>
          <w:lang w:val="en-GB"/>
        </w:rPr>
      </w:pPr>
      <w:bookmarkStart w:id="9" w:name="_Toc385945983"/>
      <w:r w:rsidRPr="00CD03EE">
        <w:rPr>
          <w:lang w:val="en-GB"/>
        </w:rPr>
        <w:t>Fiscal policy and budget strategy</w:t>
      </w:r>
      <w:bookmarkEnd w:id="9"/>
      <w:r w:rsidRPr="00CD03EE">
        <w:rPr>
          <w:lang w:val="en-GB"/>
        </w:rPr>
        <w:t xml:space="preserve">   </w:t>
      </w:r>
    </w:p>
    <w:p w:rsidR="00323D02" w:rsidRPr="007A1B09" w:rsidRDefault="00CD03EE" w:rsidP="007453BE">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CD03EE">
        <w:rPr>
          <w:b/>
          <w:color w:val="9B2D1F" w:themeColor="accent2"/>
          <w:lang w:val="en-GB"/>
        </w:rPr>
        <w:t>Recommendation No. 1</w:t>
      </w:r>
      <w:r>
        <w:rPr>
          <w:b/>
          <w:color w:val="9B2D1F" w:themeColor="accent2"/>
          <w:lang w:val="en-GB"/>
        </w:rPr>
        <w:t>:</w:t>
      </w:r>
      <w:r w:rsidRPr="00CD03EE">
        <w:t xml:space="preserve"> </w:t>
      </w:r>
      <w:r w:rsidRPr="00CD03EE">
        <w:rPr>
          <w:color w:val="D41616"/>
          <w:lang w:val="en-GB"/>
        </w:rPr>
        <w:t>Implement as envisaged the budget for the year 2013 so as to correct the excessive deficit in 2013 in a sustainable manner and achieve the structural adjustment effort specified in the Council recommendations under the EDP.  For the year 2014 and beyond, reinforce and rigorously implement the budgetary strategy, supported by sufficiently specified measures, in order to ensure an adequate fiscal effort to make sufficient progress towards the MTO.  Prioritise growth-enhancing expenditure including committing on time remaining projects co-financed by EU funds under the current financial framework.</w:t>
      </w:r>
    </w:p>
    <w:p w:rsidR="001612A6" w:rsidRPr="007A1B09" w:rsidRDefault="00CD03EE" w:rsidP="001612A6">
      <w:pPr>
        <w:pStyle w:val="Nadpis3"/>
        <w:numPr>
          <w:ilvl w:val="2"/>
          <w:numId w:val="4"/>
        </w:numPr>
        <w:ind w:left="851" w:hanging="851"/>
        <w:rPr>
          <w:lang w:val="en-GB"/>
        </w:rPr>
      </w:pPr>
      <w:bookmarkStart w:id="10" w:name="_Toc385945984"/>
      <w:r>
        <w:rPr>
          <w:lang w:val="en-GB"/>
        </w:rPr>
        <w:t>Fiscal pact</w:t>
      </w:r>
      <w:bookmarkEnd w:id="10"/>
    </w:p>
    <w:p w:rsidR="00B333A8" w:rsidRPr="007A1B09" w:rsidRDefault="00CD03EE" w:rsidP="00B333A8">
      <w:pPr>
        <w:rPr>
          <w:rFonts w:ascii="Times New Roman" w:eastAsia="Times New Roman" w:hAnsi="Times New Roman" w:cs="Times New Roman"/>
          <w:sz w:val="24"/>
          <w:szCs w:val="24"/>
          <w:lang w:val="en-GB" w:eastAsia="cs-CZ"/>
        </w:rPr>
      </w:pPr>
      <w:r w:rsidRPr="00CD03EE">
        <w:rPr>
          <w:rStyle w:val="bold"/>
          <w:lang w:val="en-GB"/>
        </w:rPr>
        <w:t>The government will use the opportunity for a late accession to the Treaty on Stability, Coordination and Governance in the Economic and Monetary Union, which has been signed by 25 EU member states on 2nd March 2012.  The government gave its approval to the Czech Republic’s accession to the Treaty on Stability, Coordination and Governance in the Economic and Monetary Union at its meeting on 24th March 2014 with the condition that the Treaty’s provisions will apply to the Czech Republic only after it adopts the Euro currency. The internal ratification process demands the approval of the constitutional majority of both Chambers of the Czech Parliament and then the President will sign the accession document.</w:t>
      </w:r>
    </w:p>
    <w:p w:rsidR="00FF7069" w:rsidRPr="00CD03EE" w:rsidRDefault="00CD03EE" w:rsidP="00CD03EE">
      <w:pPr>
        <w:pStyle w:val="Nadpis3"/>
        <w:numPr>
          <w:ilvl w:val="2"/>
          <w:numId w:val="4"/>
        </w:numPr>
        <w:ind w:left="851" w:hanging="851"/>
        <w:rPr>
          <w:lang w:val="en-GB"/>
        </w:rPr>
      </w:pPr>
      <w:bookmarkStart w:id="11" w:name="_Toc385945985"/>
      <w:r w:rsidRPr="00CD03EE">
        <w:rPr>
          <w:lang w:val="en-GB"/>
        </w:rPr>
        <w:t>Termination of the excessive deficit procedure</w:t>
      </w:r>
      <w:bookmarkEnd w:id="11"/>
    </w:p>
    <w:p w:rsidR="00CD03EE" w:rsidRDefault="00CD03EE" w:rsidP="00CD03EE">
      <w:pPr>
        <w:rPr>
          <w:lang w:val="en-GB"/>
        </w:rPr>
      </w:pPr>
      <w:r>
        <w:rPr>
          <w:lang w:val="en-GB"/>
        </w:rPr>
        <w:t xml:space="preserve">The termination of the excessive deficit procedure is the primary short-term goal of the Czech Republic within the fiscal policy, the fulfilment of which the government approaches with maximum responsibility. The reality of the fulfilment of this goal is backed by the results of the Notifications of the Government Deficit and Debt from April 2014 that estimate the government sector’s deficit in relation to the GDP at 1.5%. Due to the fiscal effort, which achieved the value of 1.3 percentage points (similarly to the previous year), the structural deficit decreased to 0.3% GDP. Therefore the middle-term budgetary objective for 2013, which is defined for the Czech Republic as a structural deficit of a maximum of 1% GDP, has been achieved even with a reserve. The fiscal policy strategy for the period 2014-2007, which is described </w:t>
      </w:r>
      <w:r>
        <w:rPr>
          <w:lang w:val="en-GB"/>
        </w:rPr>
        <w:lastRenderedPageBreak/>
        <w:t>below, confirms the government’s resolve to continue in practicing a responsible fiscal policy with deficits below 3% of the reference limit.</w:t>
      </w:r>
    </w:p>
    <w:p w:rsidR="009D694C" w:rsidRPr="007A1B09" w:rsidRDefault="009D694C" w:rsidP="009D694C">
      <w:pPr>
        <w:rPr>
          <w:lang w:val="en-GB"/>
        </w:rPr>
      </w:pPr>
    </w:p>
    <w:p w:rsidR="0046756C" w:rsidRPr="007A1B09" w:rsidRDefault="00CA554A" w:rsidP="0046756C">
      <w:pPr>
        <w:pStyle w:val="Titulek"/>
        <w:keepNext/>
        <w:jc w:val="left"/>
        <w:rPr>
          <w:lang w:val="en-GB"/>
        </w:rPr>
      </w:pPr>
      <w:r>
        <w:rPr>
          <w:lang w:val="en-GB"/>
        </w:rPr>
        <w:t>Chart</w:t>
      </w:r>
      <w:r w:rsidR="0046756C"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1</w:t>
      </w:r>
      <w:r w:rsidR="005B4FA9" w:rsidRPr="007A1B09">
        <w:rPr>
          <w:noProof/>
          <w:lang w:val="en-GB"/>
        </w:rPr>
        <w:fldChar w:fldCharType="end"/>
      </w:r>
      <w:r w:rsidR="0046756C" w:rsidRPr="007A1B09">
        <w:rPr>
          <w:lang w:val="en-GB"/>
        </w:rPr>
        <w:t xml:space="preserve">: </w:t>
      </w:r>
      <w:r w:rsidR="00CD03EE">
        <w:rPr>
          <w:lang w:val="en-GB"/>
        </w:rPr>
        <w:t>Balance of the government sector</w:t>
      </w:r>
      <w:r w:rsidR="0046756C" w:rsidRPr="007A1B09">
        <w:rPr>
          <w:lang w:val="en-GB"/>
        </w:rPr>
        <w:t xml:space="preserve"> (% </w:t>
      </w:r>
      <w:r w:rsidR="00CD03EE">
        <w:rPr>
          <w:lang w:val="en-GB"/>
        </w:rPr>
        <w:t>G</w:t>
      </w:r>
      <w:r w:rsidR="0046756C" w:rsidRPr="007A1B09">
        <w:rPr>
          <w:lang w:val="en-GB"/>
        </w:rPr>
        <w:t>DP)</w:t>
      </w:r>
      <w:r w:rsidR="00CC27D7" w:rsidRPr="007A1B09">
        <w:rPr>
          <w:lang w:val="en-GB"/>
        </w:rPr>
        <w:t xml:space="preserve"> </w:t>
      </w:r>
      <w:r w:rsidR="00CD03EE">
        <w:rPr>
          <w:lang w:val="en-GB"/>
        </w:rPr>
        <w:t>according to</w:t>
      </w:r>
      <w:r w:rsidR="00C75266" w:rsidRPr="007A1B09">
        <w:rPr>
          <w:lang w:val="en-GB"/>
        </w:rPr>
        <w:t xml:space="preserve"> ESA 95</w:t>
      </w:r>
    </w:p>
    <w:p w:rsidR="00810A17" w:rsidRPr="007A1B09" w:rsidRDefault="009D694C" w:rsidP="00810A17">
      <w:pPr>
        <w:keepNext/>
        <w:rPr>
          <w:lang w:val="en-GB"/>
        </w:rPr>
      </w:pPr>
      <w:r w:rsidRPr="007A1B09">
        <w:rPr>
          <w:noProof/>
          <w:lang w:eastAsia="cs-CZ"/>
        </w:rPr>
        <w:drawing>
          <wp:inline distT="0" distB="0" distL="0" distR="0" wp14:anchorId="19F995CA" wp14:editId="16F43031">
            <wp:extent cx="5764696" cy="2504660"/>
            <wp:effectExtent l="0" t="0" r="26670" b="1016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756C" w:rsidRPr="007A1B09" w:rsidRDefault="00CD03EE" w:rsidP="00810A17">
      <w:pPr>
        <w:pStyle w:val="Titulek"/>
        <w:jc w:val="right"/>
        <w:rPr>
          <w:lang w:val="en-GB"/>
        </w:rPr>
      </w:pPr>
      <w:r>
        <w:rPr>
          <w:lang w:val="en-GB"/>
        </w:rPr>
        <w:t>Source</w:t>
      </w:r>
      <w:r w:rsidR="00810A17" w:rsidRPr="007A1B09">
        <w:rPr>
          <w:lang w:val="en-GB"/>
        </w:rPr>
        <w:t xml:space="preserve">: </w:t>
      </w:r>
      <w:r>
        <w:rPr>
          <w:lang w:val="en-GB"/>
        </w:rPr>
        <w:t>Convergence</w:t>
      </w:r>
      <w:r w:rsidR="00C75266" w:rsidRPr="007A1B09">
        <w:rPr>
          <w:lang w:val="en-GB"/>
        </w:rPr>
        <w:t xml:space="preserve"> program</w:t>
      </w:r>
      <w:r>
        <w:rPr>
          <w:lang w:val="en-GB"/>
        </w:rPr>
        <w:t>me of the Czech Republic</w:t>
      </w:r>
      <w:r w:rsidR="00C75266" w:rsidRPr="007A1B09">
        <w:rPr>
          <w:lang w:val="en-GB"/>
        </w:rPr>
        <w:t xml:space="preserve"> 2014 </w:t>
      </w:r>
      <w:r>
        <w:rPr>
          <w:lang w:val="en-GB"/>
        </w:rPr>
        <w:t>-</w:t>
      </w:r>
      <w:r w:rsidR="00C75266" w:rsidRPr="007A1B09">
        <w:rPr>
          <w:lang w:val="en-GB"/>
        </w:rPr>
        <w:t xml:space="preserve"> 2017</w:t>
      </w:r>
    </w:p>
    <w:p w:rsidR="00CD03EE" w:rsidRPr="00CD03EE" w:rsidRDefault="00CD03EE" w:rsidP="00CD03EE">
      <w:pPr>
        <w:pStyle w:val="Nadpis3"/>
        <w:numPr>
          <w:ilvl w:val="2"/>
          <w:numId w:val="4"/>
        </w:numPr>
        <w:ind w:left="851" w:hanging="851"/>
        <w:rPr>
          <w:lang w:val="en-GB"/>
        </w:rPr>
      </w:pPr>
      <w:bookmarkStart w:id="12" w:name="_Toc385945986"/>
      <w:r w:rsidRPr="00CD03EE">
        <w:rPr>
          <w:lang w:val="en-GB"/>
        </w:rPr>
        <w:t>Budget strategy 2014-2017</w:t>
      </w:r>
      <w:bookmarkEnd w:id="12"/>
    </w:p>
    <w:p w:rsidR="00CD03EE" w:rsidRPr="00CD03EE" w:rsidRDefault="00CD03EE" w:rsidP="00CD03EE">
      <w:pPr>
        <w:rPr>
          <w:lang w:val="en-GB"/>
        </w:rPr>
      </w:pPr>
      <w:r w:rsidRPr="00CD03EE">
        <w:rPr>
          <w:lang w:val="en-GB"/>
        </w:rPr>
        <w:t>Based on the April Notifications we expect a 1.8% GDP government sector deficit in 2014. The middle-term fiscal strategy envisages 2.3% GDP deficits for 2015 and 2016, at the prediction’s horizon the deficit should decrease to 2.0% GDP due to the estimated higher dynamics of the economy.</w:t>
      </w:r>
    </w:p>
    <w:p w:rsidR="00CD03EE" w:rsidRPr="00CD03EE" w:rsidRDefault="00CD03EE" w:rsidP="00CD03EE">
      <w:pPr>
        <w:rPr>
          <w:lang w:val="en-GB"/>
        </w:rPr>
      </w:pPr>
      <w:r w:rsidRPr="00CD03EE">
        <w:rPr>
          <w:lang w:val="en-GB"/>
        </w:rPr>
        <w:t>The fiscal effort, a year-on-year change of the structural balance, is set to be slightly stimulati</w:t>
      </w:r>
      <w:r>
        <w:rPr>
          <w:lang w:val="en-GB"/>
        </w:rPr>
        <w:t>ng</w:t>
      </w:r>
      <w:r w:rsidRPr="00CD03EE">
        <w:rPr>
          <w:lang w:val="en-GB"/>
        </w:rPr>
        <w:t xml:space="preserve">, in part due to the economy’s expected negative position in the cycle during outlook period. The rate of domestic economy growth support should gradually decrease during the middle-term budget outlook towards the neutral fiscal policy setting in 2017, which de facto corresponds with the expected closing of the production gap this year. </w:t>
      </w:r>
    </w:p>
    <w:p w:rsidR="00CD03EE" w:rsidRPr="00CD03EE" w:rsidRDefault="00CD03EE" w:rsidP="00CD03EE">
      <w:pPr>
        <w:rPr>
          <w:lang w:val="en-GB"/>
        </w:rPr>
      </w:pPr>
      <w:r w:rsidRPr="00CD03EE">
        <w:rPr>
          <w:lang w:val="en-GB"/>
        </w:rPr>
        <w:t xml:space="preserve">The fiscally most important changes planned by the current government are related to the setting of VAT rates. Firstly the second reduced rate will be implemented in 2015 and subsequently the basic and reduced VAT rates will be reduced by 1 percentage point in 2016. Partial changes will be made to the settings of several parameters of the personal income tax (e.g. the restoration of the basic reduction for working pensioners from 2015, increase of the tax deduction for the 2nd and subsequent children or the restriction of the self-employed persons’ possibility to use flat rate expenses). The loss of income that will result from these measures will be largely compensated by the abolishment of the reform of direct taxes and levies in relation to the implementation of the Single Collection Place. </w:t>
      </w:r>
    </w:p>
    <w:p w:rsidR="00243E51" w:rsidRPr="007A1B09" w:rsidRDefault="00CD03EE" w:rsidP="00CD03EE">
      <w:pPr>
        <w:rPr>
          <w:lang w:val="en-GB"/>
        </w:rPr>
      </w:pPr>
      <w:r w:rsidRPr="00CD03EE">
        <w:rPr>
          <w:lang w:val="en-GB"/>
        </w:rPr>
        <w:t>The level of government sector’s expenditure will be also affected by the removal of the restrictions of the indexation formula for pensions starting in 2015, the restricted growth of several welfare benefits or a mild growth of employee compensation in state administration. A larger amount of funding will be directed to the healthcare sector. The fiscal strategy of the new government is provided in more detail in the updated Convergence Programme of the Czech Republic.</w:t>
      </w:r>
    </w:p>
    <w:p w:rsidR="003237CF" w:rsidRPr="00CD03EE" w:rsidRDefault="00CD03EE" w:rsidP="00CD03EE">
      <w:pPr>
        <w:pStyle w:val="Nadpis3"/>
        <w:numPr>
          <w:ilvl w:val="2"/>
          <w:numId w:val="4"/>
        </w:numPr>
        <w:ind w:left="851" w:hanging="851"/>
        <w:rPr>
          <w:lang w:val="en-GB"/>
        </w:rPr>
      </w:pPr>
      <w:bookmarkStart w:id="13" w:name="_Toc385945987"/>
      <w:r w:rsidRPr="00CD03EE">
        <w:rPr>
          <w:lang w:val="en-GB"/>
        </w:rPr>
        <w:t>Drawing European funds within the 2007 - 2013 programm</w:t>
      </w:r>
      <w:r>
        <w:rPr>
          <w:lang w:val="en-GB"/>
        </w:rPr>
        <w:t>ing</w:t>
      </w:r>
      <w:r w:rsidRPr="00CD03EE">
        <w:rPr>
          <w:lang w:val="en-GB"/>
        </w:rPr>
        <w:t xml:space="preserve"> period</w:t>
      </w:r>
      <w:bookmarkEnd w:id="13"/>
      <w:r w:rsidRPr="00CD03EE">
        <w:rPr>
          <w:lang w:val="en-GB"/>
        </w:rPr>
        <w:t xml:space="preserve"> </w:t>
      </w:r>
    </w:p>
    <w:p w:rsidR="00CD03EE" w:rsidRPr="00CD03EE" w:rsidRDefault="00CD03EE" w:rsidP="00CD03EE">
      <w:pPr>
        <w:rPr>
          <w:lang w:val="en-GB"/>
        </w:rPr>
      </w:pPr>
      <w:r w:rsidRPr="00CD03EE">
        <w:rPr>
          <w:lang w:val="en-GB"/>
        </w:rPr>
        <w:t>The 2007 - 2013 programming period is approaching the final phase of its closure. Funding in the amount of ca. 12 bn. EUR – or 46.1% of the allocation (data as of 1</w:t>
      </w:r>
      <w:r w:rsidRPr="00CD03EE">
        <w:rPr>
          <w:vertAlign w:val="superscript"/>
          <w:lang w:val="en-GB"/>
        </w:rPr>
        <w:t>st</w:t>
      </w:r>
      <w:r w:rsidRPr="00CD03EE">
        <w:rPr>
          <w:lang w:val="en-GB"/>
        </w:rPr>
        <w:t xml:space="preserve"> April 2014) - remains to be sent to the European Commission. As of the same date 91% of the 2007 -2013 programme period allocation is </w:t>
      </w:r>
      <w:r w:rsidRPr="00CD03EE">
        <w:rPr>
          <w:lang w:val="en-GB"/>
        </w:rPr>
        <w:lastRenderedPageBreak/>
        <w:t xml:space="preserve">covered by Decisions/Agreements to Award a Grant. The state budget allows for sufficient funds for financing projects that are co-financed from the European funds. </w:t>
      </w:r>
    </w:p>
    <w:p w:rsidR="00CD03EE" w:rsidRPr="00CD03EE" w:rsidRDefault="00CD03EE" w:rsidP="00CD03EE">
      <w:pPr>
        <w:rPr>
          <w:lang w:val="en-GB"/>
        </w:rPr>
      </w:pPr>
      <w:r w:rsidRPr="00CD03EE">
        <w:rPr>
          <w:lang w:val="en-GB"/>
        </w:rPr>
        <w:t xml:space="preserve">The Czech Republic did not manage to completely fulfil the n+2 and n+ 3 rules, when it had to draw funds allocated for the year 2010 (when the n+3 rule applied for the Czech Republic) as well as for 2011 (when the n+2 rule started to apply). Therefore the Czech Republic had to draw ca. 65% of all funds allocated for this period, whereas it failed to draw almost 3% of this amount (ca. 12 bn. CZK calculated with the January exchange rate), which will be irreversibly forfeited, unless the Czech Republic succeeds in negotiating an exception with the European Commission. A possible exception is the application of Article 95 of the General Regulation, according to which The amount potentially concerned by automatic </w:t>
      </w:r>
      <w:proofErr w:type="spellStart"/>
      <w:r w:rsidRPr="00CD03EE">
        <w:rPr>
          <w:lang w:val="en-GB"/>
        </w:rPr>
        <w:t>decommitment</w:t>
      </w:r>
      <w:proofErr w:type="spellEnd"/>
      <w:r w:rsidRPr="00CD03EE">
        <w:rPr>
          <w:lang w:val="en-GB"/>
        </w:rPr>
        <w:t xml:space="preserve"> shall be reduced by the amounts that the certifying authority has not been able to declare to the Commission because of operations suspended by a legal proceeding or an administrative appeal having suspensory effect (e.g. proceedings within the Office for the Protection of Competition or criminal proceedings). Another exception is the application of Article 96 of the General Regulation, which enables taking into account the so-called “force majeure” – in case of the Czech Republic reasons related to force majeure could be the 2013 floods and the economic crisis. The Czech Republic is currently in intensive negotiations with the European Commission regarding the possibilities of application of these rules with the aim to reduce the automatic </w:t>
      </w:r>
      <w:proofErr w:type="spellStart"/>
      <w:r w:rsidRPr="00CD03EE">
        <w:rPr>
          <w:lang w:val="en-GB"/>
        </w:rPr>
        <w:t>decommitment</w:t>
      </w:r>
      <w:proofErr w:type="spellEnd"/>
      <w:r w:rsidRPr="00CD03EE">
        <w:rPr>
          <w:lang w:val="en-GB"/>
        </w:rPr>
        <w:t xml:space="preserve"> for 2013.</w:t>
      </w:r>
    </w:p>
    <w:p w:rsidR="00CD03EE" w:rsidRPr="00CD03EE" w:rsidRDefault="00CD03EE" w:rsidP="00CD03EE">
      <w:pPr>
        <w:rPr>
          <w:lang w:val="en-GB"/>
        </w:rPr>
      </w:pPr>
      <w:r w:rsidRPr="00CD03EE">
        <w:rPr>
          <w:lang w:val="en-GB"/>
        </w:rPr>
        <w:t>The governing bodies of operational programmes must by the end of 2014 fulfil the n+2 rule for allocation of the year 2012 and draw the remaining allocation by the end of the 2007-2013 programme period, i.e. by 31</w:t>
      </w:r>
      <w:r w:rsidRPr="00CD03EE">
        <w:rPr>
          <w:vertAlign w:val="superscript"/>
          <w:lang w:val="en-GB"/>
        </w:rPr>
        <w:t>st</w:t>
      </w:r>
      <w:r w:rsidRPr="00CD03EE">
        <w:rPr>
          <w:lang w:val="en-GB"/>
        </w:rPr>
        <w:t xml:space="preserve"> March 2017. Therefore one of the government’s main priorities will be to ensure that the Czech Republic fulfils its obligation to the European Commission at the end of 2014 and minimizes the loss of funding from the Structural Funds and the Cohesion Fund and that the operational programmes make maximum effort to draw the total allocation of the 2007-2013 programme period. This effort will be supported both by system measures implemented at the National Strategic Referential Framework level, which will be applied if needed for high-risk operational programmes, and  ad hoc interventions in individual high-risk cases. The Czech Republic also identified several weak areas of the implementation structure and is currently preparing legislative as well as non-legislative measures leading to the streamlining and unification of processes while respecting the rules of efficient and transparent drawing. The Czech Republic will also focus on the coordination of the closure of the 2007-2013 programme period as well as ensuring sufficient administrative capacities.</w:t>
      </w:r>
    </w:p>
    <w:p w:rsidR="00DF4B71" w:rsidRPr="007A1B09" w:rsidRDefault="00DF4B71" w:rsidP="00E8123F">
      <w:pPr>
        <w:rPr>
          <w:lang w:val="en-GB"/>
        </w:rPr>
      </w:pPr>
    </w:p>
    <w:p w:rsidR="00E6007B" w:rsidRPr="007A1B09" w:rsidRDefault="00CD03EE" w:rsidP="00E6007B">
      <w:pPr>
        <w:pStyle w:val="Nadpis2"/>
        <w:numPr>
          <w:ilvl w:val="1"/>
          <w:numId w:val="4"/>
        </w:numPr>
        <w:ind w:left="851" w:hanging="851"/>
        <w:rPr>
          <w:lang w:val="en-GB"/>
        </w:rPr>
      </w:pPr>
      <w:bookmarkStart w:id="14" w:name="_Toc385945988"/>
      <w:r>
        <w:rPr>
          <w:lang w:val="en-GB"/>
        </w:rPr>
        <w:t>Tax policy</w:t>
      </w:r>
      <w:bookmarkEnd w:id="14"/>
    </w:p>
    <w:p w:rsidR="00E6007B" w:rsidRPr="007A1B09" w:rsidRDefault="00CD03EE" w:rsidP="00E6007B">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CD03EE">
        <w:rPr>
          <w:b/>
          <w:color w:val="9B2D1F" w:themeColor="accent2"/>
          <w:lang w:val="en-GB"/>
        </w:rPr>
        <w:t>Council recommendation No.2</w:t>
      </w:r>
      <w:r w:rsidR="00E6007B" w:rsidRPr="007A1B09">
        <w:rPr>
          <w:b/>
          <w:color w:val="9B2D1F" w:themeColor="accent2"/>
          <w:lang w:val="en-GB"/>
        </w:rPr>
        <w:t>:</w:t>
      </w:r>
      <w:r w:rsidR="00E6007B" w:rsidRPr="007A1B09">
        <w:rPr>
          <w:lang w:val="en-GB"/>
        </w:rPr>
        <w:t xml:space="preserve"> </w:t>
      </w:r>
      <w:r w:rsidRPr="00CD03EE">
        <w:rPr>
          <w:color w:val="D41616"/>
          <w:lang w:val="en-GB"/>
        </w:rPr>
        <w:t>Reduce the high level of taxation on labour by shifting taxation to areas less detrimental to growth, such as recurrent taxes on housing and vehicle circulation taxes. Further reduce discrepancies in the tax treatment of employees and the self-employed. Improve tax compliance and reduce compliance costs by establishing a Single Collection Point and harmoni</w:t>
      </w:r>
      <w:r w:rsidRPr="00CD03EE">
        <w:rPr>
          <w:color w:val="D41616"/>
          <w:lang w:val="en-GB"/>
        </w:rPr>
        <w:t>s</w:t>
      </w:r>
      <w:r w:rsidRPr="00CD03EE">
        <w:rPr>
          <w:color w:val="D41616"/>
          <w:lang w:val="en-GB"/>
        </w:rPr>
        <w:t>ing the tax bases for personal income tax and health and social contributions</w:t>
      </w:r>
      <w:r>
        <w:rPr>
          <w:color w:val="D41616"/>
          <w:lang w:val="en-GB"/>
        </w:rPr>
        <w:t>.</w:t>
      </w:r>
    </w:p>
    <w:p w:rsidR="00350D80" w:rsidRPr="00B5563B" w:rsidRDefault="00B5563B" w:rsidP="00B5563B">
      <w:pPr>
        <w:pStyle w:val="Nadpis3"/>
        <w:numPr>
          <w:ilvl w:val="2"/>
          <w:numId w:val="4"/>
        </w:numPr>
        <w:ind w:left="851" w:hanging="851"/>
        <w:rPr>
          <w:lang w:val="en-GB"/>
        </w:rPr>
      </w:pPr>
      <w:bookmarkStart w:id="15" w:name="_Toc385945989"/>
      <w:r w:rsidRPr="00B5563B">
        <w:rPr>
          <w:lang w:val="en-GB"/>
        </w:rPr>
        <w:t>Tax system changes</w:t>
      </w:r>
      <w:bookmarkEnd w:id="15"/>
    </w:p>
    <w:p w:rsidR="00B5563B" w:rsidRPr="00B5563B" w:rsidRDefault="00B5563B" w:rsidP="00B5563B">
      <w:pPr>
        <w:rPr>
          <w:lang w:val="en-GB"/>
        </w:rPr>
      </w:pPr>
      <w:r w:rsidRPr="00B5563B">
        <w:rPr>
          <w:lang w:val="en-GB"/>
        </w:rPr>
        <w:t>The government will make changes to the tax system so that taxes will not hinder growth and at the same time strengthen solidarity and contribute to better tax collection.</w:t>
      </w:r>
    </w:p>
    <w:p w:rsidR="00B5563B" w:rsidRPr="00B5563B" w:rsidRDefault="00B5563B" w:rsidP="00B5563B">
      <w:pPr>
        <w:rPr>
          <w:lang w:val="en-GB"/>
        </w:rPr>
      </w:pPr>
      <w:r w:rsidRPr="00B5563B">
        <w:rPr>
          <w:lang w:val="en-GB"/>
        </w:rPr>
        <w:t xml:space="preserve">The </w:t>
      </w:r>
      <w:r w:rsidRPr="00B5563B">
        <w:rPr>
          <w:b/>
          <w:lang w:val="en-GB"/>
        </w:rPr>
        <w:t>property transfer tax</w:t>
      </w:r>
      <w:r w:rsidRPr="00B5563B">
        <w:rPr>
          <w:lang w:val="en-GB"/>
        </w:rPr>
        <w:t xml:space="preserve"> was increased by 1 percentage point in 2013. Such adjustment aims to increase the tax income of the state budget by increasing taxes in the area of housing in such manner that will have the least negative effect on growth. In 2014 there will be a gradual increase in consumer taxes on </w:t>
      </w:r>
      <w:r w:rsidRPr="00B5563B">
        <w:rPr>
          <w:lang w:val="en-GB"/>
        </w:rPr>
        <w:lastRenderedPageBreak/>
        <w:t xml:space="preserve">tobacco products and the reintroduction of the tax returns for mineral oils for persons who use these oils for agricultural primary production. </w:t>
      </w:r>
    </w:p>
    <w:p w:rsidR="00B5563B" w:rsidRPr="00B5563B" w:rsidRDefault="00B5563B" w:rsidP="00B5563B">
      <w:pPr>
        <w:rPr>
          <w:lang w:val="en-GB"/>
        </w:rPr>
      </w:pPr>
      <w:r w:rsidRPr="00B5563B">
        <w:rPr>
          <w:lang w:val="en-GB"/>
        </w:rPr>
        <w:t xml:space="preserve">The government currently analyses possible proposals and impacts of tax adjustments from 2016 onwards, which are related to the increased </w:t>
      </w:r>
      <w:r w:rsidRPr="00B5563B">
        <w:rPr>
          <w:b/>
          <w:lang w:val="en-GB"/>
        </w:rPr>
        <w:t>levies from gambling and taxation of internet lotteries</w:t>
      </w:r>
      <w:r w:rsidRPr="00B5563B">
        <w:rPr>
          <w:lang w:val="en-GB"/>
        </w:rPr>
        <w:t xml:space="preserve"> or the introduction of </w:t>
      </w:r>
      <w:r w:rsidRPr="00B5563B">
        <w:rPr>
          <w:b/>
          <w:lang w:val="en-GB"/>
        </w:rPr>
        <w:t>sector taxes</w:t>
      </w:r>
      <w:r w:rsidRPr="00B5563B">
        <w:rPr>
          <w:lang w:val="en-GB"/>
        </w:rPr>
        <w:t xml:space="preserve"> for several regulated industries such as telecommunication, energetics or finance. A decision will be made based on the results of these analyses regarding the further process of implementation of these tax measures.</w:t>
      </w:r>
    </w:p>
    <w:p w:rsidR="00B5563B" w:rsidRPr="00B5563B" w:rsidRDefault="00B5563B" w:rsidP="00B5563B">
      <w:pPr>
        <w:rPr>
          <w:lang w:val="en-GB"/>
        </w:rPr>
      </w:pPr>
      <w:r w:rsidRPr="00B5563B">
        <w:rPr>
          <w:lang w:val="en-GB"/>
        </w:rPr>
        <w:t xml:space="preserve">The government will also increase the </w:t>
      </w:r>
      <w:r w:rsidRPr="00B5563B">
        <w:rPr>
          <w:b/>
          <w:lang w:val="en-GB"/>
        </w:rPr>
        <w:t xml:space="preserve">tax benefits for the second and subsequent child </w:t>
      </w:r>
      <w:r w:rsidRPr="00B5563B">
        <w:rPr>
          <w:lang w:val="en-GB"/>
        </w:rPr>
        <w:t>with the aim to support families. Drafts of specific parameters of this tax benefit are being prepared at this time.</w:t>
      </w:r>
    </w:p>
    <w:p w:rsidR="00B5563B" w:rsidRPr="00B5563B" w:rsidRDefault="00B5563B" w:rsidP="00B5563B">
      <w:pPr>
        <w:rPr>
          <w:lang w:val="en-GB"/>
        </w:rPr>
      </w:pPr>
      <w:r w:rsidRPr="00B5563B">
        <w:rPr>
          <w:lang w:val="en-GB"/>
        </w:rPr>
        <w:t>The government will decrease the</w:t>
      </w:r>
      <w:r w:rsidRPr="00B5563B">
        <w:rPr>
          <w:b/>
          <w:lang w:val="en-GB"/>
        </w:rPr>
        <w:t xml:space="preserve"> VAT for medicaments and books</w:t>
      </w:r>
      <w:r w:rsidRPr="00B5563B">
        <w:rPr>
          <w:lang w:val="en-GB"/>
        </w:rPr>
        <w:t xml:space="preserve"> in 2015.The government will also decrease the </w:t>
      </w:r>
      <w:r w:rsidRPr="00B5563B">
        <w:rPr>
          <w:b/>
          <w:lang w:val="en-GB"/>
        </w:rPr>
        <w:t>VAT for irreplaceable child nutrition</w:t>
      </w:r>
      <w:r w:rsidRPr="00B5563B">
        <w:rPr>
          <w:lang w:val="en-GB"/>
        </w:rPr>
        <w:t>.</w:t>
      </w:r>
    </w:p>
    <w:p w:rsidR="006C507D" w:rsidRPr="007A1B09" w:rsidRDefault="00B5563B" w:rsidP="00B5563B">
      <w:pPr>
        <w:rPr>
          <w:b/>
          <w:lang w:val="en-GB"/>
        </w:rPr>
      </w:pPr>
      <w:r w:rsidRPr="00B5563B">
        <w:rPr>
          <w:lang w:val="en-GB"/>
        </w:rPr>
        <w:t xml:space="preserve">The government plans to keep the mild tax progression at the current level of the so-called solidary surcharge, which should be a part of the new concept of gross wages starting from 2016, instead of the current super-gross wages. The change of the concept from the super-gross wage to gross wage will be implemented so that the current tax rate will be kept. Also within solidarity </w:t>
      </w:r>
      <w:r w:rsidRPr="00B5563B">
        <w:rPr>
          <w:b/>
          <w:lang w:val="en-GB"/>
        </w:rPr>
        <w:t>the ceilings for health insurance levies</w:t>
      </w:r>
      <w:r w:rsidRPr="00B5563B">
        <w:rPr>
          <w:lang w:val="en-GB"/>
        </w:rPr>
        <w:t xml:space="preserve"> will be permanently removed starting in 2016.</w:t>
      </w:r>
    </w:p>
    <w:p w:rsidR="003237CF" w:rsidRPr="00B5563B" w:rsidRDefault="00B5563B" w:rsidP="00B5563B">
      <w:pPr>
        <w:pStyle w:val="Nadpis3"/>
        <w:numPr>
          <w:ilvl w:val="2"/>
          <w:numId w:val="4"/>
        </w:numPr>
        <w:ind w:left="851" w:hanging="851"/>
        <w:rPr>
          <w:lang w:val="en-GB"/>
        </w:rPr>
      </w:pPr>
      <w:bookmarkStart w:id="16" w:name="_Toc385945990"/>
      <w:r w:rsidRPr="00B5563B">
        <w:rPr>
          <w:lang w:val="en-GB"/>
        </w:rPr>
        <w:t>Restriction of the self-employed persons’ possibility to use flat rate expenses</w:t>
      </w:r>
      <w:bookmarkEnd w:id="16"/>
    </w:p>
    <w:p w:rsidR="00B5563B" w:rsidRDefault="00B5563B" w:rsidP="00B5563B">
      <w:pPr>
        <w:rPr>
          <w:lang w:val="en-GB"/>
        </w:rPr>
      </w:pPr>
      <w:r>
        <w:rPr>
          <w:lang w:val="en-GB"/>
        </w:rPr>
        <w:t>In 2013 the absolute ceilings for entrepreneurs’ flat rate expenses were set. At the same time restrictions were introduced for the tax deductions for dependent children and spouses without their own income for persons, who use flat rate expenses.</w:t>
      </w:r>
    </w:p>
    <w:p w:rsidR="00B5563B" w:rsidRDefault="00B5563B" w:rsidP="00B5563B">
      <w:pPr>
        <w:rPr>
          <w:lang w:val="en-GB"/>
        </w:rPr>
      </w:pPr>
      <w:r>
        <w:rPr>
          <w:lang w:val="en-GB"/>
        </w:rPr>
        <w:t xml:space="preserve">The government will further reduce the flat rate expenses for self-employed persons (SEP) with an absolute amount of 1.2 mil. CZK for activities with 60% flat rate expenses. The  application of the basic tax allowance for a taxpayer should also be restricted. Upon analysing the levies for employees and SEP to the public budgets the government will propose measures, which will contribute to a </w:t>
      </w:r>
      <w:r w:rsidRPr="003004E4">
        <w:rPr>
          <w:b/>
          <w:lang w:val="en-GB"/>
        </w:rPr>
        <w:t>more just spread of costs of financing public services</w:t>
      </w:r>
      <w:r>
        <w:rPr>
          <w:lang w:val="en-GB"/>
        </w:rPr>
        <w:t>. SEP who record no profit in the long term, with the exception of their starting year + 3 years, shall not have the possibility to apply some of the tax allowances.</w:t>
      </w:r>
    </w:p>
    <w:p w:rsidR="006C507D" w:rsidRPr="007A1B09" w:rsidRDefault="00B5563B" w:rsidP="006C507D">
      <w:pPr>
        <w:rPr>
          <w:lang w:val="en-GB"/>
        </w:rPr>
      </w:pPr>
      <w:r>
        <w:rPr>
          <w:lang w:val="en-GB"/>
        </w:rPr>
        <w:t xml:space="preserve">By implementing the above mentioned measures the tax burden of employees and SEP will be brought slightly more even. The work on the </w:t>
      </w:r>
      <w:r w:rsidRPr="00FE1C56">
        <w:rPr>
          <w:b/>
          <w:lang w:val="en-GB"/>
        </w:rPr>
        <w:t>harmonized taxes and insurance</w:t>
      </w:r>
      <w:r>
        <w:rPr>
          <w:lang w:val="en-GB"/>
        </w:rPr>
        <w:t xml:space="preserve"> </w:t>
      </w:r>
      <w:r>
        <w:rPr>
          <w:b/>
          <w:lang w:val="en-GB"/>
        </w:rPr>
        <w:t xml:space="preserve">bases </w:t>
      </w:r>
      <w:r>
        <w:rPr>
          <w:lang w:val="en-GB"/>
        </w:rPr>
        <w:t xml:space="preserve">are also </w:t>
      </w:r>
      <w:r w:rsidR="003174B0">
        <w:rPr>
          <w:lang w:val="en-GB"/>
        </w:rPr>
        <w:t xml:space="preserve">on-going. </w:t>
      </w:r>
      <w:r>
        <w:rPr>
          <w:lang w:val="en-GB"/>
        </w:rPr>
        <w:t xml:space="preserve">The parametrical changes of harmonized base rates, which are expected to come into force in 2016, should bring the current valid tax rates of SEP and employees closer together. </w:t>
      </w:r>
    </w:p>
    <w:p w:rsidR="003237CF" w:rsidRPr="00B5563B" w:rsidRDefault="00B5563B" w:rsidP="00B5563B">
      <w:pPr>
        <w:pStyle w:val="Nadpis3"/>
        <w:numPr>
          <w:ilvl w:val="2"/>
          <w:numId w:val="4"/>
        </w:numPr>
        <w:ind w:left="851" w:hanging="851"/>
        <w:rPr>
          <w:lang w:val="en-GB"/>
        </w:rPr>
      </w:pPr>
      <w:bookmarkStart w:id="17" w:name="_Toc385945991"/>
      <w:r w:rsidRPr="00B5563B">
        <w:rPr>
          <w:lang w:val="en-GB"/>
        </w:rPr>
        <w:t>Improvement of tax collection and combatting tax evasion</w:t>
      </w:r>
      <w:bookmarkEnd w:id="17"/>
    </w:p>
    <w:p w:rsidR="00B5563B" w:rsidRDefault="00B5563B" w:rsidP="00B5563B">
      <w:pPr>
        <w:rPr>
          <w:lang w:val="en-GB"/>
        </w:rPr>
      </w:pPr>
      <w:r>
        <w:rPr>
          <w:lang w:val="en-GB"/>
        </w:rPr>
        <w:t>The government shall abolish the Act No. 458/2011 Coll. related to the establishment of the Single Collection Place (SCP). The current valid version of the law, which was approved in 2012, does not correspond with the current legislative state of other related legal provisions or the legislative intent of the government. The key ideas of the SCP, which are the streamlining of the collection and administration of taxes and insurance fees and the reduction of the risk of tax collection shortage, are nevertheless supported by the government. The proposed changes will be devised so that there would be no shortage in tax collection, i.e. they will be budget neutral. The currently valid changes, which further reduced the tax burden of SEP in comparison to employees, were removed from the SCP concept. As for the unification of tax and insurance bases the original purpose of the SCP will remain unchanged. The aim of the government is the complete unification of the bases for the calculation of social and health insurance as a budget neutral change, which will also reduce the taxpayers’ costs.</w:t>
      </w:r>
    </w:p>
    <w:p w:rsidR="00B5563B" w:rsidRDefault="00B5563B" w:rsidP="00B5563B">
      <w:pPr>
        <w:rPr>
          <w:lang w:val="en-GB"/>
        </w:rPr>
      </w:pPr>
      <w:r>
        <w:rPr>
          <w:lang w:val="en-GB"/>
        </w:rPr>
        <w:t xml:space="preserve">The government is preparing several other measures to improve tax collection. Among these are the </w:t>
      </w:r>
      <w:r w:rsidRPr="00725841">
        <w:rPr>
          <w:b/>
          <w:lang w:val="en-GB"/>
        </w:rPr>
        <w:t>digitization of the tax administration</w:t>
      </w:r>
      <w:r>
        <w:rPr>
          <w:lang w:val="en-GB"/>
        </w:rPr>
        <w:t xml:space="preserve">, </w:t>
      </w:r>
      <w:r w:rsidRPr="00725841">
        <w:rPr>
          <w:b/>
          <w:lang w:val="en-GB"/>
        </w:rPr>
        <w:t>performing efficient checks of profits</w:t>
      </w:r>
      <w:r>
        <w:rPr>
          <w:lang w:val="en-GB"/>
        </w:rPr>
        <w:t xml:space="preserve"> from retail and services, the </w:t>
      </w:r>
      <w:r w:rsidRPr="00725841">
        <w:rPr>
          <w:b/>
          <w:lang w:val="en-GB"/>
        </w:rPr>
        <w:t>lowering of the limit for cash payments</w:t>
      </w:r>
      <w:r>
        <w:rPr>
          <w:lang w:val="en-GB"/>
        </w:rPr>
        <w:t xml:space="preserve"> (from 15 000 to 10 000 EUR), implementation of </w:t>
      </w:r>
      <w:r w:rsidRPr="00725841">
        <w:rPr>
          <w:b/>
          <w:lang w:val="en-GB"/>
        </w:rPr>
        <w:t xml:space="preserve">special </w:t>
      </w:r>
      <w:r w:rsidRPr="00725841">
        <w:rPr>
          <w:b/>
          <w:lang w:val="en-GB"/>
        </w:rPr>
        <w:lastRenderedPageBreak/>
        <w:t>information duties</w:t>
      </w:r>
      <w:r>
        <w:rPr>
          <w:lang w:val="en-GB"/>
        </w:rPr>
        <w:t xml:space="preserve"> regarding payments from natural and legal entities to subjects in tax paradises, the introduction of the </w:t>
      </w:r>
      <w:r w:rsidRPr="00725841">
        <w:rPr>
          <w:b/>
          <w:lang w:val="en-GB"/>
        </w:rPr>
        <w:t>obligation to prove the origin of assets</w:t>
      </w:r>
      <w:r>
        <w:rPr>
          <w:lang w:val="en-GB"/>
        </w:rPr>
        <w:t xml:space="preserve"> and the s</w:t>
      </w:r>
      <w:r w:rsidRPr="00725841">
        <w:rPr>
          <w:b/>
          <w:lang w:val="en-GB"/>
        </w:rPr>
        <w:t>trengthening of the tax administr</w:t>
      </w:r>
      <w:r w:rsidRPr="00725841">
        <w:rPr>
          <w:b/>
          <w:lang w:val="en-GB"/>
        </w:rPr>
        <w:t>a</w:t>
      </w:r>
      <w:r w:rsidRPr="00725841">
        <w:rPr>
          <w:b/>
          <w:lang w:val="en-GB"/>
        </w:rPr>
        <w:t>tion</w:t>
      </w:r>
      <w:r>
        <w:rPr>
          <w:lang w:val="en-GB"/>
        </w:rPr>
        <w:t xml:space="preserve"> both in terms of technology and personnel. The basic possible measure, which could improve the digitization of the tax administration, which would result among others in higher efficiency of the tax administrators, is the general implementation of electronic submission of tax returns in 2015.</w:t>
      </w:r>
    </w:p>
    <w:p w:rsidR="00B5563B" w:rsidRDefault="00B5563B" w:rsidP="00B5563B">
      <w:pPr>
        <w:rPr>
          <w:lang w:val="en-GB"/>
        </w:rPr>
      </w:pPr>
      <w:r>
        <w:rPr>
          <w:lang w:val="en-GB"/>
        </w:rPr>
        <w:t>The government currently discusses possible advantages for taxpayers who would submit tax returns in an electronic form. The government’s goal is also to transfer the tax liability for specific taxable supplies within the VAT. In this regard an amendment to the VAT law is currently being prepared, which shall introduce a new exhaustive list of activities, for which the transferred tax liability could be applied. Part of the draft law is the introduction of a range of activities, for which it would be enabled for member states to apply the transferred tax liability for a limited time period. The aim of these measures is to be able to flexibly react to an increased occurrence of tax evasions connected to VAT.  They are expected to come into force in 2015.</w:t>
      </w:r>
    </w:p>
    <w:p w:rsidR="00C06A66" w:rsidRPr="007A1B09" w:rsidRDefault="00C06A66" w:rsidP="00C06A66">
      <w:pPr>
        <w:rPr>
          <w:b/>
          <w:lang w:val="en-GB"/>
        </w:rPr>
      </w:pPr>
    </w:p>
    <w:p w:rsidR="00646985" w:rsidRPr="00B5563B" w:rsidRDefault="00B5563B" w:rsidP="00B5563B">
      <w:pPr>
        <w:pStyle w:val="Nadpis2"/>
        <w:keepNext/>
        <w:numPr>
          <w:ilvl w:val="1"/>
          <w:numId w:val="4"/>
        </w:numPr>
        <w:ind w:left="851" w:hanging="851"/>
        <w:rPr>
          <w:lang w:val="en-GB"/>
        </w:rPr>
      </w:pPr>
      <w:bookmarkStart w:id="18" w:name="_Toc385945992"/>
      <w:r w:rsidRPr="00B5563B">
        <w:rPr>
          <w:lang w:val="en-GB"/>
        </w:rPr>
        <w:t>Long-term sustainability of public finance</w:t>
      </w:r>
      <w:r>
        <w:rPr>
          <w:lang w:val="en-GB"/>
        </w:rPr>
        <w:t>s</w:t>
      </w:r>
      <w:bookmarkEnd w:id="18"/>
    </w:p>
    <w:p w:rsidR="00646985" w:rsidRPr="007A1B09" w:rsidRDefault="00B5563B" w:rsidP="00EF38D7">
      <w:pPr>
        <w:keepNext/>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B5563B">
        <w:rPr>
          <w:b/>
          <w:color w:val="9B2D1F" w:themeColor="accent2"/>
          <w:lang w:val="en-GB"/>
        </w:rPr>
        <w:t>Council recommendation No. 3</w:t>
      </w:r>
      <w:r w:rsidR="00646985" w:rsidRPr="007A1B09">
        <w:rPr>
          <w:b/>
          <w:color w:val="9B2D1F" w:themeColor="accent2"/>
          <w:lang w:val="en-GB"/>
        </w:rPr>
        <w:t>:</w:t>
      </w:r>
      <w:r w:rsidR="00646985" w:rsidRPr="007A1B09">
        <w:rPr>
          <w:lang w:val="en-GB"/>
        </w:rPr>
        <w:t xml:space="preserve"> </w:t>
      </w:r>
      <w:r w:rsidRPr="00B5563B">
        <w:rPr>
          <w:color w:val="D41616"/>
          <w:lang w:val="en-GB"/>
        </w:rPr>
        <w:t>Increase the effective retirement age by aligning retirement age or pension benefits to changes in life expectancy, and review the indexation mechanism. Accompany the increase in retirement age with measures promoting employability of older workers and reduce early exit pathways. In particular, remove the public subsidy for the pre-retirement scheme. Take measures to significantly improve cost-effectiveness of healthcare expenditure, in particular for hospital care.</w:t>
      </w:r>
    </w:p>
    <w:p w:rsidR="009E5492" w:rsidRPr="00B5563B" w:rsidRDefault="00B5563B" w:rsidP="00B5563B">
      <w:pPr>
        <w:pStyle w:val="Nadpis3"/>
        <w:numPr>
          <w:ilvl w:val="2"/>
          <w:numId w:val="4"/>
        </w:numPr>
        <w:ind w:left="851" w:hanging="851"/>
        <w:rPr>
          <w:lang w:val="en-GB"/>
        </w:rPr>
      </w:pPr>
      <w:bookmarkStart w:id="19" w:name="_Toc385945993"/>
      <w:r w:rsidRPr="00B5563B">
        <w:rPr>
          <w:lang w:val="en-GB"/>
        </w:rPr>
        <w:t>Sustainable system of pension insurance</w:t>
      </w:r>
      <w:bookmarkEnd w:id="19"/>
    </w:p>
    <w:p w:rsidR="00B5563B" w:rsidRDefault="00B5563B" w:rsidP="00B5563B">
      <w:pPr>
        <w:rPr>
          <w:lang w:val="en-GB"/>
        </w:rPr>
      </w:pPr>
      <w:r>
        <w:rPr>
          <w:lang w:val="en-GB"/>
        </w:rPr>
        <w:t>The amended Act No. 155/1995 Coll., on Pension Insurance, from 2011 implemented the increase of the pension age by two months per year without setting a final target age. For women this means a temporary increase from four to six months per year until the unification of the pension age in 2041. With this change the government succeeded, in accordance with the expected future demographic development and changes in the life expectancy</w:t>
      </w:r>
      <w:r>
        <w:rPr>
          <w:rStyle w:val="Znakapoznpodarou"/>
          <w:lang w:val="en-GB"/>
        </w:rPr>
        <w:footnoteReference w:id="1"/>
      </w:r>
      <w:r>
        <w:rPr>
          <w:lang w:val="en-GB"/>
        </w:rPr>
        <w:t xml:space="preserve">, in stabilising for the long term the average period of welfare payments for individual generations at ca. 20 years. </w:t>
      </w:r>
    </w:p>
    <w:p w:rsidR="00B5563B" w:rsidRDefault="00B5563B" w:rsidP="00B5563B">
      <w:pPr>
        <w:rPr>
          <w:lang w:val="en-GB"/>
        </w:rPr>
      </w:pPr>
      <w:r>
        <w:rPr>
          <w:lang w:val="en-GB"/>
        </w:rPr>
        <w:t xml:space="preserve">However, the government is aware of the uncertainty based on, particularly in the longer time period, the possible deviation of the actual development from the current demographic prognoses. With regard to this a discussion material has been prepared on the possibility to implement standardized </w:t>
      </w:r>
      <w:r w:rsidRPr="00020840">
        <w:rPr>
          <w:b/>
          <w:lang w:val="en-GB"/>
        </w:rPr>
        <w:t>procedures of regular revisions of the pension age increase rate</w:t>
      </w:r>
      <w:r>
        <w:rPr>
          <w:lang w:val="en-GB"/>
        </w:rPr>
        <w:t>. The revision mechanism will enable to monitor and evaluate in regular intervals the development of demographic indicators. If the expected development of the main indicator (i.e. the time a person spends in retirement) should deviate from the desired values, a process would be started, which would bind the government to prepare a proposal of an adequate reaction.</w:t>
      </w:r>
    </w:p>
    <w:p w:rsidR="009E5492" w:rsidRPr="007A1B09" w:rsidRDefault="009E5492" w:rsidP="009E5492">
      <w:pPr>
        <w:rPr>
          <w:lang w:val="en-GB"/>
        </w:rPr>
      </w:pPr>
    </w:p>
    <w:p w:rsidR="009E5492" w:rsidRPr="007A1B09" w:rsidRDefault="009E5492" w:rsidP="00532230">
      <w:pPr>
        <w:pStyle w:val="Titulek"/>
        <w:keepNext/>
        <w:rPr>
          <w:lang w:val="en-GB"/>
        </w:rPr>
      </w:pPr>
    </w:p>
    <w:p w:rsidR="00532230" w:rsidRPr="007A1B09" w:rsidRDefault="00CA554A" w:rsidP="00532230">
      <w:pPr>
        <w:pStyle w:val="Titulek"/>
        <w:keepNext/>
        <w:rPr>
          <w:lang w:val="en-GB"/>
        </w:rPr>
      </w:pPr>
      <w:r>
        <w:rPr>
          <w:lang w:val="en-GB"/>
        </w:rPr>
        <w:t>Chart</w:t>
      </w:r>
      <w:r w:rsidR="00532230"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2</w:t>
      </w:r>
      <w:r w:rsidR="005B4FA9" w:rsidRPr="007A1B09">
        <w:rPr>
          <w:noProof/>
          <w:lang w:val="en-GB"/>
        </w:rPr>
        <w:fldChar w:fldCharType="end"/>
      </w:r>
      <w:r w:rsidR="00532230" w:rsidRPr="007A1B09">
        <w:rPr>
          <w:lang w:val="en-GB"/>
        </w:rPr>
        <w:t>:</w:t>
      </w:r>
      <w:r w:rsidR="00E92630">
        <w:rPr>
          <w:lang w:val="en-GB"/>
        </w:rPr>
        <w:t xml:space="preserve"> Expected balance of the pension account according to MLSA projections</w:t>
      </w:r>
      <w:r w:rsidR="00532230" w:rsidRPr="007A1B09">
        <w:rPr>
          <w:lang w:val="en-GB"/>
        </w:rPr>
        <w:t xml:space="preserve"> (</w:t>
      </w:r>
      <w:r w:rsidR="00E92630">
        <w:rPr>
          <w:lang w:val="en-GB"/>
        </w:rPr>
        <w:t>in</w:t>
      </w:r>
      <w:r w:rsidR="00532230" w:rsidRPr="007A1B09">
        <w:rPr>
          <w:lang w:val="en-GB"/>
        </w:rPr>
        <w:t xml:space="preserve"> % </w:t>
      </w:r>
      <w:r w:rsidR="00E92630">
        <w:rPr>
          <w:lang w:val="en-GB"/>
        </w:rPr>
        <w:t>G</w:t>
      </w:r>
      <w:r w:rsidR="00532230" w:rsidRPr="007A1B09">
        <w:rPr>
          <w:lang w:val="en-GB"/>
        </w:rPr>
        <w:t>DP)</w:t>
      </w:r>
    </w:p>
    <w:p w:rsidR="00532230" w:rsidRPr="007A1B09" w:rsidRDefault="00C46F00" w:rsidP="00532230">
      <w:pPr>
        <w:keepNext/>
        <w:jc w:val="center"/>
        <w:rPr>
          <w:lang w:val="en-GB"/>
        </w:rPr>
      </w:pPr>
      <w:r w:rsidRPr="007A1B09">
        <w:rPr>
          <w:noProof/>
          <w:lang w:eastAsia="cs-CZ"/>
        </w:rPr>
        <w:drawing>
          <wp:inline distT="0" distB="0" distL="0" distR="0" wp14:anchorId="30E9780E" wp14:editId="07AF8A08">
            <wp:extent cx="5764696" cy="2115047"/>
            <wp:effectExtent l="0" t="0" r="26670" b="1905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32230" w:rsidRPr="007A1B09" w:rsidRDefault="00CA554A" w:rsidP="00532230">
      <w:pPr>
        <w:pStyle w:val="Titulek"/>
        <w:jc w:val="right"/>
        <w:rPr>
          <w:lang w:val="en-GB"/>
        </w:rPr>
      </w:pPr>
      <w:r>
        <w:rPr>
          <w:lang w:val="en-GB"/>
        </w:rPr>
        <w:t>Source</w:t>
      </w:r>
      <w:r w:rsidR="00532230" w:rsidRPr="007A1B09">
        <w:rPr>
          <w:lang w:val="en-GB"/>
        </w:rPr>
        <w:t>: M</w:t>
      </w:r>
      <w:r>
        <w:rPr>
          <w:lang w:val="en-GB"/>
        </w:rPr>
        <w:t>LSA</w:t>
      </w:r>
      <w:r w:rsidR="00B333A8" w:rsidRPr="007A1B09">
        <w:rPr>
          <w:lang w:val="en-GB"/>
        </w:rPr>
        <w:t>, 2014</w:t>
      </w:r>
    </w:p>
    <w:p w:rsidR="00CA554A" w:rsidRDefault="00CA554A" w:rsidP="00CA554A">
      <w:pPr>
        <w:rPr>
          <w:lang w:val="en-GB"/>
        </w:rPr>
      </w:pPr>
      <w:r>
        <w:rPr>
          <w:lang w:val="en-GB"/>
        </w:rPr>
        <w:t xml:space="preserve">The government approved the amended Act on Pension Insurance, according to which starting in 2015 pensions will be adjusted by 100% of the growth of consumer prices and 1/3 of the growth of real wages. At the same time a special provision of the amendment shall guarantee that the pensions in 2015 will be increased at least by 1.8%. The main goal is to stop the decrease of the real value of pensions and to prevent the decrease of the standard of living of pensioners. </w:t>
      </w:r>
    </w:p>
    <w:p w:rsidR="00C06A66" w:rsidRPr="00CA554A" w:rsidRDefault="00CA554A" w:rsidP="00532230">
      <w:pPr>
        <w:rPr>
          <w:lang w:val="en-GB"/>
        </w:rPr>
      </w:pPr>
      <w:r>
        <w:rPr>
          <w:lang w:val="en-GB"/>
        </w:rPr>
        <w:t>An expert commission has been established, comprising of representatives of the expert public, social partners and political representatives, which shall propose acceptable changes to the pension system. These changes shall lie in the interconnected sum of specific proposals, which will bring a long-term stable setup of the pension system, sustainability of its funding and the adequacy of the provided benefits.</w:t>
      </w:r>
    </w:p>
    <w:p w:rsidR="003237CF" w:rsidRPr="00CA554A" w:rsidRDefault="00CA554A" w:rsidP="00CA554A">
      <w:pPr>
        <w:pStyle w:val="Nadpis3"/>
        <w:keepNext/>
        <w:numPr>
          <w:ilvl w:val="2"/>
          <w:numId w:val="4"/>
        </w:numPr>
        <w:ind w:left="851" w:hanging="851"/>
        <w:rPr>
          <w:lang w:val="en-GB"/>
        </w:rPr>
      </w:pPr>
      <w:bookmarkStart w:id="20" w:name="_Toc385945994"/>
      <w:r w:rsidRPr="00CA554A">
        <w:rPr>
          <w:lang w:val="en-GB"/>
        </w:rPr>
        <w:t>Employability of older persons</w:t>
      </w:r>
      <w:bookmarkEnd w:id="20"/>
    </w:p>
    <w:p w:rsidR="00715C67" w:rsidRPr="007A1B09" w:rsidRDefault="0092303F" w:rsidP="00EF38D7">
      <w:pPr>
        <w:keepNext/>
        <w:rPr>
          <w:lang w:val="en-GB"/>
        </w:rPr>
      </w:pPr>
      <w:r w:rsidRPr="007A1B09">
        <w:rPr>
          <w:lang w:val="en-GB"/>
        </w:rPr>
        <w:t>.</w:t>
      </w:r>
      <w:r w:rsidR="00CA554A" w:rsidRPr="00CA554A">
        <w:rPr>
          <w:lang w:val="en-GB"/>
        </w:rPr>
        <w:t xml:space="preserve"> </w:t>
      </w:r>
      <w:r w:rsidR="00CA554A">
        <w:rPr>
          <w:lang w:val="en-GB"/>
        </w:rPr>
        <w:t>In the context of demographic trends it is clear that the participation of older worker in the labour market is a fundamental prerequisite for a long-term sustainability of the pension system. Therefore the government places increased focus on the employability and employment rate of older persons. The priority is the maximum utilization of the labour potential of older persons and preventing early departure from the labour market</w:t>
      </w:r>
    </w:p>
    <w:p w:rsidR="0057290F" w:rsidRPr="007A1B09" w:rsidRDefault="00CA554A" w:rsidP="0057290F">
      <w:pPr>
        <w:pStyle w:val="Titulek"/>
        <w:keepNext/>
        <w:jc w:val="left"/>
        <w:rPr>
          <w:lang w:val="en-GB"/>
        </w:rPr>
      </w:pPr>
      <w:r>
        <w:rPr>
          <w:lang w:val="en-GB"/>
        </w:rPr>
        <w:t>Chart</w:t>
      </w:r>
      <w:r w:rsidR="0057290F"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3</w:t>
      </w:r>
      <w:r w:rsidR="005B4FA9" w:rsidRPr="007A1B09">
        <w:rPr>
          <w:noProof/>
          <w:lang w:val="en-GB"/>
        </w:rPr>
        <w:fldChar w:fldCharType="end"/>
      </w:r>
      <w:r w:rsidR="0057290F" w:rsidRPr="007A1B09">
        <w:rPr>
          <w:lang w:val="en-GB"/>
        </w:rPr>
        <w:t xml:space="preserve">: </w:t>
      </w:r>
      <w:r>
        <w:rPr>
          <w:lang w:val="en-GB"/>
        </w:rPr>
        <w:t>Structure of job seekers</w:t>
      </w:r>
    </w:p>
    <w:p w:rsidR="0057290F" w:rsidRPr="007A1B09" w:rsidRDefault="00F53D9E" w:rsidP="0057290F">
      <w:pPr>
        <w:keepNext/>
        <w:jc w:val="center"/>
        <w:rPr>
          <w:lang w:val="en-GB"/>
        </w:rPr>
      </w:pPr>
      <w:r w:rsidRPr="007A1B09">
        <w:rPr>
          <w:noProof/>
          <w:lang w:eastAsia="cs-CZ"/>
        </w:rPr>
        <w:drawing>
          <wp:inline distT="0" distB="0" distL="0" distR="0" wp14:anchorId="744EF952" wp14:editId="14BFA345">
            <wp:extent cx="5701086" cy="2202511"/>
            <wp:effectExtent l="0" t="0" r="13970" b="266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554A" w:rsidRPr="007A1B09" w:rsidRDefault="00CA554A" w:rsidP="00CA554A">
      <w:pPr>
        <w:pStyle w:val="Titulek"/>
        <w:jc w:val="right"/>
        <w:rPr>
          <w:lang w:val="en-GB"/>
        </w:rPr>
      </w:pPr>
      <w:r>
        <w:rPr>
          <w:lang w:val="en-GB"/>
        </w:rPr>
        <w:t>Source</w:t>
      </w:r>
      <w:r w:rsidRPr="007A1B09">
        <w:rPr>
          <w:lang w:val="en-GB"/>
        </w:rPr>
        <w:t>: M</w:t>
      </w:r>
      <w:r>
        <w:rPr>
          <w:lang w:val="en-GB"/>
        </w:rPr>
        <w:t>LSA</w:t>
      </w:r>
      <w:r w:rsidRPr="007A1B09">
        <w:rPr>
          <w:lang w:val="en-GB"/>
        </w:rPr>
        <w:t>, 2014</w:t>
      </w:r>
    </w:p>
    <w:p w:rsidR="00577478" w:rsidRPr="007A1B09" w:rsidRDefault="00577478" w:rsidP="00A1087C">
      <w:pPr>
        <w:rPr>
          <w:lang w:val="en-GB"/>
        </w:rPr>
      </w:pPr>
    </w:p>
    <w:p w:rsidR="00CA554A" w:rsidRPr="00CA554A" w:rsidRDefault="00CA554A" w:rsidP="00CA554A">
      <w:pPr>
        <w:rPr>
          <w:rFonts w:cs="Arial"/>
          <w:lang w:val="en-GB"/>
        </w:rPr>
      </w:pPr>
      <w:r w:rsidRPr="00CA554A">
        <w:rPr>
          <w:rFonts w:cs="Arial"/>
          <w:lang w:val="en-GB"/>
        </w:rPr>
        <w:lastRenderedPageBreak/>
        <w:t>The government considers it very important to keep pre-retirement age employees in employment as well as to generally improve their security in the labour market.</w:t>
      </w:r>
    </w:p>
    <w:p w:rsidR="00CA554A" w:rsidRPr="00CA554A" w:rsidRDefault="00CA554A" w:rsidP="00CA554A">
      <w:pPr>
        <w:rPr>
          <w:rFonts w:cs="Arial"/>
          <w:lang w:val="en-GB"/>
        </w:rPr>
      </w:pPr>
      <w:r w:rsidRPr="00CA554A">
        <w:rPr>
          <w:rFonts w:cs="Arial"/>
          <w:lang w:val="en-GB"/>
        </w:rPr>
        <w:t xml:space="preserve">Persons above 55 years of age are one of the primary groups </w:t>
      </w:r>
      <w:r w:rsidRPr="00CA554A">
        <w:rPr>
          <w:rFonts w:cs="Arial"/>
          <w:b/>
          <w:lang w:val="en-GB"/>
        </w:rPr>
        <w:t>within the tools of the active employment policy</w:t>
      </w:r>
      <w:r w:rsidRPr="00CA554A">
        <w:rPr>
          <w:rFonts w:cs="Arial"/>
          <w:lang w:val="en-GB"/>
        </w:rPr>
        <w:t>. Employment of older persons (55+) in social purpose jobs is also rewarded with the possibility to provide a higher monthly contribution (up to 24 000 CZK). Persons over 50 or 55 years are also placed in community services and re-qualification courses, primarily courses aimed at general education (e.g. computer literacy). This age group may also benefit from the support for creating part-time jobs. Employers, who employ two part-time workers in one social purpose job or within community services receive a sum of benefits that is larger than if they would employ one person full-time.</w:t>
      </w:r>
    </w:p>
    <w:p w:rsidR="00CA554A" w:rsidRPr="00CA554A" w:rsidRDefault="00CA554A" w:rsidP="00CA554A">
      <w:pPr>
        <w:rPr>
          <w:rFonts w:cs="Arial"/>
          <w:lang w:val="en-GB"/>
        </w:rPr>
      </w:pPr>
      <w:r w:rsidRPr="00CA554A">
        <w:rPr>
          <w:rFonts w:cs="Arial"/>
          <w:lang w:val="en-GB"/>
        </w:rPr>
        <w:t>Apart from the above mentioned active employment policy tools, which create the basic framework there are also regional individual projects (RIP) within the authority of regional branches of the Labour Authority, which focus on combining several tools, particularly consultations combined with re-qualifications and the support of creating a subsidised job (social purpose job), which take into account regional specifics. There are currently 9 RIP focusing on the 50+ target group, while for another 26 RIP this group is among the supported groups.</w:t>
      </w:r>
    </w:p>
    <w:p w:rsidR="00CA554A" w:rsidRPr="00CA554A" w:rsidRDefault="00CA554A" w:rsidP="00CA554A">
      <w:pPr>
        <w:rPr>
          <w:rFonts w:cs="Arial"/>
          <w:lang w:val="en-GB"/>
        </w:rPr>
      </w:pPr>
      <w:r w:rsidRPr="00CA554A">
        <w:rPr>
          <w:rFonts w:cs="Arial"/>
          <w:lang w:val="en-GB"/>
        </w:rPr>
        <w:t xml:space="preserve">Currently there are also new projects </w:t>
      </w:r>
      <w:r w:rsidRPr="00CA554A">
        <w:rPr>
          <w:rFonts w:cs="Arial"/>
          <w:b/>
          <w:lang w:val="en-GB"/>
        </w:rPr>
        <w:t>Generational Tandem – Support of Generational Change</w:t>
      </w:r>
      <w:r w:rsidRPr="00CA554A">
        <w:rPr>
          <w:rFonts w:cs="Arial"/>
          <w:lang w:val="en-GB"/>
        </w:rPr>
        <w:t xml:space="preserve"> that are just starting their existence and which focus on ensuring the generational change and support intergenerational solidarity in the labour market by keeping pre-pension age employees in employment and improving the harmony between the qualification supply and demand in the labour market for persons who are newly entering the labour market.  The projects support the transfer of work experience to persons entering the labour market without previous work experience. At the same time the projects also expect to support longer employability of older persons in the pre-pension age, when the productivity or activity within work activities starts to diminish. The Generational Tandem project pilots will be implemented in the Karlovy Vary, Central Bohemia and Olomouc Regions from 1</w:t>
      </w:r>
      <w:r w:rsidRPr="00CA554A">
        <w:rPr>
          <w:rFonts w:cs="Arial"/>
          <w:vertAlign w:val="superscript"/>
          <w:lang w:val="en-GB"/>
        </w:rPr>
        <w:t>st</w:t>
      </w:r>
      <w:r w:rsidRPr="00CA554A">
        <w:rPr>
          <w:rFonts w:cs="Arial"/>
          <w:lang w:val="en-GB"/>
        </w:rPr>
        <w:t xml:space="preserve"> January 2014 until 31</w:t>
      </w:r>
      <w:r w:rsidRPr="00CA554A">
        <w:rPr>
          <w:rFonts w:cs="Arial"/>
          <w:vertAlign w:val="superscript"/>
          <w:lang w:val="en-GB"/>
        </w:rPr>
        <w:t>st</w:t>
      </w:r>
      <w:r w:rsidRPr="00CA554A">
        <w:rPr>
          <w:rFonts w:cs="Arial"/>
          <w:lang w:val="en-GB"/>
        </w:rPr>
        <w:t xml:space="preserve"> October 2015.</w:t>
      </w:r>
    </w:p>
    <w:p w:rsidR="00CA554A" w:rsidRPr="00CA554A" w:rsidRDefault="00CA554A" w:rsidP="00CA554A">
      <w:pPr>
        <w:rPr>
          <w:rFonts w:cs="Arial"/>
          <w:lang w:val="en-GB"/>
        </w:rPr>
      </w:pPr>
      <w:r w:rsidRPr="00CA554A">
        <w:rPr>
          <w:rFonts w:cs="Arial"/>
          <w:lang w:val="en-GB"/>
        </w:rPr>
        <w:t xml:space="preserve">Apart from the above mentioned programmes for the support of pre-pension employment the government also plans to introduces </w:t>
      </w:r>
      <w:r w:rsidRPr="00CA554A">
        <w:rPr>
          <w:rFonts w:cs="Arial"/>
          <w:b/>
          <w:lang w:val="en-GB"/>
        </w:rPr>
        <w:t>social security allowances</w:t>
      </w:r>
      <w:r w:rsidRPr="00CA554A">
        <w:rPr>
          <w:rFonts w:cs="Arial"/>
          <w:lang w:val="en-GB"/>
        </w:rPr>
        <w:t xml:space="preserve"> for selected categories, including persons over 50 years of age, long-term unemployed graduates and mothers after maternal leave. </w:t>
      </w:r>
    </w:p>
    <w:p w:rsidR="00CA554A" w:rsidRPr="00CA554A" w:rsidRDefault="00CA554A" w:rsidP="00CA554A">
      <w:pPr>
        <w:rPr>
          <w:rFonts w:cs="Arial"/>
          <w:lang w:val="en-GB"/>
        </w:rPr>
      </w:pPr>
      <w:r w:rsidRPr="00CA554A">
        <w:rPr>
          <w:rFonts w:cs="Arial"/>
          <w:lang w:val="en-GB"/>
        </w:rPr>
        <w:t xml:space="preserve"> The re-introduction of the possibility to apply the basic tax allowance for taxpayers even for working pensioners is planned for 2015, which will lower the tax burden of this group of taxpayers and support the employment of workers in pension age. </w:t>
      </w:r>
    </w:p>
    <w:p w:rsidR="00CA554A" w:rsidRPr="00CA554A" w:rsidRDefault="00CA554A" w:rsidP="00CA554A">
      <w:pPr>
        <w:rPr>
          <w:rFonts w:cs="Arial"/>
          <w:lang w:val="en-GB"/>
        </w:rPr>
      </w:pPr>
      <w:r w:rsidRPr="00CA554A">
        <w:rPr>
          <w:rFonts w:cs="Arial"/>
          <w:lang w:val="en-GB"/>
        </w:rPr>
        <w:t>In accordance with the fulfilment of measures listed in the National Action Plan Supporting Positive Aging 2013-2017 a working group has been established with the Government Council for Senior Citizens and Population Aging in April 2013. Its main goals are to promote system of management, which takes into account the age and abilities of employees (i.e. Age Management). The goal is to spread the Age Management concept to the Czech Republic and with its help change the approach of the public and employers to projecting working trajectories and employment of older persons.</w:t>
      </w:r>
    </w:p>
    <w:p w:rsidR="00577478" w:rsidRPr="007A1B09" w:rsidRDefault="00577478" w:rsidP="00577478">
      <w:pPr>
        <w:rPr>
          <w:lang w:val="en-GB"/>
        </w:rPr>
      </w:pPr>
    </w:p>
    <w:p w:rsidR="003237CF" w:rsidRPr="007A1B09" w:rsidRDefault="007B6BF2" w:rsidP="003237CF">
      <w:pPr>
        <w:pStyle w:val="Nadpis3"/>
        <w:numPr>
          <w:ilvl w:val="2"/>
          <w:numId w:val="4"/>
        </w:numPr>
        <w:ind w:left="851" w:hanging="851"/>
        <w:rPr>
          <w:lang w:val="en-GB"/>
        </w:rPr>
      </w:pPr>
      <w:bookmarkStart w:id="21" w:name="_Toc385945995"/>
      <w:r>
        <w:rPr>
          <w:lang w:val="en-GB"/>
        </w:rPr>
        <w:t>Pre-pensions</w:t>
      </w:r>
      <w:bookmarkEnd w:id="21"/>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has reservations about the recommendations in the section concerning the abolition of public subsidies for pre-pensions as a way to receive benefits from the supplementary pension savings system, which is supported by the state as a whole. It is only the possibility of using their own funds saved in a period close to retirement age. The measure does not create incentives for early exit from the labour market, but helps to overcome the difficult situation in life in the period in which it can be difficult for these people to find employment.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With the use of pre-pensions the participants of the supplementary pension savings system can avoid permanent reduction of the retirement pension which would have happened if they used early retirement. It cannot be viewed as public subsidies for pre-pensions, because the state contribution is </w:t>
      </w:r>
      <w:r w:rsidRPr="00177F0B">
        <w:rPr>
          <w:rFonts w:ascii="Calibri" w:eastAsia="Times New Roman" w:hAnsi="Calibri" w:cs="Calibri"/>
          <w:color w:val="000000"/>
          <w:lang w:val="en-GB" w:eastAsia="cs-CZ"/>
        </w:rPr>
        <w:lastRenderedPageBreak/>
        <w:t>provided to all participants of the supplementary retirement savings, no matter what kind of benefit, including pre-pensions (which is just a specific benefit of supplementary pension saving, which meets the specified characteristics), they choose.</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Due to the very small number of participants who are involved in the system pre-pensions</w:t>
      </w:r>
      <w:r w:rsidRPr="00177F0B">
        <w:rPr>
          <w:rStyle w:val="Znakapoznpodarou"/>
          <w:rFonts w:ascii="Calibri" w:eastAsia="Times New Roman" w:hAnsi="Calibri" w:cs="Calibri"/>
          <w:color w:val="000000"/>
          <w:lang w:val="en-GB" w:eastAsia="cs-CZ"/>
        </w:rPr>
        <w:footnoteReference w:id="2"/>
      </w:r>
      <w:r w:rsidRPr="00177F0B">
        <w:rPr>
          <w:rFonts w:ascii="Calibri" w:eastAsia="Times New Roman" w:hAnsi="Calibri" w:cs="Calibri"/>
          <w:color w:val="000000"/>
          <w:lang w:val="en-GB" w:eastAsia="cs-CZ"/>
        </w:rPr>
        <w:t>, their effect on the long term sustainability of public finances is considered negligible. In the context of scant impact of pre-pensions on public finances and employment and with regard to the consensus of the social partners on the measure no change is expected to this system.</w:t>
      </w:r>
    </w:p>
    <w:p w:rsidR="005E54E2" w:rsidRPr="007A1B09" w:rsidRDefault="005E54E2" w:rsidP="005E54E2">
      <w:pPr>
        <w:rPr>
          <w:lang w:val="en-GB"/>
        </w:rPr>
      </w:pPr>
    </w:p>
    <w:p w:rsidR="003237CF" w:rsidRPr="007A1B09" w:rsidRDefault="00000E3F" w:rsidP="003237CF">
      <w:pPr>
        <w:pStyle w:val="Nadpis3"/>
        <w:numPr>
          <w:ilvl w:val="2"/>
          <w:numId w:val="4"/>
        </w:numPr>
        <w:ind w:left="851" w:hanging="851"/>
        <w:rPr>
          <w:lang w:val="en-GB"/>
        </w:rPr>
      </w:pPr>
      <w:bookmarkStart w:id="22" w:name="_Toc385945996"/>
      <w:r w:rsidRPr="00000E3F">
        <w:rPr>
          <w:bCs/>
          <w:lang w:val="en-GB"/>
        </w:rPr>
        <w:t>High quality and efficient health care</w:t>
      </w:r>
      <w:bookmarkEnd w:id="22"/>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main objective of the government is to ensure economic stability, efficiency and transparency of the public health system, health insurance companies and healthcare providers. In 2014, the government shall make further steps to ensure the long-term financial sustainability of the public health system and further improve the quality, efficiency and effectiveness of care provided to patients. The government shall apply specific measures so that more resources are directed to the health system and thereby improved quality and availability of health services is achieved.</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order to increase the availability of health care to citizens their monetary participation in health care will be reduced by a significant </w:t>
      </w:r>
      <w:r w:rsidRPr="00177F0B">
        <w:rPr>
          <w:rFonts w:ascii="Calibri" w:eastAsia="Times New Roman" w:hAnsi="Calibri" w:cs="Calibri"/>
          <w:b/>
          <w:bCs/>
          <w:color w:val="000000"/>
          <w:lang w:val="en-GB" w:eastAsia="cs-CZ"/>
        </w:rPr>
        <w:t>reduction of regulatory fees.</w:t>
      </w:r>
      <w:r w:rsidRPr="00177F0B">
        <w:rPr>
          <w:rFonts w:ascii="Calibri" w:eastAsia="Times New Roman" w:hAnsi="Calibri" w:cs="Calibri"/>
          <w:color w:val="000000"/>
          <w:lang w:val="en-GB" w:eastAsia="cs-CZ"/>
        </w:rPr>
        <w:t xml:space="preserve"> Since January 1, 2014 regulatory fees for hospitalization in hospitals have been cancelled and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amendment to Act No. 48/1997 Sb., on Public Health Insurance,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 be proposed</w:t>
      </w:r>
      <w:r>
        <w:rPr>
          <w:rFonts w:ascii="Calibri" w:eastAsia="Times New Roman" w:hAnsi="Calibri" w:cs="Calibri"/>
          <w:color w:val="000000"/>
          <w:lang w:val="en-GB" w:eastAsia="cs-CZ"/>
        </w:rPr>
        <w:t xml:space="preserve"> during 2014</w:t>
      </w:r>
      <w:r w:rsidRPr="00177F0B">
        <w:rPr>
          <w:rFonts w:ascii="Calibri" w:eastAsia="Times New Roman" w:hAnsi="Calibri" w:cs="Calibri"/>
          <w:color w:val="000000"/>
          <w:lang w:val="en-GB" w:eastAsia="cs-CZ"/>
        </w:rPr>
        <w:t xml:space="preserve"> so that, with effect from 1</w:t>
      </w:r>
      <w:r w:rsidRPr="00177F0B">
        <w:rPr>
          <w:rFonts w:ascii="Calibri" w:eastAsia="Times New Roman" w:hAnsi="Calibri" w:cs="Calibri"/>
          <w:color w:val="000000"/>
          <w:vertAlign w:val="superscript"/>
          <w:lang w:val="en-GB" w:eastAsia="cs-CZ"/>
        </w:rPr>
        <w:t>st</w:t>
      </w:r>
      <w:r w:rsidRPr="00177F0B">
        <w:rPr>
          <w:rFonts w:ascii="Calibri" w:eastAsia="Times New Roman" w:hAnsi="Calibri" w:cs="Calibri"/>
          <w:color w:val="000000"/>
          <w:lang w:val="en-GB" w:eastAsia="cs-CZ"/>
        </w:rPr>
        <w:t xml:space="preserve"> January 2015</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fees for outpatient services and prescription</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 xml:space="preserve">could be abolished. The government has been </w:t>
      </w:r>
      <w:r>
        <w:rPr>
          <w:rFonts w:ascii="Calibri" w:eastAsia="Times New Roman" w:hAnsi="Calibri" w:cs="Calibri"/>
          <w:color w:val="000000"/>
          <w:lang w:val="en-GB" w:eastAsia="cs-CZ"/>
        </w:rPr>
        <w:t>presented a</w:t>
      </w:r>
      <w:r w:rsidRPr="00177F0B">
        <w:rPr>
          <w:rFonts w:ascii="Calibri" w:eastAsia="Times New Roman" w:hAnsi="Calibri" w:cs="Calibri"/>
          <w:color w:val="000000"/>
          <w:lang w:val="en-GB" w:eastAsia="cs-CZ"/>
        </w:rPr>
        <w:t xml:space="preserve"> proposal that payments for state social insurance </w:t>
      </w:r>
      <w:r>
        <w:rPr>
          <w:rFonts w:ascii="Calibri" w:eastAsia="Times New Roman" w:hAnsi="Calibri" w:cs="Calibri"/>
          <w:color w:val="000000"/>
          <w:lang w:val="en-GB" w:eastAsia="cs-CZ"/>
        </w:rPr>
        <w:t>should</w:t>
      </w:r>
      <w:r w:rsidRPr="00177F0B">
        <w:rPr>
          <w:rFonts w:ascii="Calibri" w:eastAsia="Times New Roman" w:hAnsi="Calibri" w:cs="Calibri"/>
          <w:color w:val="000000"/>
          <w:lang w:val="en-GB" w:eastAsia="cs-CZ"/>
        </w:rPr>
        <w:t xml:space="preserve"> also</w:t>
      </w:r>
      <w:r>
        <w:rPr>
          <w:rFonts w:ascii="Calibri" w:eastAsia="Times New Roman" w:hAnsi="Calibri" w:cs="Calibri"/>
          <w:color w:val="000000"/>
          <w:lang w:val="en-GB" w:eastAsia="cs-CZ"/>
        </w:rPr>
        <w:t xml:space="preserve"> be</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regularly indexed with respect to average wage growth</w:t>
      </w:r>
      <w:r w:rsidRPr="00177F0B">
        <w:rPr>
          <w:rFonts w:ascii="Calibri" w:eastAsia="Times New Roman" w:hAnsi="Calibri" w:cs="Calibri"/>
          <w:color w:val="000000"/>
          <w:lang w:val="en-GB" w:eastAsia="cs-CZ"/>
        </w:rPr>
        <w:t>, a</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 the latest from 2016.</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Short-term measures include the reduction of the </w:t>
      </w:r>
      <w:r w:rsidRPr="00177F0B">
        <w:rPr>
          <w:rFonts w:ascii="Calibri" w:eastAsia="Times New Roman" w:hAnsi="Calibri" w:cs="Calibri"/>
          <w:b/>
          <w:bCs/>
          <w:color w:val="000000"/>
          <w:lang w:val="en-GB" w:eastAsia="cs-CZ"/>
        </w:rPr>
        <w:t>health insurance</w:t>
      </w:r>
      <w:r>
        <w:rPr>
          <w:rFonts w:ascii="Calibri" w:eastAsia="Times New Roman" w:hAnsi="Calibri" w:cs="Calibri"/>
          <w:b/>
          <w:bCs/>
          <w:color w:val="000000"/>
          <w:lang w:val="en-GB" w:eastAsia="cs-CZ"/>
        </w:rPr>
        <w:t xml:space="preserve"> companies’</w:t>
      </w:r>
      <w:r w:rsidRPr="003E5208">
        <w:rPr>
          <w:rFonts w:ascii="Calibri" w:eastAsia="Times New Roman" w:hAnsi="Calibri" w:cs="Calibri"/>
          <w:b/>
          <w:bCs/>
          <w:color w:val="000000"/>
          <w:lang w:val="en-GB" w:eastAsia="cs-CZ"/>
        </w:rPr>
        <w:t xml:space="preserve"> </w:t>
      </w:r>
      <w:r w:rsidRPr="00177F0B">
        <w:rPr>
          <w:rFonts w:ascii="Calibri" w:eastAsia="Times New Roman" w:hAnsi="Calibri" w:cs="Calibri"/>
          <w:b/>
          <w:bCs/>
          <w:color w:val="000000"/>
          <w:lang w:val="en-GB" w:eastAsia="cs-CZ"/>
        </w:rPr>
        <w:t>reserve fund</w:t>
      </w:r>
      <w:r>
        <w:rPr>
          <w:rFonts w:ascii="Calibri" w:eastAsia="Times New Roman" w:hAnsi="Calibri" w:cs="Calibri"/>
          <w:color w:val="000000"/>
          <w:lang w:val="en-GB" w:eastAsia="cs-CZ"/>
        </w:rPr>
        <w:t> by a</w:t>
      </w:r>
      <w:r w:rsidRPr="00177F0B">
        <w:rPr>
          <w:rFonts w:ascii="Calibri" w:eastAsia="Times New Roman" w:hAnsi="Calibri" w:cs="Calibri"/>
          <w:color w:val="000000"/>
          <w:lang w:val="en-GB" w:eastAsia="cs-CZ"/>
        </w:rPr>
        <w:t xml:space="preserve"> half, i</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e</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from the current 1.5% to 0.75%. Through this measure, health care has additionally </w:t>
      </w:r>
      <w:r>
        <w:rPr>
          <w:rFonts w:ascii="Calibri" w:eastAsia="Times New Roman" w:hAnsi="Calibri" w:cs="Calibri"/>
          <w:color w:val="000000"/>
          <w:lang w:val="en-GB" w:eastAsia="cs-CZ"/>
        </w:rPr>
        <w:t>allocated about 600 million CZK</w:t>
      </w:r>
      <w:r>
        <w:rPr>
          <w:rStyle w:val="Znakapoznpodarou"/>
          <w:rFonts w:ascii="Calibri" w:eastAsia="Times New Roman" w:hAnsi="Calibri" w:cs="Calibri"/>
          <w:color w:val="000000"/>
          <w:lang w:val="en-GB" w:eastAsia="cs-CZ"/>
        </w:rPr>
        <w:footnoteReference w:id="3"/>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in </w:t>
      </w:r>
      <w:r w:rsidRPr="00177F0B">
        <w:rPr>
          <w:rFonts w:ascii="Calibri" w:eastAsia="Times New Roman" w:hAnsi="Calibri" w:cs="Calibri"/>
          <w:color w:val="000000"/>
          <w:lang w:val="en-GB" w:eastAsia="cs-CZ"/>
        </w:rPr>
        <w:t>2014. In 2014, the government also submitted a proposal to </w:t>
      </w:r>
      <w:r w:rsidRPr="00177F0B">
        <w:rPr>
          <w:rFonts w:ascii="Calibri" w:eastAsia="Times New Roman" w:hAnsi="Calibri" w:cs="Calibri"/>
          <w:b/>
          <w:bCs/>
          <w:color w:val="000000"/>
          <w:lang w:val="en-GB" w:eastAsia="cs-CZ"/>
        </w:rPr>
        <w:t>reduce the overhead costs of health insurance</w:t>
      </w:r>
      <w:r>
        <w:rPr>
          <w:rFonts w:ascii="Calibri" w:eastAsia="Times New Roman" w:hAnsi="Calibri" w:cs="Calibri"/>
          <w:b/>
          <w:bCs/>
          <w:color w:val="000000"/>
          <w:lang w:val="en-GB" w:eastAsia="cs-CZ"/>
        </w:rPr>
        <w:t xml:space="preserve"> companies</w:t>
      </w:r>
      <w:r w:rsidRPr="00177F0B">
        <w:rPr>
          <w:rFonts w:ascii="Calibri" w:eastAsia="Times New Roman" w:hAnsi="Calibri" w:cs="Calibri"/>
          <w:color w:val="000000"/>
          <w:lang w:val="en-GB" w:eastAsia="cs-CZ"/>
        </w:rPr>
        <w: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intends to strengthen the activities leading to </w:t>
      </w:r>
      <w:r w:rsidRPr="00177F0B">
        <w:rPr>
          <w:rFonts w:ascii="Calibri" w:eastAsia="Times New Roman" w:hAnsi="Calibri" w:cs="Calibri"/>
          <w:b/>
          <w:bCs/>
          <w:color w:val="000000"/>
          <w:lang w:val="en-GB" w:eastAsia="cs-CZ"/>
        </w:rPr>
        <w:t xml:space="preserve">a more equitable distribution of funds </w:t>
      </w:r>
      <w:r>
        <w:rPr>
          <w:rFonts w:ascii="Calibri" w:eastAsia="Times New Roman" w:hAnsi="Calibri" w:cs="Calibri"/>
          <w:b/>
          <w:bCs/>
          <w:color w:val="000000"/>
          <w:lang w:val="en-GB" w:eastAsia="cs-CZ"/>
        </w:rPr>
        <w:t>among</w:t>
      </w:r>
      <w:r w:rsidRPr="00177F0B">
        <w:rPr>
          <w:rFonts w:ascii="Calibri" w:eastAsia="Times New Roman" w:hAnsi="Calibri" w:cs="Calibri"/>
          <w:b/>
          <w:bCs/>
          <w:color w:val="000000"/>
          <w:lang w:val="en-GB" w:eastAsia="cs-CZ"/>
        </w:rPr>
        <w:t xml:space="preserve"> health insurance companies</w:t>
      </w:r>
      <w:r w:rsidRPr="00177F0B">
        <w:rPr>
          <w:rFonts w:ascii="Calibri" w:eastAsia="Times New Roman" w:hAnsi="Calibri" w:cs="Calibri"/>
          <w:color w:val="000000"/>
          <w:lang w:val="en-GB" w:eastAsia="cs-CZ"/>
        </w:rPr>
        <w:t xml:space="preserve">. Redistribution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health insurance funds should be influenced by other parameters (e.g. PCG, Pharmacy Cost-Based Groups) to enable more equitable distribution of funds </w:t>
      </w:r>
      <w:r>
        <w:rPr>
          <w:rFonts w:ascii="Calibri" w:eastAsia="Times New Roman" w:hAnsi="Calibri" w:cs="Calibri"/>
          <w:color w:val="000000"/>
          <w:lang w:val="en-GB" w:eastAsia="cs-CZ"/>
        </w:rPr>
        <w:t>among</w:t>
      </w:r>
      <w:r w:rsidRPr="00177F0B">
        <w:rPr>
          <w:rFonts w:ascii="Calibri" w:eastAsia="Times New Roman" w:hAnsi="Calibri" w:cs="Calibri"/>
          <w:color w:val="000000"/>
          <w:lang w:val="en-GB" w:eastAsia="cs-CZ"/>
        </w:rPr>
        <w:t xml:space="preserve"> health insurance</w:t>
      </w:r>
      <w:r>
        <w:rPr>
          <w:rFonts w:ascii="Calibri" w:eastAsia="Times New Roman" w:hAnsi="Calibri" w:cs="Calibri"/>
          <w:color w:val="000000"/>
          <w:lang w:val="en-GB" w:eastAsia="cs-CZ"/>
        </w:rPr>
        <w:t xml:space="preserve"> companies</w:t>
      </w:r>
      <w:r w:rsidRPr="00177F0B">
        <w:rPr>
          <w:rFonts w:ascii="Calibri" w:eastAsia="Times New Roman" w:hAnsi="Calibri" w:cs="Calibri"/>
          <w:color w:val="000000"/>
          <w:lang w:val="en-GB" w:eastAsia="cs-CZ"/>
        </w:rPr>
        <w:t xml:space="preserve"> and thus improve the quality of care for chronically</w:t>
      </w:r>
      <w:r>
        <w:rPr>
          <w:rFonts w:ascii="Calibri" w:eastAsia="Times New Roman" w:hAnsi="Calibri" w:cs="Calibri"/>
          <w:color w:val="000000"/>
          <w:lang w:val="en-GB" w:eastAsia="cs-CZ"/>
        </w:rPr>
        <w:t xml:space="preserve"> ill patients. In this context</w:t>
      </w:r>
      <w:r w:rsidRPr="00177F0B">
        <w:rPr>
          <w:rFonts w:ascii="Calibri" w:eastAsia="Times New Roman" w:hAnsi="Calibri" w:cs="Calibri"/>
          <w:color w:val="000000"/>
          <w:lang w:val="en-GB" w:eastAsia="cs-CZ"/>
        </w:rPr>
        <w:t xml:space="preserve"> dealing</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with health insurance companies</w:t>
      </w:r>
      <w:r>
        <w:rPr>
          <w:rFonts w:ascii="Calibri" w:eastAsia="Times New Roman" w:hAnsi="Calibri" w:cs="Calibri"/>
          <w:color w:val="000000"/>
          <w:lang w:val="en-GB" w:eastAsia="cs-CZ"/>
        </w:rPr>
        <w:t xml:space="preserve"> will take place </w:t>
      </w:r>
      <w:r w:rsidRPr="00177F0B">
        <w:rPr>
          <w:rFonts w:ascii="Calibri" w:eastAsia="Times New Roman" w:hAnsi="Calibri" w:cs="Calibri"/>
          <w:color w:val="000000"/>
          <w:lang w:val="en-GB" w:eastAsia="cs-CZ"/>
        </w:rPr>
        <w:t xml:space="preserve">will take place in 2014. The government </w:t>
      </w:r>
      <w:r>
        <w:rPr>
          <w:rFonts w:ascii="Calibri" w:eastAsia="Times New Roman" w:hAnsi="Calibri" w:cs="Calibri"/>
          <w:color w:val="000000"/>
          <w:lang w:val="en-GB" w:eastAsia="cs-CZ"/>
        </w:rPr>
        <w:t>shall also prepare</w:t>
      </w:r>
      <w:r w:rsidRPr="00177F0B">
        <w:rPr>
          <w:rFonts w:ascii="Calibri" w:eastAsia="Times New Roman" w:hAnsi="Calibri" w:cs="Calibri"/>
          <w:color w:val="000000"/>
          <w:lang w:val="en-GB" w:eastAsia="cs-CZ"/>
        </w:rPr>
        <w:t xml:space="preserve"> an analysis of the impact of the implementation of </w:t>
      </w:r>
      <w:r>
        <w:rPr>
          <w:rFonts w:ascii="Calibri" w:eastAsia="Times New Roman" w:hAnsi="Calibri" w:cs="Calibri"/>
          <w:color w:val="000000"/>
          <w:lang w:val="en-GB" w:eastAsia="cs-CZ"/>
        </w:rPr>
        <w:t>this measure to</w:t>
      </w:r>
      <w:r w:rsidRPr="00177F0B">
        <w:rPr>
          <w:rFonts w:ascii="Calibri" w:eastAsia="Times New Roman" w:hAnsi="Calibri" w:cs="Calibri"/>
          <w:color w:val="000000"/>
          <w:lang w:val="en-GB" w:eastAsia="cs-CZ"/>
        </w:rPr>
        <w:t xml:space="preserve"> the entire health insurance system.</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order to improve </w:t>
      </w:r>
      <w:r w:rsidRPr="00177F0B">
        <w:rPr>
          <w:rFonts w:ascii="Calibri" w:eastAsia="Times New Roman" w:hAnsi="Calibri" w:cs="Calibri"/>
          <w:b/>
          <w:bCs/>
          <w:color w:val="000000"/>
          <w:lang w:val="en-GB" w:eastAsia="cs-CZ"/>
        </w:rPr>
        <w:t>transparency between health insura</w:t>
      </w:r>
      <w:r>
        <w:rPr>
          <w:rFonts w:ascii="Calibri" w:eastAsia="Times New Roman" w:hAnsi="Calibri" w:cs="Calibri"/>
          <w:b/>
          <w:bCs/>
          <w:color w:val="000000"/>
          <w:lang w:val="en-GB" w:eastAsia="cs-CZ"/>
        </w:rPr>
        <w:t>nce companies</w:t>
      </w:r>
      <w:r w:rsidRPr="00177F0B">
        <w:rPr>
          <w:rFonts w:ascii="Calibri" w:eastAsia="Times New Roman" w:hAnsi="Calibri" w:cs="Calibri"/>
          <w:b/>
          <w:bCs/>
          <w:color w:val="000000"/>
          <w:lang w:val="en-GB" w:eastAsia="cs-CZ"/>
        </w:rPr>
        <w:t xml:space="preserve"> and providers</w:t>
      </w:r>
      <w:r w:rsidRPr="00177F0B">
        <w:rPr>
          <w:rFonts w:ascii="Calibri" w:eastAsia="Times New Roman" w:hAnsi="Calibri" w:cs="Calibri"/>
          <w:color w:val="000000"/>
          <w:lang w:val="en-GB" w:eastAsia="cs-CZ"/>
        </w:rPr>
        <w:t xml:space="preserve"> of care the government </w:t>
      </w:r>
      <w:r>
        <w:rPr>
          <w:rFonts w:ascii="Calibri" w:eastAsia="Times New Roman" w:hAnsi="Calibri" w:cs="Calibri"/>
          <w:color w:val="000000"/>
          <w:lang w:val="en-GB" w:eastAsia="cs-CZ"/>
        </w:rPr>
        <w:t xml:space="preserve">shall </w:t>
      </w:r>
      <w:r w:rsidRPr="00177F0B">
        <w:rPr>
          <w:rFonts w:ascii="Calibri" w:eastAsia="Times New Roman" w:hAnsi="Calibri" w:cs="Calibri"/>
          <w:color w:val="000000"/>
          <w:lang w:val="en-GB" w:eastAsia="cs-CZ"/>
        </w:rPr>
        <w:t xml:space="preserve">during 2014 </w:t>
      </w:r>
      <w:r>
        <w:rPr>
          <w:rFonts w:ascii="Calibri" w:eastAsia="Times New Roman" w:hAnsi="Calibri" w:cs="Calibri"/>
          <w:color w:val="000000"/>
          <w:lang w:val="en-GB" w:eastAsia="cs-CZ"/>
        </w:rPr>
        <w:t>suggest enforcing</w:t>
      </w:r>
      <w:r w:rsidRPr="00177F0B">
        <w:rPr>
          <w:rFonts w:ascii="Calibri" w:eastAsia="Times New Roman" w:hAnsi="Calibri" w:cs="Calibri"/>
          <w:color w:val="000000"/>
          <w:lang w:val="en-GB" w:eastAsia="cs-CZ"/>
        </w:rPr>
        <w:t xml:space="preserve"> a transparent and auditable system of public funds</w:t>
      </w:r>
      <w:r>
        <w:rPr>
          <w:rFonts w:ascii="Calibri" w:eastAsia="Times New Roman" w:hAnsi="Calibri" w:cs="Calibri"/>
          <w:color w:val="000000"/>
          <w:lang w:val="en-GB" w:eastAsia="cs-CZ"/>
        </w:rPr>
        <w:t xml:space="preserve"> administration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via</w:t>
      </w:r>
      <w:r w:rsidRPr="00177F0B">
        <w:rPr>
          <w:rFonts w:ascii="Calibri" w:eastAsia="Times New Roman" w:hAnsi="Calibri" w:cs="Calibri"/>
          <w:color w:val="000000"/>
          <w:lang w:val="en-GB" w:eastAsia="cs-CZ"/>
        </w:rPr>
        <w:t xml:space="preserve"> the mandatory publication of contracts, including </w:t>
      </w:r>
      <w:r>
        <w:rPr>
          <w:rFonts w:ascii="Calibri" w:eastAsia="Times New Roman" w:hAnsi="Calibri" w:cs="Calibri"/>
          <w:color w:val="000000"/>
          <w:lang w:val="en-GB" w:eastAsia="cs-CZ"/>
        </w:rPr>
        <w:t xml:space="preserve">reimbursement amendments </w:t>
      </w:r>
      <w:r w:rsidRPr="00177F0B">
        <w:rPr>
          <w:rFonts w:ascii="Calibri" w:eastAsia="Times New Roman" w:hAnsi="Calibri" w:cs="Calibri"/>
          <w:color w:val="000000"/>
          <w:lang w:val="en-GB" w:eastAsia="cs-CZ"/>
        </w:rPr>
        <w:t xml:space="preserve">and "production" </w:t>
      </w:r>
      <w:r>
        <w:rPr>
          <w:rFonts w:ascii="Calibri" w:eastAsia="Times New Roman" w:hAnsi="Calibri" w:cs="Calibri"/>
          <w:color w:val="000000"/>
          <w:lang w:val="en-GB" w:eastAsia="cs-CZ"/>
        </w:rPr>
        <w:t xml:space="preserve">data, between health insurance companies </w:t>
      </w:r>
      <w:r w:rsidRPr="00177F0B">
        <w:rPr>
          <w:rFonts w:ascii="Calibri" w:eastAsia="Times New Roman" w:hAnsi="Calibri" w:cs="Calibri"/>
          <w:color w:val="000000"/>
          <w:lang w:val="en-GB" w:eastAsia="cs-CZ"/>
        </w:rPr>
        <w:t>with care providers.</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The government</w:t>
      </w:r>
      <w:r w:rsidRPr="00177F0B">
        <w:rPr>
          <w:rFonts w:ascii="Calibri" w:eastAsia="Times New Roman" w:hAnsi="Calibri" w:cs="Calibri"/>
          <w:color w:val="000000"/>
          <w:lang w:val="en-GB" w:eastAsia="cs-CZ"/>
        </w:rPr>
        <w:t xml:space="preserve"> will also strengthen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through legal measures</w:t>
      </w:r>
      <w:r>
        <w:rPr>
          <w:rFonts w:ascii="Calibri" w:eastAsia="Times New Roman" w:hAnsi="Calibri" w:cs="Calibri"/>
          <w:color w:val="000000"/>
          <w:lang w:val="en-GB" w:eastAsia="cs-CZ"/>
        </w:rPr>
        <w:t>, the</w:t>
      </w:r>
      <w:r w:rsidRPr="00177F0B">
        <w:rPr>
          <w:rFonts w:ascii="Calibri" w:eastAsia="Times New Roman" w:hAnsi="Calibri" w:cs="Calibri"/>
          <w:color w:val="000000"/>
          <w:lang w:val="en-GB" w:eastAsia="cs-CZ"/>
        </w:rPr>
        <w:t xml:space="preserve"> state </w:t>
      </w:r>
      <w:r>
        <w:rPr>
          <w:rFonts w:ascii="Calibri" w:eastAsia="Times New Roman" w:hAnsi="Calibri" w:cs="Calibri"/>
          <w:b/>
          <w:bCs/>
          <w:color w:val="000000"/>
          <w:lang w:val="en-GB" w:eastAsia="cs-CZ"/>
        </w:rPr>
        <w:t>supervision</w:t>
      </w:r>
      <w:r w:rsidRPr="00177F0B">
        <w:rPr>
          <w:rFonts w:ascii="Calibri" w:eastAsia="Times New Roman" w:hAnsi="Calibri" w:cs="Calibri"/>
          <w:b/>
          <w:bCs/>
          <w:color w:val="000000"/>
          <w:lang w:val="en-GB" w:eastAsia="cs-CZ"/>
        </w:rPr>
        <w:t xml:space="preserve"> of health insurance flows </w:t>
      </w:r>
      <w:r>
        <w:rPr>
          <w:rFonts w:ascii="Calibri" w:eastAsia="Times New Roman" w:hAnsi="Calibri" w:cs="Calibri"/>
          <w:b/>
          <w:bCs/>
          <w:color w:val="000000"/>
          <w:lang w:val="en-GB" w:eastAsia="cs-CZ"/>
        </w:rPr>
        <w:t xml:space="preserve">and </w:t>
      </w:r>
      <w:r w:rsidRPr="00177F0B">
        <w:rPr>
          <w:rFonts w:ascii="Calibri" w:eastAsia="Times New Roman" w:hAnsi="Calibri" w:cs="Calibri"/>
          <w:b/>
          <w:bCs/>
          <w:color w:val="000000"/>
          <w:lang w:val="en-GB" w:eastAsia="cs-CZ"/>
        </w:rPr>
        <w:t>over the functioning of the health insurance companies</w:t>
      </w:r>
      <w:r w:rsidRPr="00177F0B">
        <w:rPr>
          <w:rFonts w:ascii="Calibri" w:eastAsia="Times New Roman" w:hAnsi="Calibri" w:cs="Calibri"/>
          <w:color w:val="000000"/>
          <w:lang w:val="en-GB" w:eastAsia="cs-CZ"/>
        </w:rPr>
        <w:t xml:space="preserve">. The government will introduce a transparent system of quality indicators for comparing and publishing of quality of </w:t>
      </w:r>
      <w:r>
        <w:rPr>
          <w:rFonts w:ascii="Calibri" w:eastAsia="Times New Roman" w:hAnsi="Calibri" w:cs="Calibri"/>
          <w:color w:val="000000"/>
          <w:lang w:val="en-GB" w:eastAsia="cs-CZ"/>
        </w:rPr>
        <w:t>health</w:t>
      </w:r>
      <w:r w:rsidRPr="00177F0B">
        <w:rPr>
          <w:rFonts w:ascii="Calibri" w:eastAsia="Times New Roman" w:hAnsi="Calibri" w:cs="Calibri"/>
          <w:color w:val="000000"/>
          <w:lang w:val="en-GB" w:eastAsia="cs-CZ"/>
        </w:rPr>
        <w:t xml:space="preserve">care in individual healthcare facilities, </w:t>
      </w:r>
      <w:r>
        <w:rPr>
          <w:rFonts w:ascii="Calibri" w:eastAsia="Times New Roman" w:hAnsi="Calibri" w:cs="Calibri"/>
          <w:color w:val="000000"/>
          <w:lang w:val="en-GB" w:eastAsia="cs-CZ"/>
        </w:rPr>
        <w:t>so that these are</w:t>
      </w:r>
      <w:r w:rsidRPr="00177F0B">
        <w:rPr>
          <w:rFonts w:ascii="Calibri" w:eastAsia="Times New Roman" w:hAnsi="Calibri" w:cs="Calibri"/>
          <w:color w:val="000000"/>
          <w:lang w:val="en-GB" w:eastAsia="cs-CZ"/>
        </w:rPr>
        <w:t xml:space="preserve"> accessible to both patients and specialists.</w:t>
      </w:r>
      <w:r>
        <w:rPr>
          <w:rStyle w:val="Znakapoznpodarou"/>
          <w:rFonts w:ascii="Calibri" w:eastAsia="Times New Roman" w:hAnsi="Calibri" w:cs="Calibri"/>
          <w:color w:val="000000"/>
          <w:lang w:val="en-GB" w:eastAsia="cs-CZ"/>
        </w:rPr>
        <w:footnoteReference w:id="4"/>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ompetencies between the Ministry of Health and the National Reference Centre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also be specified. In April 2014, the </w:t>
      </w:r>
      <w:r>
        <w:rPr>
          <w:rFonts w:ascii="Calibri" w:eastAsia="Times New Roman" w:hAnsi="Calibri" w:cs="Calibri"/>
          <w:color w:val="000000"/>
          <w:lang w:val="en-GB" w:eastAsia="cs-CZ"/>
        </w:rPr>
        <w:t>so-called I</w:t>
      </w:r>
      <w:r w:rsidRPr="00177F0B">
        <w:rPr>
          <w:rFonts w:ascii="Calibri" w:eastAsia="Times New Roman" w:hAnsi="Calibri" w:cs="Calibri"/>
          <w:color w:val="000000"/>
          <w:lang w:val="en-GB" w:eastAsia="cs-CZ"/>
        </w:rPr>
        <w:t xml:space="preserve">nstrument Commission </w:t>
      </w:r>
      <w:r>
        <w:rPr>
          <w:rFonts w:ascii="Calibri" w:eastAsia="Times New Roman" w:hAnsi="Calibri" w:cs="Calibri"/>
          <w:color w:val="000000"/>
          <w:lang w:val="en-GB" w:eastAsia="cs-CZ"/>
        </w:rPr>
        <w:t>was established</w:t>
      </w:r>
      <w:r w:rsidRPr="00177F0B">
        <w:rPr>
          <w:rFonts w:ascii="Calibri" w:eastAsia="Times New Roman" w:hAnsi="Calibri" w:cs="Calibri"/>
          <w:color w:val="000000"/>
          <w:lang w:val="en-GB" w:eastAsia="cs-CZ"/>
        </w:rPr>
        <w:t xml:space="preserve"> (or the "Commission for the assessment of </w:t>
      </w:r>
      <w:r>
        <w:rPr>
          <w:rFonts w:ascii="Calibri" w:eastAsia="Times New Roman" w:hAnsi="Calibri" w:cs="Calibri"/>
          <w:color w:val="000000"/>
          <w:lang w:val="en-GB" w:eastAsia="cs-CZ"/>
        </w:rPr>
        <w:t xml:space="preserve">allocation of </w:t>
      </w:r>
      <w:r w:rsidRPr="00177F0B">
        <w:rPr>
          <w:rFonts w:ascii="Calibri" w:eastAsia="Times New Roman" w:hAnsi="Calibri" w:cs="Calibri"/>
          <w:color w:val="000000"/>
          <w:lang w:val="en-GB" w:eastAsia="cs-CZ"/>
        </w:rPr>
        <w:t xml:space="preserve">medical </w:t>
      </w:r>
      <w:r>
        <w:rPr>
          <w:rFonts w:ascii="Calibri" w:eastAsia="Times New Roman" w:hAnsi="Calibri" w:cs="Calibri"/>
          <w:color w:val="000000"/>
          <w:lang w:val="en-GB" w:eastAsia="cs-CZ"/>
        </w:rPr>
        <w:t>instruments</w:t>
      </w:r>
      <w:r w:rsidRPr="00177F0B">
        <w:rPr>
          <w:rFonts w:ascii="Calibri" w:eastAsia="Times New Roman" w:hAnsi="Calibri" w:cs="Calibri"/>
          <w:color w:val="000000"/>
          <w:lang w:val="en-GB" w:eastAsia="cs-CZ"/>
        </w:rPr>
        <w:t xml:space="preserve">"), which will </w:t>
      </w:r>
      <w:r>
        <w:rPr>
          <w:rFonts w:ascii="Calibri" w:eastAsia="Times New Roman" w:hAnsi="Calibri" w:cs="Calibri"/>
          <w:color w:val="000000"/>
          <w:lang w:val="en-GB" w:eastAsia="cs-CZ"/>
        </w:rPr>
        <w:t>comprise of representatives of</w:t>
      </w:r>
      <w:r w:rsidRPr="00177F0B">
        <w:rPr>
          <w:rFonts w:ascii="Calibri" w:eastAsia="Times New Roman" w:hAnsi="Calibri" w:cs="Calibri"/>
          <w:color w:val="000000"/>
          <w:lang w:val="en-GB" w:eastAsia="cs-CZ"/>
        </w:rPr>
        <w:t xml:space="preserve"> ministries </w:t>
      </w:r>
      <w:r>
        <w:rPr>
          <w:rFonts w:ascii="Calibri" w:eastAsia="Times New Roman" w:hAnsi="Calibri" w:cs="Calibri"/>
          <w:color w:val="000000"/>
          <w:lang w:val="en-GB" w:eastAsia="cs-CZ"/>
        </w:rPr>
        <w:t>as well as</w:t>
      </w:r>
      <w:r w:rsidRPr="00177F0B">
        <w:rPr>
          <w:rFonts w:ascii="Calibri" w:eastAsia="Times New Roman" w:hAnsi="Calibri" w:cs="Calibri"/>
          <w:color w:val="000000"/>
          <w:lang w:val="en-GB" w:eastAsia="cs-CZ"/>
        </w:rPr>
        <w:t xml:space="preserve"> health insurance</w:t>
      </w:r>
      <w:r>
        <w:rPr>
          <w:rFonts w:ascii="Calibri" w:eastAsia="Times New Roman" w:hAnsi="Calibri" w:cs="Calibri"/>
          <w:color w:val="000000"/>
          <w:lang w:val="en-GB" w:eastAsia="cs-CZ"/>
        </w:rPr>
        <w:t xml:space="preserve"> companies</w:t>
      </w:r>
      <w:r w:rsidRPr="00177F0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lastRenderedPageBreak/>
        <w:t xml:space="preserve">Czech Medical Chamber, </w:t>
      </w:r>
      <w:r>
        <w:rPr>
          <w:rFonts w:ascii="Calibri" w:eastAsia="Times New Roman" w:hAnsi="Calibri" w:cs="Calibri"/>
          <w:color w:val="000000"/>
          <w:lang w:val="en-GB" w:eastAsia="cs-CZ"/>
        </w:rPr>
        <w:t>specialist</w:t>
      </w:r>
      <w:r w:rsidRPr="00177F0B">
        <w:rPr>
          <w:rFonts w:ascii="Calibri" w:eastAsia="Times New Roman" w:hAnsi="Calibri" w:cs="Calibri"/>
          <w:color w:val="000000"/>
          <w:lang w:val="en-GB" w:eastAsia="cs-CZ"/>
        </w:rPr>
        <w:t xml:space="preserve"> companies, region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in which the healthcare provider requesting the purchase of expensive equipment</w:t>
      </w:r>
      <w:r>
        <w:rPr>
          <w:rFonts w:ascii="Calibri" w:eastAsia="Times New Roman" w:hAnsi="Calibri" w:cs="Calibri"/>
          <w:color w:val="000000"/>
          <w:lang w:val="en-GB" w:eastAsia="cs-CZ"/>
        </w:rPr>
        <w:t xml:space="preserve"> resides</w:t>
      </w:r>
      <w:r w:rsidRPr="00177F0B">
        <w:rPr>
          <w:rFonts w:ascii="Calibri" w:eastAsia="Times New Roman" w:hAnsi="Calibri" w:cs="Calibri"/>
          <w:color w:val="000000"/>
          <w:lang w:val="en-GB" w:eastAsia="cs-CZ"/>
        </w:rPr>
        <w:t xml:space="preserve"> and finally </w:t>
      </w:r>
      <w:r>
        <w:rPr>
          <w:rFonts w:ascii="Calibri" w:eastAsia="Times New Roman" w:hAnsi="Calibri" w:cs="Calibri"/>
          <w:color w:val="000000"/>
          <w:lang w:val="en-GB" w:eastAsia="cs-CZ"/>
        </w:rPr>
        <w:t xml:space="preserve">the addressed </w:t>
      </w:r>
      <w:r w:rsidRPr="00177F0B">
        <w:rPr>
          <w:rFonts w:ascii="Calibri" w:eastAsia="Times New Roman" w:hAnsi="Calibri" w:cs="Calibri"/>
          <w:color w:val="000000"/>
          <w:lang w:val="en-GB" w:eastAsia="cs-CZ"/>
        </w:rPr>
        <w:t xml:space="preserve">trade unions. The task of this committee will </w:t>
      </w:r>
      <w:r>
        <w:rPr>
          <w:rFonts w:ascii="Calibri" w:eastAsia="Times New Roman" w:hAnsi="Calibri" w:cs="Calibri"/>
          <w:color w:val="000000"/>
          <w:lang w:val="en-GB" w:eastAsia="cs-CZ"/>
        </w:rPr>
        <w:t xml:space="preserve">be to </w:t>
      </w:r>
      <w:r w:rsidRPr="00177F0B">
        <w:rPr>
          <w:rFonts w:ascii="Calibri" w:eastAsia="Times New Roman" w:hAnsi="Calibri" w:cs="Calibri"/>
          <w:color w:val="000000"/>
          <w:lang w:val="en-GB" w:eastAsia="cs-CZ"/>
        </w:rPr>
        <w:t xml:space="preserve">assess and recommend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entry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expensive medical technology in the public insurance s</w:t>
      </w:r>
      <w:r>
        <w:rPr>
          <w:rFonts w:ascii="Calibri" w:eastAsia="Times New Roman" w:hAnsi="Calibri" w:cs="Calibri"/>
          <w:color w:val="000000"/>
          <w:lang w:val="en-GB" w:eastAsia="cs-CZ"/>
        </w:rPr>
        <w:t>ystem</w:t>
      </w:r>
      <w:r w:rsidRPr="00177F0B">
        <w:rPr>
          <w:rFonts w:ascii="Calibri" w:eastAsia="Times New Roman" w:hAnsi="Calibri" w:cs="Calibri"/>
          <w:color w:val="000000"/>
          <w:lang w:val="en-GB" w:eastAsia="cs-CZ"/>
        </w:rPr>
        <w:t xml:space="preserve"> so </w:t>
      </w:r>
      <w:r>
        <w:rPr>
          <w:rFonts w:ascii="Calibri" w:eastAsia="Times New Roman" w:hAnsi="Calibri" w:cs="Calibri"/>
          <w:color w:val="000000"/>
          <w:lang w:val="en-GB" w:eastAsia="cs-CZ"/>
        </w:rPr>
        <w:t>that it will be</w:t>
      </w:r>
      <w:r w:rsidRPr="00177F0B">
        <w:rPr>
          <w:rFonts w:ascii="Calibri" w:eastAsia="Times New Roman" w:hAnsi="Calibri" w:cs="Calibri"/>
          <w:color w:val="000000"/>
          <w:lang w:val="en-GB" w:eastAsia="cs-CZ"/>
        </w:rPr>
        <w:t xml:space="preserve"> effectively utilize</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 and appropriately allocated geographically.</w:t>
      </w:r>
    </w:p>
    <w:p w:rsidR="007D1942" w:rsidRPr="007A1B09" w:rsidRDefault="007D1942" w:rsidP="006F5768">
      <w:pPr>
        <w:rPr>
          <w:lang w:val="en-GB"/>
        </w:rPr>
      </w:pPr>
    </w:p>
    <w:p w:rsidR="007F3EF6" w:rsidRPr="00000E3F" w:rsidRDefault="00000E3F" w:rsidP="00000E3F">
      <w:pPr>
        <w:pStyle w:val="Nadpis2"/>
        <w:keepNext/>
        <w:keepLines/>
        <w:numPr>
          <w:ilvl w:val="1"/>
          <w:numId w:val="4"/>
        </w:numPr>
        <w:ind w:left="851" w:hanging="851"/>
        <w:rPr>
          <w:bCs/>
          <w:lang w:val="en-GB"/>
        </w:rPr>
      </w:pPr>
      <w:bookmarkStart w:id="23" w:name="_Toc385945997"/>
      <w:r w:rsidRPr="00000E3F">
        <w:rPr>
          <w:bCs/>
          <w:lang w:val="en-GB"/>
        </w:rPr>
        <w:t>Public employment services and the improvement of child care services</w:t>
      </w:r>
      <w:bookmarkEnd w:id="23"/>
    </w:p>
    <w:p w:rsidR="007F3EF6" w:rsidRPr="007A1B09" w:rsidRDefault="00000E3F"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000E3F">
        <w:rPr>
          <w:b/>
          <w:bCs/>
          <w:color w:val="9B2D1F" w:themeColor="accent2"/>
          <w:lang w:val="en-GB"/>
        </w:rPr>
        <w:t>Council Recommendation No. 4</w:t>
      </w:r>
      <w:r w:rsidR="007F3EF6" w:rsidRPr="007A1B09">
        <w:rPr>
          <w:b/>
          <w:color w:val="9B2D1F" w:themeColor="accent2"/>
          <w:lang w:val="en-GB"/>
        </w:rPr>
        <w:t>:</w:t>
      </w:r>
      <w:r w:rsidR="007F3EF6" w:rsidRPr="007A1B09">
        <w:rPr>
          <w:color w:val="D41616"/>
          <w:lang w:val="en-GB"/>
        </w:rPr>
        <w:t>.</w:t>
      </w:r>
      <w:r w:rsidRPr="00000E3F">
        <w:rPr>
          <w:rFonts w:ascii="Calibri" w:eastAsia="Times New Roman" w:hAnsi="Calibri" w:cs="Calibri"/>
          <w:color w:val="D41616"/>
          <w:sz w:val="22"/>
          <w:lang w:val="en-GB" w:eastAsia="cs-CZ"/>
        </w:rPr>
        <w:t xml:space="preserve"> </w:t>
      </w:r>
      <w:r w:rsidRPr="00000E3F">
        <w:rPr>
          <w:color w:val="D41616"/>
          <w:lang w:val="en-GB"/>
        </w:rPr>
        <w:t>Make additional efforts to strengthen the efficiency and effec­tiveness of the public employment service. Increase signifi­cantly the availability of inclusive childcare facilities with a focus on children up to three years old, and the participation of Roma children, in particular by adopting and imple­menting the law on provision of childcare services and strengthening the capacities of both public and private childcare services</w:t>
      </w:r>
      <w:r>
        <w:rPr>
          <w:color w:val="D41616"/>
          <w:lang w:val="en-GB"/>
        </w:rPr>
        <w:t>.</w:t>
      </w:r>
    </w:p>
    <w:p w:rsidR="003237CF" w:rsidRPr="007A1B09" w:rsidRDefault="00000E3F" w:rsidP="00EF38D7">
      <w:pPr>
        <w:pStyle w:val="Nadpis3"/>
        <w:keepNext/>
        <w:keepLines/>
        <w:numPr>
          <w:ilvl w:val="2"/>
          <w:numId w:val="4"/>
        </w:numPr>
        <w:ind w:left="851" w:hanging="851"/>
        <w:rPr>
          <w:lang w:val="en-GB"/>
        </w:rPr>
      </w:pPr>
      <w:bookmarkStart w:id="24" w:name="_Toc385945998"/>
      <w:r w:rsidRPr="00000E3F">
        <w:rPr>
          <w:bCs/>
          <w:lang w:val="en-GB"/>
        </w:rPr>
        <w:t>Strengthening of public employment services</w:t>
      </w:r>
      <w:bookmarkEnd w:id="24"/>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accordance with the recommendation the intention of the government</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to modernize the system of public employment services</w:t>
      </w:r>
      <w:r w:rsidRPr="00177F0B">
        <w:rPr>
          <w:rFonts w:ascii="Calibri" w:eastAsia="Times New Roman" w:hAnsi="Calibri" w:cs="Calibri"/>
          <w:color w:val="000000"/>
          <w:lang w:val="en-GB" w:eastAsia="cs-CZ"/>
        </w:rPr>
        <w:t> and strengthening the capacity and efficiency of emplo</w:t>
      </w:r>
      <w:r>
        <w:rPr>
          <w:rFonts w:ascii="Calibri" w:eastAsia="Times New Roman" w:hAnsi="Calibri" w:cs="Calibri"/>
          <w:color w:val="000000"/>
          <w:lang w:val="en-GB" w:eastAsia="cs-CZ"/>
        </w:rPr>
        <w:t>yment services in various areas and that, among others, with</w:t>
      </w:r>
      <w:r w:rsidRPr="00177F0B">
        <w:rPr>
          <w:rFonts w:ascii="Calibri" w:eastAsia="Times New Roman" w:hAnsi="Calibri" w:cs="Calibri"/>
          <w:color w:val="000000"/>
          <w:lang w:val="en-GB" w:eastAsia="cs-CZ"/>
        </w:rPr>
        <w:t xml:space="preserve"> the use of European funds. Attention will be paid to the most vulnerable groups, such as mothers returning from maternity leave, youth under 30 years, people of</w:t>
      </w:r>
      <w:r>
        <w:rPr>
          <w:rFonts w:ascii="Calibri" w:eastAsia="Times New Roman" w:hAnsi="Calibri" w:cs="Calibri"/>
          <w:color w:val="000000"/>
          <w:lang w:val="en-GB" w:eastAsia="cs-CZ"/>
        </w:rPr>
        <w:t xml:space="preserve"> pre-</w:t>
      </w:r>
      <w:r w:rsidRPr="00177F0B">
        <w:rPr>
          <w:rFonts w:ascii="Calibri" w:eastAsia="Times New Roman" w:hAnsi="Calibri" w:cs="Calibri"/>
          <w:color w:val="000000"/>
          <w:lang w:val="en-GB" w:eastAsia="cs-CZ"/>
        </w:rPr>
        <w:t>retirement age, low-skilled workers, people at risk of social exclusion and people with disabilities.</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the second half of 2013 a process of gradual </w:t>
      </w:r>
      <w:r w:rsidRPr="00177F0B">
        <w:rPr>
          <w:rFonts w:ascii="Calibri" w:eastAsia="Times New Roman" w:hAnsi="Calibri" w:cs="Calibri"/>
          <w:b/>
          <w:bCs/>
          <w:color w:val="000000"/>
          <w:lang w:val="en-GB" w:eastAsia="cs-CZ"/>
        </w:rPr>
        <w:t xml:space="preserve">reorganization and stabilization of the Labour </w:t>
      </w:r>
      <w:r>
        <w:rPr>
          <w:rFonts w:ascii="Calibri" w:eastAsia="Times New Roman" w:hAnsi="Calibri" w:cs="Calibri"/>
          <w:b/>
          <w:bCs/>
          <w:color w:val="000000"/>
          <w:lang w:val="en-GB" w:eastAsia="cs-CZ"/>
        </w:rPr>
        <w:t>Authority</w:t>
      </w:r>
      <w:r w:rsidRPr="00177F0B">
        <w:rPr>
          <w:rFonts w:ascii="Calibri" w:eastAsia="Times New Roman" w:hAnsi="Calibri" w:cs="Calibri"/>
          <w:b/>
          <w:bCs/>
          <w:color w:val="000000"/>
          <w:lang w:val="en-GB" w:eastAsia="cs-CZ"/>
        </w:rPr>
        <w:t xml:space="preserve"> of the Czech Republic</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has been </w:t>
      </w:r>
      <w:r w:rsidRPr="00177F0B">
        <w:rPr>
          <w:rFonts w:ascii="Calibri" w:eastAsia="Times New Roman" w:hAnsi="Calibri" w:cs="Calibri"/>
          <w:color w:val="000000"/>
          <w:lang w:val="en-GB" w:eastAsia="cs-CZ"/>
        </w:rPr>
        <w:t xml:space="preserve">started,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goal </w:t>
      </w:r>
      <w:r>
        <w:rPr>
          <w:rFonts w:ascii="Calibri" w:eastAsia="Times New Roman" w:hAnsi="Calibri" w:cs="Calibri"/>
          <w:color w:val="000000"/>
          <w:lang w:val="en-GB" w:eastAsia="cs-CZ"/>
        </w:rPr>
        <w:t xml:space="preserve">of which </w:t>
      </w:r>
      <w:r w:rsidRPr="00177F0B">
        <w:rPr>
          <w:rFonts w:ascii="Calibri" w:eastAsia="Times New Roman" w:hAnsi="Calibri" w:cs="Calibri"/>
          <w:color w:val="000000"/>
          <w:lang w:val="en-GB" w:eastAsia="cs-CZ"/>
        </w:rPr>
        <w:t>is to eliminate shortcomings in its setup and operation.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ability of the </w:t>
      </w:r>
      <w:r>
        <w:rPr>
          <w:rFonts w:ascii="Calibri" w:eastAsia="Times New Roman" w:hAnsi="Calibri" w:cs="Calibri"/>
          <w:color w:val="000000"/>
          <w:lang w:val="en-GB" w:eastAsia="cs-CZ"/>
        </w:rPr>
        <w:t>Authority</w:t>
      </w:r>
      <w:r w:rsidRPr="00177F0B">
        <w:rPr>
          <w:rFonts w:ascii="Calibri" w:eastAsia="Times New Roman" w:hAnsi="Calibri" w:cs="Calibri"/>
          <w:color w:val="000000"/>
          <w:lang w:val="en-GB" w:eastAsia="cs-CZ"/>
        </w:rPr>
        <w:t xml:space="preserve"> to secure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employment agenda</w:t>
      </w:r>
      <w:r>
        <w:rPr>
          <w:rFonts w:ascii="Calibri" w:eastAsia="Times New Roman" w:hAnsi="Calibri" w:cs="Calibri"/>
          <w:color w:val="000000"/>
          <w:lang w:val="en-GB" w:eastAsia="cs-CZ"/>
        </w:rPr>
        <w:t xml:space="preserve"> is being improved g</w:t>
      </w:r>
      <w:r w:rsidRPr="00177F0B">
        <w:rPr>
          <w:rFonts w:ascii="Calibri" w:eastAsia="Times New Roman" w:hAnsi="Calibri" w:cs="Calibri"/>
          <w:color w:val="000000"/>
          <w:lang w:val="en-GB" w:eastAsia="cs-CZ"/>
        </w:rPr>
        <w:t>radua</w:t>
      </w:r>
      <w:r w:rsidRPr="00177F0B">
        <w:rPr>
          <w:rFonts w:ascii="Calibri" w:eastAsia="Times New Roman" w:hAnsi="Calibri" w:cs="Calibri"/>
          <w:color w:val="000000"/>
          <w:lang w:val="en-GB" w:eastAsia="cs-CZ"/>
        </w:rPr>
        <w:t>l</w:t>
      </w:r>
      <w:r w:rsidRPr="00177F0B">
        <w:rPr>
          <w:rFonts w:ascii="Calibri" w:eastAsia="Times New Roman" w:hAnsi="Calibri" w:cs="Calibri"/>
          <w:color w:val="000000"/>
          <w:lang w:val="en-GB" w:eastAsia="cs-CZ"/>
        </w:rPr>
        <w:t>ly. </w:t>
      </w:r>
      <w:r>
        <w:rPr>
          <w:rFonts w:ascii="Calibri" w:eastAsia="Times New Roman" w:hAnsi="Calibri" w:cs="Calibri"/>
          <w:color w:val="000000"/>
          <w:lang w:val="en-GB" w:eastAsia="cs-CZ"/>
        </w:rPr>
        <w:t>Since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1</w:t>
      </w:r>
      <w:r w:rsidRPr="00385E49">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September 2013</w:t>
      </w:r>
      <w:r w:rsidRPr="00177F0B">
        <w:rPr>
          <w:rFonts w:ascii="Calibri" w:eastAsia="Times New Roman" w:hAnsi="Calibri" w:cs="Calibri"/>
          <w:color w:val="000000"/>
          <w:lang w:val="en-GB" w:eastAsia="cs-CZ"/>
        </w:rPr>
        <w:t xml:space="preserve"> 700 systemized posts</w:t>
      </w:r>
      <w:r>
        <w:rPr>
          <w:rFonts w:ascii="Calibri" w:eastAsia="Times New Roman" w:hAnsi="Calibri" w:cs="Calibri"/>
          <w:color w:val="000000"/>
          <w:lang w:val="en-GB" w:eastAsia="cs-CZ"/>
        </w:rPr>
        <w:t xml:space="preserve"> were added</w:t>
      </w:r>
      <w:r w:rsidRPr="00177F0B">
        <w:rPr>
          <w:rFonts w:ascii="Calibri" w:eastAsia="Times New Roman" w:hAnsi="Calibri" w:cs="Calibri"/>
          <w:color w:val="000000"/>
          <w:lang w:val="en-GB" w:eastAsia="cs-CZ"/>
        </w:rPr>
        <w:t xml:space="preserve"> intended for the implementation of the active employment policy, especially in cooperation with employers and self-governing bodies. Increase in personnel was accompanied by an increase in funding for salaries and related operating expenses. Further strengthening staff capacity is addressed through projects implemented under the OP Human Resources and Employment.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will prepare </w:t>
      </w:r>
      <w:r w:rsidRPr="00177F0B">
        <w:rPr>
          <w:rFonts w:ascii="Calibri" w:eastAsia="Times New Roman" w:hAnsi="Calibri" w:cs="Calibri"/>
          <w:b/>
          <w:bCs/>
          <w:color w:val="000000"/>
          <w:lang w:val="en-GB" w:eastAsia="cs-CZ"/>
        </w:rPr>
        <w:t xml:space="preserve">an amendment to Act No. 73/20011 Coll., </w:t>
      </w:r>
      <w:r>
        <w:rPr>
          <w:rFonts w:ascii="Calibri" w:eastAsia="Times New Roman" w:hAnsi="Calibri" w:cs="Calibri"/>
          <w:b/>
          <w:bCs/>
          <w:color w:val="000000"/>
          <w:lang w:val="en-GB" w:eastAsia="cs-CZ"/>
        </w:rPr>
        <w:t xml:space="preserve">on </w:t>
      </w:r>
      <w:r w:rsidRPr="00177F0B">
        <w:rPr>
          <w:rFonts w:ascii="Calibri" w:eastAsia="Times New Roman" w:hAnsi="Calibri" w:cs="Calibri"/>
          <w:b/>
          <w:bCs/>
          <w:color w:val="000000"/>
          <w:lang w:val="en-GB" w:eastAsia="cs-CZ"/>
        </w:rPr>
        <w:t xml:space="preserve">the Labour </w:t>
      </w:r>
      <w:r>
        <w:rPr>
          <w:rFonts w:ascii="Calibri" w:eastAsia="Times New Roman" w:hAnsi="Calibri" w:cs="Calibri"/>
          <w:b/>
          <w:bCs/>
          <w:color w:val="000000"/>
          <w:lang w:val="en-GB" w:eastAsia="cs-CZ"/>
        </w:rPr>
        <w:t>Authority</w:t>
      </w:r>
      <w:r w:rsidRPr="00177F0B">
        <w:rPr>
          <w:rFonts w:ascii="Calibri" w:eastAsia="Times New Roman" w:hAnsi="Calibri" w:cs="Calibri"/>
          <w:b/>
          <w:bCs/>
          <w:color w:val="000000"/>
          <w:lang w:val="en-GB" w:eastAsia="cs-CZ"/>
        </w:rPr>
        <w:t xml:space="preserve"> of the Czech Republic</w:t>
      </w:r>
      <w:r>
        <w:rPr>
          <w:rFonts w:ascii="Calibri" w:eastAsia="Times New Roman" w:hAnsi="Calibri" w:cs="Calibri"/>
          <w:b/>
          <w:bCs/>
          <w:color w:val="000000"/>
          <w:lang w:val="en-GB" w:eastAsia="cs-CZ"/>
        </w:rPr>
        <w:t xml:space="preserve">, </w:t>
      </w:r>
      <w:r>
        <w:rPr>
          <w:rFonts w:ascii="Calibri" w:eastAsia="Times New Roman" w:hAnsi="Calibri" w:cs="Calibri"/>
          <w:color w:val="000000"/>
          <w:lang w:val="en-GB" w:eastAsia="cs-CZ"/>
        </w:rPr>
        <w:t>adjusting the</w:t>
      </w:r>
      <w:r w:rsidRPr="00177F0B">
        <w:rPr>
          <w:rFonts w:ascii="Calibri" w:eastAsia="Times New Roman" w:hAnsi="Calibri" w:cs="Calibri"/>
          <w:color w:val="000000"/>
          <w:lang w:val="en-GB" w:eastAsia="cs-CZ"/>
        </w:rPr>
        <w:t xml:space="preserve"> system to better meet the needs and requirements of the Czech labour market. The amendment modifies the organizational structure of the </w:t>
      </w:r>
      <w:r>
        <w:rPr>
          <w:rFonts w:ascii="Calibri" w:eastAsia="Times New Roman" w:hAnsi="Calibri" w:cs="Calibri"/>
          <w:color w:val="000000"/>
          <w:lang w:val="en-GB" w:eastAsia="cs-CZ"/>
        </w:rPr>
        <w:t>Authority</w:t>
      </w:r>
      <w:r w:rsidRPr="00177F0B">
        <w:rPr>
          <w:rFonts w:ascii="Calibri" w:eastAsia="Times New Roman" w:hAnsi="Calibri" w:cs="Calibri"/>
          <w:color w:val="000000"/>
          <w:lang w:val="en-GB" w:eastAsia="cs-CZ"/>
        </w:rPr>
        <w:t xml:space="preserve"> on the basis of a consistent application of the principle of subsidiarity. Its aim is to increase accountability for performance and implementation of the active employment policy</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centres at lower regional levels, improve cooperation with </w:t>
      </w:r>
      <w:r>
        <w:rPr>
          <w:rFonts w:ascii="Calibri" w:eastAsia="Times New Roman" w:hAnsi="Calibri" w:cs="Calibri"/>
          <w:color w:val="000000"/>
          <w:lang w:val="en-GB" w:eastAsia="cs-CZ"/>
        </w:rPr>
        <w:t>parties</w:t>
      </w:r>
      <w:r w:rsidRPr="00177F0B">
        <w:rPr>
          <w:rFonts w:ascii="Calibri" w:eastAsia="Times New Roman" w:hAnsi="Calibri" w:cs="Calibri"/>
          <w:color w:val="000000"/>
          <w:lang w:val="en-GB" w:eastAsia="cs-CZ"/>
        </w:rPr>
        <w:t xml:space="preserve"> in the labour market and streamlin</w:t>
      </w:r>
      <w:r>
        <w:rPr>
          <w:rFonts w:ascii="Calibri" w:eastAsia="Times New Roman" w:hAnsi="Calibri" w:cs="Calibri"/>
          <w:color w:val="000000"/>
          <w:lang w:val="en-GB" w:eastAsia="cs-CZ"/>
        </w:rPr>
        <w:t xml:space="preserve">e management from the </w:t>
      </w:r>
      <w:r w:rsidRPr="00177F0B">
        <w:rPr>
          <w:rFonts w:ascii="Calibri" w:eastAsia="Times New Roman" w:hAnsi="Calibri" w:cs="Calibri"/>
          <w:color w:val="000000"/>
          <w:lang w:val="en-GB" w:eastAsia="cs-CZ"/>
        </w:rPr>
        <w:t xml:space="preserve">General </w:t>
      </w:r>
      <w:r>
        <w:rPr>
          <w:rFonts w:ascii="Calibri" w:eastAsia="Times New Roman" w:hAnsi="Calibri" w:cs="Calibri"/>
          <w:color w:val="000000"/>
          <w:lang w:val="en-GB" w:eastAsia="cs-CZ"/>
        </w:rPr>
        <w:t>Directorate</w:t>
      </w:r>
      <w:r w:rsidRPr="00177F0B">
        <w:rPr>
          <w:rFonts w:ascii="Calibri" w:eastAsia="Times New Roman" w:hAnsi="Calibri" w:cs="Calibri"/>
          <w:color w:val="000000"/>
          <w:lang w:val="en-GB" w:eastAsia="cs-CZ"/>
        </w:rPr>
        <w:t xml:space="preserve"> level towards regional branches in terms of</w:t>
      </w:r>
      <w:r>
        <w:rPr>
          <w:rFonts w:ascii="Calibri" w:eastAsia="Times New Roman" w:hAnsi="Calibri" w:cs="Calibri"/>
          <w:color w:val="000000"/>
          <w:lang w:val="en-GB" w:eastAsia="cs-CZ"/>
        </w:rPr>
        <w:t xml:space="preserve"> higher</w:t>
      </w:r>
      <w:r w:rsidRPr="00177F0B">
        <w:rPr>
          <w:rFonts w:ascii="Calibri" w:eastAsia="Times New Roman" w:hAnsi="Calibri" w:cs="Calibri"/>
          <w:color w:val="000000"/>
          <w:lang w:val="en-GB" w:eastAsia="cs-CZ"/>
        </w:rPr>
        <w:t xml:space="preserve"> quality support</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regions. In order to better match supply and demand in the labour market and the effective integration of jobseekers into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work</w:t>
      </w:r>
      <w:r>
        <w:rPr>
          <w:rFonts w:ascii="Calibri" w:eastAsia="Times New Roman" w:hAnsi="Calibri" w:cs="Calibri"/>
          <w:color w:val="000000"/>
          <w:lang w:val="en-GB" w:eastAsia="cs-CZ"/>
        </w:rPr>
        <w:t xml:space="preserve"> process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cooperation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branch offices with local businesses is </w:t>
      </w:r>
      <w:r>
        <w:rPr>
          <w:rFonts w:ascii="Calibri" w:eastAsia="Times New Roman" w:hAnsi="Calibri" w:cs="Calibri"/>
          <w:color w:val="000000"/>
          <w:lang w:val="en-GB" w:eastAsia="cs-CZ"/>
        </w:rPr>
        <w:t xml:space="preserve">being </w:t>
      </w:r>
      <w:r w:rsidRPr="00177F0B">
        <w:rPr>
          <w:rFonts w:ascii="Calibri" w:eastAsia="Times New Roman" w:hAnsi="Calibri" w:cs="Calibri"/>
          <w:color w:val="000000"/>
          <w:lang w:val="en-GB" w:eastAsia="cs-CZ"/>
        </w:rPr>
        <w:t xml:space="preserve">strengthened so that there is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two-way flow of information on employment opportunities and potential employees demanded. In order to improve the quality of </w:t>
      </w:r>
      <w:r>
        <w:rPr>
          <w:rFonts w:ascii="Calibri" w:eastAsia="Times New Roman" w:hAnsi="Calibri" w:cs="Calibri"/>
          <w:color w:val="000000"/>
          <w:lang w:val="en-GB" w:eastAsia="cs-CZ"/>
        </w:rPr>
        <w:t xml:space="preserve">the provided </w:t>
      </w:r>
      <w:r w:rsidRPr="00177F0B">
        <w:rPr>
          <w:rFonts w:ascii="Calibri" w:eastAsia="Times New Roman" w:hAnsi="Calibri" w:cs="Calibri"/>
          <w:color w:val="000000"/>
          <w:lang w:val="en-GB" w:eastAsia="cs-CZ"/>
        </w:rPr>
        <w:t xml:space="preserve">employment </w:t>
      </w:r>
      <w:r>
        <w:rPr>
          <w:rFonts w:ascii="Calibri" w:eastAsia="Times New Roman" w:hAnsi="Calibri" w:cs="Calibri"/>
          <w:color w:val="000000"/>
          <w:lang w:val="en-GB" w:eastAsia="cs-CZ"/>
        </w:rPr>
        <w:t xml:space="preserve">services the </w:t>
      </w:r>
      <w:r w:rsidRPr="00177F0B">
        <w:rPr>
          <w:rFonts w:ascii="Calibri" w:eastAsia="Times New Roman" w:hAnsi="Calibri" w:cs="Calibri"/>
          <w:color w:val="000000"/>
          <w:lang w:val="en-GB" w:eastAsia="cs-CZ"/>
        </w:rPr>
        <w:t>government</w:t>
      </w:r>
      <w:r>
        <w:rPr>
          <w:rFonts w:ascii="Calibri" w:eastAsia="Times New Roman" w:hAnsi="Calibri" w:cs="Calibri"/>
          <w:color w:val="000000"/>
          <w:lang w:val="en-GB" w:eastAsia="cs-CZ"/>
        </w:rPr>
        <w:t xml:space="preserve"> will</w:t>
      </w:r>
      <w:r w:rsidRPr="00177F0B">
        <w:rPr>
          <w:rFonts w:ascii="Calibri" w:eastAsia="Times New Roman" w:hAnsi="Calibri" w:cs="Calibri"/>
          <w:color w:val="000000"/>
          <w:lang w:val="en-GB" w:eastAsia="cs-CZ"/>
        </w:rPr>
        <w:t xml:space="preserve"> support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creation of appropriate material and technical conditions.</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the coming period, the Government intends </w:t>
      </w:r>
      <w:r w:rsidRPr="00177F0B">
        <w:rPr>
          <w:rFonts w:ascii="Calibri" w:eastAsia="Times New Roman" w:hAnsi="Calibri" w:cs="Calibri"/>
          <w:b/>
          <w:bCs/>
          <w:color w:val="000000"/>
          <w:lang w:val="en-GB" w:eastAsia="cs-CZ"/>
        </w:rPr>
        <w:t>to expand and individualize counselling services</w:t>
      </w:r>
      <w:r w:rsidRPr="00177F0B">
        <w:rPr>
          <w:rFonts w:ascii="Calibri" w:eastAsia="Times New Roman" w:hAnsi="Calibri" w:cs="Calibri"/>
          <w:color w:val="000000"/>
          <w:lang w:val="en-GB" w:eastAsia="cs-CZ"/>
        </w:rPr>
        <w:t xml:space="preserve"> as a basic means of preventing and combating unemployment and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 xml:space="preserve">effective tool to support the development of employment. There will be a more focused implementation of the active employment policy (AEP) reflecting the degree of handicap </w:t>
      </w:r>
      <w:r>
        <w:rPr>
          <w:rFonts w:ascii="Calibri" w:eastAsia="Times New Roman" w:hAnsi="Calibri" w:cs="Calibri"/>
          <w:color w:val="000000"/>
          <w:lang w:val="en-GB" w:eastAsia="cs-CZ"/>
        </w:rPr>
        <w:t>of the supported</w:t>
      </w:r>
      <w:r w:rsidRPr="00177F0B">
        <w:rPr>
          <w:rFonts w:ascii="Calibri" w:eastAsia="Times New Roman" w:hAnsi="Calibri" w:cs="Calibri"/>
          <w:color w:val="000000"/>
          <w:lang w:val="en-GB" w:eastAsia="cs-CZ"/>
        </w:rPr>
        <w:t xml:space="preserve"> persons in the labour market</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new ways </w:t>
      </w:r>
      <w:r>
        <w:rPr>
          <w:rFonts w:ascii="Calibri" w:eastAsia="Times New Roman" w:hAnsi="Calibri" w:cs="Calibri"/>
          <w:color w:val="000000"/>
          <w:lang w:val="en-GB" w:eastAsia="cs-CZ"/>
        </w:rPr>
        <w:t xml:space="preserve">of working </w:t>
      </w:r>
      <w:r w:rsidRPr="00177F0B">
        <w:rPr>
          <w:rFonts w:ascii="Calibri" w:eastAsia="Times New Roman" w:hAnsi="Calibri" w:cs="Calibri"/>
          <w:color w:val="000000"/>
          <w:lang w:val="en-GB" w:eastAsia="cs-CZ"/>
        </w:rPr>
        <w:t>with job seekers</w:t>
      </w:r>
      <w:r w:rsidRPr="00EB3AA5">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 be tested, such as coaching and mentoring, flexible forms of employment and remuneration</w:t>
      </w:r>
      <w:r>
        <w:rPr>
          <w:rFonts w:ascii="Calibri" w:eastAsia="Times New Roman" w:hAnsi="Calibri" w:cs="Calibri"/>
          <w:color w:val="000000"/>
          <w:lang w:val="en-GB" w:eastAsia="cs-CZ"/>
        </w:rPr>
        <w:t xml:space="preserve"> will be</w:t>
      </w:r>
      <w:r w:rsidRPr="00EB3AA5">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piloted</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measures </w:t>
      </w:r>
      <w:r>
        <w:rPr>
          <w:rFonts w:ascii="Calibri" w:eastAsia="Times New Roman" w:hAnsi="Calibri" w:cs="Calibri"/>
          <w:color w:val="000000"/>
          <w:lang w:val="en-GB" w:eastAsia="cs-CZ"/>
        </w:rPr>
        <w:t>(tools</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will be implemented</w:t>
      </w:r>
      <w:r w:rsidRPr="00177F0B">
        <w:rPr>
          <w:rFonts w:ascii="Calibri" w:eastAsia="Times New Roman" w:hAnsi="Calibri" w:cs="Calibri"/>
          <w:color w:val="000000"/>
          <w:lang w:val="en-GB" w:eastAsia="cs-CZ"/>
        </w:rPr>
        <w:t xml:space="preserve"> aimed at long-term integration of </w:t>
      </w:r>
      <w:r w:rsidRPr="00177F0B">
        <w:rPr>
          <w:rFonts w:ascii="Calibri" w:eastAsia="Times New Roman" w:hAnsi="Calibri" w:cs="Calibri"/>
          <w:color w:val="000000"/>
          <w:lang w:val="en-GB" w:eastAsia="cs-CZ"/>
        </w:rPr>
        <w:lastRenderedPageBreak/>
        <w:t xml:space="preserve">disadvantaged people in the labour market (e.g. through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integration jobs).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tandards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co</w:t>
      </w:r>
      <w:r>
        <w:rPr>
          <w:rFonts w:ascii="Calibri" w:eastAsia="Times New Roman" w:hAnsi="Calibri" w:cs="Calibri"/>
          <w:color w:val="000000"/>
          <w:lang w:val="en-GB" w:eastAsia="cs-CZ"/>
        </w:rPr>
        <w:t>unselling</w:t>
      </w:r>
      <w:r w:rsidRPr="00177F0B">
        <w:rPr>
          <w:rFonts w:ascii="Calibri" w:eastAsia="Times New Roman" w:hAnsi="Calibri" w:cs="Calibri"/>
          <w:color w:val="000000"/>
          <w:lang w:val="en-GB" w:eastAsia="cs-CZ"/>
        </w:rPr>
        <w:t xml:space="preserve"> services</w:t>
      </w:r>
      <w:r>
        <w:rPr>
          <w:rFonts w:ascii="Calibri" w:eastAsia="Times New Roman" w:hAnsi="Calibri" w:cs="Calibri"/>
          <w:color w:val="000000"/>
          <w:lang w:val="en-GB" w:eastAsia="cs-CZ"/>
        </w:rPr>
        <w:t xml:space="preserve"> will be created</w:t>
      </w:r>
      <w:r w:rsidRPr="00177F0B">
        <w:rPr>
          <w:rFonts w:ascii="Calibri" w:eastAsia="Times New Roman" w:hAnsi="Calibri" w:cs="Calibri"/>
          <w:color w:val="000000"/>
          <w:lang w:val="en-GB" w:eastAsia="cs-CZ"/>
        </w:rPr>
        <w:t xml:space="preserve"> in which the quality of services provided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 be monitored and evaluated. In this context</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increasing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the knowledge and skills of the Labour </w:t>
      </w:r>
      <w:r>
        <w:rPr>
          <w:rFonts w:ascii="Calibri" w:eastAsia="Times New Roman" w:hAnsi="Calibri" w:cs="Calibri"/>
          <w:color w:val="000000"/>
          <w:lang w:val="en-GB" w:eastAsia="cs-CZ"/>
        </w:rPr>
        <w:t>Authority</w:t>
      </w:r>
      <w:r w:rsidRPr="00177F0B">
        <w:rPr>
          <w:rFonts w:ascii="Calibri" w:eastAsia="Times New Roman" w:hAnsi="Calibri" w:cs="Calibri"/>
          <w:color w:val="000000"/>
          <w:lang w:val="en-GB" w:eastAsia="cs-CZ"/>
        </w:rPr>
        <w:t xml:space="preserve"> of the Czech Republic</w:t>
      </w:r>
      <w:r>
        <w:rPr>
          <w:rFonts w:ascii="Calibri" w:eastAsia="Times New Roman" w:hAnsi="Calibri" w:cs="Calibri"/>
          <w:color w:val="000000"/>
          <w:lang w:val="en-GB" w:eastAsia="cs-CZ"/>
        </w:rPr>
        <w:t xml:space="preserve"> will be ensured</w:t>
      </w:r>
      <w:r w:rsidRPr="00177F0B">
        <w:rPr>
          <w:rFonts w:ascii="Calibri" w:eastAsia="Times New Roman" w:hAnsi="Calibri" w:cs="Calibri"/>
          <w:color w:val="000000"/>
          <w:lang w:val="en-GB" w:eastAsia="cs-CZ"/>
        </w:rPr>
        <w:t>, which will enhance the quality of services provided.</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basic condition for the performance and functioning of the Labour Office of the Czech Republic is to ensure the functioning of an information system linking data related to employment services throughout the country. It is also necessary to ensure </w:t>
      </w:r>
      <w:r w:rsidRPr="00177F0B">
        <w:rPr>
          <w:rFonts w:ascii="Calibri" w:eastAsia="Times New Roman" w:hAnsi="Calibri" w:cs="Calibri"/>
          <w:b/>
          <w:bCs/>
          <w:color w:val="000000"/>
          <w:lang w:val="en-GB" w:eastAsia="cs-CZ"/>
        </w:rPr>
        <w:t>the development of self-service electronic systems</w:t>
      </w:r>
      <w:r w:rsidRPr="00177F0B">
        <w:rPr>
          <w:rFonts w:ascii="Calibri" w:eastAsia="Times New Roman" w:hAnsi="Calibri" w:cs="Calibri"/>
          <w:color w:val="000000"/>
          <w:lang w:val="en-GB" w:eastAsia="cs-CZ"/>
        </w:rPr>
        <w:t>, guidance and information tools, in order to match supply and demand in the labour market. From 1</w:t>
      </w:r>
      <w:r w:rsidRPr="005F6605">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 the original informatio</w:t>
      </w:r>
      <w:r>
        <w:rPr>
          <w:rFonts w:ascii="Calibri" w:eastAsia="Times New Roman" w:hAnsi="Calibri" w:cs="Calibri"/>
          <w:color w:val="000000"/>
          <w:lang w:val="en-GB" w:eastAsia="cs-CZ"/>
        </w:rPr>
        <w:t xml:space="preserve">n system has been used again, which ensured a stable </w:t>
      </w:r>
      <w:r w:rsidRPr="00177F0B">
        <w:rPr>
          <w:rFonts w:ascii="Calibri" w:eastAsia="Times New Roman" w:hAnsi="Calibri" w:cs="Calibri"/>
          <w:color w:val="000000"/>
          <w:lang w:val="en-GB" w:eastAsia="cs-CZ"/>
        </w:rPr>
        <w:t xml:space="preserve">environment for employees and clients of the Labour </w:t>
      </w:r>
      <w:r>
        <w:rPr>
          <w:rFonts w:ascii="Calibri" w:eastAsia="Times New Roman" w:hAnsi="Calibri" w:cs="Calibri"/>
          <w:color w:val="000000"/>
          <w:lang w:val="en-GB" w:eastAsia="cs-CZ"/>
        </w:rPr>
        <w:t>Authority</w:t>
      </w:r>
      <w:r w:rsidRPr="00177F0B">
        <w:rPr>
          <w:rFonts w:ascii="Calibri" w:eastAsia="Times New Roman" w:hAnsi="Calibri" w:cs="Calibri"/>
          <w:color w:val="000000"/>
          <w:lang w:val="en-GB" w:eastAsia="cs-CZ"/>
        </w:rPr>
        <w:t xml:space="preserve"> of the Czech Republic. Currently, preparations are underway for the opening of a new procurement procedure, which will provide modern and efficient information system that meets all functional and legal requirements.</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2013, the number of participants in active employment policy measures</w:t>
      </w:r>
      <w:r>
        <w:rPr>
          <w:rFonts w:ascii="Calibri" w:eastAsia="Times New Roman" w:hAnsi="Calibri" w:cs="Calibri"/>
          <w:color w:val="000000"/>
          <w:lang w:val="en-GB" w:eastAsia="cs-CZ"/>
        </w:rPr>
        <w:t xml:space="preserve"> has increased. </w:t>
      </w:r>
      <w:r w:rsidRPr="00177F0B">
        <w:rPr>
          <w:rFonts w:ascii="Calibri" w:eastAsia="Times New Roman" w:hAnsi="Calibri" w:cs="Calibri"/>
          <w:color w:val="000000"/>
          <w:lang w:val="en-GB" w:eastAsia="cs-CZ"/>
        </w:rPr>
        <w:t>41,438 applicants </w:t>
      </w:r>
      <w:r>
        <w:rPr>
          <w:rFonts w:ascii="Calibri" w:eastAsia="Times New Roman" w:hAnsi="Calibri" w:cs="Calibri"/>
          <w:color w:val="000000"/>
          <w:lang w:val="en-GB" w:eastAsia="cs-CZ"/>
        </w:rPr>
        <w:t>were placed i</w:t>
      </w:r>
      <w:r w:rsidRPr="00177F0B">
        <w:rPr>
          <w:rFonts w:ascii="Calibri" w:eastAsia="Times New Roman" w:hAnsi="Calibri" w:cs="Calibri"/>
          <w:color w:val="000000"/>
          <w:lang w:val="en-GB" w:eastAsia="cs-CZ"/>
        </w:rPr>
        <w:t>n re</w:t>
      </w:r>
      <w:r>
        <w:rPr>
          <w:rFonts w:ascii="Calibri" w:eastAsia="Times New Roman" w:hAnsi="Calibri" w:cs="Calibri"/>
          <w:color w:val="000000"/>
          <w:lang w:val="en-GB" w:eastAsia="cs-CZ"/>
        </w:rPr>
        <w:t>-qualification</w:t>
      </w:r>
      <w:r w:rsidRPr="00177F0B">
        <w:rPr>
          <w:rFonts w:ascii="Calibri" w:eastAsia="Times New Roman" w:hAnsi="Calibri" w:cs="Calibri"/>
          <w:color w:val="000000"/>
          <w:lang w:val="en-GB" w:eastAsia="cs-CZ"/>
        </w:rPr>
        <w:t xml:space="preserve"> programs</w:t>
      </w:r>
      <w:r>
        <w:rPr>
          <w:rStyle w:val="Znakapoznpodarou"/>
          <w:rFonts w:ascii="Calibri" w:eastAsia="Times New Roman" w:hAnsi="Calibri" w:cs="Calibri"/>
          <w:color w:val="000000"/>
          <w:lang w:val="en-GB" w:eastAsia="cs-CZ"/>
        </w:rPr>
        <w:footnoteReference w:id="5"/>
      </w:r>
      <w:r w:rsidRPr="00177F0B">
        <w:rPr>
          <w:rFonts w:ascii="Calibri" w:eastAsia="Times New Roman" w:hAnsi="Calibri" w:cs="Calibri"/>
          <w:color w:val="000000"/>
          <w:lang w:val="en-GB" w:eastAsia="cs-CZ"/>
        </w:rPr>
        <w:t>, 21,716 candidates were</w:t>
      </w:r>
      <w:r>
        <w:rPr>
          <w:rFonts w:ascii="Calibri" w:eastAsia="Times New Roman" w:hAnsi="Calibri" w:cs="Calibri"/>
          <w:color w:val="000000"/>
          <w:lang w:val="en-GB" w:eastAsia="cs-CZ"/>
        </w:rPr>
        <w:t xml:space="preserve"> supported within social purpose jobs</w:t>
      </w:r>
      <w:r>
        <w:rPr>
          <w:rStyle w:val="Znakapoznpodarou"/>
          <w:rFonts w:ascii="Calibri" w:eastAsia="Times New Roman" w:hAnsi="Calibri" w:cs="Calibri"/>
          <w:color w:val="000000"/>
          <w:lang w:val="en-GB" w:eastAsia="cs-CZ"/>
        </w:rPr>
        <w:footnoteReference w:id="6"/>
      </w:r>
      <w:r w:rsidRPr="00177F0B">
        <w:rPr>
          <w:rFonts w:ascii="Calibri" w:eastAsia="Times New Roman" w:hAnsi="Calibri" w:cs="Calibri"/>
          <w:color w:val="000000"/>
          <w:lang w:val="en-GB" w:eastAsia="cs-CZ"/>
        </w:rPr>
        <w:t> and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21,839 candidates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community service</w:t>
      </w:r>
      <w:r>
        <w:rPr>
          <w:rStyle w:val="Znakapoznpodarou"/>
          <w:rFonts w:ascii="Calibri" w:eastAsia="Times New Roman" w:hAnsi="Calibri" w:cs="Calibri"/>
          <w:color w:val="000000"/>
          <w:lang w:val="en-GB" w:eastAsia="cs-CZ"/>
        </w:rPr>
        <w:footnoteReference w:id="7"/>
      </w:r>
      <w:r w:rsidRPr="00177F0B">
        <w:rPr>
          <w:rFonts w:ascii="Calibri" w:eastAsia="Times New Roman" w:hAnsi="Calibri" w:cs="Calibri"/>
          <w:color w:val="000000"/>
          <w:lang w:val="en-GB" w:eastAsia="cs-CZ"/>
        </w:rPr>
        <w:t xml:space="preserve">. Overall, the budget for active </w:t>
      </w:r>
      <w:r>
        <w:rPr>
          <w:rFonts w:ascii="Calibri" w:eastAsia="Times New Roman" w:hAnsi="Calibri" w:cs="Calibri"/>
          <w:color w:val="000000"/>
          <w:lang w:val="en-GB" w:eastAsia="cs-CZ"/>
        </w:rPr>
        <w:t>employment policy</w:t>
      </w:r>
      <w:r w:rsidRPr="00177F0B">
        <w:rPr>
          <w:rFonts w:ascii="Calibri" w:eastAsia="Times New Roman" w:hAnsi="Calibri" w:cs="Calibri"/>
          <w:color w:val="000000"/>
          <w:lang w:val="en-GB" w:eastAsia="cs-CZ"/>
        </w:rPr>
        <w:t xml:space="preserve"> increased from 2,595,621</w:t>
      </w:r>
      <w:r w:rsidRPr="005F6605">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CZK in 2012 to 4,285,714 CZK in 2013, i.e. by 65%.</w:t>
      </w:r>
    </w:p>
    <w:p w:rsidR="006439FE" w:rsidRPr="007A1B09" w:rsidRDefault="006439FE" w:rsidP="00EE31B8">
      <w:pPr>
        <w:rPr>
          <w:lang w:val="en-GB"/>
        </w:rPr>
      </w:pPr>
    </w:p>
    <w:p w:rsidR="003237CF" w:rsidRPr="007A1B09" w:rsidRDefault="00000E3F" w:rsidP="003237CF">
      <w:pPr>
        <w:pStyle w:val="Nadpis3"/>
        <w:numPr>
          <w:ilvl w:val="2"/>
          <w:numId w:val="4"/>
        </w:numPr>
        <w:ind w:left="851" w:hanging="851"/>
        <w:rPr>
          <w:lang w:val="en-GB"/>
        </w:rPr>
      </w:pPr>
      <w:bookmarkStart w:id="25" w:name="_Toc385945999"/>
      <w:r w:rsidRPr="00000E3F">
        <w:rPr>
          <w:bCs/>
          <w:lang w:val="en-GB"/>
        </w:rPr>
        <w:t>The development of childcare services</w:t>
      </w:r>
      <w:bookmarkEnd w:id="25"/>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the field of </w:t>
      </w:r>
      <w:r>
        <w:rPr>
          <w:rFonts w:ascii="Calibri" w:eastAsia="Times New Roman" w:hAnsi="Calibri" w:cs="Calibri"/>
          <w:color w:val="000000"/>
          <w:lang w:val="en-GB" w:eastAsia="cs-CZ"/>
        </w:rPr>
        <w:t>pre-school care the government implemented</w:t>
      </w:r>
      <w:r w:rsidRPr="00177F0B">
        <w:rPr>
          <w:rFonts w:ascii="Calibri" w:eastAsia="Times New Roman" w:hAnsi="Calibri" w:cs="Calibri"/>
          <w:color w:val="000000"/>
          <w:lang w:val="en-GB" w:eastAsia="cs-CZ"/>
        </w:rPr>
        <w:t xml:space="preserve"> a series of measures to develop alternative childcare facilities and services that are targeted </w:t>
      </w:r>
      <w:r>
        <w:rPr>
          <w:rFonts w:ascii="Calibri" w:eastAsia="Times New Roman" w:hAnsi="Calibri" w:cs="Calibri"/>
          <w:color w:val="000000"/>
          <w:lang w:val="en-GB" w:eastAsia="cs-CZ"/>
        </w:rPr>
        <w:t>at</w:t>
      </w:r>
      <w:r w:rsidRPr="00177F0B">
        <w:rPr>
          <w:rFonts w:ascii="Calibri" w:eastAsia="Times New Roman" w:hAnsi="Calibri" w:cs="Calibri"/>
          <w:color w:val="000000"/>
          <w:lang w:val="en-GB" w:eastAsia="cs-CZ"/>
        </w:rPr>
        <w:t xml:space="preserve"> a quicker return of parents caring for a child </w:t>
      </w:r>
      <w:r>
        <w:rPr>
          <w:rFonts w:ascii="Calibri" w:eastAsia="Times New Roman" w:hAnsi="Calibri" w:cs="Calibri"/>
          <w:color w:val="000000"/>
          <w:lang w:val="en-GB" w:eastAsia="cs-CZ"/>
        </w:rPr>
        <w:t>into</w:t>
      </w:r>
      <w:r w:rsidRPr="00177F0B">
        <w:rPr>
          <w:rFonts w:ascii="Calibri" w:eastAsia="Times New Roman" w:hAnsi="Calibri" w:cs="Calibri"/>
          <w:color w:val="000000"/>
          <w:lang w:val="en-GB" w:eastAsia="cs-CZ"/>
        </w:rPr>
        <w:t xml:space="preserve"> gainful employment. One important measure is </w:t>
      </w:r>
      <w:r>
        <w:rPr>
          <w:rFonts w:ascii="Calibri" w:eastAsia="Times New Roman" w:hAnsi="Calibri" w:cs="Calibri"/>
          <w:b/>
          <w:bCs/>
          <w:color w:val="000000"/>
          <w:lang w:val="en-GB" w:eastAsia="cs-CZ"/>
        </w:rPr>
        <w:t>the bill on C</w:t>
      </w:r>
      <w:r w:rsidRPr="00177F0B">
        <w:rPr>
          <w:rFonts w:ascii="Calibri" w:eastAsia="Times New Roman" w:hAnsi="Calibri" w:cs="Calibri"/>
          <w:b/>
          <w:bCs/>
          <w:color w:val="000000"/>
          <w:lang w:val="en-GB" w:eastAsia="cs-CZ"/>
        </w:rPr>
        <w:t>hil</w:t>
      </w:r>
      <w:r>
        <w:rPr>
          <w:rFonts w:ascii="Calibri" w:eastAsia="Times New Roman" w:hAnsi="Calibri" w:cs="Calibri"/>
          <w:b/>
          <w:bCs/>
          <w:color w:val="000000"/>
          <w:lang w:val="en-GB" w:eastAsia="cs-CZ"/>
        </w:rPr>
        <w:t>dren's G</w:t>
      </w:r>
      <w:r w:rsidRPr="00177F0B">
        <w:rPr>
          <w:rFonts w:ascii="Calibri" w:eastAsia="Times New Roman" w:hAnsi="Calibri" w:cs="Calibri"/>
          <w:b/>
          <w:bCs/>
          <w:color w:val="000000"/>
          <w:lang w:val="en-GB" w:eastAsia="cs-CZ"/>
        </w:rPr>
        <w:t>roup</w:t>
      </w:r>
      <w:r w:rsidRPr="00177F0B">
        <w:rPr>
          <w:rFonts w:ascii="Calibri" w:eastAsia="Times New Roman" w:hAnsi="Calibri" w:cs="Calibri"/>
          <w:color w:val="000000"/>
          <w:lang w:val="en-GB" w:eastAsia="cs-CZ"/>
        </w:rPr>
        <w:t xml:space="preserve">, which was approved by the Government in January 2014. It </w:t>
      </w:r>
      <w:r>
        <w:rPr>
          <w:rFonts w:ascii="Calibri" w:eastAsia="Times New Roman" w:hAnsi="Calibri" w:cs="Calibri"/>
          <w:color w:val="000000"/>
          <w:lang w:val="en-GB" w:eastAsia="cs-CZ"/>
        </w:rPr>
        <w:t>regulates a</w:t>
      </w:r>
      <w:r w:rsidRPr="00177F0B">
        <w:rPr>
          <w:rFonts w:ascii="Calibri" w:eastAsia="Times New Roman" w:hAnsi="Calibri" w:cs="Calibri"/>
          <w:color w:val="000000"/>
          <w:lang w:val="en-GB" w:eastAsia="cs-CZ"/>
        </w:rPr>
        <w:t xml:space="preserve"> n</w:t>
      </w:r>
      <w:r>
        <w:rPr>
          <w:rFonts w:ascii="Calibri" w:eastAsia="Times New Roman" w:hAnsi="Calibri" w:cs="Calibri"/>
          <w:color w:val="000000"/>
          <w:lang w:val="en-GB" w:eastAsia="cs-CZ"/>
        </w:rPr>
        <w:t xml:space="preserve">ew type of child care services on a </w:t>
      </w:r>
      <w:r w:rsidRPr="00177F0B">
        <w:rPr>
          <w:rFonts w:ascii="Calibri" w:eastAsia="Times New Roman" w:hAnsi="Calibri" w:cs="Calibri"/>
          <w:color w:val="000000"/>
          <w:lang w:val="en-GB" w:eastAsia="cs-CZ"/>
        </w:rPr>
        <w:t xml:space="preserve">non-profit basis, to extend the range of child care services and increase the capacity of child care services, to enable parents to </w:t>
      </w:r>
      <w:r>
        <w:rPr>
          <w:rFonts w:ascii="Calibri" w:eastAsia="Times New Roman" w:hAnsi="Calibri" w:cs="Calibri"/>
          <w:color w:val="000000"/>
          <w:lang w:val="en-GB" w:eastAsia="cs-CZ"/>
        </w:rPr>
        <w:t>harmonize their</w:t>
      </w:r>
      <w:r w:rsidRPr="00177F0B">
        <w:rPr>
          <w:rFonts w:ascii="Calibri" w:eastAsia="Times New Roman" w:hAnsi="Calibri" w:cs="Calibri"/>
          <w:color w:val="000000"/>
          <w:lang w:val="en-GB" w:eastAsia="cs-CZ"/>
        </w:rPr>
        <w:t xml:space="preserve"> professional and family life and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return to the labour market. The bill also contains related tax measures to encourage the development of childcare services, i.e. the tax deductibility of the costs of providing these services by employers and </w:t>
      </w:r>
      <w:r>
        <w:rPr>
          <w:rFonts w:ascii="Calibri" w:eastAsia="Times New Roman" w:hAnsi="Calibri" w:cs="Calibri"/>
          <w:color w:val="000000"/>
          <w:lang w:val="en-GB" w:eastAsia="cs-CZ"/>
        </w:rPr>
        <w:t xml:space="preserve">income </w:t>
      </w:r>
      <w:r w:rsidRPr="00177F0B">
        <w:rPr>
          <w:rFonts w:ascii="Calibri" w:eastAsia="Times New Roman" w:hAnsi="Calibri" w:cs="Calibri"/>
          <w:color w:val="000000"/>
          <w:lang w:val="en-GB" w:eastAsia="cs-CZ"/>
        </w:rPr>
        <w:t xml:space="preserve">tax </w:t>
      </w:r>
      <w:r>
        <w:rPr>
          <w:rFonts w:ascii="Calibri" w:eastAsia="Times New Roman" w:hAnsi="Calibri" w:cs="Calibri"/>
          <w:color w:val="000000"/>
          <w:lang w:val="en-GB" w:eastAsia="cs-CZ"/>
        </w:rPr>
        <w:t>allowances for employed parents for</w:t>
      </w:r>
      <w:r w:rsidRPr="00177F0B">
        <w:rPr>
          <w:rFonts w:ascii="Calibri" w:eastAsia="Times New Roman" w:hAnsi="Calibri" w:cs="Calibri"/>
          <w:color w:val="000000"/>
          <w:lang w:val="en-GB" w:eastAsia="cs-CZ"/>
        </w:rPr>
        <w:t xml:space="preserve"> providing care services for their children. The bill was </w:t>
      </w:r>
      <w:r>
        <w:rPr>
          <w:rFonts w:ascii="Calibri" w:eastAsia="Times New Roman" w:hAnsi="Calibri" w:cs="Calibri"/>
          <w:color w:val="000000"/>
          <w:lang w:val="en-GB" w:eastAsia="cs-CZ"/>
        </w:rPr>
        <w:t xml:space="preserve">presented to </w:t>
      </w:r>
      <w:r w:rsidRPr="00177F0B">
        <w:rPr>
          <w:rFonts w:ascii="Calibri" w:eastAsia="Times New Roman" w:hAnsi="Calibri" w:cs="Calibri"/>
          <w:color w:val="000000"/>
          <w:lang w:val="en-GB" w:eastAsia="cs-CZ"/>
        </w:rPr>
        <w:t>the Chamber of Deputies of the Czech Parliament for discussion</w:t>
      </w:r>
      <w:r w:rsidRPr="002767A7">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on 10</w:t>
      </w:r>
      <w:r w:rsidRPr="002767A7">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Following the approval of professional qualifications </w:t>
      </w:r>
      <w:r>
        <w:rPr>
          <w:rFonts w:ascii="Calibri" w:eastAsia="Times New Roman" w:hAnsi="Calibri" w:cs="Calibri"/>
          <w:b/>
          <w:bCs/>
          <w:color w:val="000000"/>
          <w:lang w:val="en-GB" w:eastAsia="cs-CZ"/>
        </w:rPr>
        <w:t>N</w:t>
      </w:r>
      <w:r w:rsidRPr="00177F0B">
        <w:rPr>
          <w:rFonts w:ascii="Calibri" w:eastAsia="Times New Roman" w:hAnsi="Calibri" w:cs="Calibri"/>
          <w:b/>
          <w:bCs/>
          <w:color w:val="000000"/>
          <w:lang w:val="en-GB" w:eastAsia="cs-CZ"/>
        </w:rPr>
        <w:t xml:space="preserve">anny for </w:t>
      </w:r>
      <w:r>
        <w:rPr>
          <w:rFonts w:ascii="Calibri" w:eastAsia="Times New Roman" w:hAnsi="Calibri" w:cs="Calibri"/>
          <w:b/>
          <w:bCs/>
          <w:color w:val="000000"/>
          <w:lang w:val="en-GB" w:eastAsia="cs-CZ"/>
        </w:rPr>
        <w:t>c</w:t>
      </w:r>
      <w:r w:rsidRPr="00177F0B">
        <w:rPr>
          <w:rFonts w:ascii="Calibri" w:eastAsia="Times New Roman" w:hAnsi="Calibri" w:cs="Calibri"/>
          <w:b/>
          <w:bCs/>
          <w:color w:val="000000"/>
          <w:lang w:val="en-GB" w:eastAsia="cs-CZ"/>
        </w:rPr>
        <w:t xml:space="preserve">hildren under </w:t>
      </w:r>
      <w:r>
        <w:rPr>
          <w:rFonts w:ascii="Calibri" w:eastAsia="Times New Roman" w:hAnsi="Calibri" w:cs="Calibri"/>
          <w:b/>
          <w:bCs/>
          <w:color w:val="000000"/>
          <w:lang w:val="en-GB" w:eastAsia="cs-CZ"/>
        </w:rPr>
        <w:t>the c</w:t>
      </w:r>
      <w:r w:rsidRPr="00177F0B">
        <w:rPr>
          <w:rFonts w:ascii="Calibri" w:eastAsia="Times New Roman" w:hAnsi="Calibri" w:cs="Calibri"/>
          <w:b/>
          <w:bCs/>
          <w:color w:val="000000"/>
          <w:lang w:val="en-GB" w:eastAsia="cs-CZ"/>
        </w:rPr>
        <w:t>ompulsory school age</w:t>
      </w:r>
      <w:r w:rsidRPr="00177F0B">
        <w:rPr>
          <w:rFonts w:ascii="Calibri" w:eastAsia="Times New Roman" w:hAnsi="Calibri" w:cs="Calibri"/>
          <w:color w:val="000000"/>
          <w:lang w:val="en-GB" w:eastAsia="cs-CZ"/>
        </w:rPr>
        <w:t> and </w:t>
      </w:r>
      <w:r>
        <w:rPr>
          <w:rFonts w:ascii="Calibri" w:eastAsia="Times New Roman" w:hAnsi="Calibri" w:cs="Calibri"/>
          <w:b/>
          <w:bCs/>
          <w:color w:val="000000"/>
          <w:lang w:val="en-GB" w:eastAsia="cs-CZ"/>
        </w:rPr>
        <w:t>N</w:t>
      </w:r>
      <w:r w:rsidRPr="00177F0B">
        <w:rPr>
          <w:rFonts w:ascii="Calibri" w:eastAsia="Times New Roman" w:hAnsi="Calibri" w:cs="Calibri"/>
          <w:b/>
          <w:bCs/>
          <w:color w:val="000000"/>
          <w:lang w:val="en-GB" w:eastAsia="cs-CZ"/>
        </w:rPr>
        <w:t>ann</w:t>
      </w:r>
      <w:r>
        <w:rPr>
          <w:rFonts w:ascii="Calibri" w:eastAsia="Times New Roman" w:hAnsi="Calibri" w:cs="Calibri"/>
          <w:b/>
          <w:bCs/>
          <w:color w:val="000000"/>
          <w:lang w:val="en-GB" w:eastAsia="cs-CZ"/>
        </w:rPr>
        <w:t>y</w:t>
      </w:r>
      <w:r w:rsidRPr="00177F0B">
        <w:rPr>
          <w:rFonts w:ascii="Calibri" w:eastAsia="Times New Roman" w:hAnsi="Calibri" w:cs="Calibri"/>
          <w:b/>
          <w:bCs/>
          <w:color w:val="000000"/>
          <w:lang w:val="en-GB" w:eastAsia="cs-CZ"/>
        </w:rPr>
        <w:t xml:space="preserve"> for </w:t>
      </w:r>
      <w:r>
        <w:rPr>
          <w:rFonts w:ascii="Calibri" w:eastAsia="Times New Roman" w:hAnsi="Calibri" w:cs="Calibri"/>
          <w:b/>
          <w:bCs/>
          <w:color w:val="000000"/>
          <w:lang w:val="en-GB" w:eastAsia="cs-CZ"/>
        </w:rPr>
        <w:t>kid’s corners</w:t>
      </w:r>
      <w:r w:rsidRPr="00177F0B">
        <w:rPr>
          <w:rFonts w:ascii="Calibri" w:eastAsia="Times New Roman" w:hAnsi="Calibri" w:cs="Calibri"/>
          <w:color w:val="000000"/>
          <w:lang w:val="en-GB" w:eastAsia="cs-CZ"/>
        </w:rPr>
        <w:t xml:space="preserve"> in 2012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exam</w:t>
      </w:r>
      <w:r>
        <w:rPr>
          <w:rFonts w:ascii="Calibri" w:eastAsia="Times New Roman" w:hAnsi="Calibri" w:cs="Calibri"/>
          <w:color w:val="000000"/>
          <w:lang w:val="en-GB" w:eastAsia="cs-CZ"/>
        </w:rPr>
        <w:t>inations</w:t>
      </w:r>
      <w:r w:rsidRPr="00177F0B">
        <w:rPr>
          <w:rFonts w:ascii="Calibri" w:eastAsia="Times New Roman" w:hAnsi="Calibri" w:cs="Calibri"/>
          <w:color w:val="000000"/>
          <w:lang w:val="en-GB" w:eastAsia="cs-CZ"/>
        </w:rPr>
        <w:t xml:space="preserve"> to obtain a certificate of eligibility took place in </w:t>
      </w:r>
      <w:r>
        <w:rPr>
          <w:rFonts w:ascii="Calibri" w:eastAsia="Times New Roman" w:hAnsi="Calibri" w:cs="Calibri"/>
          <w:color w:val="000000"/>
          <w:lang w:val="en-GB" w:eastAsia="cs-CZ"/>
        </w:rPr>
        <w:t>2013 as well as the granting of</w:t>
      </w:r>
      <w:r w:rsidRPr="00177F0B">
        <w:rPr>
          <w:rFonts w:ascii="Calibri" w:eastAsia="Times New Roman" w:hAnsi="Calibri" w:cs="Calibri"/>
          <w:color w:val="000000"/>
          <w:lang w:val="en-GB" w:eastAsia="cs-CZ"/>
        </w:rPr>
        <w:t xml:space="preserve"> authorization for these qualifications. A total of 23 authorizations </w:t>
      </w:r>
      <w:r>
        <w:rPr>
          <w:rFonts w:ascii="Calibri" w:eastAsia="Times New Roman" w:hAnsi="Calibri" w:cs="Calibri"/>
          <w:color w:val="000000"/>
          <w:lang w:val="en-GB" w:eastAsia="cs-CZ"/>
        </w:rPr>
        <w:t xml:space="preserve">were </w:t>
      </w:r>
      <w:r w:rsidRPr="00177F0B">
        <w:rPr>
          <w:rFonts w:ascii="Calibri" w:eastAsia="Times New Roman" w:hAnsi="Calibri" w:cs="Calibri"/>
          <w:color w:val="000000"/>
          <w:lang w:val="en-GB" w:eastAsia="cs-CZ"/>
        </w:rPr>
        <w:t>granted to 15</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authorized persons. </w:t>
      </w:r>
      <w:r>
        <w:rPr>
          <w:rFonts w:ascii="Calibri" w:eastAsia="Times New Roman" w:hAnsi="Calibri" w:cs="Calibri"/>
          <w:color w:val="000000"/>
          <w:lang w:val="en-GB" w:eastAsia="cs-CZ"/>
        </w:rPr>
        <w:t>32 examinations t</w:t>
      </w:r>
      <w:r w:rsidRPr="00177F0B">
        <w:rPr>
          <w:rFonts w:ascii="Calibri" w:eastAsia="Times New Roman" w:hAnsi="Calibri" w:cs="Calibri"/>
          <w:color w:val="000000"/>
          <w:lang w:val="en-GB" w:eastAsia="cs-CZ"/>
        </w:rPr>
        <w:t xml:space="preserve">o obtain a certificate of eligibility for these professional qualifications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ook place in 2013, </w:t>
      </w:r>
      <w:r>
        <w:rPr>
          <w:rFonts w:ascii="Calibri" w:eastAsia="Times New Roman" w:hAnsi="Calibri" w:cs="Calibri"/>
          <w:color w:val="000000"/>
          <w:lang w:val="en-GB" w:eastAsia="cs-CZ"/>
        </w:rPr>
        <w:t xml:space="preserve">which were </w:t>
      </w:r>
      <w:r w:rsidRPr="00177F0B">
        <w:rPr>
          <w:rFonts w:ascii="Calibri" w:eastAsia="Times New Roman" w:hAnsi="Calibri" w:cs="Calibri"/>
          <w:color w:val="000000"/>
          <w:lang w:val="en-GB" w:eastAsia="cs-CZ"/>
        </w:rPr>
        <w:t xml:space="preserve">successfully completed </w:t>
      </w:r>
      <w:r>
        <w:rPr>
          <w:rFonts w:ascii="Calibri" w:eastAsia="Times New Roman" w:hAnsi="Calibri" w:cs="Calibri"/>
          <w:color w:val="000000"/>
          <w:lang w:val="en-GB" w:eastAsia="cs-CZ"/>
        </w:rPr>
        <w:t xml:space="preserve">by </w:t>
      </w:r>
      <w:r w:rsidRPr="00177F0B">
        <w:rPr>
          <w:rFonts w:ascii="Calibri" w:eastAsia="Times New Roman" w:hAnsi="Calibri" w:cs="Calibri"/>
          <w:color w:val="000000"/>
          <w:lang w:val="en-GB" w:eastAsia="cs-CZ"/>
        </w:rPr>
        <w:t>a total of 137 candidates.</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implementation of system projects to promote a balance between work and personal life</w:t>
      </w:r>
      <w:r>
        <w:rPr>
          <w:rFonts w:ascii="Calibri" w:eastAsia="Times New Roman" w:hAnsi="Calibri" w:cs="Calibri"/>
          <w:color w:val="000000"/>
          <w:lang w:val="en-GB" w:eastAsia="cs-CZ"/>
        </w:rPr>
        <w:t xml:space="preserve"> is still on-going</w:t>
      </w:r>
      <w:r w:rsidRPr="00177F0B">
        <w:rPr>
          <w:rFonts w:ascii="Calibri" w:eastAsia="Times New Roman" w:hAnsi="Calibri" w:cs="Calibri"/>
          <w:color w:val="000000"/>
          <w:lang w:val="en-GB" w:eastAsia="cs-CZ"/>
        </w:rPr>
        <w:t>. The</w:t>
      </w:r>
      <w:r>
        <w:rPr>
          <w:rFonts w:ascii="Calibri" w:eastAsia="Times New Roman" w:hAnsi="Calibri" w:cs="Calibri"/>
          <w:color w:val="000000"/>
          <w:lang w:val="en-GB" w:eastAsia="cs-CZ"/>
        </w:rPr>
        <w:t xml:space="preserve"> aim of the</w:t>
      </w:r>
      <w:r w:rsidRPr="00177F0B">
        <w:rPr>
          <w:rFonts w:ascii="Calibri" w:eastAsia="Times New Roman" w:hAnsi="Calibri" w:cs="Calibri"/>
          <w:color w:val="000000"/>
          <w:lang w:val="en-GB" w:eastAsia="cs-CZ"/>
        </w:rPr>
        <w:t xml:space="preserve"> project </w:t>
      </w:r>
      <w:r>
        <w:rPr>
          <w:rFonts w:ascii="Calibri" w:eastAsia="Times New Roman" w:hAnsi="Calibri" w:cs="Calibri"/>
          <w:b/>
          <w:bCs/>
          <w:color w:val="000000"/>
          <w:lang w:val="en-GB" w:eastAsia="cs-CZ"/>
        </w:rPr>
        <w:t>A</w:t>
      </w:r>
      <w:r w:rsidRPr="00177F0B">
        <w:rPr>
          <w:rFonts w:ascii="Calibri" w:eastAsia="Times New Roman" w:hAnsi="Calibri" w:cs="Calibri"/>
          <w:b/>
          <w:bCs/>
          <w:color w:val="000000"/>
          <w:lang w:val="en-GB" w:eastAsia="cs-CZ"/>
        </w:rPr>
        <w:t xml:space="preserve">udit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amily</w:t>
      </w:r>
      <w:r>
        <w:rPr>
          <w:rFonts w:ascii="Calibri" w:eastAsia="Times New Roman" w:hAnsi="Calibri" w:cs="Calibri"/>
          <w:b/>
          <w:bCs/>
          <w:color w:val="000000"/>
          <w:lang w:val="en-GB" w:eastAsia="cs-CZ"/>
        </w:rPr>
        <w:t xml:space="preserve"> and Work</w:t>
      </w:r>
      <w:r w:rsidRPr="00177F0B">
        <w:rPr>
          <w:rFonts w:ascii="Calibri" w:eastAsia="Times New Roman" w:hAnsi="Calibri" w:cs="Calibri"/>
          <w:color w:val="000000"/>
          <w:lang w:val="en-GB" w:eastAsia="cs-CZ"/>
        </w:rPr>
        <w:t> is to achieve optimal pro-family oriented strategies in companies, enabling parents with dependent children or dependent family members</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optimally balance work and family life and thus improve their employability. The project was successfully completed in February 2014, and its outputs will be used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further.</w:t>
      </w:r>
      <w:r w:rsidRPr="00C72112">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hrough the cooperation with foreign par</w:t>
      </w:r>
      <w:r w:rsidRPr="00177F0B">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ners </w:t>
      </w:r>
      <w:r>
        <w:rPr>
          <w:rFonts w:ascii="Calibri" w:eastAsia="Times New Roman" w:hAnsi="Calibri" w:cs="Calibri"/>
          <w:color w:val="000000"/>
          <w:lang w:val="en-GB" w:eastAsia="cs-CZ"/>
        </w:rPr>
        <w:t>within t</w:t>
      </w:r>
      <w:r w:rsidRPr="00177F0B">
        <w:rPr>
          <w:rFonts w:ascii="Calibri" w:eastAsia="Times New Roman" w:hAnsi="Calibri" w:cs="Calibri"/>
          <w:color w:val="000000"/>
          <w:lang w:val="en-GB" w:eastAsia="cs-CZ"/>
        </w:rPr>
        <w:t>he project </w:t>
      </w:r>
      <w:r>
        <w:rPr>
          <w:rFonts w:ascii="Calibri" w:eastAsia="Times New Roman" w:hAnsi="Calibri" w:cs="Calibri"/>
          <w:b/>
          <w:bCs/>
          <w:color w:val="000000"/>
          <w:lang w:val="en-GB" w:eastAsia="cs-CZ"/>
        </w:rPr>
        <w:t>Harmonizing</w:t>
      </w:r>
      <w:r w:rsidRPr="00177F0B">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W</w:t>
      </w:r>
      <w:r w:rsidRPr="00177F0B">
        <w:rPr>
          <w:rFonts w:ascii="Calibri" w:eastAsia="Times New Roman" w:hAnsi="Calibri" w:cs="Calibri"/>
          <w:b/>
          <w:bCs/>
          <w:color w:val="000000"/>
          <w:lang w:val="en-GB" w:eastAsia="cs-CZ"/>
        </w:rPr>
        <w:t xml:space="preserve">ork and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 xml:space="preserve">amily </w:t>
      </w:r>
      <w:r>
        <w:rPr>
          <w:rFonts w:ascii="Calibri" w:eastAsia="Times New Roman" w:hAnsi="Calibri" w:cs="Calibri"/>
          <w:b/>
          <w:bCs/>
          <w:color w:val="000000"/>
          <w:lang w:val="en-GB" w:eastAsia="cs-CZ"/>
        </w:rPr>
        <w:t>I</w:t>
      </w:r>
      <w:r w:rsidRPr="00177F0B">
        <w:rPr>
          <w:rFonts w:ascii="Calibri" w:eastAsia="Times New Roman" w:hAnsi="Calibri" w:cs="Calibri"/>
          <w:b/>
          <w:bCs/>
          <w:color w:val="000000"/>
          <w:lang w:val="en-GB" w:eastAsia="cs-CZ"/>
        </w:rPr>
        <w:t xml:space="preserve">nspired by the </w:t>
      </w:r>
      <w:r>
        <w:rPr>
          <w:rFonts w:ascii="Calibri" w:eastAsia="Times New Roman" w:hAnsi="Calibri" w:cs="Calibri"/>
          <w:b/>
          <w:bCs/>
          <w:color w:val="000000"/>
          <w:lang w:val="en-GB" w:eastAsia="cs-CZ"/>
        </w:rPr>
        <w:t>E</w:t>
      </w:r>
      <w:r w:rsidRPr="00177F0B">
        <w:rPr>
          <w:rFonts w:ascii="Calibri" w:eastAsia="Times New Roman" w:hAnsi="Calibri" w:cs="Calibri"/>
          <w:b/>
          <w:bCs/>
          <w:color w:val="000000"/>
          <w:lang w:val="en-GB" w:eastAsia="cs-CZ"/>
        </w:rPr>
        <w:t xml:space="preserve">xamples of </w:t>
      </w:r>
      <w:r>
        <w:rPr>
          <w:rFonts w:ascii="Calibri" w:eastAsia="Times New Roman" w:hAnsi="Calibri" w:cs="Calibri"/>
          <w:b/>
          <w:bCs/>
          <w:color w:val="000000"/>
          <w:lang w:val="en-GB" w:eastAsia="cs-CZ"/>
        </w:rPr>
        <w:t>G</w:t>
      </w:r>
      <w:r w:rsidRPr="00177F0B">
        <w:rPr>
          <w:rFonts w:ascii="Calibri" w:eastAsia="Times New Roman" w:hAnsi="Calibri" w:cs="Calibri"/>
          <w:b/>
          <w:bCs/>
          <w:color w:val="000000"/>
          <w:lang w:val="en-GB" w:eastAsia="cs-CZ"/>
        </w:rPr>
        <w:t xml:space="preserve">ood </w:t>
      </w:r>
      <w:r>
        <w:rPr>
          <w:rFonts w:ascii="Calibri" w:eastAsia="Times New Roman" w:hAnsi="Calibri" w:cs="Calibri"/>
          <w:b/>
          <w:bCs/>
          <w:color w:val="000000"/>
          <w:lang w:val="en-GB" w:eastAsia="cs-CZ"/>
        </w:rPr>
        <w:t>P</w:t>
      </w:r>
      <w:r w:rsidRPr="00177F0B">
        <w:rPr>
          <w:rFonts w:ascii="Calibri" w:eastAsia="Times New Roman" w:hAnsi="Calibri" w:cs="Calibri"/>
          <w:b/>
          <w:bCs/>
          <w:color w:val="000000"/>
          <w:lang w:val="en-GB" w:eastAsia="cs-CZ"/>
        </w:rPr>
        <w:t>ractice in Europe</w:t>
      </w:r>
      <w:r w:rsidRPr="00177F0B">
        <w:rPr>
          <w:rFonts w:ascii="Calibri" w:eastAsia="Times New Roman" w:hAnsi="Calibri" w:cs="Calibri"/>
          <w:color w:val="000000"/>
          <w:lang w:val="en-GB" w:eastAsia="cs-CZ"/>
        </w:rPr>
        <w:t xml:space="preserve"> experience </w:t>
      </w:r>
      <w:r>
        <w:rPr>
          <w:rFonts w:ascii="Calibri" w:eastAsia="Times New Roman" w:hAnsi="Calibri" w:cs="Calibri"/>
          <w:color w:val="000000"/>
          <w:lang w:val="en-GB" w:eastAsia="cs-CZ"/>
        </w:rPr>
        <w:t>is being acquired regarding</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possibilities to adjust </w:t>
      </w:r>
      <w:r w:rsidRPr="00177F0B">
        <w:rPr>
          <w:rFonts w:ascii="Calibri" w:eastAsia="Times New Roman" w:hAnsi="Calibri" w:cs="Calibri"/>
          <w:color w:val="000000"/>
          <w:lang w:val="en-GB" w:eastAsia="cs-CZ"/>
        </w:rPr>
        <w:t>working conditions and the development of child care services with the aim of obtaining good practice examples to support the development of the Czech labour market.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lastRenderedPageBreak/>
        <w:t xml:space="preserve">Development of </w:t>
      </w:r>
      <w:r>
        <w:rPr>
          <w:rFonts w:ascii="Calibri" w:eastAsia="Times New Roman" w:hAnsi="Calibri" w:cs="Calibri"/>
          <w:color w:val="000000"/>
          <w:lang w:val="en-GB" w:eastAsia="cs-CZ"/>
        </w:rPr>
        <w:t>geographically and financially</w:t>
      </w:r>
      <w:r w:rsidRPr="00177F0B">
        <w:rPr>
          <w:rFonts w:ascii="Calibri" w:eastAsia="Times New Roman" w:hAnsi="Calibri" w:cs="Calibri"/>
          <w:color w:val="000000"/>
          <w:lang w:val="en-GB" w:eastAsia="cs-CZ"/>
        </w:rPr>
        <w:t xml:space="preserve"> affordable child care services is also supported by grant projects</w:t>
      </w:r>
      <w:r>
        <w:rPr>
          <w:rFonts w:ascii="Calibri" w:eastAsia="Times New Roman" w:hAnsi="Calibri" w:cs="Calibri"/>
          <w:color w:val="000000"/>
          <w:lang w:val="en-GB" w:eastAsia="cs-CZ"/>
        </w:rPr>
        <w:t xml:space="preserve"> of the</w:t>
      </w:r>
      <w:r w:rsidRPr="00177F0B">
        <w:rPr>
          <w:rFonts w:ascii="Calibri" w:eastAsia="Times New Roman" w:hAnsi="Calibri" w:cs="Calibri"/>
          <w:color w:val="000000"/>
          <w:lang w:val="en-GB" w:eastAsia="cs-CZ"/>
        </w:rPr>
        <w:t xml:space="preserve"> OP HRE. From the 366 projects supported so far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area 3.4</w:t>
      </w:r>
      <w:r>
        <w:rPr>
          <w:rStyle w:val="Znakapoznpodarou"/>
          <w:rFonts w:ascii="Calibri" w:eastAsia="Times New Roman" w:hAnsi="Calibri" w:cs="Calibri"/>
          <w:color w:val="000000"/>
          <w:lang w:val="en-GB" w:eastAsia="cs-CZ"/>
        </w:rPr>
        <w:footnoteReference w:id="8"/>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the Czech Republic registers</w:t>
      </w:r>
      <w:r w:rsidRPr="00177F0B">
        <w:rPr>
          <w:rFonts w:ascii="Calibri" w:eastAsia="Times New Roman" w:hAnsi="Calibri" w:cs="Calibri"/>
          <w:color w:val="000000"/>
          <w:lang w:val="en-GB" w:eastAsia="cs-CZ"/>
        </w:rPr>
        <w:t xml:space="preserve"> 124 projects focused on child care services, i.e. 34% of the projects.</w:t>
      </w:r>
    </w:p>
    <w:p w:rsidR="00E76165" w:rsidRPr="007A1B09" w:rsidRDefault="00000E3F" w:rsidP="00000E3F">
      <w:pPr>
        <w:rPr>
          <w:lang w:val="en-GB"/>
        </w:rPr>
      </w:pPr>
      <w:r w:rsidRPr="00177F0B">
        <w:rPr>
          <w:rFonts w:ascii="Calibri" w:eastAsia="Times New Roman" w:hAnsi="Calibri" w:cs="Calibri"/>
          <w:color w:val="000000"/>
          <w:lang w:val="en-GB" w:eastAsia="cs-CZ"/>
        </w:rPr>
        <w:t>With the use of European funds and the newly formed National Fund the government will</w:t>
      </w:r>
      <w:r w:rsidRPr="00EA0254">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in the coming period provide communities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the resources to create additional capacity</w:t>
      </w:r>
      <w:r>
        <w:rPr>
          <w:rFonts w:ascii="Calibri" w:eastAsia="Times New Roman" w:hAnsi="Calibri" w:cs="Calibri"/>
          <w:color w:val="000000"/>
          <w:lang w:val="en-GB" w:eastAsia="cs-CZ"/>
        </w:rPr>
        <w:t xml:space="preserve"> in</w:t>
      </w:r>
      <w:r w:rsidRPr="00177F0B">
        <w:rPr>
          <w:rFonts w:ascii="Calibri" w:eastAsia="Times New Roman" w:hAnsi="Calibri" w:cs="Calibri"/>
          <w:color w:val="000000"/>
          <w:lang w:val="en-GB" w:eastAsia="cs-CZ"/>
        </w:rPr>
        <w:t xml:space="preserve"> kindergartens</w:t>
      </w:r>
      <w:r>
        <w:rPr>
          <w:rFonts w:ascii="Calibri" w:eastAsia="Times New Roman" w:hAnsi="Calibri" w:cs="Calibri"/>
          <w:color w:val="000000"/>
          <w:lang w:val="en-GB" w:eastAsia="cs-CZ"/>
        </w:rPr>
        <w:t>.  C</w:t>
      </w:r>
      <w:r w:rsidRPr="00177F0B">
        <w:rPr>
          <w:rFonts w:ascii="Calibri" w:eastAsia="Times New Roman" w:hAnsi="Calibri" w:cs="Calibri"/>
          <w:color w:val="000000"/>
          <w:lang w:val="en-GB" w:eastAsia="cs-CZ"/>
        </w:rPr>
        <w:t xml:space="preserve">onditions for the inclusion of two-year olds in </w:t>
      </w:r>
      <w:r>
        <w:rPr>
          <w:rFonts w:ascii="Calibri" w:eastAsia="Times New Roman" w:hAnsi="Calibri" w:cs="Calibri"/>
          <w:color w:val="000000"/>
          <w:lang w:val="en-GB" w:eastAsia="cs-CZ"/>
        </w:rPr>
        <w:t>kindergartens</w:t>
      </w:r>
      <w:r w:rsidRPr="00177F0B">
        <w:rPr>
          <w:rFonts w:ascii="Calibri" w:eastAsia="Times New Roman" w:hAnsi="Calibri" w:cs="Calibri"/>
          <w:color w:val="000000"/>
          <w:lang w:val="en-GB" w:eastAsia="cs-CZ"/>
        </w:rPr>
        <w:t xml:space="preserve"> included in the school register</w:t>
      </w:r>
      <w:r>
        <w:rPr>
          <w:rFonts w:ascii="Calibri" w:eastAsia="Times New Roman" w:hAnsi="Calibri" w:cs="Calibri"/>
          <w:color w:val="000000"/>
          <w:lang w:val="en-GB" w:eastAsia="cs-CZ"/>
        </w:rPr>
        <w:t xml:space="preserve"> will be verified</w:t>
      </w:r>
      <w:r w:rsidRPr="00177F0B">
        <w:rPr>
          <w:rFonts w:ascii="Calibri" w:eastAsia="Times New Roman" w:hAnsi="Calibri" w:cs="Calibri"/>
          <w:color w:val="000000"/>
          <w:lang w:val="en-GB" w:eastAsia="cs-CZ"/>
        </w:rPr>
        <w:t xml:space="preserve"> and</w:t>
      </w:r>
      <w:r>
        <w:rPr>
          <w:rFonts w:ascii="Calibri" w:eastAsia="Times New Roman" w:hAnsi="Calibri" w:cs="Calibri"/>
          <w:color w:val="000000"/>
          <w:lang w:val="en-GB" w:eastAsia="cs-CZ"/>
        </w:rPr>
        <w:t xml:space="preserve"> based on</w:t>
      </w:r>
      <w:r w:rsidRPr="00177F0B">
        <w:rPr>
          <w:rFonts w:ascii="Calibri" w:eastAsia="Times New Roman" w:hAnsi="Calibri" w:cs="Calibri"/>
          <w:color w:val="000000"/>
          <w:lang w:val="en-GB" w:eastAsia="cs-CZ"/>
        </w:rPr>
        <w:t xml:space="preserve"> the results of the government</w:t>
      </w:r>
      <w:r>
        <w:rPr>
          <w:rFonts w:ascii="Calibri" w:eastAsia="Times New Roman" w:hAnsi="Calibri" w:cs="Calibri"/>
          <w:color w:val="000000"/>
          <w:lang w:val="en-GB" w:eastAsia="cs-CZ"/>
        </w:rPr>
        <w:t xml:space="preserve"> will amend</w:t>
      </w:r>
      <w:r w:rsidRPr="00177F0B">
        <w:rPr>
          <w:rFonts w:ascii="Calibri" w:eastAsia="Times New Roman" w:hAnsi="Calibri" w:cs="Calibri"/>
          <w:color w:val="000000"/>
          <w:lang w:val="en-GB" w:eastAsia="cs-CZ"/>
        </w:rPr>
        <w:t xml:space="preserve"> the legislation for pre-school education. The government plans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introduction </w:t>
      </w:r>
      <w:r>
        <w:rPr>
          <w:rFonts w:ascii="Calibri" w:eastAsia="Times New Roman" w:hAnsi="Calibri" w:cs="Calibri"/>
          <w:color w:val="000000"/>
          <w:lang w:val="en-GB" w:eastAsia="cs-CZ"/>
        </w:rPr>
        <w:t xml:space="preserve">of the compulsory final year of pre-school education within the following </w:t>
      </w:r>
      <w:r w:rsidRPr="00177F0B">
        <w:rPr>
          <w:rFonts w:ascii="Calibri" w:eastAsia="Times New Roman" w:hAnsi="Calibri" w:cs="Calibri"/>
          <w:color w:val="000000"/>
          <w:lang w:val="en-GB" w:eastAsia="cs-CZ"/>
        </w:rPr>
        <w:t>three to four years</w:t>
      </w:r>
      <w:r>
        <w:rPr>
          <w:rFonts w:ascii="Calibri" w:eastAsia="Times New Roman" w:hAnsi="Calibri" w:cs="Calibri"/>
          <w:color w:val="000000"/>
          <w:lang w:val="en-GB" w:eastAsia="cs-CZ"/>
        </w:rPr>
        <w:t>.</w:t>
      </w:r>
    </w:p>
    <w:p w:rsidR="00E865CF" w:rsidRPr="007A1B09" w:rsidRDefault="00000E3F" w:rsidP="00EF38D7">
      <w:pPr>
        <w:pStyle w:val="Nadpis2"/>
        <w:keepNext/>
        <w:keepLines/>
        <w:numPr>
          <w:ilvl w:val="1"/>
          <w:numId w:val="4"/>
        </w:numPr>
        <w:ind w:left="851" w:hanging="851"/>
        <w:rPr>
          <w:lang w:val="en-GB"/>
        </w:rPr>
      </w:pPr>
      <w:bookmarkStart w:id="26" w:name="_Toc385946000"/>
      <w:r w:rsidRPr="00000E3F">
        <w:rPr>
          <w:bCs/>
          <w:lang w:val="en-GB"/>
        </w:rPr>
        <w:t>The quality of public administration, the fight against corru</w:t>
      </w:r>
      <w:r w:rsidRPr="00000E3F">
        <w:rPr>
          <w:bCs/>
          <w:lang w:val="en-GB"/>
        </w:rPr>
        <w:t>p</w:t>
      </w:r>
      <w:r w:rsidRPr="00000E3F">
        <w:rPr>
          <w:bCs/>
          <w:lang w:val="en-GB"/>
        </w:rPr>
        <w:t>tion, the administration of EU funds and implementation of public procurement</w:t>
      </w:r>
      <w:bookmarkEnd w:id="26"/>
    </w:p>
    <w:p w:rsidR="00E865CF" w:rsidRPr="007A1B09" w:rsidRDefault="00000E3F"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177F0B">
        <w:rPr>
          <w:rFonts w:ascii="Calibri" w:eastAsia="Times New Roman" w:hAnsi="Calibri" w:cs="Calibri"/>
          <w:b/>
          <w:bCs/>
          <w:color w:val="9B2D1F"/>
          <w:lang w:val="en-GB" w:eastAsia="cs-CZ"/>
        </w:rPr>
        <w:t>Council Recommendation</w:t>
      </w:r>
      <w:r>
        <w:rPr>
          <w:rFonts w:ascii="Calibri" w:eastAsia="Times New Roman" w:hAnsi="Calibri" w:cs="Calibri"/>
          <w:b/>
          <w:bCs/>
          <w:color w:val="9B2D1F"/>
          <w:lang w:val="en-GB" w:eastAsia="cs-CZ"/>
        </w:rPr>
        <w:t xml:space="preserve"> No.</w:t>
      </w:r>
      <w:r w:rsidRPr="00177F0B">
        <w:rPr>
          <w:rFonts w:ascii="Calibri" w:eastAsia="Times New Roman" w:hAnsi="Calibri" w:cs="Calibri"/>
          <w:b/>
          <w:bCs/>
          <w:color w:val="9B2D1F"/>
          <w:lang w:val="en-GB" w:eastAsia="cs-CZ"/>
        </w:rPr>
        <w:t xml:space="preserve"> 5</w:t>
      </w:r>
      <w:r w:rsidR="00E865CF" w:rsidRPr="007A1B09">
        <w:rPr>
          <w:b/>
          <w:color w:val="9B2D1F" w:themeColor="accent2"/>
          <w:lang w:val="en-GB"/>
        </w:rPr>
        <w:t>:</w:t>
      </w:r>
      <w:r w:rsidR="00E865CF" w:rsidRPr="007A1B09">
        <w:rPr>
          <w:lang w:val="en-GB"/>
        </w:rPr>
        <w:t xml:space="preserve"> </w:t>
      </w:r>
      <w:r w:rsidRPr="00000E3F">
        <w:rPr>
          <w:color w:val="D41616"/>
          <w:lang w:val="en-GB"/>
        </w:rPr>
        <w:t>Ensure implementation of the anti-corruption strategy for 2013-2014. Adopt the Public Servants Act that should ensure a stable, efficient and professional state administration service. Improve the management of EU funds in view of the 2014-2020 progra</w:t>
      </w:r>
      <w:r w:rsidRPr="00000E3F">
        <w:rPr>
          <w:color w:val="D41616"/>
          <w:lang w:val="en-GB"/>
        </w:rPr>
        <w:t>m</w:t>
      </w:r>
      <w:r w:rsidRPr="00000E3F">
        <w:rPr>
          <w:color w:val="D41616"/>
          <w:lang w:val="en-GB"/>
        </w:rPr>
        <w:t>ming period. Strengthen the capacity for implementation of public tenders at local and regional level.</w:t>
      </w:r>
    </w:p>
    <w:p w:rsidR="003237CF" w:rsidRPr="007A1B09" w:rsidRDefault="00000E3F" w:rsidP="00EF38D7">
      <w:pPr>
        <w:pStyle w:val="Nadpis3"/>
        <w:keepNext/>
        <w:keepLines/>
        <w:numPr>
          <w:ilvl w:val="2"/>
          <w:numId w:val="4"/>
        </w:numPr>
        <w:ind w:left="851" w:hanging="851"/>
        <w:rPr>
          <w:lang w:val="en-GB"/>
        </w:rPr>
      </w:pPr>
      <w:bookmarkStart w:id="27" w:name="_Toc385946001"/>
      <w:r w:rsidRPr="00000E3F">
        <w:rPr>
          <w:bCs/>
          <w:lang w:val="en-GB"/>
        </w:rPr>
        <w:t>Quality and transparent government</w:t>
      </w:r>
      <w:bookmarkEnd w:id="27"/>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Quality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government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function</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and the related adoption </w:t>
      </w:r>
      <w:r w:rsidRPr="00177F0B">
        <w:rPr>
          <w:rFonts w:ascii="Calibri" w:eastAsia="Times New Roman" w:hAnsi="Calibri" w:cs="Calibri"/>
          <w:b/>
          <w:bCs/>
          <w:color w:val="000000"/>
          <w:lang w:val="en-GB" w:eastAsia="cs-CZ"/>
        </w:rPr>
        <w:t xml:space="preserve">of the </w:t>
      </w:r>
      <w:r>
        <w:rPr>
          <w:rFonts w:ascii="Calibri" w:eastAsia="Times New Roman" w:hAnsi="Calibri" w:cs="Calibri"/>
          <w:b/>
          <w:bCs/>
          <w:color w:val="000000"/>
          <w:lang w:val="en-GB" w:eastAsia="cs-CZ"/>
        </w:rPr>
        <w:t>Act</w:t>
      </w:r>
      <w:r w:rsidRPr="00177F0B">
        <w:rPr>
          <w:rFonts w:ascii="Calibri" w:eastAsia="Times New Roman" w:hAnsi="Calibri" w:cs="Calibri"/>
          <w:b/>
          <w:bCs/>
          <w:color w:val="000000"/>
          <w:lang w:val="en-GB" w:eastAsia="cs-CZ"/>
        </w:rPr>
        <w:t xml:space="preserve"> on State Service</w:t>
      </w:r>
      <w:r w:rsidRPr="00177F0B">
        <w:rPr>
          <w:rFonts w:ascii="Calibri" w:eastAsia="Times New Roman" w:hAnsi="Calibri" w:cs="Calibri"/>
          <w:color w:val="000000"/>
          <w:lang w:val="en-GB" w:eastAsia="cs-CZ"/>
        </w:rPr>
        <w:t> is one of the main priorities</w:t>
      </w:r>
      <w:r w:rsidRPr="001F30D0">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for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The main aim is to </w:t>
      </w:r>
      <w:r>
        <w:rPr>
          <w:rFonts w:ascii="Calibri" w:eastAsia="Times New Roman" w:hAnsi="Calibri" w:cs="Calibri"/>
          <w:color w:val="000000"/>
          <w:lang w:val="en-GB" w:eastAsia="cs-CZ"/>
        </w:rPr>
        <w:t>adopt a</w:t>
      </w:r>
      <w:r w:rsidRPr="00177F0B">
        <w:rPr>
          <w:rFonts w:ascii="Calibri" w:eastAsia="Times New Roman" w:hAnsi="Calibri" w:cs="Calibri"/>
          <w:color w:val="000000"/>
          <w:lang w:val="en-GB" w:eastAsia="cs-CZ"/>
        </w:rPr>
        <w:t xml:space="preserve"> functional and quality law, which will provide independent, professional, transparent and corruption-proof government. The law that </w:t>
      </w:r>
      <w:r>
        <w:rPr>
          <w:rFonts w:ascii="Calibri" w:eastAsia="Times New Roman" w:hAnsi="Calibri" w:cs="Calibri"/>
          <w:color w:val="000000"/>
          <w:lang w:val="en-GB" w:eastAsia="cs-CZ"/>
        </w:rPr>
        <w:t xml:space="preserve">will regulate </w:t>
      </w:r>
      <w:r w:rsidRPr="00177F0B">
        <w:rPr>
          <w:rFonts w:ascii="Calibri" w:eastAsia="Times New Roman" w:hAnsi="Calibri" w:cs="Calibri"/>
          <w:color w:val="000000"/>
          <w:lang w:val="en-GB" w:eastAsia="cs-CZ"/>
        </w:rPr>
        <w:t xml:space="preserve">the legal relationships of employees in administrative offices should ensure the stability and de-politicization of decision-making, management and HR processes. It will also define the criteria for the remuneration of </w:t>
      </w:r>
      <w:r>
        <w:rPr>
          <w:rFonts w:ascii="Calibri" w:eastAsia="Times New Roman" w:hAnsi="Calibri" w:cs="Calibri"/>
          <w:color w:val="000000"/>
          <w:lang w:val="en-GB" w:eastAsia="cs-CZ"/>
        </w:rPr>
        <w:t>officials and</w:t>
      </w:r>
      <w:r w:rsidRPr="00177F0B">
        <w:rPr>
          <w:rFonts w:ascii="Calibri" w:eastAsia="Times New Roman" w:hAnsi="Calibri" w:cs="Calibri"/>
          <w:color w:val="000000"/>
          <w:lang w:val="en-GB" w:eastAsia="cs-CZ"/>
        </w:rPr>
        <w:t xml:space="preserve"> determine the educational system and general staffing policy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 sta</w:t>
      </w:r>
      <w:r w:rsidRPr="00177F0B">
        <w:rPr>
          <w:rFonts w:ascii="Calibri" w:eastAsia="Times New Roman" w:hAnsi="Calibri" w:cs="Calibri"/>
          <w:color w:val="000000"/>
          <w:lang w:val="en-GB" w:eastAsia="cs-CZ"/>
        </w:rPr>
        <w:t>t</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 service.</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Upon the </w:t>
      </w:r>
      <w:r w:rsidRPr="00177F0B">
        <w:rPr>
          <w:rFonts w:ascii="Calibri" w:eastAsia="Times New Roman" w:hAnsi="Calibri" w:cs="Calibri"/>
          <w:color w:val="000000"/>
          <w:lang w:val="en-GB" w:eastAsia="cs-CZ"/>
        </w:rPr>
        <w:t>Chamber</w:t>
      </w:r>
      <w:r>
        <w:rPr>
          <w:rFonts w:ascii="Calibri" w:eastAsia="Times New Roman" w:hAnsi="Calibri" w:cs="Calibri"/>
          <w:color w:val="000000"/>
          <w:lang w:val="en-GB" w:eastAsia="cs-CZ"/>
        </w:rPr>
        <w:t xml:space="preserve"> of Deputies’</w:t>
      </w:r>
      <w:r w:rsidRPr="00177F0B">
        <w:rPr>
          <w:rFonts w:ascii="Calibri" w:eastAsia="Times New Roman" w:hAnsi="Calibri" w:cs="Calibri"/>
          <w:color w:val="000000"/>
          <w:lang w:val="en-GB" w:eastAsia="cs-CZ"/>
        </w:rPr>
        <w:t xml:space="preserve"> initiative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Act No. 218/2002 Coll., The </w:t>
      </w:r>
      <w:r>
        <w:rPr>
          <w:rFonts w:ascii="Calibri" w:eastAsia="Times New Roman" w:hAnsi="Calibri" w:cs="Calibri"/>
          <w:color w:val="000000"/>
          <w:lang w:val="en-GB" w:eastAsia="cs-CZ"/>
        </w:rPr>
        <w:t>Public</w:t>
      </w:r>
      <w:r w:rsidRPr="00177F0B">
        <w:rPr>
          <w:rFonts w:ascii="Calibri" w:eastAsia="Times New Roman" w:hAnsi="Calibri" w:cs="Calibri"/>
          <w:color w:val="000000"/>
          <w:lang w:val="en-GB" w:eastAsia="cs-CZ"/>
        </w:rPr>
        <w:t xml:space="preserve"> Service Employees in Administrative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nd Remuneration </w:t>
      </w:r>
      <w:r>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f Such Employees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nd Other Employees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 Administrative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(Service Act), which passed its first reading on 21</w:t>
      </w:r>
      <w:r w:rsidRPr="00C76333">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 Submission</w:t>
      </w:r>
      <w:r>
        <w:rPr>
          <w:rFonts w:ascii="Calibri" w:eastAsia="Times New Roman" w:hAnsi="Calibri" w:cs="Calibri"/>
          <w:color w:val="000000"/>
          <w:lang w:val="en-GB" w:eastAsia="cs-CZ"/>
        </w:rPr>
        <w:t xml:space="preserve"> of the</w:t>
      </w:r>
      <w:r w:rsidRPr="00177F0B">
        <w:rPr>
          <w:rFonts w:ascii="Calibri" w:eastAsia="Times New Roman" w:hAnsi="Calibri" w:cs="Calibri"/>
          <w:color w:val="000000"/>
          <w:lang w:val="en-GB" w:eastAsia="cs-CZ"/>
        </w:rPr>
        <w:t xml:space="preserve"> articulated version of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comprehensive amendment proposal to the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ommittee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the Chamber</w:t>
      </w:r>
      <w:r>
        <w:rPr>
          <w:rFonts w:ascii="Calibri" w:eastAsia="Times New Roman" w:hAnsi="Calibri" w:cs="Calibri"/>
          <w:color w:val="000000"/>
          <w:lang w:val="en-GB" w:eastAsia="cs-CZ"/>
        </w:rPr>
        <w:t xml:space="preserve"> of Deputies</w:t>
      </w:r>
      <w:r w:rsidRPr="00177F0B">
        <w:rPr>
          <w:rFonts w:ascii="Calibri" w:eastAsia="Times New Roman" w:hAnsi="Calibri" w:cs="Calibri"/>
          <w:color w:val="000000"/>
          <w:lang w:val="en-GB" w:eastAsia="cs-CZ"/>
        </w:rPr>
        <w:t xml:space="preserve"> is scheduled for April 2014. </w:t>
      </w:r>
      <w:r>
        <w:rPr>
          <w:rFonts w:ascii="Calibri" w:eastAsia="Times New Roman" w:hAnsi="Calibri" w:cs="Calibri"/>
          <w:color w:val="000000"/>
          <w:lang w:val="en-GB" w:eastAsia="cs-CZ"/>
        </w:rPr>
        <w:t xml:space="preserve">The coming into force of the Service Act </w:t>
      </w:r>
      <w:r w:rsidRPr="00177F0B">
        <w:rPr>
          <w:rFonts w:ascii="Calibri" w:eastAsia="Times New Roman" w:hAnsi="Calibri" w:cs="Calibri"/>
          <w:color w:val="000000"/>
          <w:lang w:val="en-GB" w:eastAsia="cs-CZ"/>
        </w:rPr>
        <w:t>will</w:t>
      </w:r>
      <w:r>
        <w:rPr>
          <w:rFonts w:ascii="Calibri" w:eastAsia="Times New Roman" w:hAnsi="Calibri" w:cs="Calibri"/>
          <w:color w:val="000000"/>
          <w:lang w:val="en-GB" w:eastAsia="cs-CZ"/>
        </w:rPr>
        <w:t xml:space="preserve"> be</w:t>
      </w:r>
      <w:r w:rsidRPr="00177F0B">
        <w:rPr>
          <w:rFonts w:ascii="Calibri" w:eastAsia="Times New Roman" w:hAnsi="Calibri" w:cs="Calibri"/>
          <w:color w:val="000000"/>
          <w:lang w:val="en-GB" w:eastAsia="cs-CZ"/>
        </w:rPr>
        <w:t xml:space="preserve"> multi</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phase.</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 establishment of the General Directorate of Civil Service</w:t>
      </w:r>
      <w:r>
        <w:rPr>
          <w:rFonts w:ascii="Calibri" w:eastAsia="Times New Roman" w:hAnsi="Calibri" w:cs="Calibri"/>
          <w:color w:val="000000"/>
          <w:lang w:val="en-GB" w:eastAsia="cs-CZ"/>
        </w:rPr>
        <w:t xml:space="preserve"> is expected by </w:t>
      </w:r>
      <w:r w:rsidRPr="00177F0B">
        <w:rPr>
          <w:rFonts w:ascii="Calibri" w:eastAsia="Times New Roman" w:hAnsi="Calibri" w:cs="Calibri"/>
          <w:color w:val="000000"/>
          <w:lang w:val="en-GB" w:eastAsia="cs-CZ"/>
        </w:rPr>
        <w:t>1</w:t>
      </w:r>
      <w:r w:rsidRPr="00C76333">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July 2014 (this part of the Service Act is already </w:t>
      </w:r>
      <w:r>
        <w:rPr>
          <w:rFonts w:ascii="Calibri" w:eastAsia="Times New Roman" w:hAnsi="Calibri" w:cs="Calibri"/>
          <w:color w:val="000000"/>
          <w:lang w:val="en-GB" w:eastAsia="cs-CZ"/>
        </w:rPr>
        <w:t>in force</w:t>
      </w:r>
      <w:r w:rsidRPr="00177F0B">
        <w:rPr>
          <w:rFonts w:ascii="Calibri" w:eastAsia="Times New Roman" w:hAnsi="Calibri" w:cs="Calibri"/>
          <w:color w:val="000000"/>
          <w:lang w:val="en-GB" w:eastAsia="cs-CZ"/>
        </w:rPr>
        <w:t xml:space="preserve">). This will prepare all relevant implementing </w:t>
      </w:r>
      <w:r>
        <w:rPr>
          <w:rFonts w:ascii="Calibri" w:eastAsia="Times New Roman" w:hAnsi="Calibri" w:cs="Calibri"/>
          <w:color w:val="000000"/>
          <w:lang w:val="en-GB" w:eastAsia="cs-CZ"/>
        </w:rPr>
        <w:t xml:space="preserve">service </w:t>
      </w:r>
      <w:r w:rsidRPr="00177F0B">
        <w:rPr>
          <w:rFonts w:ascii="Calibri" w:eastAsia="Times New Roman" w:hAnsi="Calibri" w:cs="Calibri"/>
          <w:color w:val="000000"/>
          <w:lang w:val="en-GB" w:eastAsia="cs-CZ"/>
        </w:rPr>
        <w:t xml:space="preserve">regulations and supervise the implementation of the Service Act in administrative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An important step towards the implementation </w:t>
      </w:r>
      <w:r>
        <w:rPr>
          <w:rFonts w:ascii="Calibri" w:eastAsia="Times New Roman" w:hAnsi="Calibri" w:cs="Calibri"/>
          <w:color w:val="000000"/>
          <w:lang w:val="en-GB" w:eastAsia="cs-CZ"/>
        </w:rPr>
        <w:t>will be the establishment of the</w:t>
      </w:r>
      <w:r w:rsidRPr="00177F0B">
        <w:rPr>
          <w:rFonts w:ascii="Calibri" w:eastAsia="Times New Roman" w:hAnsi="Calibri" w:cs="Calibri"/>
          <w:color w:val="000000"/>
          <w:lang w:val="en-GB" w:eastAsia="cs-CZ"/>
        </w:rPr>
        <w:t xml:space="preserve"> post of state secretar</w:t>
      </w:r>
      <w:r>
        <w:rPr>
          <w:rFonts w:ascii="Calibri" w:eastAsia="Times New Roman" w:hAnsi="Calibri" w:cs="Calibri"/>
          <w:color w:val="000000"/>
          <w:lang w:val="en-GB" w:eastAsia="cs-CZ"/>
        </w:rPr>
        <w:t>ies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at</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ministries and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change</w:t>
      </w:r>
      <w:r>
        <w:rPr>
          <w:rFonts w:ascii="Calibri" w:eastAsia="Times New Roman" w:hAnsi="Calibri" w:cs="Calibri"/>
          <w:color w:val="000000"/>
          <w:lang w:val="en-GB" w:eastAsia="cs-CZ"/>
        </w:rPr>
        <w:t xml:space="preserve"> of senior officials to chiefs </w:t>
      </w:r>
      <w:r w:rsidRPr="00177F0B">
        <w:rPr>
          <w:rFonts w:ascii="Calibri" w:eastAsia="Times New Roman" w:hAnsi="Calibri" w:cs="Calibri"/>
          <w:color w:val="000000"/>
          <w:lang w:val="en-GB" w:eastAsia="cs-CZ"/>
        </w:rPr>
        <w:t>(all w</w:t>
      </w:r>
      <w:r>
        <w:rPr>
          <w:rFonts w:ascii="Calibri" w:eastAsia="Times New Roman" w:hAnsi="Calibri" w:cs="Calibri"/>
          <w:color w:val="000000"/>
          <w:lang w:val="en-GB" w:eastAsia="cs-CZ"/>
        </w:rPr>
        <w:t>ithin</w:t>
      </w:r>
      <w:r w:rsidRPr="00177F0B">
        <w:rPr>
          <w:rFonts w:ascii="Calibri" w:eastAsia="Times New Roman" w:hAnsi="Calibri" w:cs="Calibri"/>
          <w:color w:val="000000"/>
          <w:lang w:val="en-GB" w:eastAsia="cs-CZ"/>
        </w:rPr>
        <w:t xml:space="preserve"> transparently set a</w:t>
      </w:r>
      <w:r>
        <w:rPr>
          <w:rFonts w:ascii="Calibri" w:eastAsia="Times New Roman" w:hAnsi="Calibri" w:cs="Calibri"/>
          <w:color w:val="000000"/>
          <w:lang w:val="en-GB" w:eastAsia="cs-CZ"/>
        </w:rPr>
        <w:t>nd mandatory selection proc</w:t>
      </w:r>
      <w:r>
        <w:rPr>
          <w:rFonts w:ascii="Calibri" w:eastAsia="Times New Roman" w:hAnsi="Calibri" w:cs="Calibri"/>
          <w:color w:val="000000"/>
          <w:lang w:val="en-GB" w:eastAsia="cs-CZ"/>
        </w:rPr>
        <w:t>e</w:t>
      </w:r>
      <w:r>
        <w:rPr>
          <w:rFonts w:ascii="Calibri" w:eastAsia="Times New Roman" w:hAnsi="Calibri" w:cs="Calibri"/>
          <w:color w:val="000000"/>
          <w:lang w:val="en-GB" w:eastAsia="cs-CZ"/>
        </w:rPr>
        <w:t>dures</w:t>
      </w:r>
      <w:r w:rsidRPr="00177F0B">
        <w:rPr>
          <w:rFonts w:ascii="Calibri" w:eastAsia="Times New Roman" w:hAnsi="Calibri" w:cs="Calibri"/>
          <w:color w:val="000000"/>
          <w:lang w:val="en-GB" w:eastAsia="cs-CZ"/>
        </w:rPr>
        <w:t xml:space="preserve">). Steps leading to a change of management system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concerned bodies will be made during 2015. </w:t>
      </w:r>
      <w:r>
        <w:rPr>
          <w:rFonts w:ascii="Calibri" w:eastAsia="Times New Roman" w:hAnsi="Calibri" w:cs="Calibri"/>
          <w:color w:val="000000"/>
          <w:lang w:val="en-GB" w:eastAsia="cs-CZ"/>
        </w:rPr>
        <w:t>At the same time</w:t>
      </w:r>
      <w:r w:rsidRPr="00177F0B">
        <w:rPr>
          <w:rFonts w:ascii="Calibri" w:eastAsia="Times New Roman" w:hAnsi="Calibri" w:cs="Calibri"/>
          <w:color w:val="000000"/>
          <w:lang w:val="en-GB" w:eastAsia="cs-CZ"/>
        </w:rPr>
        <w:t xml:space="preserve"> the rules and principles of </w:t>
      </w:r>
      <w:r>
        <w:rPr>
          <w:rFonts w:ascii="Calibri" w:eastAsia="Times New Roman" w:hAnsi="Calibri" w:cs="Calibri"/>
          <w:color w:val="000000"/>
          <w:lang w:val="en-GB" w:eastAsia="cs-CZ"/>
        </w:rPr>
        <w:t xml:space="preserve">entry of current employees into </w:t>
      </w:r>
      <w:r w:rsidRPr="00177F0B">
        <w:rPr>
          <w:rFonts w:ascii="Calibri" w:eastAsia="Times New Roman" w:hAnsi="Calibri" w:cs="Calibri"/>
          <w:color w:val="000000"/>
          <w:lang w:val="en-GB" w:eastAsia="cs-CZ"/>
        </w:rPr>
        <w:t>service</w:t>
      </w:r>
      <w:r>
        <w:rPr>
          <w:rFonts w:ascii="Calibri" w:eastAsia="Times New Roman" w:hAnsi="Calibri" w:cs="Calibri"/>
          <w:color w:val="000000"/>
          <w:lang w:val="en-GB" w:eastAsia="cs-CZ"/>
        </w:rPr>
        <w:t xml:space="preserve"> will be stipulated</w:t>
      </w:r>
      <w:r w:rsidRPr="00177F0B">
        <w:rPr>
          <w:rFonts w:ascii="Calibri" w:eastAsia="Times New Roman" w:hAnsi="Calibri" w:cs="Calibri"/>
          <w:color w:val="000000"/>
          <w:lang w:val="en-GB" w:eastAsia="cs-CZ"/>
        </w:rPr>
        <w:t>. The majority efficacy</w:t>
      </w:r>
      <w:r>
        <w:rPr>
          <w:rFonts w:ascii="Calibri" w:eastAsia="Times New Roman" w:hAnsi="Calibri" w:cs="Calibri"/>
          <w:color w:val="000000"/>
          <w:lang w:val="en-GB" w:eastAsia="cs-CZ"/>
        </w:rPr>
        <w:t xml:space="preserve"> of the</w:t>
      </w:r>
      <w:r w:rsidRPr="00177F0B">
        <w:rPr>
          <w:rFonts w:ascii="Calibri" w:eastAsia="Times New Roman" w:hAnsi="Calibri" w:cs="Calibri"/>
          <w:color w:val="000000"/>
          <w:lang w:val="en-GB" w:eastAsia="cs-CZ"/>
        </w:rPr>
        <w:t xml:space="preserve"> Service Act should be prepared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1</w:t>
      </w:r>
      <w:r w:rsidRPr="00920ADE">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2016.</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During the transitional period </w:t>
      </w:r>
      <w:r>
        <w:rPr>
          <w:rFonts w:ascii="Calibri" w:eastAsia="Times New Roman" w:hAnsi="Calibri" w:cs="Calibri"/>
          <w:color w:val="000000"/>
          <w:lang w:val="en-GB" w:eastAsia="cs-CZ"/>
        </w:rPr>
        <w:t>analys</w:t>
      </w:r>
      <w:r w:rsidRPr="00177F0B">
        <w:rPr>
          <w:rFonts w:ascii="Calibri" w:eastAsia="Times New Roman" w:hAnsi="Calibri" w:cs="Calibri"/>
          <w:color w:val="000000"/>
          <w:lang w:val="en-GB" w:eastAsia="cs-CZ"/>
        </w:rPr>
        <w:t>es</w:t>
      </w:r>
      <w:r>
        <w:rPr>
          <w:rFonts w:ascii="Calibri" w:eastAsia="Times New Roman" w:hAnsi="Calibri" w:cs="Calibri"/>
          <w:color w:val="000000"/>
          <w:lang w:val="en-GB" w:eastAsia="cs-CZ"/>
        </w:rPr>
        <w:t xml:space="preserve"> shall be created of</w:t>
      </w:r>
      <w:r w:rsidRPr="00177F0B">
        <w:rPr>
          <w:rFonts w:ascii="Calibri" w:eastAsia="Times New Roman" w:hAnsi="Calibri" w:cs="Calibri"/>
          <w:color w:val="000000"/>
          <w:lang w:val="en-GB" w:eastAsia="cs-CZ"/>
        </w:rPr>
        <w:t xml:space="preserve"> the current state of </w:t>
      </w:r>
      <w:r>
        <w:rPr>
          <w:rFonts w:ascii="Calibri" w:eastAsia="Times New Roman" w:hAnsi="Calibri" w:cs="Calibri"/>
          <w:color w:val="000000"/>
          <w:lang w:val="en-GB" w:eastAsia="cs-CZ"/>
        </w:rPr>
        <w:t>HR</w:t>
      </w:r>
      <w:r w:rsidRPr="00177F0B">
        <w:rPr>
          <w:rFonts w:ascii="Calibri" w:eastAsia="Times New Roman" w:hAnsi="Calibri" w:cs="Calibri"/>
          <w:color w:val="000000"/>
          <w:lang w:val="en-GB" w:eastAsia="cs-CZ"/>
        </w:rPr>
        <w:t xml:space="preserve"> work, systemiza</w:t>
      </w:r>
      <w:r>
        <w:rPr>
          <w:rFonts w:ascii="Calibri" w:eastAsia="Times New Roman" w:hAnsi="Calibri" w:cs="Calibri"/>
          <w:color w:val="000000"/>
          <w:lang w:val="en-GB" w:eastAsia="cs-CZ"/>
        </w:rPr>
        <w:t xml:space="preserve">tion, training and remuneration, methodologies shall be prepared </w:t>
      </w:r>
      <w:r w:rsidRPr="00177F0B">
        <w:rPr>
          <w:rFonts w:ascii="Calibri" w:eastAsia="Times New Roman" w:hAnsi="Calibri" w:cs="Calibri"/>
          <w:color w:val="000000"/>
          <w:lang w:val="en-GB" w:eastAsia="cs-CZ"/>
        </w:rPr>
        <w:t xml:space="preserve">according to the principles established by the Service Act and the creation of </w:t>
      </w:r>
      <w:r>
        <w:rPr>
          <w:rFonts w:ascii="Calibri" w:eastAsia="Times New Roman" w:hAnsi="Calibri" w:cs="Calibri"/>
          <w:color w:val="000000"/>
          <w:lang w:val="en-GB" w:eastAsia="cs-CZ"/>
        </w:rPr>
        <w:t>service</w:t>
      </w:r>
      <w:r w:rsidRPr="00177F0B">
        <w:rPr>
          <w:rFonts w:ascii="Calibri" w:eastAsia="Times New Roman" w:hAnsi="Calibri" w:cs="Calibri"/>
          <w:color w:val="000000"/>
          <w:lang w:val="en-GB" w:eastAsia="cs-CZ"/>
        </w:rPr>
        <w:t xml:space="preserve"> implementing regulations. At the same time round tables, seminars and conferences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be organized for both the representatives of the organizations and the </w:t>
      </w:r>
      <w:r>
        <w:rPr>
          <w:rFonts w:ascii="Calibri" w:eastAsia="Times New Roman" w:hAnsi="Calibri" w:cs="Calibri"/>
          <w:color w:val="000000"/>
          <w:lang w:val="en-GB" w:eastAsia="cs-CZ"/>
        </w:rPr>
        <w:lastRenderedPageBreak/>
        <w:t xml:space="preserve">broad </w:t>
      </w:r>
      <w:r w:rsidRPr="00177F0B">
        <w:rPr>
          <w:rFonts w:ascii="Calibri" w:eastAsia="Times New Roman" w:hAnsi="Calibri" w:cs="Calibri"/>
          <w:color w:val="000000"/>
          <w:lang w:val="en-GB" w:eastAsia="cs-CZ"/>
        </w:rPr>
        <w:t xml:space="preserve">professional and lay public, which will lead to greater visibility and promotion of the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ervice </w:t>
      </w:r>
      <w:r>
        <w:rPr>
          <w:rFonts w:ascii="Calibri" w:eastAsia="Times New Roman" w:hAnsi="Calibri" w:cs="Calibri"/>
          <w:color w:val="000000"/>
          <w:lang w:val="en-GB" w:eastAsia="cs-CZ"/>
        </w:rPr>
        <w:t>Act</w:t>
      </w:r>
      <w:r w:rsidRPr="00177F0B">
        <w:rPr>
          <w:rFonts w:ascii="Calibri" w:eastAsia="Times New Roman" w:hAnsi="Calibri" w:cs="Calibri"/>
          <w:color w:val="000000"/>
          <w:lang w:val="en-GB" w:eastAsia="cs-CZ"/>
        </w:rPr>
        <w:t>, the inclusion of stakeholder</w:t>
      </w:r>
      <w:r>
        <w:rPr>
          <w:rFonts w:ascii="Calibri" w:eastAsia="Times New Roman" w:hAnsi="Calibri" w:cs="Calibri"/>
          <w:color w:val="000000"/>
          <w:lang w:val="en-GB" w:eastAsia="cs-CZ"/>
        </w:rPr>
        <w:t>s in the implementation process</w:t>
      </w:r>
      <w:r w:rsidRPr="00177F0B">
        <w:rPr>
          <w:rFonts w:ascii="Calibri" w:eastAsia="Times New Roman" w:hAnsi="Calibri" w:cs="Calibri"/>
          <w:color w:val="000000"/>
          <w:lang w:val="en-GB" w:eastAsia="cs-CZ"/>
        </w:rPr>
        <w:t xml:space="preserve"> and thus to facilitate th</w:t>
      </w:r>
      <w:r>
        <w:rPr>
          <w:rFonts w:ascii="Calibri" w:eastAsia="Times New Roman" w:hAnsi="Calibri" w:cs="Calibri"/>
          <w:color w:val="000000"/>
          <w:lang w:val="en-GB" w:eastAsia="cs-CZ"/>
        </w:rPr>
        <w:t>ese</w:t>
      </w:r>
      <w:r w:rsidRPr="00177F0B">
        <w:rPr>
          <w:rFonts w:ascii="Calibri" w:eastAsia="Times New Roman" w:hAnsi="Calibri" w:cs="Calibri"/>
          <w:color w:val="000000"/>
          <w:lang w:val="en-GB" w:eastAsia="cs-CZ"/>
        </w:rPr>
        <w:t xml:space="preserve"> complex paradigmatic change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legal status of local government officials will continue to be regulated by Act No. 312/2002 Coll., </w:t>
      </w:r>
      <w:r>
        <w:rPr>
          <w:rFonts w:ascii="Calibri" w:eastAsia="Times New Roman" w:hAnsi="Calibri" w:cs="Calibri"/>
          <w:color w:val="000000"/>
          <w:lang w:val="en-GB" w:eastAsia="cs-CZ"/>
        </w:rPr>
        <w:t>on the Local Government O</w:t>
      </w:r>
      <w:r w:rsidRPr="00177F0B">
        <w:rPr>
          <w:rFonts w:ascii="Calibri" w:eastAsia="Times New Roman" w:hAnsi="Calibri" w:cs="Calibri"/>
          <w:color w:val="000000"/>
          <w:lang w:val="en-GB" w:eastAsia="cs-CZ"/>
        </w:rPr>
        <w:t>fficials, which is effective from 1</w:t>
      </w:r>
      <w:r w:rsidRPr="00463EE1">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January 2003 and that,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category of officials subject to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regime, fully complies with the requirements of understanding public administration as a public service.</w:t>
      </w:r>
    </w:p>
    <w:p w:rsidR="005D6606" w:rsidRPr="007A1B09" w:rsidRDefault="005D6606" w:rsidP="005D6606">
      <w:pPr>
        <w:rPr>
          <w:lang w:val="en-GB"/>
        </w:rPr>
      </w:pPr>
    </w:p>
    <w:p w:rsidR="003237CF" w:rsidRPr="007A1B09" w:rsidRDefault="00000E3F" w:rsidP="003237CF">
      <w:pPr>
        <w:pStyle w:val="Nadpis3"/>
        <w:numPr>
          <w:ilvl w:val="2"/>
          <w:numId w:val="4"/>
        </w:numPr>
        <w:ind w:left="851" w:hanging="851"/>
        <w:rPr>
          <w:lang w:val="en-GB"/>
        </w:rPr>
      </w:pPr>
      <w:bookmarkStart w:id="28" w:name="_Toc385946002"/>
      <w:r w:rsidRPr="00000E3F">
        <w:rPr>
          <w:bCs/>
          <w:lang w:val="en-GB"/>
        </w:rPr>
        <w:t>Fight against corruption</w:t>
      </w:r>
      <w:bookmarkEnd w:id="28"/>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fight against corruption is one of the main priorities of the </w:t>
      </w:r>
      <w:r>
        <w:rPr>
          <w:rFonts w:ascii="Calibri" w:eastAsia="Times New Roman" w:hAnsi="Calibri" w:cs="Calibri"/>
          <w:color w:val="000000"/>
          <w:lang w:val="en-GB" w:eastAsia="cs-CZ"/>
        </w:rPr>
        <w:t>government. In January 2013</w:t>
      </w:r>
      <w:r w:rsidRPr="00177F0B">
        <w:rPr>
          <w:rFonts w:ascii="Calibri" w:eastAsia="Times New Roman" w:hAnsi="Calibri" w:cs="Calibri"/>
          <w:color w:val="000000"/>
          <w:lang w:val="en-GB" w:eastAsia="cs-CZ"/>
        </w:rPr>
        <w:t xml:space="preserve"> the </w:t>
      </w:r>
      <w:r w:rsidRPr="00177F0B">
        <w:rPr>
          <w:rFonts w:ascii="Calibri" w:eastAsia="Times New Roman" w:hAnsi="Calibri" w:cs="Calibri"/>
          <w:b/>
          <w:bCs/>
          <w:color w:val="000000"/>
          <w:lang w:val="en-GB" w:eastAsia="cs-CZ"/>
        </w:rPr>
        <w:t xml:space="preserve">Government strategy </w:t>
      </w:r>
      <w:r>
        <w:rPr>
          <w:rFonts w:ascii="Calibri" w:eastAsia="Times New Roman" w:hAnsi="Calibri" w:cs="Calibri"/>
          <w:b/>
          <w:bCs/>
          <w:color w:val="000000"/>
          <w:lang w:val="en-GB" w:eastAsia="cs-CZ"/>
        </w:rPr>
        <w:t>of</w:t>
      </w:r>
      <w:r w:rsidRPr="00177F0B">
        <w:rPr>
          <w:rFonts w:ascii="Calibri" w:eastAsia="Times New Roman" w:hAnsi="Calibri" w:cs="Calibri"/>
          <w:b/>
          <w:bCs/>
          <w:color w:val="000000"/>
          <w:lang w:val="en-GB" w:eastAsia="cs-CZ"/>
        </w:rPr>
        <w:t xml:space="preserve"> combat</w:t>
      </w:r>
      <w:r>
        <w:rPr>
          <w:rFonts w:ascii="Calibri" w:eastAsia="Times New Roman" w:hAnsi="Calibri" w:cs="Calibri"/>
          <w:b/>
          <w:bCs/>
          <w:color w:val="000000"/>
          <w:lang w:val="en-GB" w:eastAsia="cs-CZ"/>
        </w:rPr>
        <w:t>ting</w:t>
      </w:r>
      <w:r w:rsidRPr="00177F0B">
        <w:rPr>
          <w:rFonts w:ascii="Calibri" w:eastAsia="Times New Roman" w:hAnsi="Calibri" w:cs="Calibri"/>
          <w:b/>
          <w:bCs/>
          <w:color w:val="000000"/>
          <w:lang w:val="en-GB" w:eastAsia="cs-CZ"/>
        </w:rPr>
        <w:t xml:space="preserve"> corruption in the years 2013 and 2014</w:t>
      </w:r>
      <w:r w:rsidRPr="00177F0B">
        <w:rPr>
          <w:rFonts w:ascii="Calibri" w:eastAsia="Times New Roman" w:hAnsi="Calibri" w:cs="Calibri"/>
          <w:color w:val="000000"/>
          <w:lang w:val="en-GB" w:eastAsia="cs-CZ"/>
        </w:rPr>
        <w:t> was approved</w:t>
      </w:r>
      <w:r>
        <w:rPr>
          <w:rFonts w:ascii="Calibri" w:eastAsia="Times New Roman" w:hAnsi="Calibri" w:cs="Calibri"/>
          <w:color w:val="000000"/>
          <w:lang w:val="en-GB" w:eastAsia="cs-CZ"/>
        </w:rPr>
        <w:t>, con</w:t>
      </w:r>
      <w:r w:rsidRPr="00177F0B">
        <w:rPr>
          <w:rFonts w:ascii="Calibri" w:eastAsia="Times New Roman" w:hAnsi="Calibri" w:cs="Calibri"/>
          <w:color w:val="000000"/>
          <w:lang w:val="en-GB" w:eastAsia="cs-CZ"/>
        </w:rPr>
        <w:t>t</w:t>
      </w:r>
      <w:r>
        <w:rPr>
          <w:rFonts w:ascii="Calibri" w:eastAsia="Times New Roman" w:hAnsi="Calibri" w:cs="Calibri"/>
          <w:color w:val="000000"/>
          <w:lang w:val="en-GB" w:eastAsia="cs-CZ"/>
        </w:rPr>
        <w:t xml:space="preserve">aining </w:t>
      </w:r>
      <w:r w:rsidRPr="00177F0B">
        <w:rPr>
          <w:rFonts w:ascii="Calibri" w:eastAsia="Times New Roman" w:hAnsi="Calibri" w:cs="Calibri"/>
          <w:color w:val="000000"/>
          <w:lang w:val="en-GB" w:eastAsia="cs-CZ"/>
        </w:rPr>
        <w:t>tasks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for the performance of </w:t>
      </w:r>
      <w:r>
        <w:rPr>
          <w:rFonts w:ascii="Calibri" w:eastAsia="Times New Roman" w:hAnsi="Calibri" w:cs="Calibri"/>
          <w:color w:val="000000"/>
          <w:lang w:val="en-GB" w:eastAsia="cs-CZ"/>
        </w:rPr>
        <w:t xml:space="preserve">which </w:t>
      </w:r>
      <w:r w:rsidRPr="00177F0B">
        <w:rPr>
          <w:rFonts w:ascii="Calibri" w:eastAsia="Times New Roman" w:hAnsi="Calibri" w:cs="Calibri"/>
          <w:color w:val="000000"/>
          <w:lang w:val="en-GB" w:eastAsia="cs-CZ"/>
        </w:rPr>
        <w:t>individual g</w:t>
      </w:r>
      <w:r>
        <w:rPr>
          <w:rFonts w:ascii="Calibri" w:eastAsia="Times New Roman" w:hAnsi="Calibri" w:cs="Calibri"/>
          <w:color w:val="000000"/>
          <w:lang w:val="en-GB" w:eastAsia="cs-CZ"/>
        </w:rPr>
        <w:t>uarantors are responsible</w:t>
      </w:r>
      <w:r w:rsidRPr="00177F0B">
        <w:rPr>
          <w:rFonts w:ascii="Calibri" w:eastAsia="Times New Roman" w:hAnsi="Calibri" w:cs="Calibri"/>
          <w:color w:val="000000"/>
          <w:lang w:val="en-GB" w:eastAsia="cs-CZ"/>
        </w:rPr>
        <w:t>. Due to political changes in 2013 not many of the tasks of</w:t>
      </w:r>
      <w:r>
        <w:rPr>
          <w:rFonts w:ascii="Calibri" w:eastAsia="Times New Roman" w:hAnsi="Calibri" w:cs="Calibri"/>
          <w:color w:val="000000"/>
          <w:lang w:val="en-GB" w:eastAsia="cs-CZ"/>
        </w:rPr>
        <w:t xml:space="preserve"> the </w:t>
      </w:r>
      <w:r w:rsidRPr="00177F0B">
        <w:rPr>
          <w:rFonts w:ascii="Calibri" w:eastAsia="Times New Roman" w:hAnsi="Calibri" w:cs="Calibri"/>
          <w:color w:val="000000"/>
          <w:lang w:val="en-GB" w:eastAsia="cs-CZ"/>
        </w:rPr>
        <w:t>government</w:t>
      </w:r>
      <w:r>
        <w:rPr>
          <w:rFonts w:ascii="Calibri" w:eastAsia="Times New Roman" w:hAnsi="Calibri" w:cs="Calibri"/>
          <w:color w:val="000000"/>
          <w:lang w:val="en-GB" w:eastAsia="cs-CZ"/>
        </w:rPr>
        <w:t>’s anti-corruption strategy were</w:t>
      </w:r>
      <w:r w:rsidRPr="00177F0B">
        <w:rPr>
          <w:rFonts w:ascii="Calibri" w:eastAsia="Times New Roman" w:hAnsi="Calibri" w:cs="Calibri"/>
          <w:color w:val="000000"/>
          <w:lang w:val="en-GB" w:eastAsia="cs-CZ"/>
        </w:rPr>
        <w:t xml:space="preserve"> met </w:t>
      </w:r>
      <w:r>
        <w:rPr>
          <w:rFonts w:ascii="Calibri" w:eastAsia="Times New Roman" w:hAnsi="Calibri" w:cs="Calibri"/>
          <w:color w:val="000000"/>
          <w:lang w:val="en-GB" w:eastAsia="cs-CZ"/>
        </w:rPr>
        <w:t xml:space="preserve">and </w:t>
      </w:r>
      <w:r w:rsidRPr="00177F0B">
        <w:rPr>
          <w:rFonts w:ascii="Calibri" w:eastAsia="Times New Roman" w:hAnsi="Calibri" w:cs="Calibri"/>
          <w:color w:val="000000"/>
          <w:lang w:val="en-GB" w:eastAsia="cs-CZ"/>
        </w:rPr>
        <w:t xml:space="preserve">their </w:t>
      </w:r>
      <w:r>
        <w:rPr>
          <w:rFonts w:ascii="Calibri" w:eastAsia="Times New Roman" w:hAnsi="Calibri" w:cs="Calibri"/>
          <w:color w:val="000000"/>
          <w:lang w:val="en-GB" w:eastAsia="cs-CZ"/>
        </w:rPr>
        <w:t>execution</w:t>
      </w:r>
      <w:r w:rsidRPr="00177F0B">
        <w:rPr>
          <w:rFonts w:ascii="Calibri" w:eastAsia="Times New Roman" w:hAnsi="Calibri" w:cs="Calibri"/>
          <w:color w:val="000000"/>
          <w:lang w:val="en-GB" w:eastAsia="cs-CZ"/>
        </w:rPr>
        <w:t xml:space="preserve"> was postponed. Of the 73 tasks (14 legislative and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59 non-legislative) </w:t>
      </w:r>
      <w:r>
        <w:rPr>
          <w:rFonts w:ascii="Calibri" w:eastAsia="Times New Roman" w:hAnsi="Calibri" w:cs="Calibri"/>
          <w:color w:val="000000"/>
          <w:lang w:val="en-GB" w:eastAsia="cs-CZ"/>
        </w:rPr>
        <w:t xml:space="preserve">only </w:t>
      </w:r>
      <w:r w:rsidRPr="00177F0B">
        <w:rPr>
          <w:rFonts w:ascii="Calibri" w:eastAsia="Times New Roman" w:hAnsi="Calibri" w:cs="Calibri"/>
          <w:color w:val="000000"/>
          <w:lang w:val="en-GB" w:eastAsia="cs-CZ"/>
        </w:rPr>
        <w:t>39 non-legislative tasks</w:t>
      </w:r>
      <w:r>
        <w:rPr>
          <w:rFonts w:ascii="Calibri" w:eastAsia="Times New Roman" w:hAnsi="Calibri" w:cs="Calibri"/>
          <w:color w:val="000000"/>
          <w:lang w:val="en-GB" w:eastAsia="cs-CZ"/>
        </w:rPr>
        <w:t xml:space="preserve"> have been </w:t>
      </w:r>
      <w:r w:rsidRPr="00177F0B">
        <w:rPr>
          <w:rFonts w:ascii="Calibri" w:eastAsia="Times New Roman" w:hAnsi="Calibri" w:cs="Calibri"/>
          <w:color w:val="000000"/>
          <w:lang w:val="en-GB" w:eastAsia="cs-CZ"/>
        </w:rPr>
        <w:t>met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so far. Among the most significant is the adoption of the Framework </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epartmental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nternal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nti-corruption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rogram</w:t>
      </w:r>
      <w:r>
        <w:rPr>
          <w:rFonts w:ascii="Calibri" w:eastAsia="Times New Roman" w:hAnsi="Calibri" w:cs="Calibri"/>
          <w:color w:val="000000"/>
          <w:lang w:val="en-GB" w:eastAsia="cs-CZ"/>
        </w:rPr>
        <w:t xml:space="preserve">me, preparation of </w:t>
      </w:r>
      <w:r w:rsidRPr="00177F0B">
        <w:rPr>
          <w:rFonts w:ascii="Calibri" w:eastAsia="Times New Roman" w:hAnsi="Calibri" w:cs="Calibri"/>
          <w:color w:val="000000"/>
          <w:lang w:val="en-GB" w:eastAsia="cs-CZ"/>
        </w:rPr>
        <w:t>mall scale public contracts</w:t>
      </w:r>
      <w:r>
        <w:rPr>
          <w:rFonts w:ascii="Calibri" w:eastAsia="Times New Roman" w:hAnsi="Calibri" w:cs="Calibri"/>
          <w:color w:val="000000"/>
          <w:lang w:val="en-GB" w:eastAsia="cs-CZ"/>
        </w:rPr>
        <w:t xml:space="preserve"> methodology</w:t>
      </w:r>
      <w:r w:rsidRPr="00177F0B">
        <w:rPr>
          <w:rFonts w:ascii="Calibri" w:eastAsia="Times New Roman" w:hAnsi="Calibri" w:cs="Calibri"/>
          <w:color w:val="000000"/>
          <w:lang w:val="en-GB" w:eastAsia="cs-CZ"/>
        </w:rPr>
        <w:t xml:space="preserve">, publication of the state budget and final account clearly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individual chapters and </w:t>
      </w:r>
      <w:r>
        <w:rPr>
          <w:rFonts w:ascii="Calibri" w:eastAsia="Times New Roman" w:hAnsi="Calibri" w:cs="Calibri"/>
          <w:color w:val="000000"/>
          <w:lang w:val="en-GB" w:eastAsia="cs-CZ"/>
        </w:rPr>
        <w:t>items</w:t>
      </w:r>
      <w:r w:rsidRPr="00177F0B">
        <w:rPr>
          <w:rFonts w:ascii="Calibri" w:eastAsia="Times New Roman" w:hAnsi="Calibri" w:cs="Calibri"/>
          <w:color w:val="000000"/>
          <w:lang w:val="en-GB" w:eastAsia="cs-CZ"/>
        </w:rPr>
        <w:t>, publishing consultants and advisory bodies, strengthen</w:t>
      </w:r>
      <w:r>
        <w:rPr>
          <w:rFonts w:ascii="Calibri" w:eastAsia="Times New Roman" w:hAnsi="Calibri" w:cs="Calibri"/>
          <w:color w:val="000000"/>
          <w:lang w:val="en-GB" w:eastAsia="cs-CZ"/>
        </w:rPr>
        <w:t>ing if</w:t>
      </w:r>
      <w:r w:rsidRPr="00177F0B">
        <w:rPr>
          <w:rFonts w:ascii="Calibri" w:eastAsia="Times New Roman" w:hAnsi="Calibri" w:cs="Calibri"/>
          <w:color w:val="000000"/>
          <w:lang w:val="en-GB" w:eastAsia="cs-CZ"/>
        </w:rPr>
        <w:t xml:space="preserve"> the computerization of procurement procedure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or </w:t>
      </w:r>
      <w:r>
        <w:rPr>
          <w:rFonts w:ascii="Calibri" w:eastAsia="Times New Roman" w:hAnsi="Calibri" w:cs="Calibri"/>
          <w:color w:val="000000"/>
          <w:lang w:val="en-GB" w:eastAsia="cs-CZ"/>
        </w:rPr>
        <w:t>preparation of</w:t>
      </w:r>
      <w:r w:rsidRPr="00177F0B">
        <w:rPr>
          <w:rFonts w:ascii="Calibri" w:eastAsia="Times New Roman" w:hAnsi="Calibri" w:cs="Calibri"/>
          <w:color w:val="000000"/>
          <w:lang w:val="en-GB" w:eastAsia="cs-CZ"/>
        </w:rPr>
        <w:t xml:space="preserve"> guidance documents for the </w:t>
      </w:r>
      <w:r>
        <w:rPr>
          <w:rFonts w:ascii="Calibri" w:eastAsia="Times New Roman" w:hAnsi="Calibri" w:cs="Calibri"/>
          <w:color w:val="000000"/>
          <w:lang w:val="en-GB" w:eastAsia="cs-CZ"/>
        </w:rPr>
        <w:t>drawing from</w:t>
      </w:r>
      <w:r w:rsidRPr="00177F0B">
        <w:rPr>
          <w:rFonts w:ascii="Calibri" w:eastAsia="Times New Roman" w:hAnsi="Calibri" w:cs="Calibri"/>
          <w:color w:val="000000"/>
          <w:lang w:val="en-GB" w:eastAsia="cs-CZ"/>
        </w:rPr>
        <w:t xml:space="preserve"> EU funds in the programm</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 period 2014 +.</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Several of the legislative tasks were completed by individual </w:t>
      </w:r>
      <w:r w:rsidRPr="00177F0B">
        <w:rPr>
          <w:rFonts w:ascii="Calibri" w:eastAsia="Times New Roman" w:hAnsi="Calibri" w:cs="Calibri"/>
          <w:color w:val="000000"/>
          <w:lang w:val="en-GB" w:eastAsia="cs-CZ"/>
        </w:rPr>
        <w:t>ministries, but their legislative development was terminated by dissolving the Chamber of Deputies.</w:t>
      </w:r>
      <w:r>
        <w:rPr>
          <w:rFonts w:ascii="Calibri" w:eastAsia="Times New Roman" w:hAnsi="Calibri" w:cs="Calibri"/>
          <w:color w:val="000000"/>
          <w:lang w:val="en-GB" w:eastAsia="cs-CZ"/>
        </w:rPr>
        <w:t xml:space="preserve"> T</w:t>
      </w:r>
      <w:r w:rsidRPr="00177F0B">
        <w:rPr>
          <w:rFonts w:ascii="Calibri" w:eastAsia="Times New Roman" w:hAnsi="Calibri" w:cs="Calibri"/>
          <w:color w:val="000000"/>
          <w:lang w:val="en-GB" w:eastAsia="cs-CZ"/>
        </w:rPr>
        <w:t>he government is still working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subtasks </w:t>
      </w:r>
      <w:r>
        <w:rPr>
          <w:rFonts w:ascii="Calibri" w:eastAsia="Times New Roman" w:hAnsi="Calibri" w:cs="Calibri"/>
          <w:color w:val="000000"/>
          <w:lang w:val="en-GB" w:eastAsia="cs-CZ"/>
        </w:rPr>
        <w:t>of the Strategy</w:t>
      </w:r>
      <w:r w:rsidRPr="00177F0B">
        <w:rPr>
          <w:rFonts w:ascii="Calibri" w:eastAsia="Times New Roman" w:hAnsi="Calibri" w:cs="Calibri"/>
          <w:color w:val="000000"/>
          <w:lang w:val="en-GB" w:eastAsia="cs-CZ"/>
        </w:rPr>
        <w:t xml:space="preserve"> (e.g.</w:t>
      </w:r>
      <w:r>
        <w:rPr>
          <w:rFonts w:ascii="Calibri" w:eastAsia="Times New Roman" w:hAnsi="Calibri" w:cs="Calibri"/>
          <w:color w:val="000000"/>
          <w:lang w:val="en-GB" w:eastAsia="cs-CZ"/>
        </w:rPr>
        <w:t xml:space="preserve"> preparation of the new Act</w:t>
      </w:r>
      <w:r w:rsidRPr="00177F0B">
        <w:rPr>
          <w:rFonts w:ascii="Calibri" w:eastAsia="Times New Roman" w:hAnsi="Calibri" w:cs="Calibri"/>
          <w:color w:val="000000"/>
          <w:lang w:val="en-GB" w:eastAsia="cs-CZ"/>
        </w:rPr>
        <w:t xml:space="preserve"> on Public Prosecution, t</w:t>
      </w:r>
      <w:r>
        <w:rPr>
          <w:rFonts w:ascii="Calibri" w:eastAsia="Times New Roman" w:hAnsi="Calibri" w:cs="Calibri"/>
          <w:color w:val="000000"/>
          <w:lang w:val="en-GB" w:eastAsia="cs-CZ"/>
        </w:rPr>
        <w:t>he Act</w:t>
      </w:r>
      <w:r w:rsidRPr="00177F0B">
        <w:rPr>
          <w:rFonts w:ascii="Calibri" w:eastAsia="Times New Roman" w:hAnsi="Calibri" w:cs="Calibri"/>
          <w:color w:val="000000"/>
          <w:lang w:val="en-GB" w:eastAsia="cs-CZ"/>
        </w:rPr>
        <w:t xml:space="preserve"> on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lectronic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 xml:space="preserve">ollection of </w:t>
      </w:r>
      <w:r>
        <w:rPr>
          <w:rFonts w:ascii="Calibri" w:eastAsia="Times New Roman" w:hAnsi="Calibri" w:cs="Calibri"/>
          <w:color w:val="000000"/>
          <w:lang w:val="en-GB" w:eastAsia="cs-CZ"/>
        </w:rPr>
        <w:t>L</w:t>
      </w:r>
      <w:r w:rsidRPr="00177F0B">
        <w:rPr>
          <w:rFonts w:ascii="Calibri" w:eastAsia="Times New Roman" w:hAnsi="Calibri" w:cs="Calibri"/>
          <w:color w:val="000000"/>
          <w:lang w:val="en-GB" w:eastAsia="cs-CZ"/>
        </w:rPr>
        <w:t xml:space="preserve">aws and </w:t>
      </w:r>
      <w:r>
        <w:rPr>
          <w:rFonts w:ascii="Calibri" w:eastAsia="Times New Roman" w:hAnsi="Calibri" w:cs="Calibri"/>
          <w:color w:val="000000"/>
          <w:lang w:val="en-GB" w:eastAsia="cs-CZ"/>
        </w:rPr>
        <w:t>International T</w:t>
      </w:r>
      <w:r w:rsidRPr="00177F0B">
        <w:rPr>
          <w:rFonts w:ascii="Calibri" w:eastAsia="Times New Roman" w:hAnsi="Calibri" w:cs="Calibri"/>
          <w:color w:val="000000"/>
          <w:lang w:val="en-GB" w:eastAsia="cs-CZ"/>
        </w:rPr>
        <w:t>reaties or modifying criminal laws on the management of seized property or seizure of proceeds of crime).</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the coming period, the government will prepare an amendment to the law on conflict of interests, which introduces electronic completion and publication of asset declarations of politicians. In addition, a bill that </w:t>
      </w:r>
      <w:r>
        <w:rPr>
          <w:rFonts w:ascii="Calibri" w:eastAsia="Times New Roman" w:hAnsi="Calibri" w:cs="Calibri"/>
          <w:color w:val="000000"/>
          <w:lang w:val="en-GB" w:eastAsia="cs-CZ"/>
        </w:rPr>
        <w:t>apart from bearer shares will</w:t>
      </w:r>
      <w:r w:rsidRPr="00177F0B">
        <w:rPr>
          <w:rFonts w:ascii="Calibri" w:eastAsia="Times New Roman" w:hAnsi="Calibri" w:cs="Calibri"/>
          <w:color w:val="000000"/>
          <w:lang w:val="en-GB" w:eastAsia="cs-CZ"/>
        </w:rPr>
        <w:t xml:space="preserve"> e</w:t>
      </w:r>
      <w:r>
        <w:rPr>
          <w:rFonts w:ascii="Calibri" w:eastAsia="Times New Roman" w:hAnsi="Calibri" w:cs="Calibri"/>
          <w:color w:val="000000"/>
          <w:lang w:val="en-GB" w:eastAsia="cs-CZ"/>
        </w:rPr>
        <w:t xml:space="preserve">nsure transparency of ownership </w:t>
      </w:r>
      <w:r w:rsidRPr="00177F0B">
        <w:rPr>
          <w:rFonts w:ascii="Calibri" w:eastAsia="Times New Roman" w:hAnsi="Calibri" w:cs="Calibri"/>
          <w:color w:val="000000"/>
          <w:lang w:val="en-GB" w:eastAsia="cs-CZ"/>
        </w:rPr>
        <w:t>also</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companies with registered</w:t>
      </w:r>
      <w:r w:rsidRPr="00177F0B">
        <w:rPr>
          <w:rFonts w:ascii="Calibri" w:eastAsia="Times New Roman" w:hAnsi="Calibri" w:cs="Calibri"/>
          <w:color w:val="000000"/>
          <w:lang w:val="en-GB" w:eastAsia="cs-CZ"/>
        </w:rPr>
        <w:t xml:space="preserve"> shares and allows authorized government bodies to identify the owner</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the shares of the company throughout its existence. </w:t>
      </w:r>
      <w:r>
        <w:rPr>
          <w:rFonts w:ascii="Calibri" w:eastAsia="Times New Roman" w:hAnsi="Calibri" w:cs="Calibri"/>
          <w:color w:val="000000"/>
          <w:lang w:val="en-GB" w:eastAsia="cs-CZ"/>
        </w:rPr>
        <w:t>The government will also</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prepare</w:t>
      </w:r>
      <w:r w:rsidRPr="00177F0B">
        <w:rPr>
          <w:rFonts w:ascii="Calibri" w:eastAsia="Times New Roman" w:hAnsi="Calibri" w:cs="Calibri"/>
          <w:color w:val="000000"/>
          <w:lang w:val="en-GB" w:eastAsia="cs-CZ"/>
        </w:rPr>
        <w:t xml:space="preserve"> a law on the central register of all contracts </w:t>
      </w:r>
      <w:r>
        <w:rPr>
          <w:rFonts w:ascii="Calibri" w:eastAsia="Times New Roman" w:hAnsi="Calibri" w:cs="Calibri"/>
          <w:color w:val="000000"/>
          <w:lang w:val="en-GB" w:eastAsia="cs-CZ"/>
        </w:rPr>
        <w:t>concluded by public authorities that exceed</w:t>
      </w:r>
      <w:r w:rsidRPr="00177F0B">
        <w:rPr>
          <w:rFonts w:ascii="Calibri" w:eastAsia="Times New Roman" w:hAnsi="Calibri" w:cs="Calibri"/>
          <w:color w:val="000000"/>
          <w:lang w:val="en-GB" w:eastAsia="cs-CZ"/>
        </w:rPr>
        <w:t xml:space="preserve"> the specified minimum financial limit and tighten the system of funding of political parties by introducing expenditure limit for election campaigns and enacting limits on gifts from </w:t>
      </w:r>
      <w:r>
        <w:rPr>
          <w:rFonts w:ascii="Calibri" w:eastAsia="Times New Roman" w:hAnsi="Calibri" w:cs="Calibri"/>
          <w:color w:val="000000"/>
          <w:lang w:val="en-GB" w:eastAsia="cs-CZ"/>
        </w:rPr>
        <w:t>natural</w:t>
      </w:r>
      <w:r w:rsidRPr="00177F0B">
        <w:rPr>
          <w:rFonts w:ascii="Calibri" w:eastAsia="Times New Roman" w:hAnsi="Calibri" w:cs="Calibri"/>
          <w:color w:val="000000"/>
          <w:lang w:val="en-GB" w:eastAsia="cs-CZ"/>
        </w:rPr>
        <w:t xml:space="preserve"> and legal entities. Finally, the government will also focus on t</w:t>
      </w:r>
      <w:r>
        <w:rPr>
          <w:rFonts w:ascii="Calibri" w:eastAsia="Times New Roman" w:hAnsi="Calibri" w:cs="Calibri"/>
          <w:color w:val="000000"/>
          <w:lang w:val="en-GB" w:eastAsia="cs-CZ"/>
        </w:rPr>
        <w:t xml:space="preserve">he protection of whistle-blowers </w:t>
      </w:r>
      <w:r w:rsidRPr="00177F0B">
        <w:rPr>
          <w:rFonts w:ascii="Calibri" w:eastAsia="Times New Roman" w:hAnsi="Calibri" w:cs="Calibri"/>
          <w:color w:val="000000"/>
          <w:lang w:val="en-GB" w:eastAsia="cs-CZ"/>
        </w:rPr>
        <w:t>and</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after the release of the </w:t>
      </w:r>
      <w:r>
        <w:rPr>
          <w:rFonts w:ascii="Calibri" w:eastAsia="Times New Roman" w:hAnsi="Calibri" w:cs="Calibri"/>
          <w:color w:val="000000"/>
          <w:lang w:val="en-GB" w:eastAsia="cs-CZ"/>
        </w:rPr>
        <w:t xml:space="preserve">appropriate </w:t>
      </w:r>
      <w:r w:rsidRPr="00177F0B">
        <w:rPr>
          <w:rFonts w:ascii="Calibri" w:eastAsia="Times New Roman" w:hAnsi="Calibri" w:cs="Calibri"/>
          <w:color w:val="000000"/>
          <w:lang w:val="en-GB" w:eastAsia="cs-CZ"/>
        </w:rPr>
        <w:t>document in the EU</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prepare a legislative solution to this issue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at the earliest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in 2015</w:t>
      </w:r>
      <w:r>
        <w:rPr>
          <w:rFonts w:ascii="Calibri" w:eastAsia="Times New Roman" w:hAnsi="Calibri" w:cs="Calibri"/>
          <w:color w:val="000000"/>
          <w:lang w:val="en-GB" w:eastAsia="cs-CZ"/>
        </w:rPr>
        <w:t>,</w:t>
      </w:r>
      <w:r w:rsidRPr="009B3B1A">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however</w:t>
      </w:r>
      <w:r w:rsidRPr="00177F0B">
        <w:rPr>
          <w:rFonts w:ascii="Calibri" w:eastAsia="Times New Roman" w:hAnsi="Calibri" w:cs="Calibri"/>
          <w:color w:val="000000"/>
          <w:lang w:val="en-GB" w:eastAsia="cs-CZ"/>
        </w:rPr>
        <w:t>.</w:t>
      </w:r>
    </w:p>
    <w:p w:rsidR="00A904DE" w:rsidRPr="007A1B09" w:rsidRDefault="00A904DE" w:rsidP="0062600F">
      <w:pPr>
        <w:rPr>
          <w:lang w:val="en-GB"/>
        </w:rPr>
      </w:pPr>
    </w:p>
    <w:p w:rsidR="003237CF" w:rsidRPr="007A1B09" w:rsidRDefault="00000E3F" w:rsidP="001612A6">
      <w:pPr>
        <w:pStyle w:val="Nadpis3"/>
        <w:numPr>
          <w:ilvl w:val="2"/>
          <w:numId w:val="4"/>
        </w:numPr>
        <w:ind w:left="851" w:hanging="851"/>
        <w:rPr>
          <w:lang w:val="en-GB"/>
        </w:rPr>
      </w:pPr>
      <w:bookmarkStart w:id="29" w:name="_Toc385946003"/>
      <w:r w:rsidRPr="00000E3F">
        <w:rPr>
          <w:bCs/>
          <w:lang w:val="en-GB"/>
        </w:rPr>
        <w:t>Administration of finances from</w:t>
      </w:r>
      <w:r>
        <w:rPr>
          <w:bCs/>
          <w:lang w:val="en-GB"/>
        </w:rPr>
        <w:t xml:space="preserve"> </w:t>
      </w:r>
      <w:r w:rsidRPr="00000E3F">
        <w:rPr>
          <w:bCs/>
          <w:lang w:val="en-GB"/>
        </w:rPr>
        <w:t>EU funds with regard to the programming period 2014-2020</w:t>
      </w:r>
      <w:bookmarkEnd w:id="29"/>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When preparing the program</w:t>
      </w:r>
      <w:r>
        <w:rPr>
          <w:rFonts w:ascii="Calibri" w:eastAsia="Times New Roman" w:hAnsi="Calibri" w:cs="Calibri"/>
          <w:color w:val="000000"/>
          <w:lang w:val="en-GB" w:eastAsia="cs-CZ"/>
        </w:rPr>
        <w:t>ming period</w:t>
      </w:r>
      <w:r w:rsidRPr="00177F0B">
        <w:rPr>
          <w:rFonts w:ascii="Calibri" w:eastAsia="Times New Roman" w:hAnsi="Calibri" w:cs="Calibri"/>
          <w:color w:val="000000"/>
          <w:lang w:val="en-GB" w:eastAsia="cs-CZ"/>
        </w:rPr>
        <w:t xml:space="preserve"> for 2014-2020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key aspect </w:t>
      </w:r>
      <w:r>
        <w:rPr>
          <w:rFonts w:ascii="Calibri" w:eastAsia="Times New Roman" w:hAnsi="Calibri" w:cs="Calibri"/>
          <w:color w:val="000000"/>
          <w:lang w:val="en-GB" w:eastAsia="cs-CZ"/>
        </w:rPr>
        <w:t>was the</w:t>
      </w:r>
      <w:r w:rsidRPr="00177F0B">
        <w:rPr>
          <w:rFonts w:ascii="Calibri" w:eastAsia="Times New Roman" w:hAnsi="Calibri" w:cs="Calibri"/>
          <w:color w:val="000000"/>
          <w:lang w:val="en-GB" w:eastAsia="cs-CZ"/>
        </w:rPr>
        <w:t xml:space="preserve"> experience from the period</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2004-2006 and 2007-2013, and therefore development was</w:t>
      </w:r>
      <w:r>
        <w:rPr>
          <w:rFonts w:ascii="Calibri" w:eastAsia="Times New Roman" w:hAnsi="Calibri" w:cs="Calibri"/>
          <w:color w:val="000000"/>
          <w:lang w:val="en-GB" w:eastAsia="cs-CZ"/>
        </w:rPr>
        <w:t xml:space="preserve"> based</w:t>
      </w:r>
      <w:r w:rsidRPr="00177F0B">
        <w:rPr>
          <w:rFonts w:ascii="Calibri" w:eastAsia="Times New Roman" w:hAnsi="Calibri" w:cs="Calibri"/>
          <w:color w:val="000000"/>
          <w:lang w:val="en-GB" w:eastAsia="cs-CZ"/>
        </w:rPr>
        <w:t>, among others,</w:t>
      </w:r>
      <w:r>
        <w:rPr>
          <w:rFonts w:ascii="Calibri" w:eastAsia="Times New Roman" w:hAnsi="Calibri" w:cs="Calibri"/>
          <w:color w:val="000000"/>
          <w:lang w:val="en-GB" w:eastAsia="cs-CZ"/>
        </w:rPr>
        <w:t xml:space="preserve"> on</w:t>
      </w:r>
      <w:r w:rsidRPr="00177F0B">
        <w:rPr>
          <w:rFonts w:ascii="Calibri" w:eastAsia="Times New Roman" w:hAnsi="Calibri" w:cs="Calibri"/>
          <w:color w:val="000000"/>
          <w:lang w:val="en-GB" w:eastAsia="cs-CZ"/>
        </w:rPr>
        <w:t xml:space="preserve"> the analysis of the implementation environment of the programming period 2007-2013. </w:t>
      </w:r>
      <w:r>
        <w:rPr>
          <w:rFonts w:ascii="Calibri" w:eastAsia="Times New Roman" w:hAnsi="Calibri" w:cs="Calibri"/>
          <w:color w:val="000000"/>
          <w:lang w:val="en-GB" w:eastAsia="cs-CZ"/>
        </w:rPr>
        <w:t>This</w:t>
      </w:r>
      <w:r w:rsidRPr="00177F0B">
        <w:rPr>
          <w:rFonts w:ascii="Calibri" w:eastAsia="Times New Roman" w:hAnsi="Calibri" w:cs="Calibri"/>
          <w:color w:val="000000"/>
          <w:lang w:val="en-GB" w:eastAsia="cs-CZ"/>
        </w:rPr>
        <w:t xml:space="preserve"> pointed in particular to the need for uniform rules for all entities involved in the implementation of cohesion policy in the country.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herefore </w:t>
      </w:r>
      <w:r>
        <w:rPr>
          <w:rFonts w:ascii="Calibri" w:eastAsia="Times New Roman" w:hAnsi="Calibri" w:cs="Calibri"/>
          <w:color w:val="000000"/>
          <w:lang w:val="en-GB" w:eastAsia="cs-CZ"/>
        </w:rPr>
        <w:t>in February 2013</w:t>
      </w:r>
      <w:r w:rsidRPr="00177F0B">
        <w:rPr>
          <w:rFonts w:ascii="Calibri" w:eastAsia="Times New Roman" w:hAnsi="Calibri" w:cs="Calibri"/>
          <w:color w:val="000000"/>
          <w:lang w:val="en-GB" w:eastAsia="cs-CZ"/>
        </w:rPr>
        <w:t xml:space="preserve"> the government adopted </w:t>
      </w:r>
      <w:r>
        <w:rPr>
          <w:rFonts w:ascii="Calibri" w:eastAsia="Times New Roman" w:hAnsi="Calibri" w:cs="Calibri"/>
          <w:color w:val="000000"/>
          <w:lang w:val="en-GB" w:eastAsia="cs-CZ"/>
        </w:rPr>
        <w:t>the Uniform M</w:t>
      </w:r>
      <w:r w:rsidRPr="00177F0B">
        <w:rPr>
          <w:rFonts w:ascii="Calibri" w:eastAsia="Times New Roman" w:hAnsi="Calibri" w:cs="Calibri"/>
          <w:color w:val="000000"/>
          <w:lang w:val="en-GB" w:eastAsia="cs-CZ"/>
        </w:rPr>
        <w:t xml:space="preserve">ethodological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nvironment</w:t>
      </w:r>
      <w:r>
        <w:rPr>
          <w:rFonts w:ascii="Calibri" w:eastAsia="Times New Roman" w:hAnsi="Calibri" w:cs="Calibri"/>
          <w:color w:val="000000"/>
          <w:lang w:val="en-GB" w:eastAsia="cs-CZ"/>
        </w:rPr>
        <w:t xml:space="preserve"> Concept</w:t>
      </w:r>
      <w:r w:rsidRPr="00177F0B">
        <w:rPr>
          <w:rFonts w:ascii="Calibri" w:eastAsia="Times New Roman" w:hAnsi="Calibri" w:cs="Calibri"/>
          <w:color w:val="000000"/>
          <w:lang w:val="en-GB" w:eastAsia="cs-CZ"/>
        </w:rPr>
        <w:t>, which forms the basic framework for creating and setting the rules for the programming period 2014-2020. In connection with this document guidance documents for each area of ​​implementation</w:t>
      </w:r>
      <w:r>
        <w:rPr>
          <w:rFonts w:ascii="Calibri" w:eastAsia="Times New Roman" w:hAnsi="Calibri" w:cs="Calibri"/>
          <w:color w:val="000000"/>
          <w:lang w:val="en-GB" w:eastAsia="cs-CZ"/>
        </w:rPr>
        <w:t xml:space="preserve"> are being prepared at the national level</w:t>
      </w:r>
      <w:r w:rsidRPr="00177F0B">
        <w:rPr>
          <w:rFonts w:ascii="Calibri" w:eastAsia="Times New Roman" w:hAnsi="Calibri" w:cs="Calibri"/>
          <w:color w:val="000000"/>
          <w:lang w:val="en-GB" w:eastAsia="cs-CZ"/>
        </w:rPr>
        <w:t xml:space="preserve">. During 2013, the government approved a total of six </w:t>
      </w:r>
      <w:r>
        <w:rPr>
          <w:rFonts w:ascii="Calibri" w:eastAsia="Times New Roman" w:hAnsi="Calibri" w:cs="Calibri"/>
          <w:color w:val="000000"/>
          <w:lang w:val="en-GB" w:eastAsia="cs-CZ"/>
        </w:rPr>
        <w:t>methodological</w:t>
      </w:r>
      <w:r w:rsidRPr="00177F0B">
        <w:rPr>
          <w:rFonts w:ascii="Calibri" w:eastAsia="Times New Roman" w:hAnsi="Calibri" w:cs="Calibri"/>
          <w:color w:val="000000"/>
          <w:lang w:val="en-GB" w:eastAsia="cs-CZ"/>
        </w:rPr>
        <w:t xml:space="preserve"> documents, approval of five additional documents followed in January 2014. </w:t>
      </w:r>
      <w:r>
        <w:rPr>
          <w:rFonts w:ascii="Calibri" w:eastAsia="Times New Roman" w:hAnsi="Calibri" w:cs="Calibri"/>
          <w:color w:val="000000"/>
          <w:lang w:val="en-GB" w:eastAsia="cs-CZ"/>
        </w:rPr>
        <w:t>The r</w:t>
      </w:r>
      <w:r w:rsidRPr="00177F0B">
        <w:rPr>
          <w:rFonts w:ascii="Calibri" w:eastAsia="Times New Roman" w:hAnsi="Calibri" w:cs="Calibri"/>
          <w:color w:val="000000"/>
          <w:lang w:val="en-GB" w:eastAsia="cs-CZ"/>
        </w:rPr>
        <w:t xml:space="preserve">emaining </w:t>
      </w:r>
      <w:r>
        <w:rPr>
          <w:rFonts w:ascii="Calibri" w:eastAsia="Times New Roman" w:hAnsi="Calibri" w:cs="Calibri"/>
          <w:color w:val="000000"/>
          <w:lang w:val="en-GB" w:eastAsia="cs-CZ"/>
        </w:rPr>
        <w:t xml:space="preserve">ones are </w:t>
      </w:r>
      <w:r w:rsidRPr="00177F0B">
        <w:rPr>
          <w:rFonts w:ascii="Calibri" w:eastAsia="Times New Roman" w:hAnsi="Calibri" w:cs="Calibri"/>
          <w:color w:val="000000"/>
          <w:lang w:val="en-GB" w:eastAsia="cs-CZ"/>
        </w:rPr>
        <w:t xml:space="preserve">to be finalized and approved by mid-2014. </w:t>
      </w:r>
      <w:r>
        <w:rPr>
          <w:rFonts w:ascii="Calibri" w:eastAsia="Times New Roman" w:hAnsi="Calibri" w:cs="Calibri"/>
          <w:color w:val="000000"/>
          <w:lang w:val="en-GB" w:eastAsia="cs-CZ"/>
        </w:rPr>
        <w:t>M</w:t>
      </w:r>
      <w:r w:rsidRPr="00177F0B">
        <w:rPr>
          <w:rFonts w:ascii="Calibri" w:eastAsia="Times New Roman" w:hAnsi="Calibri" w:cs="Calibri"/>
          <w:color w:val="000000"/>
          <w:lang w:val="en-GB" w:eastAsia="cs-CZ"/>
        </w:rPr>
        <w:t xml:space="preserve">ethodological documents are processed in accordance with the </w:t>
      </w:r>
      <w:r w:rsidRPr="00177F0B">
        <w:rPr>
          <w:rFonts w:ascii="Calibri" w:eastAsia="Times New Roman" w:hAnsi="Calibri" w:cs="Calibri"/>
          <w:color w:val="000000"/>
          <w:lang w:val="en-GB" w:eastAsia="cs-CZ"/>
        </w:rPr>
        <w:lastRenderedPageBreak/>
        <w:t>relevant regulations and other EU documents, laws of the</w:t>
      </w:r>
      <w:r>
        <w:rPr>
          <w:rFonts w:ascii="Calibri" w:eastAsia="Times New Roman" w:hAnsi="Calibri" w:cs="Calibri"/>
          <w:color w:val="000000"/>
          <w:lang w:val="en-GB" w:eastAsia="cs-CZ"/>
        </w:rPr>
        <w:t xml:space="preserve"> Czech</w:t>
      </w:r>
      <w:r w:rsidRPr="00177F0B">
        <w:rPr>
          <w:rFonts w:ascii="Calibri" w:eastAsia="Times New Roman" w:hAnsi="Calibri" w:cs="Calibri"/>
          <w:color w:val="000000"/>
          <w:lang w:val="en-GB" w:eastAsia="cs-CZ"/>
        </w:rPr>
        <w:t xml:space="preserve"> Republic</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in cooperation with representatives of the governing bodies and other partners and potential applicants and beneficiaries with regard to the views of a wide range of participants and reflection </w:t>
      </w:r>
      <w:r>
        <w:rPr>
          <w:rFonts w:ascii="Calibri" w:eastAsia="Times New Roman" w:hAnsi="Calibri" w:cs="Calibri"/>
          <w:color w:val="000000"/>
          <w:lang w:val="en-GB" w:eastAsia="cs-CZ"/>
        </w:rPr>
        <w:t>on the</w:t>
      </w:r>
      <w:r w:rsidRPr="00177F0B">
        <w:rPr>
          <w:rFonts w:ascii="Calibri" w:eastAsia="Times New Roman" w:hAnsi="Calibri" w:cs="Calibri"/>
          <w:color w:val="000000"/>
          <w:lang w:val="en-GB" w:eastAsia="cs-CZ"/>
        </w:rPr>
        <w:t xml:space="preserve"> experience from previous programming periods. Considerable emphasis is placed on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strengthening</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strategic </w:t>
      </w:r>
      <w:r>
        <w:rPr>
          <w:rFonts w:ascii="Calibri" w:eastAsia="Times New Roman" w:hAnsi="Calibri" w:cs="Calibri"/>
          <w:color w:val="000000"/>
          <w:lang w:val="en-GB" w:eastAsia="cs-CZ"/>
        </w:rPr>
        <w:t xml:space="preserve">planning, </w:t>
      </w:r>
      <w:r w:rsidRPr="00177F0B">
        <w:rPr>
          <w:rFonts w:ascii="Calibri" w:eastAsia="Times New Roman" w:hAnsi="Calibri" w:cs="Calibri"/>
          <w:color w:val="000000"/>
          <w:lang w:val="en-GB" w:eastAsia="cs-CZ"/>
        </w:rPr>
        <w:t>improve</w:t>
      </w:r>
      <w:r>
        <w:rPr>
          <w:rFonts w:ascii="Calibri" w:eastAsia="Times New Roman" w:hAnsi="Calibri" w:cs="Calibri"/>
          <w:color w:val="000000"/>
          <w:lang w:val="en-GB" w:eastAsia="cs-CZ"/>
        </w:rPr>
        <w:t>ment of</w:t>
      </w:r>
      <w:r w:rsidRPr="00177F0B">
        <w:rPr>
          <w:rFonts w:ascii="Calibri" w:eastAsia="Times New Roman" w:hAnsi="Calibri" w:cs="Calibri"/>
          <w:color w:val="000000"/>
          <w:lang w:val="en-GB" w:eastAsia="cs-CZ"/>
        </w:rPr>
        <w:t xml:space="preserve"> the efficiency of the management system, simplification, reduction of administrative burdens and </w:t>
      </w:r>
      <w:r>
        <w:rPr>
          <w:rFonts w:ascii="Calibri" w:eastAsia="Times New Roman" w:hAnsi="Calibri" w:cs="Calibri"/>
          <w:color w:val="000000"/>
          <w:lang w:val="en-GB" w:eastAsia="cs-CZ"/>
        </w:rPr>
        <w:t>on the</w:t>
      </w:r>
      <w:r w:rsidRPr="00177F0B">
        <w:rPr>
          <w:rFonts w:ascii="Calibri" w:eastAsia="Times New Roman" w:hAnsi="Calibri" w:cs="Calibri"/>
          <w:color w:val="000000"/>
          <w:lang w:val="en-GB" w:eastAsia="cs-CZ"/>
        </w:rPr>
        <w:t xml:space="preserve"> reinforce</w:t>
      </w:r>
      <w:r>
        <w:rPr>
          <w:rFonts w:ascii="Calibri" w:eastAsia="Times New Roman" w:hAnsi="Calibri" w:cs="Calibri"/>
          <w:color w:val="000000"/>
          <w:lang w:val="en-GB" w:eastAsia="cs-CZ"/>
        </w:rPr>
        <w:t>ment of</w:t>
      </w:r>
      <w:r w:rsidRPr="00177F0B">
        <w:rPr>
          <w:rFonts w:ascii="Calibri" w:eastAsia="Times New Roman" w:hAnsi="Calibri" w:cs="Calibri"/>
          <w:color w:val="000000"/>
          <w:lang w:val="en-GB" w:eastAsia="cs-CZ"/>
        </w:rPr>
        <w:t xml:space="preserve"> the importance of achieving the objectives and planned results.</w:t>
      </w:r>
      <w:r>
        <w:rPr>
          <w:rFonts w:ascii="Calibri" w:eastAsia="Times New Roman" w:hAnsi="Calibri" w:cs="Calibri"/>
          <w:color w:val="000000"/>
          <w:lang w:val="en-GB" w:eastAsia="cs-CZ"/>
        </w:rPr>
        <w:t xml:space="preserve"> </w:t>
      </w:r>
    </w:p>
    <w:p w:rsidR="00A904DE" w:rsidRPr="007A1B09" w:rsidRDefault="00A904DE" w:rsidP="00A904DE">
      <w:pPr>
        <w:rPr>
          <w:lang w:val="en-GB"/>
        </w:rPr>
      </w:pPr>
    </w:p>
    <w:p w:rsidR="00016306" w:rsidRPr="007A1B09" w:rsidRDefault="00000E3F" w:rsidP="00016306">
      <w:pPr>
        <w:pStyle w:val="Nadpis3"/>
        <w:numPr>
          <w:ilvl w:val="2"/>
          <w:numId w:val="4"/>
        </w:numPr>
        <w:ind w:left="851" w:hanging="851"/>
        <w:rPr>
          <w:lang w:val="en-GB"/>
        </w:rPr>
      </w:pPr>
      <w:bookmarkStart w:id="30" w:name="_Toc385946004"/>
      <w:r w:rsidRPr="00000E3F">
        <w:rPr>
          <w:bCs/>
          <w:lang w:val="en-GB"/>
        </w:rPr>
        <w:t>Procurement</w:t>
      </w:r>
      <w:bookmarkEnd w:id="30"/>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provide methodological support to contracting authorities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educational program</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be prepared in which the stakeholders will be provided with information about the Czech legal regulation of public procurement,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which not only theoretical but also practical and empirical interpretations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be provided and the </w:t>
      </w:r>
      <w:r>
        <w:rPr>
          <w:rFonts w:ascii="Calibri" w:eastAsia="Times New Roman" w:hAnsi="Calibri" w:cs="Calibri"/>
          <w:color w:val="000000"/>
          <w:lang w:val="en-GB" w:eastAsia="cs-CZ"/>
        </w:rPr>
        <w:t xml:space="preserve">decision-making practice of supervisory bodies will be </w:t>
      </w:r>
      <w:r w:rsidRPr="00177F0B">
        <w:rPr>
          <w:rFonts w:ascii="Calibri" w:eastAsia="Times New Roman" w:hAnsi="Calibri" w:cs="Calibri"/>
          <w:color w:val="000000"/>
          <w:lang w:val="en-GB" w:eastAsia="cs-CZ"/>
        </w:rPr>
        <w:t>reflected. This program will be</w:t>
      </w:r>
      <w:r>
        <w:rPr>
          <w:rFonts w:ascii="Calibri" w:eastAsia="Times New Roman" w:hAnsi="Calibri" w:cs="Calibri"/>
          <w:color w:val="000000"/>
          <w:lang w:val="en-GB" w:eastAsia="cs-CZ"/>
        </w:rPr>
        <w:t xml:space="preserve"> freely</w:t>
      </w:r>
      <w:r w:rsidRPr="00177F0B">
        <w:rPr>
          <w:rFonts w:ascii="Calibri" w:eastAsia="Times New Roman" w:hAnsi="Calibri" w:cs="Calibri"/>
          <w:color w:val="000000"/>
          <w:lang w:val="en-GB" w:eastAsia="cs-CZ"/>
        </w:rPr>
        <w:t xml:space="preserve"> available to all contracting entities and will take place across the board so that representatives of regional and local authorities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could participate.</w:t>
      </w:r>
      <w:r>
        <w:rPr>
          <w:rFonts w:ascii="Calibri" w:eastAsia="Times New Roman" w:hAnsi="Calibri" w:cs="Calibri"/>
          <w:color w:val="000000"/>
          <w:lang w:val="en-GB" w:eastAsia="cs-CZ"/>
        </w:rPr>
        <w:t xml:space="preserve"> </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Further support for authorities, including regional and local authorities should consist of increased emphasis on methodological activities. In connection with this methodological procedures should be published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award</w:t>
      </w:r>
      <w:r>
        <w:rPr>
          <w:rFonts w:ascii="Calibri" w:eastAsia="Times New Roman" w:hAnsi="Calibri" w:cs="Calibri"/>
          <w:color w:val="000000"/>
          <w:lang w:val="en-GB" w:eastAsia="cs-CZ"/>
        </w:rPr>
        <w:t>ing of public contracts and</w:t>
      </w:r>
      <w:r w:rsidRPr="00177F0B">
        <w:rPr>
          <w:rFonts w:ascii="Calibri" w:eastAsia="Times New Roman" w:hAnsi="Calibri" w:cs="Calibri"/>
          <w:color w:val="000000"/>
          <w:lang w:val="en-GB" w:eastAsia="cs-CZ"/>
        </w:rPr>
        <w:t xml:space="preserve"> specific problems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which the contracting authorities </w:t>
      </w:r>
      <w:r>
        <w:rPr>
          <w:rFonts w:ascii="Calibri" w:eastAsia="Times New Roman" w:hAnsi="Calibri" w:cs="Calibri"/>
          <w:color w:val="000000"/>
          <w:lang w:val="en-GB" w:eastAsia="cs-CZ"/>
        </w:rPr>
        <w:t>may face</w:t>
      </w:r>
      <w:r w:rsidRPr="00177F0B">
        <w:rPr>
          <w:rFonts w:ascii="Calibri" w:eastAsia="Times New Roman" w:hAnsi="Calibri" w:cs="Calibri"/>
          <w:color w:val="000000"/>
          <w:lang w:val="en-GB" w:eastAsia="cs-CZ"/>
        </w:rPr>
        <w:t xml:space="preserve"> and which </w:t>
      </w:r>
      <w:r>
        <w:rPr>
          <w:rFonts w:ascii="Calibri" w:eastAsia="Times New Roman" w:hAnsi="Calibri" w:cs="Calibri"/>
          <w:color w:val="000000"/>
          <w:lang w:val="en-GB" w:eastAsia="cs-CZ"/>
        </w:rPr>
        <w:t>they regularly face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should be analysed and solutions should be provided</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raining workshops and e-learning courses</w:t>
      </w:r>
      <w:r>
        <w:rPr>
          <w:rFonts w:ascii="Calibri" w:eastAsia="Times New Roman" w:hAnsi="Calibri" w:cs="Calibri"/>
          <w:color w:val="000000"/>
          <w:lang w:val="en-GB" w:eastAsia="cs-CZ"/>
        </w:rPr>
        <w:t xml:space="preserve"> will also be provided for both contacting authorities and suppliers</w:t>
      </w:r>
      <w:r w:rsidRPr="00177F0B">
        <w:rPr>
          <w:rFonts w:ascii="Calibri" w:eastAsia="Times New Roman" w:hAnsi="Calibri" w:cs="Calibri"/>
          <w:color w:val="000000"/>
          <w:lang w:val="en-GB" w:eastAsia="cs-CZ"/>
        </w:rPr>
        <w:t>. In addition, publication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will be prepared with practical procurement procedures.</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analysis of the existing legislation </w:t>
      </w:r>
      <w:r>
        <w:rPr>
          <w:rFonts w:ascii="Calibri" w:eastAsia="Times New Roman" w:hAnsi="Calibri" w:cs="Calibri"/>
          <w:color w:val="000000"/>
          <w:lang w:val="en-GB" w:eastAsia="cs-CZ"/>
        </w:rPr>
        <w:t>shows a few problem areas related</w:t>
      </w:r>
      <w:r w:rsidRPr="00177F0B">
        <w:rPr>
          <w:rFonts w:ascii="Calibri" w:eastAsia="Times New Roman" w:hAnsi="Calibri" w:cs="Calibri"/>
          <w:color w:val="000000"/>
          <w:lang w:val="en-GB" w:eastAsia="cs-CZ"/>
        </w:rPr>
        <w:t xml:space="preserve"> particularly</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difficult administration of public contracts and excessive burden </w:t>
      </w:r>
      <w:r>
        <w:rPr>
          <w:rFonts w:ascii="Calibri" w:eastAsia="Times New Roman" w:hAnsi="Calibri" w:cs="Calibri"/>
          <w:color w:val="000000"/>
          <w:lang w:val="en-GB" w:eastAsia="cs-CZ"/>
        </w:rPr>
        <w:t>for the contracting authorities</w:t>
      </w:r>
      <w:r w:rsidRPr="00177F0B">
        <w:rPr>
          <w:rFonts w:ascii="Calibri" w:eastAsia="Times New Roman" w:hAnsi="Calibri" w:cs="Calibri"/>
          <w:color w:val="000000"/>
          <w:lang w:val="en-GB" w:eastAsia="cs-CZ"/>
        </w:rPr>
        <w:t xml:space="preserve"> at the regional and municipal levels.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n relation to this</w:t>
      </w:r>
      <w:r w:rsidRPr="00FA703A">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 September 2013</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 g</w:t>
      </w:r>
      <w:r w:rsidRPr="00177F0B">
        <w:rPr>
          <w:rFonts w:ascii="Calibri" w:eastAsia="Times New Roman" w:hAnsi="Calibri" w:cs="Calibri"/>
          <w:color w:val="000000"/>
          <w:lang w:val="en-GB" w:eastAsia="cs-CZ"/>
        </w:rPr>
        <w:t xml:space="preserve">overnment presented as the </w:t>
      </w:r>
      <w:r>
        <w:rPr>
          <w:rFonts w:ascii="Calibri" w:eastAsia="Times New Roman" w:hAnsi="Calibri" w:cs="Calibri"/>
          <w:color w:val="000000"/>
          <w:lang w:val="en-GB" w:eastAsia="cs-CZ"/>
        </w:rPr>
        <w:t>so-called legal measure</w:t>
      </w:r>
      <w:r w:rsidRPr="00177F0B">
        <w:rPr>
          <w:rFonts w:ascii="Calibri" w:eastAsia="Times New Roman" w:hAnsi="Calibri" w:cs="Calibri"/>
          <w:color w:val="000000"/>
          <w:lang w:val="en-GB" w:eastAsia="cs-CZ"/>
        </w:rPr>
        <w:t xml:space="preserve"> of the Senate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amendment to Act No. 137/2006 Coll., On Public Procurement, as amended, which was approved by the Senate on 10</w:t>
      </w:r>
      <w:r w:rsidRPr="00FA703A">
        <w:rPr>
          <w:rFonts w:ascii="Calibri" w:eastAsia="Times New Roman" w:hAnsi="Calibri" w:cs="Calibri"/>
          <w:color w:val="000000"/>
          <w:vertAlign w:val="superscript"/>
          <w:lang w:val="en-GB" w:eastAsia="cs-CZ"/>
        </w:rPr>
        <w:t>th</w:t>
      </w:r>
      <w:r w:rsidRPr="00177F0B">
        <w:rPr>
          <w:rFonts w:ascii="Calibri" w:eastAsia="Times New Roman" w:hAnsi="Calibri" w:cs="Calibri"/>
          <w:color w:val="000000"/>
          <w:lang w:val="en-GB" w:eastAsia="cs-CZ"/>
        </w:rPr>
        <w:t xml:space="preserve"> October  2013 and </w:t>
      </w:r>
      <w:r>
        <w:rPr>
          <w:rFonts w:ascii="Calibri" w:eastAsia="Times New Roman" w:hAnsi="Calibri" w:cs="Calibri"/>
          <w:color w:val="000000"/>
          <w:lang w:val="en-GB" w:eastAsia="cs-CZ"/>
        </w:rPr>
        <w:t>came into force 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1</w:t>
      </w:r>
      <w:r w:rsidRPr="00FA703A">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 This should help to ensure adequate procurement capacity at local and regional level.</w:t>
      </w:r>
    </w:p>
    <w:p w:rsidR="00000E3F" w:rsidRPr="00177F0B" w:rsidRDefault="00000E3F" w:rsidP="00000E3F">
      <w:pPr>
        <w:rPr>
          <w:rFonts w:ascii="Calibri" w:eastAsia="Times New Roman" w:hAnsi="Calibri" w:cs="Calibri"/>
          <w:color w:val="000000"/>
          <w:lang w:val="en-GB" w:eastAsia="cs-CZ"/>
        </w:rPr>
      </w:pPr>
      <w:r>
        <w:rPr>
          <w:rFonts w:ascii="Calibri" w:eastAsia="Times New Roman" w:hAnsi="Calibri" w:cs="Calibri"/>
          <w:color w:val="000000"/>
          <w:lang w:val="en-GB" w:eastAsia="cs-CZ"/>
        </w:rPr>
        <w:t>The Czech Republic</w:t>
      </w:r>
      <w:r w:rsidRPr="00177F0B">
        <w:rPr>
          <w:rFonts w:ascii="Calibri" w:eastAsia="Times New Roman" w:hAnsi="Calibri" w:cs="Calibri"/>
          <w:color w:val="000000"/>
          <w:lang w:val="en-GB" w:eastAsia="cs-CZ"/>
        </w:rPr>
        <w:t xml:space="preserve"> is also actively involved in the legislative process in connection with the</w:t>
      </w:r>
      <w:r>
        <w:rPr>
          <w:rFonts w:ascii="Calibri" w:eastAsia="Times New Roman" w:hAnsi="Calibri" w:cs="Calibri"/>
          <w:color w:val="000000"/>
          <w:lang w:val="en-GB" w:eastAsia="cs-CZ"/>
        </w:rPr>
        <w:t xml:space="preserve"> so-called procurement directives package</w:t>
      </w:r>
      <w:r>
        <w:rPr>
          <w:rStyle w:val="Znakapoznpodarou"/>
          <w:rFonts w:ascii="Calibri" w:eastAsia="Times New Roman" w:hAnsi="Calibri" w:cs="Calibri"/>
          <w:color w:val="000000"/>
          <w:lang w:val="en-GB" w:eastAsia="cs-CZ"/>
        </w:rPr>
        <w:footnoteReference w:id="9"/>
      </w:r>
      <w:r w:rsidRPr="00177F0B">
        <w:rPr>
          <w:rFonts w:ascii="Calibri" w:eastAsia="Times New Roman" w:hAnsi="Calibri" w:cs="Calibri"/>
          <w:color w:val="000000"/>
          <w:lang w:val="en-GB" w:eastAsia="cs-CZ"/>
        </w:rPr>
        <w:t> , which</w:t>
      </w:r>
      <w:r>
        <w:rPr>
          <w:rFonts w:ascii="Calibri" w:eastAsia="Times New Roman" w:hAnsi="Calibri" w:cs="Calibri"/>
          <w:color w:val="000000"/>
          <w:lang w:val="en-GB" w:eastAsia="cs-CZ"/>
        </w:rPr>
        <w:t xml:space="preserve"> it</w:t>
      </w:r>
      <w:r w:rsidRPr="00177F0B">
        <w:rPr>
          <w:rFonts w:ascii="Calibri" w:eastAsia="Times New Roman" w:hAnsi="Calibri" w:cs="Calibri"/>
          <w:color w:val="000000"/>
          <w:lang w:val="en-GB" w:eastAsia="cs-CZ"/>
        </w:rPr>
        <w:t xml:space="preserve"> is ready to transpose into its national legislation.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Following the European legislation the government is preparing a new law on public procurement. </w:t>
      </w:r>
      <w:r>
        <w:rPr>
          <w:rFonts w:ascii="Calibri" w:eastAsia="Times New Roman" w:hAnsi="Calibri" w:cs="Calibri"/>
          <w:color w:val="000000"/>
          <w:lang w:val="en-GB" w:eastAsia="cs-CZ"/>
        </w:rPr>
        <w:t>The e</w:t>
      </w:r>
      <w:r w:rsidRPr="00177F0B">
        <w:rPr>
          <w:rFonts w:ascii="Calibri" w:eastAsia="Times New Roman" w:hAnsi="Calibri" w:cs="Calibri"/>
          <w:color w:val="000000"/>
          <w:lang w:val="en-GB" w:eastAsia="cs-CZ"/>
        </w:rPr>
        <w:t xml:space="preserve">mphasis is </w:t>
      </w:r>
      <w:r>
        <w:rPr>
          <w:rFonts w:ascii="Calibri" w:eastAsia="Times New Roman" w:hAnsi="Calibri" w:cs="Calibri"/>
          <w:color w:val="000000"/>
          <w:lang w:val="en-GB" w:eastAsia="cs-CZ"/>
        </w:rPr>
        <w:t>that the</w:t>
      </w:r>
      <w:r w:rsidRPr="00177F0B">
        <w:rPr>
          <w:rFonts w:ascii="Calibri" w:eastAsia="Times New Roman" w:hAnsi="Calibri" w:cs="Calibri"/>
          <w:color w:val="000000"/>
          <w:lang w:val="en-GB" w:eastAsia="cs-CZ"/>
        </w:rPr>
        <w:t xml:space="preserve"> set procedures </w:t>
      </w:r>
      <w:r>
        <w:rPr>
          <w:rFonts w:ascii="Calibri" w:eastAsia="Times New Roman" w:hAnsi="Calibri" w:cs="Calibri"/>
          <w:color w:val="000000"/>
          <w:lang w:val="en-GB" w:eastAsia="cs-CZ"/>
        </w:rPr>
        <w:t>are</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as littl</w:t>
      </w:r>
      <w:r w:rsidRPr="00177F0B">
        <w:rPr>
          <w:rFonts w:ascii="Calibri" w:eastAsia="Times New Roman" w:hAnsi="Calibri" w:cs="Calibri"/>
          <w:color w:val="000000"/>
          <w:lang w:val="en-GB" w:eastAsia="cs-CZ"/>
        </w:rPr>
        <w:t>e administrative and application-consuming</w:t>
      </w:r>
      <w:r>
        <w:rPr>
          <w:rFonts w:ascii="Calibri" w:eastAsia="Times New Roman" w:hAnsi="Calibri" w:cs="Calibri"/>
          <w:color w:val="000000"/>
          <w:lang w:val="en-GB" w:eastAsia="cs-CZ"/>
        </w:rPr>
        <w:t xml:space="preserve"> as possible</w:t>
      </w:r>
      <w:r w:rsidRPr="00177F0B">
        <w:rPr>
          <w:rFonts w:ascii="Calibri" w:eastAsia="Times New Roman" w:hAnsi="Calibri" w:cs="Calibri"/>
          <w:color w:val="000000"/>
          <w:lang w:val="en-GB" w:eastAsia="cs-CZ"/>
        </w:rPr>
        <w:t xml:space="preserve">, but also in harmony with the fundamental principles of public procurement, i.e. the principle of equal treatment, non-discrimination, transparency and </w:t>
      </w:r>
      <w:r>
        <w:rPr>
          <w:rFonts w:ascii="Calibri" w:eastAsia="Times New Roman" w:hAnsi="Calibri" w:cs="Calibri"/>
          <w:color w:val="000000"/>
          <w:lang w:val="en-GB" w:eastAsia="cs-CZ"/>
        </w:rPr>
        <w:t>newly</w:t>
      </w:r>
      <w:r w:rsidRPr="00177F0B">
        <w:rPr>
          <w:rFonts w:ascii="Calibri" w:eastAsia="Times New Roman" w:hAnsi="Calibri" w:cs="Calibri"/>
          <w:color w:val="000000"/>
          <w:lang w:val="en-GB" w:eastAsia="cs-CZ"/>
        </w:rPr>
        <w:t xml:space="preserve"> also of proportionality.</w:t>
      </w:r>
    </w:p>
    <w:p w:rsidR="00322122" w:rsidRPr="007A1B09" w:rsidRDefault="00322122" w:rsidP="00322122">
      <w:pPr>
        <w:rPr>
          <w:lang w:val="en-GB"/>
        </w:rPr>
      </w:pPr>
    </w:p>
    <w:p w:rsidR="00821331" w:rsidRPr="007A1B09" w:rsidRDefault="00000E3F" w:rsidP="00821331">
      <w:pPr>
        <w:pStyle w:val="Nadpis2"/>
        <w:numPr>
          <w:ilvl w:val="1"/>
          <w:numId w:val="4"/>
        </w:numPr>
        <w:ind w:left="851" w:hanging="851"/>
        <w:rPr>
          <w:lang w:val="en-GB"/>
        </w:rPr>
      </w:pPr>
      <w:bookmarkStart w:id="31" w:name="_Toc385946005"/>
      <w:r w:rsidRPr="00000E3F">
        <w:rPr>
          <w:bCs/>
          <w:lang w:val="en-GB"/>
        </w:rPr>
        <w:t>The quality of education and the funding of research instit</w:t>
      </w:r>
      <w:r w:rsidRPr="00000E3F">
        <w:rPr>
          <w:bCs/>
          <w:lang w:val="en-GB"/>
        </w:rPr>
        <w:t>u</w:t>
      </w:r>
      <w:r w:rsidRPr="00000E3F">
        <w:rPr>
          <w:bCs/>
          <w:lang w:val="en-GB"/>
        </w:rPr>
        <w:t>tions</w:t>
      </w:r>
      <w:bookmarkEnd w:id="31"/>
    </w:p>
    <w:p w:rsidR="00821331" w:rsidRPr="007A1B09" w:rsidRDefault="00000E3F" w:rsidP="00821331">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177F0B">
        <w:rPr>
          <w:rFonts w:ascii="Calibri" w:eastAsia="Times New Roman" w:hAnsi="Calibri" w:cs="Calibri"/>
          <w:b/>
          <w:bCs/>
          <w:color w:val="9B2D1F"/>
          <w:lang w:val="en-GB" w:eastAsia="cs-CZ"/>
        </w:rPr>
        <w:t>Council Recommendation</w:t>
      </w:r>
      <w:r>
        <w:rPr>
          <w:rFonts w:ascii="Calibri" w:eastAsia="Times New Roman" w:hAnsi="Calibri" w:cs="Calibri"/>
          <w:b/>
          <w:bCs/>
          <w:color w:val="9B2D1F"/>
          <w:lang w:val="en-GB" w:eastAsia="cs-CZ"/>
        </w:rPr>
        <w:t xml:space="preserve"> No.</w:t>
      </w:r>
      <w:r w:rsidRPr="00177F0B">
        <w:rPr>
          <w:rFonts w:ascii="Calibri" w:eastAsia="Times New Roman" w:hAnsi="Calibri" w:cs="Calibri"/>
          <w:b/>
          <w:bCs/>
          <w:color w:val="9B2D1F"/>
          <w:lang w:val="en-GB" w:eastAsia="cs-CZ"/>
        </w:rPr>
        <w:t xml:space="preserve"> 6</w:t>
      </w:r>
      <w:r w:rsidR="00821331" w:rsidRPr="007A1B09">
        <w:rPr>
          <w:b/>
          <w:color w:val="9B2D1F" w:themeColor="accent2"/>
          <w:lang w:val="en-GB"/>
        </w:rPr>
        <w:t>:</w:t>
      </w:r>
      <w:r w:rsidR="00821331" w:rsidRPr="007A1B09">
        <w:rPr>
          <w:lang w:val="en-GB"/>
        </w:rPr>
        <w:t xml:space="preserve"> </w:t>
      </w:r>
      <w:r w:rsidRPr="00000E3F">
        <w:rPr>
          <w:color w:val="D41616"/>
          <w:lang w:val="en-GB"/>
        </w:rPr>
        <w:t>Establish a comprehensive evaluation framework in compulsory education and take targeted measures to support schools that rank low in educational outcomes. Adopt measures to enhance accreditation and funding of higher education. Increase the share of performance-based funding of research institutions</w:t>
      </w:r>
      <w:r w:rsidR="00CB4953" w:rsidRPr="007A1B09">
        <w:rPr>
          <w:color w:val="D41616"/>
          <w:lang w:val="en-GB"/>
        </w:rPr>
        <w:t>.</w:t>
      </w:r>
    </w:p>
    <w:p w:rsidR="003237CF" w:rsidRPr="007A1B09" w:rsidRDefault="00000E3F" w:rsidP="003237CF">
      <w:pPr>
        <w:pStyle w:val="Nadpis3"/>
        <w:numPr>
          <w:ilvl w:val="2"/>
          <w:numId w:val="4"/>
        </w:numPr>
        <w:ind w:left="851" w:hanging="851"/>
        <w:rPr>
          <w:lang w:val="en-GB"/>
        </w:rPr>
      </w:pPr>
      <w:bookmarkStart w:id="32" w:name="_Toc385946006"/>
      <w:r w:rsidRPr="00000E3F">
        <w:rPr>
          <w:bCs/>
          <w:lang w:val="en-GB"/>
        </w:rPr>
        <w:lastRenderedPageBreak/>
        <w:t>Evaluation of education in primary schools</w:t>
      </w:r>
      <w:bookmarkEnd w:id="32"/>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acc</w:t>
      </w:r>
      <w:r>
        <w:rPr>
          <w:rFonts w:ascii="Calibri" w:eastAsia="Times New Roman" w:hAnsi="Calibri" w:cs="Calibri"/>
          <w:color w:val="000000"/>
          <w:lang w:val="en-GB" w:eastAsia="cs-CZ"/>
        </w:rPr>
        <w:t xml:space="preserve">ordance with the recommendation </w:t>
      </w:r>
      <w:r w:rsidRPr="00177F0B">
        <w:rPr>
          <w:rFonts w:ascii="Calibri" w:eastAsia="Times New Roman" w:hAnsi="Calibri" w:cs="Calibri"/>
          <w:color w:val="000000"/>
          <w:lang w:val="en-GB" w:eastAsia="cs-CZ"/>
        </w:rPr>
        <w:t>the possibility of introducing computer-based testing</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is </w:t>
      </w:r>
      <w:r>
        <w:rPr>
          <w:rFonts w:ascii="Calibri" w:eastAsia="Times New Roman" w:hAnsi="Calibri" w:cs="Calibri"/>
          <w:color w:val="000000"/>
          <w:lang w:val="en-GB" w:eastAsia="cs-CZ"/>
        </w:rPr>
        <w:t>being tested</w:t>
      </w:r>
      <w:r w:rsidRPr="00177F0B">
        <w:rPr>
          <w:rFonts w:ascii="Calibri" w:eastAsia="Times New Roman" w:hAnsi="Calibri" w:cs="Calibri"/>
          <w:color w:val="000000"/>
          <w:lang w:val="en-GB" w:eastAsia="cs-CZ"/>
        </w:rPr>
        <w:t xml:space="preserve"> in the context of </w:t>
      </w:r>
      <w:r>
        <w:rPr>
          <w:rFonts w:ascii="Calibri" w:eastAsia="Times New Roman" w:hAnsi="Calibri" w:cs="Calibri"/>
          <w:b/>
          <w:bCs/>
          <w:color w:val="000000"/>
          <w:lang w:val="en-GB" w:eastAsia="cs-CZ"/>
        </w:rPr>
        <w:t>survey of</w:t>
      </w:r>
      <w:r w:rsidRPr="00177F0B">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study results</w:t>
      </w:r>
      <w:r w:rsidRPr="00177F0B">
        <w:rPr>
          <w:rFonts w:ascii="Calibri" w:eastAsia="Times New Roman" w:hAnsi="Calibri" w:cs="Calibri"/>
          <w:b/>
          <w:bCs/>
          <w:color w:val="000000"/>
          <w:lang w:val="en-GB" w:eastAsia="cs-CZ"/>
        </w:rPr>
        <w:t xml:space="preserve"> of students in 5th and 9</w:t>
      </w:r>
      <w:r w:rsidRPr="00BF279E">
        <w:rPr>
          <w:rFonts w:ascii="Calibri" w:eastAsia="Times New Roman" w:hAnsi="Calibri" w:cs="Calibri"/>
          <w:b/>
          <w:bCs/>
          <w:color w:val="000000"/>
          <w:vertAlign w:val="superscript"/>
          <w:lang w:val="en-GB" w:eastAsia="cs-CZ"/>
        </w:rPr>
        <w:t>th</w:t>
      </w:r>
      <w:r>
        <w:rPr>
          <w:rFonts w:ascii="Calibri" w:eastAsia="Times New Roman" w:hAnsi="Calibri" w:cs="Calibri"/>
          <w:b/>
          <w:bCs/>
          <w:color w:val="000000"/>
          <w:lang w:val="en-GB" w:eastAsia="cs-CZ"/>
        </w:rPr>
        <w:t xml:space="preserve"> grades</w:t>
      </w:r>
      <w:r w:rsidRPr="00177F0B">
        <w:rPr>
          <w:rFonts w:ascii="Calibri" w:eastAsia="Times New Roman" w:hAnsi="Calibri" w:cs="Calibri"/>
          <w:color w:val="000000"/>
          <w:lang w:val="en-GB" w:eastAsia="cs-CZ"/>
        </w:rPr>
        <w:t xml:space="preserve">. The measure would provide faster and more reliable electronic testing and processing of data, allowing for </w:t>
      </w:r>
      <w:r>
        <w:rPr>
          <w:rFonts w:ascii="Calibri" w:eastAsia="Times New Roman" w:hAnsi="Calibri" w:cs="Calibri"/>
          <w:color w:val="000000"/>
          <w:lang w:val="en-GB" w:eastAsia="cs-CZ"/>
        </w:rPr>
        <w:t xml:space="preserve">fast </w:t>
      </w:r>
      <w:r w:rsidRPr="00177F0B">
        <w:rPr>
          <w:rFonts w:ascii="Calibri" w:eastAsia="Times New Roman" w:hAnsi="Calibri" w:cs="Calibri"/>
          <w:color w:val="000000"/>
          <w:lang w:val="en-GB" w:eastAsia="cs-CZ"/>
        </w:rPr>
        <w:t xml:space="preserve">targeted support to help schools in which pupils are below the required minimum, </w:t>
      </w:r>
      <w:r>
        <w:rPr>
          <w:rFonts w:ascii="Calibri" w:eastAsia="Times New Roman" w:hAnsi="Calibri" w:cs="Calibri"/>
          <w:color w:val="000000"/>
          <w:lang w:val="en-GB" w:eastAsia="cs-CZ"/>
        </w:rPr>
        <w:t>at the national</w:t>
      </w:r>
      <w:r w:rsidRPr="00177F0B">
        <w:rPr>
          <w:rFonts w:ascii="Calibri" w:eastAsia="Times New Roman" w:hAnsi="Calibri" w:cs="Calibri"/>
          <w:color w:val="000000"/>
          <w:lang w:val="en-GB" w:eastAsia="cs-CZ"/>
        </w:rPr>
        <w:t>, founder and</w:t>
      </w:r>
      <w:r>
        <w:rPr>
          <w:rFonts w:ascii="Calibri" w:eastAsia="Times New Roman" w:hAnsi="Calibri" w:cs="Calibri"/>
          <w:color w:val="000000"/>
          <w:lang w:val="en-GB" w:eastAsia="cs-CZ"/>
        </w:rPr>
        <w:t xml:space="preserve"> individual</w:t>
      </w:r>
      <w:r w:rsidRPr="00177F0B">
        <w:rPr>
          <w:rFonts w:ascii="Calibri" w:eastAsia="Times New Roman" w:hAnsi="Calibri" w:cs="Calibri"/>
          <w:color w:val="000000"/>
          <w:lang w:val="en-GB" w:eastAsia="cs-CZ"/>
        </w:rPr>
        <w:t xml:space="preserve"> school</w:t>
      </w:r>
      <w:r>
        <w:rPr>
          <w:rFonts w:ascii="Calibri" w:eastAsia="Times New Roman" w:hAnsi="Calibri" w:cs="Calibri"/>
          <w:color w:val="000000"/>
          <w:lang w:val="en-GB" w:eastAsia="cs-CZ"/>
        </w:rPr>
        <w:t xml:space="preserve"> level</w:t>
      </w:r>
      <w:r w:rsidRPr="00177F0B">
        <w:rPr>
          <w:rFonts w:ascii="Calibri" w:eastAsia="Times New Roman" w:hAnsi="Calibri" w:cs="Calibri"/>
          <w:color w:val="000000"/>
          <w:lang w:val="en-GB" w:eastAsia="cs-CZ"/>
        </w:rPr>
        <w:t>.</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Both nationwide general </w:t>
      </w:r>
      <w:r>
        <w:rPr>
          <w:rFonts w:ascii="Calibri" w:eastAsia="Times New Roman" w:hAnsi="Calibri" w:cs="Calibri"/>
          <w:color w:val="000000"/>
          <w:lang w:val="en-GB" w:eastAsia="cs-CZ"/>
        </w:rPr>
        <w:t>tests of</w:t>
      </w:r>
      <w:r w:rsidRPr="00177F0B">
        <w:rPr>
          <w:rFonts w:ascii="Calibri" w:eastAsia="Times New Roman" w:hAnsi="Calibri" w:cs="Calibri"/>
          <w:color w:val="000000"/>
          <w:lang w:val="en-GB" w:eastAsia="cs-CZ"/>
        </w:rPr>
        <w:t xml:space="preserve"> electronic verification of the results of students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initial education</w:t>
      </w:r>
      <w:r>
        <w:rPr>
          <w:rFonts w:ascii="Calibri" w:eastAsia="Times New Roman" w:hAnsi="Calibri" w:cs="Calibri"/>
          <w:color w:val="000000"/>
          <w:lang w:val="en-GB" w:eastAsia="cs-CZ"/>
        </w:rPr>
        <w:t xml:space="preserve"> phase</w:t>
      </w:r>
      <w:r w:rsidRPr="00177F0B">
        <w:rPr>
          <w:rFonts w:ascii="Calibri" w:eastAsia="Times New Roman" w:hAnsi="Calibri" w:cs="Calibri"/>
          <w:color w:val="000000"/>
          <w:lang w:val="en-GB" w:eastAsia="cs-CZ"/>
        </w:rPr>
        <w:t xml:space="preserve"> clearly show that this approach to external evaluation is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very comfortable and modern method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essential benefits for all </w:t>
      </w:r>
      <w:r>
        <w:rPr>
          <w:rFonts w:ascii="Calibri" w:eastAsia="Times New Roman" w:hAnsi="Calibri" w:cs="Calibri"/>
          <w:color w:val="000000"/>
          <w:lang w:val="en-GB" w:eastAsia="cs-CZ"/>
        </w:rPr>
        <w:t>parties</w:t>
      </w:r>
      <w:r w:rsidRPr="00177F0B">
        <w:rPr>
          <w:rFonts w:ascii="Calibri" w:eastAsia="Times New Roman" w:hAnsi="Calibri" w:cs="Calibri"/>
          <w:color w:val="000000"/>
          <w:lang w:val="en-GB" w:eastAsia="cs-CZ"/>
        </w:rPr>
        <w:t xml:space="preserve"> in the educational process, and in accordance with the recommen</w:t>
      </w:r>
      <w:r w:rsidRPr="00177F0B">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ed principles has significant potential to contribute to the improvement of education in the Czech Republic.</w:t>
      </w:r>
    </w:p>
    <w:p w:rsidR="008265B2" w:rsidRPr="00000E3F" w:rsidRDefault="00000E3F" w:rsidP="00701067">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Testing of </w:t>
      </w:r>
      <w:r>
        <w:rPr>
          <w:rFonts w:ascii="Calibri" w:eastAsia="Times New Roman" w:hAnsi="Calibri" w:cs="Calibri"/>
          <w:color w:val="000000"/>
          <w:lang w:val="en-GB" w:eastAsia="cs-CZ"/>
        </w:rPr>
        <w:t>the results</w:t>
      </w:r>
      <w:r w:rsidRPr="00177F0B">
        <w:rPr>
          <w:rFonts w:ascii="Calibri" w:eastAsia="Times New Roman" w:hAnsi="Calibri" w:cs="Calibri"/>
          <w:color w:val="000000"/>
          <w:lang w:val="en-GB" w:eastAsia="cs-CZ"/>
        </w:rPr>
        <w:t xml:space="preserve"> of the 5th and 9th grades will take the form of surveys of the Czech School Inspectorate. This tool is already av</w:t>
      </w:r>
      <w:r>
        <w:rPr>
          <w:rFonts w:ascii="Calibri" w:eastAsia="Times New Roman" w:hAnsi="Calibri" w:cs="Calibri"/>
          <w:color w:val="000000"/>
          <w:lang w:val="en-GB" w:eastAsia="cs-CZ"/>
        </w:rPr>
        <w:t>ailable to schools and students</w:t>
      </w:r>
      <w:r w:rsidRPr="00177F0B">
        <w:rPr>
          <w:rFonts w:ascii="Calibri" w:eastAsia="Times New Roman" w:hAnsi="Calibri" w:cs="Calibri"/>
          <w:color w:val="000000"/>
          <w:lang w:val="en-GB" w:eastAsia="cs-CZ"/>
        </w:rPr>
        <w:t xml:space="preserve"> and also for the needs of home testing.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Czech School Inspectorate </w:t>
      </w:r>
      <w:r>
        <w:rPr>
          <w:rFonts w:ascii="Calibri" w:eastAsia="Times New Roman" w:hAnsi="Calibri" w:cs="Calibri"/>
          <w:color w:val="000000"/>
          <w:lang w:val="en-GB" w:eastAsia="cs-CZ"/>
        </w:rPr>
        <w:t xml:space="preserve">will be using </w:t>
      </w:r>
      <w:r w:rsidRPr="00177F0B">
        <w:rPr>
          <w:rFonts w:ascii="Calibri" w:eastAsia="Times New Roman" w:hAnsi="Calibri" w:cs="Calibri"/>
          <w:color w:val="000000"/>
          <w:lang w:val="en-GB" w:eastAsia="cs-CZ"/>
        </w:rPr>
        <w:t>this tool</w:t>
      </w:r>
      <w:r>
        <w:rPr>
          <w:rFonts w:ascii="Calibri" w:eastAsia="Times New Roman" w:hAnsi="Calibri" w:cs="Calibri"/>
          <w:color w:val="000000"/>
          <w:lang w:val="en-GB" w:eastAsia="cs-CZ"/>
        </w:rPr>
        <w:t xml:space="preserve"> to its fullest</w:t>
      </w:r>
      <w:r w:rsidRPr="00177F0B">
        <w:rPr>
          <w:rFonts w:ascii="Calibri" w:eastAsia="Times New Roman" w:hAnsi="Calibri" w:cs="Calibri"/>
          <w:color w:val="000000"/>
          <w:lang w:val="en-GB" w:eastAsia="cs-CZ"/>
        </w:rPr>
        <w:t xml:space="preserve"> for assessing the quali</w:t>
      </w:r>
      <w:r>
        <w:rPr>
          <w:rFonts w:ascii="Calibri" w:eastAsia="Times New Roman" w:hAnsi="Calibri" w:cs="Calibri"/>
          <w:color w:val="000000"/>
          <w:lang w:val="en-GB" w:eastAsia="cs-CZ"/>
        </w:rPr>
        <w:t>ty of education across schools.</w:t>
      </w:r>
    </w:p>
    <w:p w:rsidR="00E0309A" w:rsidRPr="007A1B09" w:rsidRDefault="00000E3F" w:rsidP="00E0309A">
      <w:pPr>
        <w:pStyle w:val="Nadpis3"/>
        <w:numPr>
          <w:ilvl w:val="2"/>
          <w:numId w:val="4"/>
        </w:numPr>
        <w:ind w:left="851" w:hanging="851"/>
        <w:rPr>
          <w:lang w:val="en-GB"/>
        </w:rPr>
      </w:pPr>
      <w:bookmarkStart w:id="33" w:name="_Toc385946007"/>
      <w:r w:rsidRPr="00000E3F">
        <w:rPr>
          <w:bCs/>
          <w:lang w:val="en-GB"/>
        </w:rPr>
        <w:t>Accreditation and university funding</w:t>
      </w:r>
      <w:bookmarkEnd w:id="33"/>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 major step in the field of higher education is </w:t>
      </w:r>
      <w:r>
        <w:rPr>
          <w:rFonts w:ascii="Calibri" w:eastAsia="Times New Roman" w:hAnsi="Calibri" w:cs="Calibri"/>
          <w:b/>
          <w:bCs/>
          <w:color w:val="000000"/>
          <w:lang w:val="en-GB" w:eastAsia="cs-CZ"/>
        </w:rPr>
        <w:t>the</w:t>
      </w:r>
      <w:r w:rsidRPr="00177F0B">
        <w:rPr>
          <w:rFonts w:ascii="Calibri" w:eastAsia="Times New Roman" w:hAnsi="Calibri" w:cs="Calibri"/>
          <w:b/>
          <w:bCs/>
          <w:color w:val="000000"/>
          <w:lang w:val="en-GB" w:eastAsia="cs-CZ"/>
        </w:rPr>
        <w:t xml:space="preserve"> amendment to Act No. 111/1998 Coll.,</w:t>
      </w:r>
      <w:r w:rsidRPr="00177F0B">
        <w:rPr>
          <w:rFonts w:ascii="Calibri" w:eastAsia="Times New Roman" w:hAnsi="Calibri" w:cs="Calibri"/>
          <w:color w:val="000000"/>
          <w:lang w:val="en-GB" w:eastAsia="cs-CZ"/>
        </w:rPr>
        <w:t xml:space="preserve"> on </w:t>
      </w:r>
      <w:r>
        <w:rPr>
          <w:rFonts w:ascii="Calibri" w:eastAsia="Times New Roman" w:hAnsi="Calibri" w:cs="Calibri"/>
          <w:color w:val="000000"/>
          <w:lang w:val="en-GB" w:eastAsia="cs-CZ"/>
        </w:rPr>
        <w:t>U</w:t>
      </w:r>
      <w:r w:rsidRPr="00177F0B">
        <w:rPr>
          <w:rFonts w:ascii="Calibri" w:eastAsia="Times New Roman" w:hAnsi="Calibri" w:cs="Calibri"/>
          <w:color w:val="000000"/>
          <w:lang w:val="en-GB" w:eastAsia="cs-CZ"/>
        </w:rPr>
        <w:t>niversities and amending other Acts (Higher Education Act). The main areas which will be impacted are mainly accreditation and quality assurance. </w:t>
      </w:r>
      <w:r>
        <w:rPr>
          <w:rFonts w:ascii="Calibri" w:eastAsia="Times New Roman" w:hAnsi="Calibri" w:cs="Calibri"/>
          <w:color w:val="000000"/>
          <w:lang w:val="en-GB" w:eastAsia="cs-CZ"/>
        </w:rPr>
        <w:t>The e</w:t>
      </w:r>
      <w:r w:rsidRPr="00177F0B">
        <w:rPr>
          <w:rFonts w:ascii="Calibri" w:eastAsia="Times New Roman" w:hAnsi="Calibri" w:cs="Calibri"/>
          <w:color w:val="000000"/>
          <w:lang w:val="en-GB" w:eastAsia="cs-CZ"/>
        </w:rPr>
        <w:t>xpected date of submission to the Government i</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September 2014.</w:t>
      </w:r>
    </w:p>
    <w:p w:rsidR="00CF745F" w:rsidRPr="007A1B09" w:rsidRDefault="00000E3F" w:rsidP="00000E3F">
      <w:pPr>
        <w:rPr>
          <w:lang w:val="en-GB"/>
        </w:rPr>
      </w:pPr>
      <w:r w:rsidRPr="00177F0B">
        <w:rPr>
          <w:rFonts w:ascii="Calibri" w:eastAsia="Times New Roman" w:hAnsi="Calibri" w:cs="Calibri"/>
          <w:color w:val="000000"/>
          <w:lang w:val="en-GB" w:eastAsia="cs-CZ"/>
        </w:rPr>
        <w:t xml:space="preserve">The accreditation </w:t>
      </w:r>
      <w:r>
        <w:rPr>
          <w:rFonts w:ascii="Calibri" w:eastAsia="Times New Roman" w:hAnsi="Calibri" w:cs="Calibri"/>
          <w:color w:val="000000"/>
          <w:lang w:val="en-GB" w:eastAsia="cs-CZ"/>
        </w:rPr>
        <w:t>process regulated by the amendment</w:t>
      </w:r>
      <w:r w:rsidRPr="00177F0B">
        <w:rPr>
          <w:rFonts w:ascii="Calibri" w:eastAsia="Times New Roman" w:hAnsi="Calibri" w:cs="Calibri"/>
          <w:color w:val="000000"/>
          <w:lang w:val="en-GB" w:eastAsia="cs-CZ"/>
        </w:rPr>
        <w:t xml:space="preserve"> should be based on evaluation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activities in accordance with established standards taking into account the different profiles of </w:t>
      </w:r>
      <w:r>
        <w:rPr>
          <w:rFonts w:ascii="Calibri" w:eastAsia="Times New Roman" w:hAnsi="Calibri" w:cs="Calibri"/>
          <w:color w:val="000000"/>
          <w:lang w:val="en-GB" w:eastAsia="cs-CZ"/>
        </w:rPr>
        <w:t>study</w:t>
      </w:r>
      <w:r w:rsidRPr="00177F0B">
        <w:rPr>
          <w:rFonts w:ascii="Calibri" w:eastAsia="Times New Roman" w:hAnsi="Calibri" w:cs="Calibri"/>
          <w:color w:val="000000"/>
          <w:lang w:val="en-GB" w:eastAsia="cs-CZ"/>
        </w:rPr>
        <w:t xml:space="preserve"> pr</w:t>
      </w:r>
      <w:r w:rsidRPr="00177F0B">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The aim is to increase the transparency of the system, professionalization of evaluation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reduction of the administrative burden</w:t>
      </w:r>
      <w:r>
        <w:rPr>
          <w:rFonts w:ascii="Calibri" w:eastAsia="Times New Roman" w:hAnsi="Calibri" w:cs="Calibri"/>
          <w:color w:val="000000"/>
          <w:lang w:val="en-GB" w:eastAsia="cs-CZ"/>
        </w:rPr>
        <w:t xml:space="preserve"> of the</w:t>
      </w:r>
      <w:r w:rsidRPr="00177F0B">
        <w:rPr>
          <w:rFonts w:ascii="Calibri" w:eastAsia="Times New Roman" w:hAnsi="Calibri" w:cs="Calibri"/>
          <w:color w:val="000000"/>
          <w:lang w:val="en-GB" w:eastAsia="cs-CZ"/>
        </w:rPr>
        <w:t xml:space="preserve"> accreditation process. Introduced should be </w:t>
      </w:r>
      <w:r>
        <w:rPr>
          <w:rFonts w:ascii="Calibri" w:eastAsia="Times New Roman" w:hAnsi="Calibri" w:cs="Calibri"/>
          <w:color w:val="000000"/>
          <w:lang w:val="en-GB" w:eastAsia="cs-CZ"/>
        </w:rPr>
        <w:t>the so-</w:t>
      </w:r>
      <w:r w:rsidRPr="00177F0B">
        <w:rPr>
          <w:rFonts w:ascii="Calibri" w:eastAsia="Times New Roman" w:hAnsi="Calibri" w:cs="Calibri"/>
          <w:color w:val="000000"/>
          <w:lang w:val="en-GB" w:eastAsia="cs-CZ"/>
        </w:rPr>
        <w:t>called institutional accreditation of universities, the award of which will be subject to verification of the quality assurance system. </w:t>
      </w:r>
      <w:r>
        <w:rPr>
          <w:rFonts w:ascii="Calibri" w:eastAsia="Times New Roman" w:hAnsi="Calibri" w:cs="Calibri"/>
          <w:color w:val="000000"/>
          <w:lang w:val="en-GB" w:eastAsia="cs-CZ"/>
        </w:rPr>
        <w:t>A university</w:t>
      </w:r>
      <w:r w:rsidRPr="00177F0B">
        <w:rPr>
          <w:rFonts w:ascii="Calibri" w:eastAsia="Times New Roman" w:hAnsi="Calibri" w:cs="Calibri"/>
          <w:color w:val="000000"/>
          <w:lang w:val="en-GB" w:eastAsia="cs-CZ"/>
        </w:rPr>
        <w:t xml:space="preserve"> could obtain accreditation </w:t>
      </w:r>
      <w:r>
        <w:rPr>
          <w:rFonts w:ascii="Calibri" w:eastAsia="Times New Roman" w:hAnsi="Calibri" w:cs="Calibri"/>
          <w:color w:val="000000"/>
          <w:lang w:val="en-GB" w:eastAsia="cs-CZ"/>
        </w:rPr>
        <w:t xml:space="preserve">for </w:t>
      </w:r>
      <w:r w:rsidRPr="00177F0B">
        <w:rPr>
          <w:rFonts w:ascii="Calibri" w:eastAsia="Times New Roman" w:hAnsi="Calibri" w:cs="Calibri"/>
          <w:color w:val="000000"/>
          <w:lang w:val="en-GB" w:eastAsia="cs-CZ"/>
        </w:rPr>
        <w:t xml:space="preserve">education only if it receives institutional accreditation. If the </w:t>
      </w:r>
      <w:r>
        <w:rPr>
          <w:rFonts w:ascii="Calibri" w:eastAsia="Times New Roman" w:hAnsi="Calibri" w:cs="Calibri"/>
          <w:color w:val="000000"/>
          <w:lang w:val="en-GB" w:eastAsia="cs-CZ"/>
        </w:rPr>
        <w:t>university receives accreditation for</w:t>
      </w:r>
      <w:r w:rsidRPr="00177F0B">
        <w:rPr>
          <w:rFonts w:ascii="Calibri" w:eastAsia="Times New Roman" w:hAnsi="Calibri" w:cs="Calibri"/>
          <w:color w:val="000000"/>
          <w:lang w:val="en-GB" w:eastAsia="cs-CZ"/>
        </w:rPr>
        <w:t xml:space="preserve"> education, it could autonomously within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internal accreditation deci</w:t>
      </w:r>
      <w:r>
        <w:rPr>
          <w:rFonts w:ascii="Calibri" w:eastAsia="Times New Roman" w:hAnsi="Calibri" w:cs="Calibri"/>
          <w:color w:val="000000"/>
          <w:lang w:val="en-GB" w:eastAsia="cs-CZ"/>
        </w:rPr>
        <w:t>de</w:t>
      </w:r>
      <w:r w:rsidRPr="00177F0B">
        <w:rPr>
          <w:rFonts w:ascii="Calibri" w:eastAsia="Times New Roman" w:hAnsi="Calibri" w:cs="Calibri"/>
          <w:color w:val="000000"/>
          <w:lang w:val="en-GB" w:eastAsia="cs-CZ"/>
        </w:rPr>
        <w:t xml:space="preserve"> on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and implement them within the education accreditation, which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is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holder</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Accreditation</w:t>
      </w:r>
      <w:r>
        <w:rPr>
          <w:rFonts w:ascii="Calibri" w:eastAsia="Times New Roman" w:hAnsi="Calibri" w:cs="Calibri"/>
          <w:color w:val="000000"/>
          <w:lang w:val="en-GB" w:eastAsia="cs-CZ"/>
        </w:rPr>
        <w:t xml:space="preserve"> for the</w:t>
      </w:r>
      <w:r w:rsidRPr="00177F0B">
        <w:rPr>
          <w:rFonts w:ascii="Calibri" w:eastAsia="Times New Roman" w:hAnsi="Calibri" w:cs="Calibri"/>
          <w:color w:val="000000"/>
          <w:lang w:val="en-GB" w:eastAsia="cs-CZ"/>
        </w:rPr>
        <w:t xml:space="preserve"> </w:t>
      </w:r>
      <w:proofErr w:type="spellStart"/>
      <w:r w:rsidRPr="00177F0B">
        <w:rPr>
          <w:rFonts w:ascii="Calibri" w:eastAsia="Times New Roman" w:hAnsi="Calibri" w:cs="Calibri"/>
          <w:color w:val="000000"/>
          <w:lang w:val="en-GB" w:eastAsia="cs-CZ"/>
        </w:rPr>
        <w:t>habilit</w:t>
      </w:r>
      <w:r>
        <w:rPr>
          <w:rFonts w:ascii="Calibri" w:eastAsia="Times New Roman" w:hAnsi="Calibri" w:cs="Calibri"/>
          <w:color w:val="000000"/>
          <w:lang w:val="en-GB" w:eastAsia="cs-CZ"/>
        </w:rPr>
        <w:t>ation</w:t>
      </w:r>
      <w:proofErr w:type="spellEnd"/>
      <w:r>
        <w:rPr>
          <w:rFonts w:ascii="Calibri" w:eastAsia="Times New Roman" w:hAnsi="Calibri" w:cs="Calibri"/>
          <w:color w:val="000000"/>
          <w:lang w:val="en-GB" w:eastAsia="cs-CZ"/>
        </w:rPr>
        <w:t xml:space="preserve"> procedure and procedure for</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professor </w:t>
      </w:r>
      <w:r w:rsidRPr="00177F0B">
        <w:rPr>
          <w:rFonts w:ascii="Calibri" w:eastAsia="Times New Roman" w:hAnsi="Calibri" w:cs="Calibri"/>
          <w:color w:val="000000"/>
          <w:lang w:val="en-GB" w:eastAsia="cs-CZ"/>
        </w:rPr>
        <w:t>appointment should be conditional on institutional accreditation. Study program</w:t>
      </w:r>
      <w:r>
        <w:rPr>
          <w:rFonts w:ascii="Calibri" w:eastAsia="Times New Roman" w:hAnsi="Calibri" w:cs="Calibri"/>
          <w:color w:val="000000"/>
          <w:lang w:val="en-GB" w:eastAsia="cs-CZ"/>
        </w:rPr>
        <w:t xml:space="preserve"> accreditation will be used</w:t>
      </w:r>
      <w:r w:rsidRPr="00177F0B">
        <w:rPr>
          <w:rFonts w:ascii="Calibri" w:eastAsia="Times New Roman" w:hAnsi="Calibri" w:cs="Calibri"/>
          <w:color w:val="000000"/>
          <w:lang w:val="en-GB" w:eastAsia="cs-CZ"/>
        </w:rPr>
        <w:t xml:space="preserve"> if requested </w:t>
      </w:r>
      <w:r>
        <w:rPr>
          <w:rFonts w:ascii="Calibri" w:eastAsia="Times New Roman" w:hAnsi="Calibri" w:cs="Calibri"/>
          <w:color w:val="000000"/>
          <w:lang w:val="en-GB" w:eastAsia="cs-CZ"/>
        </w:rPr>
        <w:t xml:space="preserve">by the </w:t>
      </w:r>
      <w:r w:rsidRPr="00177F0B">
        <w:rPr>
          <w:rFonts w:ascii="Calibri" w:eastAsia="Times New Roman" w:hAnsi="Calibri" w:cs="Calibri"/>
          <w:color w:val="000000"/>
          <w:lang w:val="en-GB" w:eastAsia="cs-CZ"/>
        </w:rPr>
        <w:t>school</w:t>
      </w:r>
      <w:r>
        <w:rPr>
          <w:rFonts w:ascii="Calibri" w:eastAsia="Times New Roman" w:hAnsi="Calibri" w:cs="Calibri"/>
          <w:color w:val="000000"/>
          <w:lang w:val="en-GB" w:eastAsia="cs-CZ"/>
        </w:rPr>
        <w:t xml:space="preserve"> itself</w:t>
      </w:r>
      <w:r w:rsidRPr="00177F0B">
        <w:rPr>
          <w:rFonts w:ascii="Calibri" w:eastAsia="Times New Roman" w:hAnsi="Calibri" w:cs="Calibri"/>
          <w:color w:val="000000"/>
          <w:lang w:val="en-GB" w:eastAsia="cs-CZ"/>
        </w:rPr>
        <w:t xml:space="preserve">, if </w:t>
      </w:r>
      <w:r>
        <w:rPr>
          <w:rFonts w:ascii="Calibri" w:eastAsia="Times New Roman" w:hAnsi="Calibri" w:cs="Calibri"/>
          <w:color w:val="000000"/>
          <w:lang w:val="en-GB" w:eastAsia="cs-CZ"/>
        </w:rPr>
        <w:t>the university does not hold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institutional accreditation, or if it</w:t>
      </w:r>
      <w:r>
        <w:rPr>
          <w:rFonts w:ascii="Calibri" w:eastAsia="Times New Roman" w:hAnsi="Calibri" w:cs="Calibri"/>
          <w:color w:val="000000"/>
          <w:lang w:val="en-GB" w:eastAsia="cs-CZ"/>
        </w:rPr>
        <w:t xml:space="preserve"> has a</w:t>
      </w:r>
      <w:r w:rsidRPr="00177F0B">
        <w:rPr>
          <w:rFonts w:ascii="Calibri" w:eastAsia="Times New Roman" w:hAnsi="Calibri" w:cs="Calibri"/>
          <w:color w:val="000000"/>
          <w:lang w:val="en-GB" w:eastAsia="cs-CZ"/>
        </w:rPr>
        <w:t xml:space="preserve"> restricted accreditation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education.</w:t>
      </w:r>
    </w:p>
    <w:p w:rsidR="003237CF" w:rsidRPr="007A1B09" w:rsidRDefault="00000E3F" w:rsidP="003237CF">
      <w:pPr>
        <w:pStyle w:val="Nadpis3"/>
        <w:numPr>
          <w:ilvl w:val="2"/>
          <w:numId w:val="4"/>
        </w:numPr>
        <w:ind w:left="851" w:hanging="851"/>
        <w:rPr>
          <w:lang w:val="en-GB"/>
        </w:rPr>
      </w:pPr>
      <w:bookmarkStart w:id="34" w:name="_Toc385946008"/>
      <w:r w:rsidRPr="00000E3F">
        <w:rPr>
          <w:bCs/>
          <w:lang w:val="en-GB"/>
        </w:rPr>
        <w:t>Funding</w:t>
      </w:r>
      <w:r>
        <w:rPr>
          <w:bCs/>
          <w:lang w:val="en-GB"/>
        </w:rPr>
        <w:t xml:space="preserve"> of</w:t>
      </w:r>
      <w:r w:rsidRPr="00000E3F">
        <w:rPr>
          <w:bCs/>
          <w:lang w:val="en-GB"/>
        </w:rPr>
        <w:t xml:space="preserve"> research organizations</w:t>
      </w:r>
      <w:bookmarkEnd w:id="34"/>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is preparing a </w:t>
      </w:r>
      <w:r w:rsidRPr="00177F0B">
        <w:rPr>
          <w:rFonts w:ascii="Calibri" w:eastAsia="Times New Roman" w:hAnsi="Calibri" w:cs="Calibri"/>
          <w:b/>
          <w:bCs/>
          <w:color w:val="000000"/>
          <w:lang w:val="en-GB" w:eastAsia="cs-CZ"/>
        </w:rPr>
        <w:t xml:space="preserve">new system of evaluation of </w:t>
      </w:r>
      <w:r>
        <w:rPr>
          <w:rFonts w:ascii="Calibri" w:eastAsia="Times New Roman" w:hAnsi="Calibri" w:cs="Calibri"/>
          <w:b/>
          <w:bCs/>
          <w:color w:val="000000"/>
          <w:lang w:val="en-GB" w:eastAsia="cs-CZ"/>
        </w:rPr>
        <w:t xml:space="preserve">the results of </w:t>
      </w:r>
      <w:r w:rsidRPr="00177F0B">
        <w:rPr>
          <w:rFonts w:ascii="Calibri" w:eastAsia="Times New Roman" w:hAnsi="Calibri" w:cs="Calibri"/>
          <w:b/>
          <w:bCs/>
          <w:color w:val="000000"/>
          <w:lang w:val="en-GB" w:eastAsia="cs-CZ"/>
        </w:rPr>
        <w:t>research organizations and their institutional public funding</w:t>
      </w:r>
      <w:r>
        <w:rPr>
          <w:rFonts w:ascii="Calibri" w:eastAsia="Times New Roman" w:hAnsi="Calibri" w:cs="Calibri"/>
          <w:b/>
          <w:bCs/>
          <w:color w:val="000000"/>
          <w:lang w:val="en-GB" w:eastAsia="cs-CZ"/>
        </w:rPr>
        <w:t xml:space="preserve">. </w:t>
      </w:r>
      <w:r w:rsidRPr="00965B24">
        <w:rPr>
          <w:rFonts w:ascii="Calibri" w:eastAsia="Times New Roman" w:hAnsi="Calibri" w:cs="Calibri"/>
          <w:bCs/>
          <w:color w:val="000000"/>
          <w:lang w:val="en-GB" w:eastAsia="cs-CZ"/>
        </w:rPr>
        <w:t>The</w:t>
      </w:r>
      <w:r>
        <w:rPr>
          <w:rFonts w:ascii="Calibri" w:eastAsia="Times New Roman" w:hAnsi="Calibri" w:cs="Calibri"/>
          <w:color w:val="000000"/>
          <w:lang w:val="en-GB" w:eastAsia="cs-CZ"/>
        </w:rPr>
        <w:t> n</w:t>
      </w:r>
      <w:r w:rsidRPr="00177F0B">
        <w:rPr>
          <w:rFonts w:ascii="Calibri" w:eastAsia="Times New Roman" w:hAnsi="Calibri" w:cs="Calibri"/>
          <w:color w:val="000000"/>
          <w:lang w:val="en-GB" w:eastAsia="cs-CZ"/>
        </w:rPr>
        <w:t>ew methodology takes into account the status and role of different types of research organizations in the national research and innovation system of the Czech Republic, implement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evaluation on the basis of informed international peer-review and </w:t>
      </w:r>
      <w:r>
        <w:rPr>
          <w:rFonts w:ascii="Calibri" w:eastAsia="Times New Roman" w:hAnsi="Calibri" w:cs="Calibri"/>
          <w:color w:val="000000"/>
          <w:lang w:val="en-GB" w:eastAsia="cs-CZ"/>
        </w:rPr>
        <w:t xml:space="preserve">during </w:t>
      </w:r>
      <w:r w:rsidRPr="00177F0B">
        <w:rPr>
          <w:rFonts w:ascii="Calibri" w:eastAsia="Times New Roman" w:hAnsi="Calibri" w:cs="Calibri"/>
          <w:color w:val="000000"/>
          <w:lang w:val="en-GB" w:eastAsia="cs-CZ"/>
        </w:rPr>
        <w:t xml:space="preserve">evaluation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emphasis</w:t>
      </w:r>
      <w:r>
        <w:rPr>
          <w:rFonts w:ascii="Calibri" w:eastAsia="Times New Roman" w:hAnsi="Calibri" w:cs="Calibri"/>
          <w:color w:val="000000"/>
          <w:lang w:val="en-GB" w:eastAsia="cs-CZ"/>
        </w:rPr>
        <w:t xml:space="preserve"> will be placed on</w:t>
      </w:r>
      <w:r w:rsidRPr="00177F0B">
        <w:rPr>
          <w:rFonts w:ascii="Calibri" w:eastAsia="Times New Roman" w:hAnsi="Calibri" w:cs="Calibri"/>
          <w:color w:val="000000"/>
          <w:lang w:val="en-GB" w:eastAsia="cs-CZ"/>
        </w:rPr>
        <w:t xml:space="preserve"> the ability of research organizations to achieve internationally competitive res</w:t>
      </w:r>
      <w:r>
        <w:rPr>
          <w:rFonts w:ascii="Calibri" w:eastAsia="Times New Roman" w:hAnsi="Calibri" w:cs="Calibri"/>
          <w:color w:val="000000"/>
          <w:lang w:val="en-GB" w:eastAsia="cs-CZ"/>
        </w:rPr>
        <w:t>ults and transfer</w:t>
      </w:r>
      <w:r w:rsidRPr="00177F0B">
        <w:rPr>
          <w:rFonts w:ascii="Calibri" w:eastAsia="Times New Roman" w:hAnsi="Calibri" w:cs="Calibri"/>
          <w:color w:val="000000"/>
          <w:lang w:val="en-GB" w:eastAsia="cs-CZ"/>
        </w:rPr>
        <w:t xml:space="preserve"> knowledge into practice. Pilot testing of </w:t>
      </w:r>
      <w:r w:rsidRPr="00177F0B">
        <w:rPr>
          <w:rFonts w:ascii="Calibri" w:eastAsia="Times New Roman" w:hAnsi="Calibri" w:cs="Calibri"/>
          <w:b/>
          <w:bCs/>
          <w:color w:val="000000"/>
          <w:lang w:val="en-GB" w:eastAsia="cs-CZ"/>
        </w:rPr>
        <w:t>the new methodology</w:t>
      </w:r>
      <w:r w:rsidRPr="00177F0B">
        <w:rPr>
          <w:rFonts w:ascii="Calibri" w:eastAsia="Times New Roman" w:hAnsi="Calibri" w:cs="Calibri"/>
          <w:color w:val="000000"/>
          <w:lang w:val="en-GB" w:eastAsia="cs-CZ"/>
        </w:rPr>
        <w:t xml:space="preserve"> is expected in 2015 and its full implementation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the evaluation of research organizations and their institutional funding is </w:t>
      </w:r>
      <w:r>
        <w:rPr>
          <w:rFonts w:ascii="Calibri" w:eastAsia="Times New Roman" w:hAnsi="Calibri" w:cs="Calibri"/>
          <w:color w:val="000000"/>
          <w:lang w:val="en-GB" w:eastAsia="cs-CZ"/>
        </w:rPr>
        <w:t>expected</w:t>
      </w:r>
      <w:r w:rsidRPr="00177F0B">
        <w:rPr>
          <w:rFonts w:ascii="Calibri" w:eastAsia="Times New Roman" w:hAnsi="Calibri" w:cs="Calibri"/>
          <w:color w:val="000000"/>
          <w:lang w:val="en-GB" w:eastAsia="cs-CZ"/>
        </w:rPr>
        <w:t xml:space="preserve"> from 2016. For the transition period 2013-2015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on 19</w:t>
      </w:r>
      <w:r w:rsidRPr="00965B24">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June 2013 approved the methodological guideline based on a combination </w:t>
      </w:r>
      <w:r>
        <w:rPr>
          <w:rFonts w:ascii="Calibri" w:eastAsia="Times New Roman" w:hAnsi="Calibri" w:cs="Calibri"/>
          <w:color w:val="000000"/>
          <w:lang w:val="en-GB" w:eastAsia="cs-CZ"/>
        </w:rPr>
        <w:t>of "peer review</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and machine evaluation, field </w:t>
      </w:r>
      <w:r>
        <w:rPr>
          <w:rFonts w:ascii="Calibri" w:eastAsia="Times New Roman" w:hAnsi="Calibri" w:cs="Calibri"/>
          <w:color w:val="000000"/>
          <w:lang w:val="en-GB" w:eastAsia="cs-CZ"/>
        </w:rPr>
        <w:t>dependences of the evaluations</w:t>
      </w:r>
      <w:r w:rsidRPr="00177F0B">
        <w:rPr>
          <w:rFonts w:ascii="Calibri" w:eastAsia="Times New Roman" w:hAnsi="Calibri" w:cs="Calibri"/>
          <w:color w:val="000000"/>
          <w:lang w:val="en-GB" w:eastAsia="cs-CZ"/>
        </w:rPr>
        <w:t xml:space="preserve">, taking into account the quality of the </w:t>
      </w:r>
      <w:r>
        <w:rPr>
          <w:rFonts w:ascii="Calibri" w:eastAsia="Times New Roman" w:hAnsi="Calibri" w:cs="Calibri"/>
          <w:color w:val="000000"/>
          <w:lang w:val="en-GB" w:eastAsia="cs-CZ"/>
        </w:rPr>
        <w:t xml:space="preserve">achieved </w:t>
      </w:r>
      <w:r w:rsidRPr="00177F0B">
        <w:rPr>
          <w:rFonts w:ascii="Calibri" w:eastAsia="Times New Roman" w:hAnsi="Calibri" w:cs="Calibri"/>
          <w:color w:val="000000"/>
          <w:lang w:val="en-GB" w:eastAsia="cs-CZ"/>
        </w:rPr>
        <w:t xml:space="preserve">results, evaluation </w:t>
      </w:r>
      <w:r>
        <w:rPr>
          <w:rFonts w:ascii="Calibri" w:eastAsia="Times New Roman" w:hAnsi="Calibri" w:cs="Calibri"/>
          <w:color w:val="000000"/>
          <w:lang w:val="en-GB" w:eastAsia="cs-CZ"/>
        </w:rPr>
        <w:t xml:space="preserve">at </w:t>
      </w:r>
      <w:r w:rsidRPr="00177F0B">
        <w:rPr>
          <w:rFonts w:ascii="Calibri" w:eastAsia="Times New Roman" w:hAnsi="Calibri" w:cs="Calibri"/>
          <w:color w:val="000000"/>
          <w:lang w:val="en-GB" w:eastAsia="cs-CZ"/>
        </w:rPr>
        <w:t>the level of research organizations and independent assessment of the real benefits of applied research and innovation.</w:t>
      </w:r>
    </w:p>
    <w:p w:rsidR="00000E3F" w:rsidRPr="00177F0B" w:rsidRDefault="00000E3F" w:rsidP="00000E3F">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addition to preparing a new methodology for evaluating the results of resea</w:t>
      </w:r>
      <w:r>
        <w:rPr>
          <w:rFonts w:ascii="Calibri" w:eastAsia="Times New Roman" w:hAnsi="Calibri" w:cs="Calibri"/>
          <w:color w:val="000000"/>
          <w:lang w:val="en-GB" w:eastAsia="cs-CZ"/>
        </w:rPr>
        <w:t>rch, development and innovation</w:t>
      </w:r>
      <w:r w:rsidRPr="00177F0B">
        <w:rPr>
          <w:rFonts w:ascii="Calibri" w:eastAsia="Times New Roman" w:hAnsi="Calibri" w:cs="Calibri"/>
          <w:color w:val="000000"/>
          <w:lang w:val="en-GB" w:eastAsia="cs-CZ"/>
        </w:rPr>
        <w:t xml:space="preserve"> and institutional funding of research organizations, </w:t>
      </w:r>
      <w:r>
        <w:rPr>
          <w:rFonts w:ascii="Calibri" w:eastAsia="Times New Roman" w:hAnsi="Calibri" w:cs="Calibri"/>
          <w:color w:val="000000"/>
          <w:lang w:val="en-GB" w:eastAsia="cs-CZ"/>
        </w:rPr>
        <w:t xml:space="preserve">the government shall start </w:t>
      </w:r>
      <w:r w:rsidRPr="00177F0B">
        <w:rPr>
          <w:rFonts w:ascii="Calibri" w:eastAsia="Times New Roman" w:hAnsi="Calibri" w:cs="Calibri"/>
          <w:color w:val="000000"/>
          <w:lang w:val="en-GB" w:eastAsia="cs-CZ"/>
        </w:rPr>
        <w:t>preparing </w:t>
      </w:r>
      <w:r>
        <w:rPr>
          <w:rFonts w:ascii="Calibri" w:eastAsia="Times New Roman" w:hAnsi="Calibri" w:cs="Calibri"/>
          <w:color w:val="000000"/>
          <w:lang w:val="en-GB" w:eastAsia="cs-CZ"/>
        </w:rPr>
        <w:t xml:space="preserve">a </w:t>
      </w:r>
      <w:r w:rsidRPr="00177F0B">
        <w:rPr>
          <w:rFonts w:ascii="Calibri" w:eastAsia="Times New Roman" w:hAnsi="Calibri" w:cs="Calibri"/>
          <w:b/>
          <w:bCs/>
          <w:color w:val="000000"/>
          <w:lang w:val="en-GB" w:eastAsia="cs-CZ"/>
        </w:rPr>
        <w:t xml:space="preserve">new </w:t>
      </w:r>
      <w:r w:rsidRPr="00177F0B">
        <w:rPr>
          <w:rFonts w:ascii="Calibri" w:eastAsia="Times New Roman" w:hAnsi="Calibri" w:cs="Calibri"/>
          <w:b/>
          <w:bCs/>
          <w:color w:val="000000"/>
          <w:lang w:val="en-GB" w:eastAsia="cs-CZ"/>
        </w:rPr>
        <w:lastRenderedPageBreak/>
        <w:t>method</w:t>
      </w:r>
      <w:r>
        <w:rPr>
          <w:rFonts w:ascii="Calibri" w:eastAsia="Times New Roman" w:hAnsi="Calibri" w:cs="Calibri"/>
          <w:b/>
          <w:bCs/>
          <w:color w:val="000000"/>
          <w:lang w:val="en-GB" w:eastAsia="cs-CZ"/>
        </w:rPr>
        <w:t>ology</w:t>
      </w:r>
      <w:r w:rsidRPr="00177F0B">
        <w:rPr>
          <w:rFonts w:ascii="Calibri" w:eastAsia="Times New Roman" w:hAnsi="Calibri" w:cs="Calibri"/>
          <w:b/>
          <w:bCs/>
          <w:color w:val="000000"/>
          <w:lang w:val="en-GB" w:eastAsia="cs-CZ"/>
        </w:rPr>
        <w:t xml:space="preserve"> of evaluation of program</w:t>
      </w:r>
      <w:r>
        <w:rPr>
          <w:rFonts w:ascii="Calibri" w:eastAsia="Times New Roman" w:hAnsi="Calibri" w:cs="Calibri"/>
          <w:b/>
          <w:bCs/>
          <w:color w:val="000000"/>
          <w:lang w:val="en-GB" w:eastAsia="cs-CZ"/>
        </w:rPr>
        <w:t>mes</w:t>
      </w:r>
      <w:r w:rsidRPr="00177F0B">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 xml:space="preserve">of </w:t>
      </w:r>
      <w:r w:rsidRPr="00177F0B">
        <w:rPr>
          <w:rFonts w:ascii="Calibri" w:eastAsia="Times New Roman" w:hAnsi="Calibri" w:cs="Calibri"/>
          <w:b/>
          <w:bCs/>
          <w:color w:val="000000"/>
          <w:lang w:val="en-GB" w:eastAsia="cs-CZ"/>
        </w:rPr>
        <w:t>targeted support of research, development and innovation</w:t>
      </w:r>
      <w:r w:rsidRPr="00177F0B">
        <w:rPr>
          <w:rFonts w:ascii="Calibri" w:eastAsia="Times New Roman" w:hAnsi="Calibri" w:cs="Calibri"/>
          <w:color w:val="000000"/>
          <w:lang w:val="en-GB" w:eastAsia="cs-CZ"/>
        </w:rPr>
        <w:t>. The aim is to create a new system of evaluation of targeted funding of research, development and innovation, including ex-ante, interim and ex-post stage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within which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 consistent (ex-ante) assessment</w:t>
      </w:r>
      <w:r>
        <w:rPr>
          <w:rFonts w:ascii="Calibri" w:eastAsia="Times New Roman" w:hAnsi="Calibri" w:cs="Calibri"/>
          <w:color w:val="000000"/>
          <w:lang w:val="en-GB" w:eastAsia="cs-CZ"/>
        </w:rPr>
        <w:t xml:space="preserve"> of needs will be performed</w:t>
      </w:r>
      <w:r w:rsidRPr="00177F0B">
        <w:rPr>
          <w:rFonts w:ascii="Calibri" w:eastAsia="Times New Roman" w:hAnsi="Calibri" w:cs="Calibri"/>
          <w:color w:val="000000"/>
          <w:lang w:val="en-GB" w:eastAsia="cs-CZ"/>
        </w:rPr>
        <w:t xml:space="preserve"> a</w:t>
      </w:r>
      <w:r>
        <w:rPr>
          <w:rFonts w:ascii="Calibri" w:eastAsia="Times New Roman" w:hAnsi="Calibri" w:cs="Calibri"/>
          <w:color w:val="000000"/>
          <w:lang w:val="en-GB" w:eastAsia="cs-CZ"/>
        </w:rPr>
        <w:t>s well as an</w:t>
      </w:r>
      <w:r w:rsidRPr="00177F0B">
        <w:rPr>
          <w:rFonts w:ascii="Calibri" w:eastAsia="Times New Roman" w:hAnsi="Calibri" w:cs="Calibri"/>
          <w:color w:val="000000"/>
          <w:lang w:val="en-GB" w:eastAsia="cs-CZ"/>
        </w:rPr>
        <w:t xml:space="preserve"> analysis of the intervention logic of the program</w:t>
      </w:r>
      <w:r>
        <w:rPr>
          <w:rFonts w:ascii="Calibri" w:eastAsia="Times New Roman" w:hAnsi="Calibri" w:cs="Calibri"/>
          <w:color w:val="000000"/>
          <w:lang w:val="en-GB" w:eastAsia="cs-CZ"/>
        </w:rPr>
        <w:t>mes</w:t>
      </w:r>
      <w:r w:rsidRPr="00177F0B">
        <w:rPr>
          <w:rFonts w:ascii="Calibri" w:eastAsia="Times New Roman" w:hAnsi="Calibri" w:cs="Calibri"/>
          <w:color w:val="000000"/>
          <w:lang w:val="en-GB" w:eastAsia="cs-CZ"/>
        </w:rPr>
        <w:t xml:space="preserve"> of targeted support for research, development and innovation (interim)</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evaluation of their effectiveness during implementation and (ex-post) evaluation of the results of research, development and in</w:t>
      </w:r>
      <w:r>
        <w:rPr>
          <w:rFonts w:ascii="Calibri" w:eastAsia="Times New Roman" w:hAnsi="Calibri" w:cs="Calibri"/>
          <w:color w:val="000000"/>
          <w:lang w:val="en-GB" w:eastAsia="cs-CZ"/>
        </w:rPr>
        <w:t>novation and 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programmes’ </w:t>
      </w:r>
      <w:r w:rsidRPr="00177F0B">
        <w:rPr>
          <w:rFonts w:ascii="Calibri" w:eastAsia="Times New Roman" w:hAnsi="Calibri" w:cs="Calibri"/>
          <w:color w:val="000000"/>
          <w:lang w:val="en-GB" w:eastAsia="cs-CZ"/>
        </w:rPr>
        <w:t xml:space="preserve">impact on the development of the national </w:t>
      </w:r>
      <w:r>
        <w:rPr>
          <w:rFonts w:ascii="Calibri" w:eastAsia="Times New Roman" w:hAnsi="Calibri" w:cs="Calibri"/>
          <w:color w:val="000000"/>
          <w:lang w:val="en-GB" w:eastAsia="cs-CZ"/>
        </w:rPr>
        <w:t>innovation system</w:t>
      </w:r>
      <w:r w:rsidRPr="00177F0B">
        <w:rPr>
          <w:rFonts w:ascii="Calibri" w:eastAsia="Times New Roman" w:hAnsi="Calibri" w:cs="Calibri"/>
          <w:color w:val="000000"/>
          <w:lang w:val="en-GB" w:eastAsia="cs-CZ"/>
        </w:rPr>
        <w:t xml:space="preserve">. Creation </w:t>
      </w:r>
      <w:r>
        <w:rPr>
          <w:rFonts w:ascii="Calibri" w:eastAsia="Times New Roman" w:hAnsi="Calibri" w:cs="Calibri"/>
          <w:color w:val="000000"/>
          <w:lang w:val="en-GB" w:eastAsia="cs-CZ"/>
        </w:rPr>
        <w:t>of the methodology will fall within the responsibility of a</w:t>
      </w:r>
      <w:r w:rsidRPr="00177F0B">
        <w:rPr>
          <w:rFonts w:ascii="Calibri" w:eastAsia="Times New Roman" w:hAnsi="Calibri" w:cs="Calibri"/>
          <w:color w:val="000000"/>
          <w:lang w:val="en-GB" w:eastAsia="cs-CZ"/>
        </w:rPr>
        <w:t xml:space="preserve"> working group, which </w:t>
      </w:r>
      <w:r>
        <w:rPr>
          <w:rFonts w:ascii="Calibri" w:eastAsia="Times New Roman" w:hAnsi="Calibri" w:cs="Calibri"/>
          <w:color w:val="000000"/>
          <w:lang w:val="en-GB" w:eastAsia="cs-CZ"/>
        </w:rPr>
        <w:t>shall be set up for this purpose</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envisages the </w:t>
      </w:r>
      <w:r>
        <w:rPr>
          <w:rFonts w:ascii="Calibri" w:eastAsia="Times New Roman" w:hAnsi="Calibri" w:cs="Calibri"/>
          <w:color w:val="000000"/>
          <w:lang w:val="en-GB" w:eastAsia="cs-CZ"/>
        </w:rPr>
        <w:t>approval</w:t>
      </w:r>
      <w:r w:rsidRPr="00177F0B">
        <w:rPr>
          <w:rFonts w:ascii="Calibri" w:eastAsia="Times New Roman" w:hAnsi="Calibri" w:cs="Calibri"/>
          <w:color w:val="000000"/>
          <w:lang w:val="en-GB" w:eastAsia="cs-CZ"/>
        </w:rPr>
        <w:t xml:space="preserve"> of the material by the end of 2014.</w:t>
      </w:r>
    </w:p>
    <w:p w:rsidR="00C47B07" w:rsidRPr="007A1B09" w:rsidRDefault="00000E3F" w:rsidP="00CF745F">
      <w:pPr>
        <w:rPr>
          <w:lang w:val="en-GB"/>
        </w:rPr>
      </w:pPr>
      <w:r w:rsidRPr="00177F0B">
        <w:rPr>
          <w:rFonts w:ascii="Calibri" w:eastAsia="Times New Roman" w:hAnsi="Calibri" w:cs="Calibri"/>
          <w:color w:val="000000"/>
          <w:lang w:val="en-GB" w:eastAsia="cs-CZ"/>
        </w:rPr>
        <w:t xml:space="preserve">At the same time the government </w:t>
      </w:r>
      <w:r>
        <w:rPr>
          <w:rFonts w:ascii="Calibri" w:eastAsia="Times New Roman" w:hAnsi="Calibri" w:cs="Calibri"/>
          <w:color w:val="000000"/>
          <w:lang w:val="en-GB" w:eastAsia="cs-CZ"/>
        </w:rPr>
        <w:t>shall prepare</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a new methodology for evaluating projects of large infrastructures for research, experimental development and innovation</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that </w:t>
      </w:r>
      <w:r w:rsidRPr="00177F0B">
        <w:rPr>
          <w:rFonts w:ascii="Calibri" w:eastAsia="Times New Roman" w:hAnsi="Calibri" w:cs="Calibri"/>
          <w:color w:val="000000"/>
          <w:lang w:val="en-GB" w:eastAsia="cs-CZ"/>
        </w:rPr>
        <w:t>are closely related to the</w:t>
      </w:r>
      <w:r>
        <w:rPr>
          <w:rFonts w:ascii="Calibri" w:eastAsia="Times New Roman" w:hAnsi="Calibri" w:cs="Calibri"/>
          <w:color w:val="000000"/>
          <w:lang w:val="en-GB" w:eastAsia="cs-CZ"/>
        </w:rPr>
        <w:t xml:space="preserve"> planned update of the Czech Republic Roadmap of</w:t>
      </w:r>
      <w:r w:rsidRPr="00177F0B">
        <w:rPr>
          <w:rFonts w:ascii="Calibri" w:eastAsia="Times New Roman" w:hAnsi="Calibri" w:cs="Calibri"/>
          <w:color w:val="000000"/>
          <w:lang w:val="en-GB" w:eastAsia="cs-CZ"/>
        </w:rPr>
        <w:t xml:space="preserve"> large infrastructures for research, experimental development and innovation.</w:t>
      </w:r>
    </w:p>
    <w:p w:rsidR="00AA544F" w:rsidRPr="007A1B09" w:rsidRDefault="00000E3F" w:rsidP="00EF38D7">
      <w:pPr>
        <w:pStyle w:val="Nadpis2"/>
        <w:keepNext/>
        <w:keepLines/>
        <w:numPr>
          <w:ilvl w:val="1"/>
          <w:numId w:val="4"/>
        </w:numPr>
        <w:ind w:left="851" w:hanging="851"/>
        <w:rPr>
          <w:lang w:val="en-GB"/>
        </w:rPr>
      </w:pPr>
      <w:bookmarkStart w:id="35" w:name="_Toc385946009"/>
      <w:r w:rsidRPr="00000E3F">
        <w:rPr>
          <w:bCs/>
          <w:lang w:val="en-GB"/>
        </w:rPr>
        <w:t>Regulated professions and energy intensity</w:t>
      </w:r>
      <w:bookmarkEnd w:id="35"/>
    </w:p>
    <w:p w:rsidR="00AA544F" w:rsidRPr="007A1B09" w:rsidRDefault="00000E3F"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rPr>
          <w:lang w:val="en-GB"/>
        </w:rPr>
      </w:pPr>
      <w:r w:rsidRPr="00000E3F">
        <w:rPr>
          <w:b/>
          <w:bCs/>
          <w:color w:val="9B2D1F" w:themeColor="accent2"/>
          <w:lang w:val="en-GB"/>
        </w:rPr>
        <w:t>Council Recommendation No. 7</w:t>
      </w:r>
      <w:r w:rsidR="00AA544F" w:rsidRPr="007A1B09">
        <w:rPr>
          <w:b/>
          <w:color w:val="9B2D1F" w:themeColor="accent2"/>
          <w:lang w:val="en-GB"/>
        </w:rPr>
        <w:t>:</w:t>
      </w:r>
      <w:r w:rsidR="00AA544F" w:rsidRPr="007A1B09">
        <w:rPr>
          <w:lang w:val="en-GB"/>
        </w:rPr>
        <w:t xml:space="preserve"> </w:t>
      </w:r>
      <w:r w:rsidRPr="00000E3F">
        <w:rPr>
          <w:color w:val="D41616"/>
          <w:lang w:val="en-GB"/>
        </w:rPr>
        <w:t>Drawing on the on-going review, proceed with a reform of regulated professions, by reducing or eliminating entry barriers and reserves of activities where they are unjustified. Take further measures to improve energy efficiency in the buildings and industry sectors.</w:t>
      </w:r>
    </w:p>
    <w:p w:rsidR="003237CF" w:rsidRPr="007A1B09" w:rsidRDefault="00000E3F" w:rsidP="00EF38D7">
      <w:pPr>
        <w:pStyle w:val="Nadpis3"/>
        <w:keepNext/>
        <w:keepLines/>
        <w:numPr>
          <w:ilvl w:val="2"/>
          <w:numId w:val="4"/>
        </w:numPr>
        <w:ind w:left="851" w:hanging="851"/>
        <w:rPr>
          <w:lang w:val="en-GB"/>
        </w:rPr>
      </w:pPr>
      <w:bookmarkStart w:id="36" w:name="_Toc385946010"/>
      <w:r w:rsidRPr="00000E3F">
        <w:rPr>
          <w:bCs/>
          <w:lang w:val="en-GB"/>
        </w:rPr>
        <w:t>Reducing the number of regulated professions</w:t>
      </w:r>
      <w:bookmarkEnd w:id="36"/>
    </w:p>
    <w:p w:rsidR="00AB267A" w:rsidRPr="0016667B" w:rsidRDefault="00000E3F" w:rsidP="0016667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actively participates in the pilot project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ex ante coordination of economic reforms and continue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the reform of regulated professions by reducing or removing entry barriers and restricted activities if they are deemed to be unfounded. At the same time </w:t>
      </w:r>
      <w:r>
        <w:rPr>
          <w:rFonts w:ascii="Calibri" w:eastAsia="Times New Roman" w:hAnsi="Calibri" w:cs="Calibri"/>
          <w:color w:val="000000"/>
          <w:lang w:val="en-GB" w:eastAsia="cs-CZ"/>
        </w:rPr>
        <w:t>it participates</w:t>
      </w:r>
      <w:r w:rsidRPr="00177F0B">
        <w:rPr>
          <w:rFonts w:ascii="Calibri" w:eastAsia="Times New Roman" w:hAnsi="Calibri" w:cs="Calibri"/>
          <w:color w:val="000000"/>
          <w:lang w:val="en-GB" w:eastAsia="cs-CZ"/>
        </w:rPr>
        <w:t xml:space="preserve"> in the peer review of national legislation on access to the professions, presented by the Commission in its Communication of 2</w:t>
      </w:r>
      <w:r w:rsidRPr="00DD6D6B">
        <w:rPr>
          <w:rFonts w:ascii="Calibri" w:eastAsia="Times New Roman" w:hAnsi="Calibri" w:cs="Calibri"/>
          <w:color w:val="000000"/>
          <w:vertAlign w:val="superscript"/>
          <w:lang w:val="en-GB" w:eastAsia="cs-CZ"/>
        </w:rPr>
        <w:t>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October 2013. </w:t>
      </w:r>
      <w:r>
        <w:rPr>
          <w:rFonts w:ascii="Calibri" w:eastAsia="Times New Roman" w:hAnsi="Calibri" w:cs="Calibri"/>
          <w:color w:val="000000"/>
          <w:lang w:val="en-GB" w:eastAsia="cs-CZ"/>
        </w:rPr>
        <w:t>The p</w:t>
      </w:r>
      <w:r w:rsidRPr="00177F0B">
        <w:rPr>
          <w:rFonts w:ascii="Calibri" w:eastAsia="Times New Roman" w:hAnsi="Calibri" w:cs="Calibri"/>
          <w:color w:val="000000"/>
          <w:lang w:val="en-GB" w:eastAsia="cs-CZ"/>
        </w:rPr>
        <w:t xml:space="preserve">rocess of deregulation and increased transparency in the area of ​​regulated professions has been going on since 2012, when it was possible to reduce the number of regulated professions </w:t>
      </w:r>
      <w:r>
        <w:rPr>
          <w:rFonts w:ascii="Calibri" w:eastAsia="Times New Roman" w:hAnsi="Calibri" w:cs="Calibri"/>
          <w:color w:val="000000"/>
          <w:lang w:val="en-GB" w:eastAsia="cs-CZ"/>
        </w:rPr>
        <w:t>by a</w:t>
      </w:r>
      <w:r w:rsidRPr="00177F0B">
        <w:rPr>
          <w:rFonts w:ascii="Calibri" w:eastAsia="Times New Roman" w:hAnsi="Calibri" w:cs="Calibri"/>
          <w:color w:val="000000"/>
          <w:lang w:val="en-GB" w:eastAsia="cs-CZ"/>
        </w:rPr>
        <w:t xml:space="preserve"> total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15 professions. In 2013 the number of regulated professions </w:t>
      </w:r>
      <w:r>
        <w:rPr>
          <w:rFonts w:ascii="Calibri" w:eastAsia="Times New Roman" w:hAnsi="Calibri" w:cs="Calibri"/>
          <w:color w:val="000000"/>
          <w:lang w:val="en-GB" w:eastAsia="cs-CZ"/>
        </w:rPr>
        <w:t>was</w:t>
      </w:r>
      <w:r w:rsidRPr="00177F0B">
        <w:rPr>
          <w:rFonts w:ascii="Calibri" w:eastAsia="Times New Roman" w:hAnsi="Calibri" w:cs="Calibri"/>
          <w:color w:val="000000"/>
          <w:lang w:val="en-GB" w:eastAsia="cs-CZ"/>
        </w:rPr>
        <w:t xml:space="preserve"> reduced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38 and </w:t>
      </w:r>
      <w:r>
        <w:rPr>
          <w:rFonts w:ascii="Calibri" w:eastAsia="Times New Roman" w:hAnsi="Calibri" w:cs="Calibri"/>
          <w:color w:val="000000"/>
          <w:lang w:val="en-GB" w:eastAsia="cs-CZ"/>
        </w:rPr>
        <w:t>as of 1</w:t>
      </w:r>
      <w:r w:rsidRPr="00DD6D6B">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April </w:t>
      </w:r>
      <w:r w:rsidRPr="00177F0B">
        <w:rPr>
          <w:rFonts w:ascii="Calibri" w:eastAsia="Times New Roman" w:hAnsi="Calibri" w:cs="Calibri"/>
          <w:color w:val="000000"/>
          <w:lang w:val="en-GB" w:eastAsia="cs-CZ"/>
        </w:rPr>
        <w:t xml:space="preserve">2014 the current status of regulated professions </w:t>
      </w:r>
      <w:r>
        <w:rPr>
          <w:rFonts w:ascii="Calibri" w:eastAsia="Times New Roman" w:hAnsi="Calibri" w:cs="Calibri"/>
          <w:color w:val="000000"/>
          <w:lang w:val="en-GB" w:eastAsia="cs-CZ"/>
        </w:rPr>
        <w:t xml:space="preserve">was </w:t>
      </w:r>
      <w:r w:rsidRPr="00177F0B">
        <w:rPr>
          <w:rFonts w:ascii="Calibri" w:eastAsia="Times New Roman" w:hAnsi="Calibri" w:cs="Calibri"/>
          <w:color w:val="000000"/>
          <w:lang w:val="en-GB" w:eastAsia="cs-CZ"/>
        </w:rPr>
        <w:t>337</w:t>
      </w:r>
      <w:r>
        <w:rPr>
          <w:rFonts w:ascii="Calibri" w:eastAsia="Times New Roman" w:hAnsi="Calibri" w:cs="Calibri"/>
          <w:color w:val="000000"/>
          <w:lang w:val="en-GB" w:eastAsia="cs-CZ"/>
        </w:rPr>
        <w:t>. M</w:t>
      </w:r>
      <w:r w:rsidRPr="00177F0B">
        <w:rPr>
          <w:rFonts w:ascii="Calibri" w:eastAsia="Times New Roman" w:hAnsi="Calibri" w:cs="Calibri"/>
          <w:color w:val="000000"/>
          <w:lang w:val="en-GB" w:eastAsia="cs-CZ"/>
        </w:rPr>
        <w:t xml:space="preserve">ost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changes involved the elimination of d</w:t>
      </w:r>
      <w:r>
        <w:rPr>
          <w:rFonts w:ascii="Calibri" w:eastAsia="Times New Roman" w:hAnsi="Calibri" w:cs="Calibri"/>
          <w:color w:val="000000"/>
          <w:lang w:val="en-GB" w:eastAsia="cs-CZ"/>
        </w:rPr>
        <w:t>uplication in legislation. The g</w:t>
      </w:r>
      <w:r w:rsidRPr="00177F0B">
        <w:rPr>
          <w:rFonts w:ascii="Calibri" w:eastAsia="Times New Roman" w:hAnsi="Calibri" w:cs="Calibri"/>
          <w:color w:val="000000"/>
          <w:lang w:val="en-GB" w:eastAsia="cs-CZ"/>
        </w:rPr>
        <w:t xml:space="preserve">overnment remains committed to continue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 xml:space="preserve">the project in order to achieve optimal regulation across all occupations and work activities </w:t>
      </w:r>
      <w:r>
        <w:rPr>
          <w:rFonts w:ascii="Calibri" w:eastAsia="Times New Roman" w:hAnsi="Calibri" w:cs="Calibri"/>
          <w:color w:val="000000"/>
          <w:lang w:val="en-GB" w:eastAsia="cs-CZ"/>
        </w:rPr>
        <w:t xml:space="preserve">and thus </w:t>
      </w:r>
      <w:r w:rsidRPr="00177F0B">
        <w:rPr>
          <w:rFonts w:ascii="Calibri" w:eastAsia="Times New Roman" w:hAnsi="Calibri" w:cs="Calibri"/>
          <w:color w:val="000000"/>
          <w:lang w:val="en-GB" w:eastAsia="cs-CZ"/>
        </w:rPr>
        <w:t xml:space="preserve">effectively support labour mobility and simplify the administrative process within the internal market. The aim is to reduce or even eliminate unreasonable requirements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access and </w:t>
      </w:r>
      <w:r>
        <w:rPr>
          <w:rFonts w:ascii="Calibri" w:eastAsia="Times New Roman" w:hAnsi="Calibri" w:cs="Calibri"/>
          <w:color w:val="000000"/>
          <w:lang w:val="en-GB" w:eastAsia="cs-CZ"/>
        </w:rPr>
        <w:t>performance in</w:t>
      </w:r>
      <w:r w:rsidRPr="00177F0B">
        <w:rPr>
          <w:rFonts w:ascii="Calibri" w:eastAsia="Times New Roman" w:hAnsi="Calibri" w:cs="Calibri"/>
          <w:color w:val="000000"/>
          <w:lang w:val="en-GB" w:eastAsia="cs-CZ"/>
        </w:rPr>
        <w:t xml:space="preserve"> 25%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jobs compared to </w:t>
      </w:r>
      <w:r>
        <w:rPr>
          <w:rFonts w:ascii="Calibri" w:eastAsia="Times New Roman" w:hAnsi="Calibri" w:cs="Calibri"/>
          <w:color w:val="000000"/>
          <w:lang w:val="en-GB" w:eastAsia="cs-CZ"/>
        </w:rPr>
        <w:t>29</w:t>
      </w:r>
      <w:r w:rsidRPr="00DD6D6B">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October 2013, when the number of regulated professions reached 345</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Deregulation will take place across the </w:t>
      </w:r>
      <w:r w:rsidR="0016667B" w:rsidRPr="00177F0B">
        <w:rPr>
          <w:rFonts w:ascii="Calibri" w:eastAsia="Times New Roman" w:hAnsi="Calibri" w:cs="Calibri"/>
          <w:color w:val="000000"/>
          <w:lang w:val="en-GB" w:eastAsia="cs-CZ"/>
        </w:rPr>
        <w:t>board;</w:t>
      </w:r>
      <w:r w:rsidRPr="00177F0B">
        <w:rPr>
          <w:rFonts w:ascii="Calibri" w:eastAsia="Times New Roman" w:hAnsi="Calibri" w:cs="Calibri"/>
          <w:color w:val="000000"/>
          <w:lang w:val="en-GB" w:eastAsia="cs-CZ"/>
        </w:rPr>
        <w:t xml:space="preserve"> the professions will be assessed individually to maintain measures to protect the safety and health of services</w:t>
      </w:r>
      <w:r>
        <w:rPr>
          <w:rFonts w:ascii="Calibri" w:eastAsia="Times New Roman" w:hAnsi="Calibri" w:cs="Calibri"/>
          <w:color w:val="000000"/>
          <w:lang w:val="en-GB" w:eastAsia="cs-CZ"/>
        </w:rPr>
        <w:t>’ users</w:t>
      </w:r>
      <w:r w:rsidR="0016667B">
        <w:rPr>
          <w:rFonts w:ascii="Calibri" w:eastAsia="Times New Roman" w:hAnsi="Calibri" w:cs="Calibri"/>
          <w:color w:val="000000"/>
          <w:lang w:val="en-GB" w:eastAsia="cs-CZ"/>
        </w:rPr>
        <w:t>.</w:t>
      </w:r>
    </w:p>
    <w:p w:rsidR="003237CF" w:rsidRPr="0016667B" w:rsidRDefault="0016667B" w:rsidP="0016667B">
      <w:pPr>
        <w:pStyle w:val="Nadpis3"/>
        <w:numPr>
          <w:ilvl w:val="2"/>
          <w:numId w:val="4"/>
        </w:numPr>
        <w:ind w:left="851" w:hanging="851"/>
        <w:rPr>
          <w:bCs/>
          <w:lang w:val="en-GB"/>
        </w:rPr>
      </w:pPr>
      <w:bookmarkStart w:id="37" w:name="_Toc385946011"/>
      <w:r w:rsidRPr="0016667B">
        <w:rPr>
          <w:bCs/>
          <w:lang w:val="en-GB"/>
        </w:rPr>
        <w:t>Increasing energy efficiency</w:t>
      </w:r>
      <w:bookmarkEnd w:id="37"/>
    </w:p>
    <w:p w:rsidR="0016667B" w:rsidRPr="00177F0B" w:rsidRDefault="0016667B" w:rsidP="0016667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is aware of the high energy intensity of the economy of the Czech Republic, which results from the high share of industry in gross domestic product.</w:t>
      </w:r>
      <w:r>
        <w:rPr>
          <w:rFonts w:ascii="Calibri" w:eastAsia="Times New Roman" w:hAnsi="Calibri" w:cs="Calibri"/>
          <w:color w:val="000000"/>
          <w:lang w:val="en-GB" w:eastAsia="cs-CZ"/>
        </w:rPr>
        <w:t xml:space="preserve"> The government perceives the i</w:t>
      </w:r>
      <w:r w:rsidRPr="00177F0B">
        <w:rPr>
          <w:rFonts w:ascii="Calibri" w:eastAsia="Times New Roman" w:hAnsi="Calibri" w:cs="Calibri"/>
          <w:color w:val="000000"/>
          <w:lang w:val="en-GB" w:eastAsia="cs-CZ"/>
        </w:rPr>
        <w:t>mplementation of measures in the field of energy efficiency as one of the most effective means of reducing import dependency on fuels and increasing the competitiveness of enterprises in the Czech Republic.</w:t>
      </w:r>
    </w:p>
    <w:p w:rsidR="00495202" w:rsidRPr="007A1B09" w:rsidRDefault="00495202" w:rsidP="004E4907">
      <w:pPr>
        <w:rPr>
          <w:lang w:val="en-GB"/>
        </w:rPr>
      </w:pPr>
    </w:p>
    <w:p w:rsidR="003F7207" w:rsidRPr="007A1B09" w:rsidRDefault="0016667B" w:rsidP="003F7207">
      <w:pPr>
        <w:pStyle w:val="Titulek"/>
        <w:keepNext/>
        <w:rPr>
          <w:lang w:val="en-GB"/>
        </w:rPr>
      </w:pPr>
      <w:r w:rsidRPr="0016667B">
        <w:rPr>
          <w:lang w:val="en-GB"/>
        </w:rPr>
        <w:lastRenderedPageBreak/>
        <w:t>Chart 4: Energy demand by sector breakdown (sector FEC / sector GDP</w:t>
      </w:r>
    </w:p>
    <w:p w:rsidR="003F7207" w:rsidRPr="007A1B09" w:rsidRDefault="003F7207" w:rsidP="003F7207">
      <w:pPr>
        <w:keepNext/>
        <w:rPr>
          <w:lang w:val="en-GB"/>
        </w:rPr>
      </w:pPr>
      <w:r w:rsidRPr="007A1B09">
        <w:rPr>
          <w:noProof/>
          <w:lang w:eastAsia="cs-CZ"/>
        </w:rPr>
        <w:drawing>
          <wp:inline distT="0" distB="0" distL="0" distR="0" wp14:anchorId="16E757E0" wp14:editId="4422DCA1">
            <wp:extent cx="5760720" cy="3034085"/>
            <wp:effectExtent l="0" t="0" r="11430" b="1397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667B" w:rsidRPr="0016667B" w:rsidRDefault="0016667B" w:rsidP="0016667B">
      <w:pPr>
        <w:pStyle w:val="Titulek"/>
        <w:jc w:val="right"/>
        <w:rPr>
          <w:lang w:val="en-GB"/>
        </w:rPr>
      </w:pPr>
      <w:r w:rsidRPr="0016667B">
        <w:rPr>
          <w:lang w:val="en-GB"/>
        </w:rPr>
        <w:t>Source: Czech Statistical Office, 2014</w:t>
      </w:r>
    </w:p>
    <w:p w:rsidR="0014554D" w:rsidRPr="007A1B09" w:rsidRDefault="0014554D" w:rsidP="003F7207">
      <w:pPr>
        <w:pStyle w:val="Titulek"/>
        <w:jc w:val="right"/>
        <w:rPr>
          <w:lang w:val="en-GB"/>
        </w:rPr>
      </w:pPr>
    </w:p>
    <w:p w:rsidR="0016667B" w:rsidRPr="00177F0B" w:rsidRDefault="0016667B" w:rsidP="0016667B">
      <w:pPr>
        <w:spacing w:after="180"/>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For this purpose </w:t>
      </w:r>
      <w:r w:rsidRPr="00177F0B">
        <w:rPr>
          <w:rFonts w:ascii="Calibri" w:eastAsia="Times New Roman" w:hAnsi="Calibri" w:cs="Calibri"/>
          <w:color w:val="000000"/>
          <w:lang w:val="en-GB" w:eastAsia="cs-CZ"/>
        </w:rPr>
        <w:t xml:space="preserve">an amendment to the Energy Act, the Energy Management Act and the Act on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upported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nergy </w:t>
      </w:r>
      <w:r>
        <w:rPr>
          <w:rFonts w:ascii="Calibri" w:eastAsia="Times New Roman" w:hAnsi="Calibri" w:cs="Calibri"/>
          <w:color w:val="000000"/>
          <w:lang w:val="en-GB" w:eastAsia="cs-CZ"/>
        </w:rPr>
        <w:t>Sources is being prepared,</w:t>
      </w:r>
      <w:r w:rsidRPr="00177F0B">
        <w:rPr>
          <w:rFonts w:ascii="Calibri" w:eastAsia="Times New Roman" w:hAnsi="Calibri" w:cs="Calibri"/>
          <w:color w:val="000000"/>
          <w:lang w:val="en-GB" w:eastAsia="cs-CZ"/>
        </w:rPr>
        <w:t xml:space="preserve"> which implement the Energy Efficiency Directive 2012/27/EU.</w:t>
      </w:r>
    </w:p>
    <w:p w:rsidR="0016667B" w:rsidRPr="00177F0B" w:rsidRDefault="0016667B" w:rsidP="0016667B">
      <w:pPr>
        <w:spacing w:after="180"/>
        <w:rPr>
          <w:rFonts w:ascii="Calibri" w:eastAsia="Times New Roman" w:hAnsi="Calibri" w:cs="Calibri"/>
          <w:color w:val="000000"/>
          <w:lang w:val="en-GB" w:eastAsia="cs-CZ"/>
        </w:rPr>
      </w:pPr>
      <w:r>
        <w:rPr>
          <w:rFonts w:ascii="Calibri" w:eastAsia="Times New Roman" w:hAnsi="Calibri" w:cs="Calibri"/>
          <w:color w:val="000000"/>
          <w:lang w:val="en-GB" w:eastAsia="cs-CZ"/>
        </w:rPr>
        <w:t>The Czech Republic</w:t>
      </w:r>
      <w:r w:rsidRPr="00177F0B">
        <w:rPr>
          <w:rFonts w:ascii="Calibri" w:eastAsia="Times New Roman" w:hAnsi="Calibri" w:cs="Calibri"/>
          <w:color w:val="000000"/>
          <w:lang w:val="en-GB" w:eastAsia="cs-CZ"/>
        </w:rPr>
        <w:t xml:space="preserve"> has determined that, from 2014 to 2020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will save 47.84 PJ (13.29 </w:t>
      </w:r>
      <w:proofErr w:type="spellStart"/>
      <w:r w:rsidRPr="00177F0B">
        <w:rPr>
          <w:rFonts w:ascii="Calibri" w:eastAsia="Times New Roman" w:hAnsi="Calibri" w:cs="Calibri"/>
          <w:color w:val="000000"/>
          <w:lang w:val="en-GB" w:eastAsia="cs-CZ"/>
        </w:rPr>
        <w:t>TWh</w:t>
      </w:r>
      <w:proofErr w:type="spellEnd"/>
      <w:r w:rsidRPr="00177F0B">
        <w:rPr>
          <w:rFonts w:ascii="Calibri" w:eastAsia="Times New Roman" w:hAnsi="Calibri" w:cs="Calibri"/>
          <w:color w:val="000000"/>
          <w:lang w:val="en-GB" w:eastAsia="cs-CZ"/>
        </w:rPr>
        <w:t xml:space="preserve">) in final energy consumption while ensuring financing </w:t>
      </w:r>
      <w:r>
        <w:rPr>
          <w:rFonts w:ascii="Calibri" w:eastAsia="Times New Roman" w:hAnsi="Calibri" w:cs="Calibri"/>
          <w:color w:val="000000"/>
          <w:lang w:val="en-GB" w:eastAsia="cs-CZ"/>
        </w:rPr>
        <w:t>to achieve</w:t>
      </w:r>
      <w:r w:rsidRPr="00177F0B">
        <w:rPr>
          <w:rFonts w:ascii="Calibri" w:eastAsia="Times New Roman" w:hAnsi="Calibri" w:cs="Calibri"/>
          <w:color w:val="000000"/>
          <w:lang w:val="en-GB" w:eastAsia="cs-CZ"/>
        </w:rPr>
        <w:t xml:space="preserve"> this goal involves the use of both European funds (Operational Programme Enterprise and Innovation for Competitiveness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Operational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rogram</w:t>
      </w:r>
      <w:r>
        <w:rPr>
          <w:rFonts w:ascii="Calibri" w:eastAsia="Times New Roman" w:hAnsi="Calibri" w:cs="Calibri"/>
          <w:color w:val="000000"/>
          <w:lang w:val="en-GB" w:eastAsia="cs-CZ"/>
        </w:rPr>
        <w:t>me E</w:t>
      </w:r>
      <w:r w:rsidRPr="00177F0B">
        <w:rPr>
          <w:rFonts w:ascii="Calibri" w:eastAsia="Times New Roman" w:hAnsi="Calibri" w:cs="Calibri"/>
          <w:color w:val="000000"/>
          <w:lang w:val="en-GB" w:eastAsia="cs-CZ"/>
        </w:rPr>
        <w:t>nvironment and the Integrated Regional Operational Programme) and national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 (New Green</w:t>
      </w:r>
      <w:r>
        <w:rPr>
          <w:rFonts w:ascii="Calibri" w:eastAsia="Times New Roman" w:hAnsi="Calibri" w:cs="Calibri"/>
          <w:color w:val="000000"/>
          <w:lang w:val="en-GB" w:eastAsia="cs-CZ"/>
        </w:rPr>
        <w:t xml:space="preserve"> Light for Savings, </w:t>
      </w:r>
      <w:r w:rsidRPr="00177F0B">
        <w:rPr>
          <w:rFonts w:ascii="Calibri" w:eastAsia="Times New Roman" w:hAnsi="Calibri" w:cs="Calibri"/>
          <w:color w:val="000000"/>
          <w:lang w:val="en-GB" w:eastAsia="cs-CZ"/>
        </w:rPr>
        <w:t>Panel 2013 +). </w:t>
      </w:r>
      <w:r>
        <w:rPr>
          <w:rFonts w:ascii="Calibri" w:eastAsia="Times New Roman" w:hAnsi="Calibri" w:cs="Calibri"/>
          <w:color w:val="000000"/>
          <w:lang w:val="en-GB" w:eastAsia="cs-CZ"/>
        </w:rPr>
        <w:t xml:space="preserve">Investment subsidies from the three above mentioned programmes of the </w:t>
      </w:r>
      <w:r w:rsidRPr="00177F0B">
        <w:rPr>
          <w:rFonts w:ascii="Calibri" w:eastAsia="Times New Roman" w:hAnsi="Calibri" w:cs="Calibri"/>
          <w:color w:val="000000"/>
          <w:lang w:val="en-GB" w:eastAsia="cs-CZ"/>
        </w:rPr>
        <w:t xml:space="preserve">European funds will be channelled into energy savings. In addition to investment subsidies financial engineering instruments will be </w:t>
      </w:r>
      <w:r>
        <w:rPr>
          <w:rFonts w:ascii="Calibri" w:eastAsia="Times New Roman" w:hAnsi="Calibri" w:cs="Calibri"/>
          <w:color w:val="000000"/>
          <w:lang w:val="en-GB" w:eastAsia="cs-CZ"/>
        </w:rPr>
        <w:t>available for</w:t>
      </w:r>
      <w:r w:rsidRPr="00177F0B">
        <w:rPr>
          <w:rFonts w:ascii="Calibri" w:eastAsia="Times New Roman" w:hAnsi="Calibri" w:cs="Calibri"/>
          <w:color w:val="000000"/>
          <w:lang w:val="en-GB" w:eastAsia="cs-CZ"/>
        </w:rPr>
        <w:t xml:space="preserve"> their mutual combination and </w:t>
      </w:r>
      <w:r>
        <w:rPr>
          <w:rFonts w:ascii="Calibri" w:eastAsia="Times New Roman" w:hAnsi="Calibri" w:cs="Calibri"/>
          <w:color w:val="000000"/>
          <w:lang w:val="en-GB" w:eastAsia="cs-CZ"/>
        </w:rPr>
        <w:t>complementation,</w:t>
      </w:r>
      <w:r w:rsidRPr="00177F0B">
        <w:rPr>
          <w:rFonts w:ascii="Calibri" w:eastAsia="Times New Roman" w:hAnsi="Calibri" w:cs="Calibri"/>
          <w:color w:val="000000"/>
          <w:lang w:val="en-GB" w:eastAsia="cs-CZ"/>
        </w:rPr>
        <w:t xml:space="preserve"> such as providing </w:t>
      </w:r>
      <w:r>
        <w:rPr>
          <w:rFonts w:ascii="Calibri" w:eastAsia="Times New Roman" w:hAnsi="Calibri" w:cs="Calibri"/>
          <w:color w:val="000000"/>
          <w:lang w:val="en-GB" w:eastAsia="cs-CZ"/>
        </w:rPr>
        <w:t>preferential</w:t>
      </w:r>
      <w:r w:rsidRPr="00177F0B">
        <w:rPr>
          <w:rFonts w:ascii="Calibri" w:eastAsia="Times New Roman" w:hAnsi="Calibri" w:cs="Calibri"/>
          <w:color w:val="000000"/>
          <w:lang w:val="en-GB" w:eastAsia="cs-CZ"/>
        </w:rPr>
        <w:t xml:space="preserve"> loans for energy-saving measures (e.g.</w:t>
      </w:r>
      <w:r>
        <w:rPr>
          <w:rFonts w:ascii="Calibri" w:eastAsia="Times New Roman" w:hAnsi="Calibri" w:cs="Calibri"/>
          <w:color w:val="000000"/>
          <w:lang w:val="en-GB" w:eastAsia="cs-CZ"/>
        </w:rPr>
        <w:t xml:space="preserve"> JESSICA programme</w:t>
      </w:r>
      <w:r>
        <w:rPr>
          <w:rStyle w:val="Znakapoznpodarou"/>
          <w:rFonts w:ascii="Calibri" w:eastAsia="Times New Roman" w:hAnsi="Calibri" w:cs="Calibri"/>
          <w:color w:val="000000"/>
          <w:lang w:val="en-GB" w:eastAsia="cs-CZ"/>
        </w:rPr>
        <w:footnoteReference w:id="10"/>
      </w:r>
      <w:r w:rsidRPr="00177F0B">
        <w:rPr>
          <w:rFonts w:ascii="Calibri" w:eastAsia="Times New Roman" w:hAnsi="Calibri" w:cs="Calibri"/>
          <w:color w:val="000000"/>
          <w:lang w:val="en-GB" w:eastAsia="cs-CZ"/>
        </w:rPr>
        <w:t> or financial engineering instruments</w:t>
      </w:r>
      <w:r>
        <w:rPr>
          <w:rFonts w:ascii="Calibri" w:eastAsia="Times New Roman" w:hAnsi="Calibri" w:cs="Calibri"/>
          <w:color w:val="000000"/>
          <w:lang w:val="en-GB" w:eastAsia="cs-CZ"/>
        </w:rPr>
        <w:t xml:space="preserve"> in the new programming period</w:t>
      </w:r>
      <w:r>
        <w:rPr>
          <w:rStyle w:val="Znakapoznpodarou"/>
          <w:rFonts w:ascii="Calibri" w:eastAsia="Times New Roman" w:hAnsi="Calibri" w:cs="Calibri"/>
          <w:color w:val="000000"/>
          <w:lang w:val="en-GB" w:eastAsia="cs-CZ"/>
        </w:rPr>
        <w:footnoteReference w:id="11"/>
      </w:r>
      <w:r w:rsidRPr="00177F0B">
        <w:rPr>
          <w:rFonts w:ascii="Calibri" w:eastAsia="Times New Roman" w:hAnsi="Calibri" w:cs="Calibri"/>
          <w:color w:val="000000"/>
          <w:lang w:val="en-GB" w:eastAsia="cs-CZ"/>
        </w:rPr>
        <w:t>).</w:t>
      </w:r>
    </w:p>
    <w:p w:rsidR="0016667B" w:rsidRPr="00177F0B" w:rsidRDefault="0016667B" w:rsidP="0016667B">
      <w:pPr>
        <w:spacing w:after="180"/>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Czech Republic in the past year used a variety of tools, which are mainly related to energy efficiency in buildings, increasing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efficiency in the production, trans</w:t>
      </w:r>
      <w:r>
        <w:rPr>
          <w:rFonts w:ascii="Calibri" w:eastAsia="Times New Roman" w:hAnsi="Calibri" w:cs="Calibri"/>
          <w:color w:val="000000"/>
          <w:lang w:val="en-GB" w:eastAsia="cs-CZ"/>
        </w:rPr>
        <w:t>fer</w:t>
      </w:r>
      <w:r w:rsidRPr="00177F0B">
        <w:rPr>
          <w:rFonts w:ascii="Calibri" w:eastAsia="Times New Roman" w:hAnsi="Calibri" w:cs="Calibri"/>
          <w:color w:val="000000"/>
          <w:lang w:val="en-GB" w:eastAsia="cs-CZ"/>
        </w:rPr>
        <w:t xml:space="preserve"> and consumption of energy, implement</w:t>
      </w:r>
      <w:r w:rsidRPr="00177F0B">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tion of energy labelling, energy audits and assessments</w:t>
      </w:r>
      <w:r>
        <w:rPr>
          <w:rFonts w:ascii="Calibri" w:eastAsia="Times New Roman" w:hAnsi="Calibri" w:cs="Calibri"/>
          <w:color w:val="000000"/>
          <w:lang w:val="en-GB" w:eastAsia="cs-CZ"/>
        </w:rPr>
        <w:t xml:space="preserve"> as well as </w:t>
      </w:r>
      <w:r w:rsidRPr="00177F0B">
        <w:rPr>
          <w:rFonts w:ascii="Calibri" w:eastAsia="Times New Roman" w:hAnsi="Calibri" w:cs="Calibri"/>
          <w:color w:val="000000"/>
          <w:lang w:val="en-GB" w:eastAsia="cs-CZ"/>
        </w:rPr>
        <w:t>the inspection of boilers and air-conditioning equipment.</w:t>
      </w:r>
    </w:p>
    <w:p w:rsidR="0016667B" w:rsidRPr="00177F0B" w:rsidRDefault="0016667B" w:rsidP="0016667B">
      <w:pPr>
        <w:spacing w:after="180"/>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main measure </w:t>
      </w:r>
      <w:r>
        <w:rPr>
          <w:rFonts w:ascii="Calibri" w:eastAsia="Times New Roman" w:hAnsi="Calibri" w:cs="Calibri"/>
          <w:color w:val="000000"/>
          <w:lang w:val="en-GB" w:eastAsia="cs-CZ"/>
        </w:rPr>
        <w:t>in the</w:t>
      </w:r>
      <w:r w:rsidRPr="00177F0B">
        <w:rPr>
          <w:rFonts w:ascii="Calibri" w:eastAsia="Times New Roman" w:hAnsi="Calibri" w:cs="Calibri"/>
          <w:color w:val="000000"/>
          <w:lang w:val="en-GB" w:eastAsia="cs-CZ"/>
        </w:rPr>
        <w:t xml:space="preserve"> last year </w:t>
      </w:r>
      <w:r>
        <w:rPr>
          <w:rFonts w:ascii="Calibri" w:eastAsia="Times New Roman" w:hAnsi="Calibri" w:cs="Calibri"/>
          <w:color w:val="000000"/>
          <w:lang w:val="en-GB" w:eastAsia="cs-CZ"/>
        </w:rPr>
        <w:t>was</w:t>
      </w:r>
      <w:r w:rsidRPr="00177F0B">
        <w:rPr>
          <w:rFonts w:ascii="Calibri" w:eastAsia="Times New Roman" w:hAnsi="Calibri" w:cs="Calibri"/>
          <w:color w:val="000000"/>
          <w:lang w:val="en-GB" w:eastAsia="cs-CZ"/>
        </w:rPr>
        <w:t xml:space="preserve"> a subsidy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w:t>
      </w:r>
      <w:r w:rsidRPr="00076FDB">
        <w:rPr>
          <w:rFonts w:ascii="Calibri" w:eastAsia="Times New Roman" w:hAnsi="Calibri" w:cs="Calibri"/>
          <w:b/>
          <w:color w:val="000000"/>
          <w:lang w:val="en-GB" w:eastAsia="cs-CZ"/>
        </w:rPr>
        <w:t>New Green Light for Savings</w:t>
      </w:r>
      <w:r w:rsidRPr="00177F0B">
        <w:rPr>
          <w:rFonts w:ascii="Calibri" w:eastAsia="Times New Roman" w:hAnsi="Calibri" w:cs="Calibri"/>
          <w:b/>
          <w:bCs/>
          <w:color w:val="000000"/>
          <w:lang w:val="en-GB" w:eastAsia="cs-CZ"/>
        </w:rPr>
        <w:t xml:space="preserve"> 2013</w:t>
      </w:r>
      <w:r w:rsidRPr="00177F0B">
        <w:rPr>
          <w:rFonts w:ascii="Calibri" w:eastAsia="Times New Roman" w:hAnsi="Calibri" w:cs="Calibri"/>
          <w:color w:val="000000"/>
          <w:lang w:val="en-GB" w:eastAsia="cs-CZ"/>
        </w:rPr>
        <w:t>, which aims to improve air quality, reduce g</w:t>
      </w:r>
      <w:r>
        <w:rPr>
          <w:rFonts w:ascii="Calibri" w:eastAsia="Times New Roman" w:hAnsi="Calibri" w:cs="Calibri"/>
          <w:color w:val="000000"/>
          <w:lang w:val="en-GB" w:eastAsia="cs-CZ"/>
        </w:rPr>
        <w:t>reenhouse gas emissions and save</w:t>
      </w:r>
      <w:r w:rsidRPr="00177F0B">
        <w:rPr>
          <w:rFonts w:ascii="Calibri" w:eastAsia="Times New Roman" w:hAnsi="Calibri" w:cs="Calibri"/>
          <w:color w:val="000000"/>
          <w:lang w:val="en-GB" w:eastAsia="cs-CZ"/>
        </w:rPr>
        <w:t xml:space="preserve"> energy in houses.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includes grants for insulation of existing houses, construction of new houses with low energy consumption and efficient use of energy resources (particularly </w:t>
      </w:r>
      <w:r>
        <w:rPr>
          <w:rFonts w:ascii="Calibri" w:eastAsia="Times New Roman" w:hAnsi="Calibri" w:cs="Calibri"/>
          <w:color w:val="000000"/>
          <w:lang w:val="en-GB" w:eastAsia="cs-CZ"/>
        </w:rPr>
        <w:t>by exchanging heat sources). On-going</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 2014 and 2015 </w:t>
      </w:r>
      <w:r>
        <w:rPr>
          <w:rFonts w:ascii="Calibri" w:eastAsia="Times New Roman" w:hAnsi="Calibri" w:cs="Calibri"/>
          <w:color w:val="000000"/>
          <w:lang w:val="en-GB" w:eastAsia="cs-CZ"/>
        </w:rPr>
        <w:t>will be t</w:t>
      </w:r>
      <w:r w:rsidRPr="00177F0B">
        <w:rPr>
          <w:rFonts w:ascii="Calibri" w:eastAsia="Times New Roman" w:hAnsi="Calibri" w:cs="Calibri"/>
          <w:color w:val="000000"/>
          <w:lang w:val="en-GB" w:eastAsia="cs-CZ"/>
        </w:rPr>
        <w:t>he administration of 13,000 ap</w:t>
      </w:r>
      <w:r>
        <w:rPr>
          <w:rFonts w:ascii="Calibri" w:eastAsia="Times New Roman" w:hAnsi="Calibri" w:cs="Calibri"/>
          <w:color w:val="000000"/>
          <w:lang w:val="en-GB" w:eastAsia="cs-CZ"/>
        </w:rPr>
        <w:t>plications registered within the 1</w:t>
      </w:r>
      <w:r w:rsidRPr="00076FDB">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c</w:t>
      </w:r>
      <w:r w:rsidRPr="00177F0B">
        <w:rPr>
          <w:rFonts w:ascii="Calibri" w:eastAsia="Times New Roman" w:hAnsi="Calibri" w:cs="Calibri"/>
          <w:color w:val="000000"/>
          <w:lang w:val="en-GB" w:eastAsia="cs-CZ"/>
        </w:rPr>
        <w:t xml:space="preserve">all for applications for support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the implementation of energy saving measures in the family home segment, which was </w:t>
      </w:r>
      <w:r>
        <w:rPr>
          <w:rFonts w:ascii="Calibri" w:eastAsia="Times New Roman" w:hAnsi="Calibri" w:cs="Calibri"/>
          <w:color w:val="000000"/>
          <w:lang w:val="en-GB" w:eastAsia="cs-CZ"/>
        </w:rPr>
        <w:t>announced on June 13, 2013</w:t>
      </w:r>
      <w:r>
        <w:rPr>
          <w:rStyle w:val="Znakapoznpodarou"/>
          <w:rFonts w:ascii="Calibri" w:eastAsia="Times New Roman" w:hAnsi="Calibri" w:cs="Calibri"/>
          <w:color w:val="000000"/>
          <w:lang w:val="en-GB" w:eastAsia="cs-CZ"/>
        </w:rPr>
        <w:footnoteReference w:id="12"/>
      </w:r>
      <w:r w:rsidRPr="00177F0B">
        <w:rPr>
          <w:rFonts w:ascii="Calibri" w:eastAsia="Times New Roman" w:hAnsi="Calibri" w:cs="Calibri"/>
          <w:color w:val="000000"/>
          <w:lang w:val="en-GB" w:eastAsia="cs-CZ"/>
        </w:rPr>
        <w:t>. Since 2014, this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is</w:t>
      </w:r>
      <w:r>
        <w:rPr>
          <w:rFonts w:ascii="Calibri" w:eastAsia="Times New Roman" w:hAnsi="Calibri" w:cs="Calibri"/>
          <w:color w:val="000000"/>
          <w:lang w:val="en-GB" w:eastAsia="cs-CZ"/>
        </w:rPr>
        <w:t xml:space="preserve"> followed up by a</w:t>
      </w:r>
      <w:r w:rsidRPr="00177F0B">
        <w:rPr>
          <w:rFonts w:ascii="Calibri" w:eastAsia="Times New Roman" w:hAnsi="Calibri" w:cs="Calibri"/>
          <w:color w:val="000000"/>
          <w:lang w:val="en-GB" w:eastAsia="cs-CZ"/>
        </w:rPr>
        <w:t xml:space="preserve"> program</w:t>
      </w:r>
      <w:r>
        <w:rPr>
          <w:rFonts w:ascii="Calibri" w:eastAsia="Times New Roman" w:hAnsi="Calibri" w:cs="Calibri"/>
          <w:color w:val="000000"/>
          <w:lang w:val="en-GB" w:eastAsia="cs-CZ"/>
        </w:rPr>
        <w:t xml:space="preserve">me </w:t>
      </w:r>
      <w:r w:rsidRPr="00177F0B">
        <w:rPr>
          <w:rFonts w:ascii="Calibri" w:eastAsia="Times New Roman" w:hAnsi="Calibri" w:cs="Calibri"/>
          <w:color w:val="000000"/>
          <w:lang w:val="en-GB" w:eastAsia="cs-CZ"/>
        </w:rPr>
        <w:t>same goals</w:t>
      </w:r>
      <w:r>
        <w:rPr>
          <w:rFonts w:ascii="Calibri" w:eastAsia="Times New Roman" w:hAnsi="Calibri" w:cs="Calibri"/>
          <w:color w:val="000000"/>
          <w:lang w:val="en-GB" w:eastAsia="cs-CZ"/>
        </w:rPr>
        <w:t xml:space="preserve"> </w:t>
      </w:r>
      <w:r w:rsidRPr="008E2B64">
        <w:rPr>
          <w:rFonts w:ascii="Calibri" w:eastAsia="Times New Roman" w:hAnsi="Calibri" w:cs="Calibri"/>
          <w:color w:val="000000"/>
          <w:lang w:val="en-GB" w:eastAsia="cs-CZ"/>
        </w:rPr>
        <w:t>New Green Light for Savings</w:t>
      </w:r>
      <w:r w:rsidRPr="00177F0B">
        <w:rPr>
          <w:rFonts w:ascii="Calibri" w:eastAsia="Times New Roman" w:hAnsi="Calibri" w:cs="Calibri"/>
          <w:color w:val="000000"/>
          <w:lang w:val="en-GB" w:eastAsia="cs-CZ"/>
        </w:rPr>
        <w:t xml:space="preserve">, whose documentation was approved by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on 6</w:t>
      </w:r>
      <w:r w:rsidRPr="008E2B64">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lastRenderedPageBreak/>
        <w:t>November 2013 and</w:t>
      </w:r>
      <w:r>
        <w:rPr>
          <w:rFonts w:ascii="Calibri" w:eastAsia="Times New Roman" w:hAnsi="Calibri" w:cs="Calibri"/>
          <w:color w:val="000000"/>
          <w:lang w:val="en-GB" w:eastAsia="cs-CZ"/>
        </w:rPr>
        <w:t xml:space="preserve"> on</w:t>
      </w:r>
      <w:r w:rsidRPr="00177F0B">
        <w:rPr>
          <w:rFonts w:ascii="Calibri" w:eastAsia="Times New Roman" w:hAnsi="Calibri" w:cs="Calibri"/>
          <w:color w:val="000000"/>
          <w:lang w:val="en-GB" w:eastAsia="cs-CZ"/>
        </w:rPr>
        <w:t xml:space="preserve"> 6</w:t>
      </w:r>
      <w:r w:rsidRPr="008E2B64">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 the program</w:t>
      </w:r>
      <w:r>
        <w:rPr>
          <w:rFonts w:ascii="Calibri" w:eastAsia="Times New Roman" w:hAnsi="Calibri" w:cs="Calibri"/>
          <w:color w:val="000000"/>
          <w:lang w:val="en-GB" w:eastAsia="cs-CZ"/>
        </w:rPr>
        <w:t xml:space="preserve">me has been </w:t>
      </w:r>
      <w:r w:rsidRPr="00177F0B">
        <w:rPr>
          <w:rFonts w:ascii="Calibri" w:eastAsia="Times New Roman" w:hAnsi="Calibri" w:cs="Calibri"/>
          <w:color w:val="000000"/>
          <w:lang w:val="en-GB" w:eastAsia="cs-CZ"/>
        </w:rPr>
        <w:t>declared along with the first call for applications for support to the implementation of energy s</w:t>
      </w:r>
      <w:r>
        <w:rPr>
          <w:rFonts w:ascii="Calibri" w:eastAsia="Times New Roman" w:hAnsi="Calibri" w:cs="Calibri"/>
          <w:color w:val="000000"/>
          <w:lang w:val="en-GB" w:eastAsia="cs-CZ"/>
        </w:rPr>
        <w:t>aving measures in houses</w:t>
      </w:r>
      <w:r>
        <w:rPr>
          <w:rStyle w:val="Znakapoznpodarou"/>
          <w:rFonts w:ascii="Calibri" w:eastAsia="Times New Roman" w:hAnsi="Calibri" w:cs="Calibri"/>
          <w:color w:val="000000"/>
          <w:lang w:val="en-GB" w:eastAsia="cs-CZ"/>
        </w:rPr>
        <w:footnoteReference w:id="13"/>
      </w:r>
      <w:r w:rsidRPr="00177F0B">
        <w:rPr>
          <w:rFonts w:ascii="Calibri" w:eastAsia="Times New Roman" w:hAnsi="Calibri" w:cs="Calibri"/>
          <w:color w:val="000000"/>
          <w:lang w:val="en-GB" w:eastAsia="cs-CZ"/>
        </w:rPr>
        <w:t>.</w:t>
      </w:r>
    </w:p>
    <w:p w:rsidR="0016667B" w:rsidRPr="00177F0B" w:rsidRDefault="0016667B" w:rsidP="0016667B">
      <w:pPr>
        <w:spacing w:after="180"/>
        <w:rPr>
          <w:rFonts w:ascii="Calibri" w:eastAsia="Times New Roman" w:hAnsi="Calibri" w:cs="Calibri"/>
          <w:color w:val="000000"/>
          <w:lang w:val="en-GB" w:eastAsia="cs-CZ"/>
        </w:rPr>
      </w:pP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w:t>
      </w:r>
      <w:r w:rsidRPr="00076FDB">
        <w:rPr>
          <w:rFonts w:ascii="Calibri" w:eastAsia="Times New Roman" w:hAnsi="Calibri" w:cs="Calibri"/>
          <w:b/>
          <w:color w:val="000000"/>
          <w:lang w:val="en-GB" w:eastAsia="cs-CZ"/>
        </w:rPr>
        <w:t>New Green Light for Savings</w:t>
      </w:r>
      <w:r w:rsidRPr="00177F0B">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 xml:space="preserve">programme </w:t>
      </w:r>
      <w:r w:rsidRPr="00177F0B">
        <w:rPr>
          <w:rFonts w:ascii="Calibri" w:eastAsia="Times New Roman" w:hAnsi="Calibri" w:cs="Calibri"/>
          <w:color w:val="000000"/>
          <w:lang w:val="en-GB" w:eastAsia="cs-CZ"/>
        </w:rPr>
        <w:t xml:space="preserve">is </w:t>
      </w:r>
      <w:r w:rsidR="0059270B">
        <w:rPr>
          <w:rFonts w:ascii="Calibri" w:eastAsia="Times New Roman" w:hAnsi="Calibri" w:cs="Calibri"/>
          <w:color w:val="000000"/>
          <w:lang w:val="en-GB" w:eastAsia="cs-CZ"/>
        </w:rPr>
        <w:t>an important pro-growth measure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positive impact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on the Czech economy, both directly to the state budget and the development of business in the affected areas of construction, engineering and other related sectors. Another important pro-growth effect will </w:t>
      </w:r>
      <w:r>
        <w:rPr>
          <w:rFonts w:ascii="Calibri" w:eastAsia="Times New Roman" w:hAnsi="Calibri" w:cs="Calibri"/>
          <w:color w:val="000000"/>
          <w:lang w:val="en-GB" w:eastAsia="cs-CZ"/>
        </w:rPr>
        <w:t>be the creation or preservation of</w:t>
      </w:r>
      <w:r w:rsidRPr="00177F0B">
        <w:rPr>
          <w:rFonts w:ascii="Calibri" w:eastAsia="Times New Roman" w:hAnsi="Calibri" w:cs="Calibri"/>
          <w:color w:val="000000"/>
          <w:lang w:val="en-GB" w:eastAsia="cs-CZ"/>
        </w:rPr>
        <w:t xml:space="preserve"> tens of thousands of jobs.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is set to achieve high financial leverage and </w:t>
      </w:r>
      <w:r>
        <w:rPr>
          <w:rFonts w:ascii="Calibri" w:eastAsia="Times New Roman" w:hAnsi="Calibri" w:cs="Calibri"/>
          <w:color w:val="000000"/>
          <w:lang w:val="en-GB" w:eastAsia="cs-CZ"/>
        </w:rPr>
        <w:t xml:space="preserve">a high level of mobilization </w:t>
      </w:r>
      <w:r w:rsidRPr="00177F0B">
        <w:rPr>
          <w:rFonts w:ascii="Calibri" w:eastAsia="Times New Roman" w:hAnsi="Calibri" w:cs="Calibri"/>
          <w:color w:val="000000"/>
          <w:lang w:val="en-GB" w:eastAsia="cs-CZ"/>
        </w:rPr>
        <w:t>of the private sector</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 xml:space="preserve">own resources. Expected funding </w:t>
      </w:r>
      <w:r>
        <w:rPr>
          <w:rFonts w:ascii="Calibri" w:eastAsia="Times New Roman" w:hAnsi="Calibri" w:cs="Calibri"/>
          <w:color w:val="000000"/>
          <w:lang w:val="en-GB" w:eastAsia="cs-CZ"/>
        </w:rPr>
        <w:t xml:space="preserve">for the </w:t>
      </w:r>
      <w:r w:rsidRPr="00177F0B">
        <w:rPr>
          <w:rFonts w:ascii="Calibri" w:eastAsia="Times New Roman" w:hAnsi="Calibri" w:cs="Calibri"/>
          <w:color w:val="000000"/>
          <w:lang w:val="en-GB" w:eastAsia="cs-CZ"/>
        </w:rPr>
        <w:t>program</w:t>
      </w:r>
      <w:r>
        <w:rPr>
          <w:rFonts w:ascii="Calibri" w:eastAsia="Times New Roman" w:hAnsi="Calibri" w:cs="Calibri"/>
          <w:color w:val="000000"/>
          <w:lang w:val="en-GB" w:eastAsia="cs-CZ"/>
        </w:rPr>
        <w:t>me is</w:t>
      </w:r>
      <w:r w:rsidRPr="00177F0B">
        <w:rPr>
          <w:rFonts w:ascii="Calibri" w:eastAsia="Times New Roman" w:hAnsi="Calibri" w:cs="Calibri"/>
          <w:color w:val="000000"/>
          <w:lang w:val="en-GB" w:eastAsia="cs-CZ"/>
        </w:rPr>
        <w:t xml:space="preserve"> 27 billion CZK (according to Act. No. 383/2012 Coll. </w:t>
      </w:r>
      <w:r>
        <w:rPr>
          <w:rFonts w:ascii="Calibri" w:eastAsia="Times New Roman" w:hAnsi="Calibri" w:cs="Calibri"/>
          <w:color w:val="000000"/>
          <w:lang w:val="en-GB" w:eastAsia="cs-CZ"/>
        </w:rPr>
        <w:t>this is</w:t>
      </w:r>
      <w:r w:rsidRPr="00177F0B">
        <w:rPr>
          <w:rFonts w:ascii="Calibri" w:eastAsia="Times New Roman" w:hAnsi="Calibri" w:cs="Calibri"/>
          <w:color w:val="000000"/>
          <w:lang w:val="en-GB" w:eastAsia="cs-CZ"/>
        </w:rPr>
        <w:t xml:space="preserve"> a share of the proceeds of auctions of EUA emission allowances </w:t>
      </w:r>
      <w:r>
        <w:rPr>
          <w:rFonts w:ascii="Calibri" w:eastAsia="Times New Roman" w:hAnsi="Calibri" w:cs="Calibri"/>
          <w:color w:val="000000"/>
          <w:lang w:val="en-GB" w:eastAsia="cs-CZ"/>
        </w:rPr>
        <w:t xml:space="preserve">within the </w:t>
      </w:r>
      <w:r w:rsidRPr="00177F0B">
        <w:rPr>
          <w:rFonts w:ascii="Calibri" w:eastAsia="Times New Roman" w:hAnsi="Calibri" w:cs="Calibri"/>
          <w:color w:val="000000"/>
          <w:lang w:val="en-GB" w:eastAsia="cs-CZ"/>
        </w:rPr>
        <w:t>2013-2020</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trading period). Administration of applications will take place between 2014 and 2023. </w:t>
      </w:r>
      <w:r w:rsidRPr="00554BDF">
        <w:rPr>
          <w:rFonts w:ascii="Calibri" w:eastAsia="Times New Roman" w:hAnsi="Calibri" w:cs="Calibri"/>
          <w:color w:val="000000"/>
          <w:lang w:val="en-GB" w:eastAsia="cs-CZ"/>
        </w:rPr>
        <w:t>The New Green Light for Savings programme</w:t>
      </w:r>
      <w:r w:rsidRPr="00177F0B">
        <w:rPr>
          <w:rFonts w:ascii="Calibri" w:eastAsia="Times New Roman" w:hAnsi="Calibri" w:cs="Calibri"/>
          <w:color w:val="000000"/>
          <w:lang w:val="en-GB" w:eastAsia="cs-CZ"/>
        </w:rPr>
        <w:t xml:space="preserve"> is aimed at supporting the implementation of energy saving measures in family homes, apartment buildings and public sector buildings.</w:t>
      </w:r>
      <w:r>
        <w:rPr>
          <w:rFonts w:ascii="Calibri" w:eastAsia="Times New Roman" w:hAnsi="Calibri" w:cs="Calibri"/>
          <w:color w:val="000000"/>
          <w:lang w:val="en-GB" w:eastAsia="cs-CZ"/>
        </w:rPr>
        <w:t xml:space="preserve"> </w:t>
      </w:r>
    </w:p>
    <w:p w:rsidR="0016667B" w:rsidRPr="00177F0B" w:rsidRDefault="0016667B" w:rsidP="0016667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Reducing energy consumption is also part of the comprehensive renovation of residential buildings under the </w:t>
      </w:r>
      <w:r w:rsidRPr="00177F0B">
        <w:rPr>
          <w:rFonts w:ascii="Calibri" w:eastAsia="Times New Roman" w:hAnsi="Calibri" w:cs="Calibri"/>
          <w:b/>
          <w:bCs/>
          <w:color w:val="000000"/>
          <w:lang w:val="en-GB" w:eastAsia="cs-CZ"/>
        </w:rPr>
        <w:t>PANEL 2013 +</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programme</w:t>
      </w:r>
      <w:r w:rsidRPr="00177F0B">
        <w:rPr>
          <w:rFonts w:ascii="Calibri" w:eastAsia="Times New Roman" w:hAnsi="Calibri" w:cs="Calibri"/>
          <w:color w:val="000000"/>
          <w:lang w:val="en-GB" w:eastAsia="cs-CZ"/>
        </w:rPr>
        <w:t>, which was not</w:t>
      </w:r>
      <w:r>
        <w:rPr>
          <w:rFonts w:ascii="Calibri" w:eastAsia="Times New Roman" w:hAnsi="Calibri" w:cs="Calibri"/>
          <w:color w:val="000000"/>
          <w:lang w:val="en-GB" w:eastAsia="cs-CZ"/>
        </w:rPr>
        <w:t>ified in 2013 and implemented between</w:t>
      </w:r>
      <w:r w:rsidRPr="00177F0B">
        <w:rPr>
          <w:rFonts w:ascii="Calibri" w:eastAsia="Times New Roman" w:hAnsi="Calibri" w:cs="Calibri"/>
          <w:color w:val="000000"/>
          <w:lang w:val="en-GB" w:eastAsia="cs-CZ"/>
        </w:rPr>
        <w:t xml:space="preserve"> 2013 </w:t>
      </w:r>
      <w:r>
        <w:rPr>
          <w:rFonts w:ascii="Calibri" w:eastAsia="Times New Roman" w:hAnsi="Calibri" w:cs="Calibri"/>
          <w:color w:val="000000"/>
          <w:lang w:val="en-GB" w:eastAsia="cs-CZ"/>
        </w:rPr>
        <w:t xml:space="preserve">and </w:t>
      </w:r>
      <w:r w:rsidRPr="00177F0B">
        <w:rPr>
          <w:rFonts w:ascii="Calibri" w:eastAsia="Times New Roman" w:hAnsi="Calibri" w:cs="Calibri"/>
          <w:color w:val="000000"/>
          <w:lang w:val="en-GB" w:eastAsia="cs-CZ"/>
        </w:rPr>
        <w:t>2020. This is a long-term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which in the form of low-interest loans from the State Housing Development Fund</w:t>
      </w:r>
      <w:r>
        <w:rPr>
          <w:rStyle w:val="Znakapoznpodarou"/>
          <w:rFonts w:ascii="Calibri" w:eastAsia="Times New Roman" w:hAnsi="Calibri" w:cs="Calibri"/>
          <w:color w:val="000000"/>
          <w:lang w:val="en-GB" w:eastAsia="cs-CZ"/>
        </w:rPr>
        <w:footnoteReference w:id="14"/>
      </w:r>
      <w:r w:rsidRPr="00177F0B">
        <w:rPr>
          <w:rFonts w:ascii="Calibri" w:eastAsia="Times New Roman" w:hAnsi="Calibri" w:cs="Calibri"/>
          <w:color w:val="000000"/>
          <w:lang w:val="en-GB" w:eastAsia="cs-CZ"/>
        </w:rPr>
        <w:t xml:space="preserve">  for repairs and modernization of residential buildings contributes to </w:t>
      </w:r>
      <w:r>
        <w:rPr>
          <w:rFonts w:ascii="Calibri" w:eastAsia="Times New Roman" w:hAnsi="Calibri" w:cs="Calibri"/>
          <w:color w:val="000000"/>
          <w:lang w:val="en-GB" w:eastAsia="cs-CZ"/>
        </w:rPr>
        <w:t>the reduction of</w:t>
      </w:r>
      <w:r w:rsidRPr="00177F0B">
        <w:rPr>
          <w:rFonts w:ascii="Calibri" w:eastAsia="Times New Roman" w:hAnsi="Calibri" w:cs="Calibri"/>
          <w:color w:val="000000"/>
          <w:lang w:val="en-GB" w:eastAsia="cs-CZ"/>
        </w:rPr>
        <w:t xml:space="preserve"> the energy intensity of residential buildings including</w:t>
      </w:r>
      <w:r>
        <w:rPr>
          <w:rFonts w:ascii="Calibri" w:eastAsia="Times New Roman" w:hAnsi="Calibri" w:cs="Calibri"/>
          <w:color w:val="000000"/>
          <w:lang w:val="en-GB" w:eastAsia="cs-CZ"/>
        </w:rPr>
        <w:t xml:space="preserve"> the reduction of</w:t>
      </w:r>
      <w:r w:rsidRPr="00177F0B">
        <w:rPr>
          <w:rFonts w:ascii="Calibri" w:eastAsia="Times New Roman" w:hAnsi="Calibri" w:cs="Calibri"/>
          <w:color w:val="000000"/>
          <w:lang w:val="en-GB" w:eastAsia="cs-CZ"/>
        </w:rPr>
        <w:t xml:space="preserve"> household energy costs. The measure has a significant multiplier effects for the construction sector with a positive impact on the state budget. In 2013, the project supported the reconstruction of 3011 </w:t>
      </w:r>
      <w:r>
        <w:rPr>
          <w:rFonts w:ascii="Calibri" w:eastAsia="Times New Roman" w:hAnsi="Calibri" w:cs="Calibri"/>
          <w:color w:val="000000"/>
          <w:lang w:val="en-GB" w:eastAsia="cs-CZ"/>
        </w:rPr>
        <w:t>flats for</w:t>
      </w:r>
      <w:r w:rsidRPr="00177F0B">
        <w:rPr>
          <w:rFonts w:ascii="Calibri" w:eastAsia="Times New Roman" w:hAnsi="Calibri" w:cs="Calibri"/>
          <w:color w:val="000000"/>
          <w:lang w:val="en-GB" w:eastAsia="cs-CZ"/>
        </w:rPr>
        <w:t xml:space="preserve"> which</w:t>
      </w:r>
      <w:r w:rsidRPr="00D65F71">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the State Housing Development Fund provided loans in the amount of </w:t>
      </w:r>
      <w:r>
        <w:rPr>
          <w:rFonts w:ascii="Calibri" w:eastAsia="Times New Roman" w:hAnsi="Calibri" w:cs="Calibri"/>
          <w:color w:val="000000"/>
          <w:lang w:val="en-GB" w:eastAsia="cs-CZ"/>
        </w:rPr>
        <w:t>346.29 million</w:t>
      </w:r>
      <w:r w:rsidRPr="00D65F71">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CZK. For the year 2014 it is expected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that </w:t>
      </w:r>
      <w:r w:rsidRPr="00177F0B">
        <w:rPr>
          <w:rFonts w:ascii="Calibri" w:eastAsia="Times New Roman" w:hAnsi="Calibri" w:cs="Calibri"/>
          <w:color w:val="000000"/>
          <w:lang w:val="en-GB" w:eastAsia="cs-CZ"/>
        </w:rPr>
        <w:t xml:space="preserve">the financial resources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low-interest loans </w:t>
      </w:r>
      <w:r>
        <w:rPr>
          <w:rFonts w:ascii="Calibri" w:eastAsia="Times New Roman" w:hAnsi="Calibri" w:cs="Calibri"/>
          <w:color w:val="000000"/>
          <w:lang w:val="en-GB" w:eastAsia="cs-CZ"/>
        </w:rPr>
        <w:t>will amount to</w:t>
      </w:r>
      <w:r w:rsidRPr="00177F0B">
        <w:rPr>
          <w:rFonts w:ascii="Calibri" w:eastAsia="Times New Roman" w:hAnsi="Calibri" w:cs="Calibri"/>
          <w:color w:val="000000"/>
          <w:lang w:val="en-GB" w:eastAsia="cs-CZ"/>
        </w:rPr>
        <w:t xml:space="preserve"> 1,320 million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CZK</w:t>
      </w:r>
      <w:r>
        <w:rPr>
          <w:rStyle w:val="Znakapoznpodarou"/>
          <w:rFonts w:ascii="Calibri" w:eastAsia="Times New Roman" w:hAnsi="Calibri" w:cs="Calibri"/>
          <w:color w:val="000000"/>
          <w:lang w:val="en-GB" w:eastAsia="cs-CZ"/>
        </w:rPr>
        <w:footnoteReference w:id="15"/>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State Housing Development Fund expects that it will provide loans amounting to CZK 600 million</w:t>
      </w:r>
      <w:r>
        <w:rPr>
          <w:rFonts w:ascii="Calibri" w:eastAsia="Times New Roman" w:hAnsi="Calibri" w:cs="Calibri"/>
          <w:color w:val="000000"/>
          <w:lang w:val="en-GB" w:eastAsia="cs-CZ"/>
        </w:rPr>
        <w:t xml:space="preserve"> within </w:t>
      </w:r>
      <w:r w:rsidRPr="00177F0B">
        <w:rPr>
          <w:rFonts w:ascii="Calibri" w:eastAsia="Times New Roman" w:hAnsi="Calibri" w:cs="Calibri"/>
          <w:color w:val="000000"/>
          <w:lang w:val="en-GB" w:eastAsia="cs-CZ"/>
        </w:rPr>
        <w:t>the PANEL 2013 +</w:t>
      </w:r>
      <w:r>
        <w:rPr>
          <w:rFonts w:ascii="Calibri" w:eastAsia="Times New Roman" w:hAnsi="Calibri" w:cs="Calibri"/>
          <w:color w:val="000000"/>
          <w:lang w:val="en-GB" w:eastAsia="cs-CZ"/>
        </w:rPr>
        <w:t xml:space="preserve"> programme</w:t>
      </w:r>
      <w:r w:rsidRPr="00177F0B">
        <w:rPr>
          <w:rFonts w:ascii="Calibri" w:eastAsia="Times New Roman" w:hAnsi="Calibri" w:cs="Calibri"/>
          <w:color w:val="000000"/>
          <w:lang w:val="en-GB" w:eastAsia="cs-CZ"/>
        </w:rPr>
        <w:t>.</w:t>
      </w:r>
    </w:p>
    <w:p w:rsidR="0016667B" w:rsidRPr="00177F0B" w:rsidRDefault="0016667B" w:rsidP="0016667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Two</w:t>
      </w:r>
      <w:r>
        <w:rPr>
          <w:rFonts w:ascii="Calibri" w:eastAsia="Times New Roman" w:hAnsi="Calibri" w:cs="Calibri"/>
          <w:color w:val="000000"/>
          <w:lang w:val="en-GB" w:eastAsia="cs-CZ"/>
        </w:rPr>
        <w:t xml:space="preserve"> topical</w:t>
      </w:r>
      <w:r w:rsidRPr="00177F0B">
        <w:rPr>
          <w:rFonts w:ascii="Calibri" w:eastAsia="Times New Roman" w:hAnsi="Calibri" w:cs="Calibri"/>
          <w:color w:val="000000"/>
          <w:lang w:val="en-GB" w:eastAsia="cs-CZ"/>
        </w:rPr>
        <w:t xml:space="preserve"> operational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w:t>
      </w:r>
      <w:r>
        <w:rPr>
          <w:rFonts w:ascii="Calibri" w:eastAsia="Times New Roman" w:hAnsi="Calibri" w:cs="Calibri"/>
          <w:color w:val="000000"/>
          <w:lang w:val="en-GB" w:eastAsia="cs-CZ"/>
        </w:rPr>
        <w:t xml:space="preserve"> were used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n the programming period 2007 - 2013 for the purpose of reducing the energy consumption</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objectives</w:t>
      </w:r>
      <w:r>
        <w:rPr>
          <w:rFonts w:ascii="Calibri" w:eastAsia="Times New Roman" w:hAnsi="Calibri" w:cs="Calibri"/>
          <w:color w:val="000000"/>
          <w:lang w:val="en-GB" w:eastAsia="cs-CZ"/>
        </w:rPr>
        <w:t xml:space="preserve"> of which</w:t>
      </w:r>
      <w:r w:rsidRPr="00177F0B">
        <w:rPr>
          <w:rFonts w:ascii="Calibri" w:eastAsia="Times New Roman" w:hAnsi="Calibri" w:cs="Calibri"/>
          <w:color w:val="000000"/>
          <w:lang w:val="en-GB" w:eastAsia="cs-CZ"/>
        </w:rPr>
        <w:t xml:space="preserve"> include promoting energy efficiency measures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Operational Programme Environment (OPE) and the Operational Programme Enterprise and Innovations (OPEI). For the purpose of reducing the energy consumption of deprived areas in cities of over 20,000 inhabitants </w:t>
      </w:r>
      <w:r>
        <w:rPr>
          <w:rFonts w:ascii="Calibri" w:eastAsia="Times New Roman" w:hAnsi="Calibri" w:cs="Calibri"/>
          <w:color w:val="000000"/>
          <w:lang w:val="en-GB" w:eastAsia="cs-CZ"/>
        </w:rPr>
        <w:t>the</w:t>
      </w:r>
      <w:r w:rsidRPr="005E25FA">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IOP</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financial resources are also </w:t>
      </w:r>
      <w:r>
        <w:rPr>
          <w:rFonts w:ascii="Calibri" w:eastAsia="Times New Roman" w:hAnsi="Calibri" w:cs="Calibri"/>
          <w:color w:val="000000"/>
          <w:lang w:val="en-GB" w:eastAsia="cs-CZ"/>
        </w:rPr>
        <w:t xml:space="preserve">being </w:t>
      </w:r>
      <w:r w:rsidRPr="00177F0B">
        <w:rPr>
          <w:rFonts w:ascii="Calibri" w:eastAsia="Times New Roman" w:hAnsi="Calibri" w:cs="Calibri"/>
          <w:color w:val="000000"/>
          <w:lang w:val="en-GB" w:eastAsia="cs-CZ"/>
        </w:rPr>
        <w:t>used, not only in the form of grant</w:t>
      </w:r>
      <w:r>
        <w:rPr>
          <w:rFonts w:ascii="Calibri" w:eastAsia="Times New Roman" w:hAnsi="Calibri" w:cs="Calibri"/>
          <w:color w:val="000000"/>
          <w:lang w:val="en-GB" w:eastAsia="cs-CZ"/>
        </w:rPr>
        <w:t>s, but also through the use of preferential</w:t>
      </w:r>
      <w:r w:rsidRPr="00177F0B">
        <w:rPr>
          <w:rFonts w:ascii="Calibri" w:eastAsia="Times New Roman" w:hAnsi="Calibri" w:cs="Calibri"/>
          <w:color w:val="000000"/>
          <w:lang w:val="en-GB" w:eastAsia="cs-CZ"/>
        </w:rPr>
        <w:t xml:space="preserve"> loans </w:t>
      </w:r>
      <w:r>
        <w:rPr>
          <w:rFonts w:ascii="Calibri" w:eastAsia="Times New Roman" w:hAnsi="Calibri" w:cs="Calibri"/>
          <w:color w:val="000000"/>
          <w:lang w:val="en-GB" w:eastAsia="cs-CZ"/>
        </w:rPr>
        <w:t>via</w:t>
      </w:r>
      <w:r w:rsidRPr="00177F0B">
        <w:rPr>
          <w:rFonts w:ascii="Calibri" w:eastAsia="Times New Roman" w:hAnsi="Calibri" w:cs="Calibri"/>
          <w:color w:val="000000"/>
          <w:lang w:val="en-GB" w:eastAsia="cs-CZ"/>
        </w:rPr>
        <w:t xml:space="preserve"> the JESSICA financial instrument.</w:t>
      </w:r>
      <w:r>
        <w:rPr>
          <w:rFonts w:ascii="Calibri" w:eastAsia="Times New Roman" w:hAnsi="Calibri" w:cs="Calibri"/>
          <w:color w:val="000000"/>
          <w:lang w:val="en-GB" w:eastAsia="cs-CZ"/>
        </w:rPr>
        <w:t xml:space="preserve"> </w:t>
      </w:r>
    </w:p>
    <w:p w:rsidR="0016667B" w:rsidRPr="00177F0B" w:rsidRDefault="0016667B" w:rsidP="0016667B">
      <w:pPr>
        <w:spacing w:after="180"/>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OPE contains a separate priority </w:t>
      </w:r>
      <w:r w:rsidRPr="00177F0B">
        <w:rPr>
          <w:rFonts w:ascii="Calibri" w:eastAsia="Times New Roman" w:hAnsi="Calibri" w:cs="Calibri"/>
          <w:b/>
          <w:bCs/>
          <w:color w:val="000000"/>
          <w:lang w:val="en-GB" w:eastAsia="cs-CZ"/>
        </w:rPr>
        <w:t>Sustainable Use of Energy</w:t>
      </w:r>
      <w:r>
        <w:rPr>
          <w:rFonts w:ascii="Calibri" w:eastAsia="Times New Roman" w:hAnsi="Calibri" w:cs="Calibri"/>
          <w:b/>
          <w:bCs/>
          <w:color w:val="000000"/>
          <w:lang w:val="en-GB" w:eastAsia="cs-CZ"/>
        </w:rPr>
        <w:t xml:space="preserve"> Sources</w:t>
      </w:r>
      <w:r w:rsidRPr="00177F0B">
        <w:rPr>
          <w:rFonts w:ascii="Calibri" w:eastAsia="Times New Roman" w:hAnsi="Calibri" w:cs="Calibri"/>
          <w:color w:val="000000"/>
          <w:lang w:val="en-GB" w:eastAsia="cs-CZ"/>
        </w:rPr>
        <w:t> , which aims to increase production capacity from renewable energy sources, more efficient use of waste heat, reduct</w:t>
      </w:r>
      <w:r>
        <w:rPr>
          <w:rFonts w:ascii="Calibri" w:eastAsia="Times New Roman" w:hAnsi="Calibri" w:cs="Calibri"/>
          <w:color w:val="000000"/>
          <w:lang w:val="en-GB" w:eastAsia="cs-CZ"/>
        </w:rPr>
        <w:t>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energy consumption for heating or replace</w:t>
      </w:r>
      <w:r>
        <w:rPr>
          <w:rFonts w:ascii="Calibri" w:eastAsia="Times New Roman" w:hAnsi="Calibri" w:cs="Calibri"/>
          <w:color w:val="000000"/>
          <w:lang w:val="en-GB" w:eastAsia="cs-CZ"/>
        </w:rPr>
        <w:t>ment</w:t>
      </w:r>
      <w:r w:rsidRPr="00177F0B">
        <w:rPr>
          <w:rFonts w:ascii="Calibri" w:eastAsia="Times New Roman" w:hAnsi="Calibri" w:cs="Calibri"/>
          <w:color w:val="000000"/>
          <w:lang w:val="en-GB" w:eastAsia="cs-CZ"/>
        </w:rPr>
        <w:t xml:space="preserve"> fossil fuels.</w:t>
      </w:r>
    </w:p>
    <w:p w:rsidR="0016667B" w:rsidRPr="00177F0B" w:rsidRDefault="0016667B" w:rsidP="0016667B">
      <w:pPr>
        <w:spacing w:after="180"/>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Program </w:t>
      </w:r>
      <w:r w:rsidRPr="00177F0B">
        <w:rPr>
          <w:rFonts w:ascii="Calibri" w:eastAsia="Times New Roman" w:hAnsi="Calibri" w:cs="Calibri"/>
          <w:b/>
          <w:bCs/>
          <w:color w:val="000000"/>
          <w:lang w:val="en-GB" w:eastAsia="cs-CZ"/>
        </w:rPr>
        <w:t>Eco-</w:t>
      </w:r>
      <w:r w:rsidR="0059270B" w:rsidRPr="00177F0B">
        <w:rPr>
          <w:rFonts w:ascii="Calibri" w:eastAsia="Times New Roman" w:hAnsi="Calibri" w:cs="Calibri"/>
          <w:b/>
          <w:bCs/>
          <w:color w:val="000000"/>
          <w:lang w:val="en-GB" w:eastAsia="cs-CZ"/>
        </w:rPr>
        <w:t>Energy</w:t>
      </w:r>
      <w:r w:rsidR="0059270B" w:rsidRPr="00177F0B">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which is one of the priorities of the OPEI is aimed to contribute to reducing the energy intensity of industry. It focuses on the modernization of existing facilities generati</w:t>
      </w:r>
      <w:r>
        <w:rPr>
          <w:rFonts w:ascii="Calibri" w:eastAsia="Times New Roman" w:hAnsi="Calibri" w:cs="Calibri"/>
          <w:color w:val="000000"/>
          <w:lang w:val="en-GB" w:eastAsia="cs-CZ"/>
        </w:rPr>
        <w:t xml:space="preserve">ng </w:t>
      </w:r>
      <w:r w:rsidRPr="00177F0B">
        <w:rPr>
          <w:rFonts w:ascii="Calibri" w:eastAsia="Times New Roman" w:hAnsi="Calibri" w:cs="Calibri"/>
          <w:color w:val="000000"/>
          <w:lang w:val="en-GB" w:eastAsia="cs-CZ"/>
        </w:rPr>
        <w:t xml:space="preserve">power for their own use, the reconstruction of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electricity and heat</w:t>
      </w:r>
      <w:r>
        <w:rPr>
          <w:rFonts w:ascii="Calibri" w:eastAsia="Times New Roman" w:hAnsi="Calibri" w:cs="Calibri"/>
          <w:color w:val="000000"/>
          <w:lang w:val="en-GB" w:eastAsia="cs-CZ"/>
        </w:rPr>
        <w:t xml:space="preserve"> distribution network, improvement of </w:t>
      </w:r>
      <w:r w:rsidRPr="00177F0B">
        <w:rPr>
          <w:rFonts w:ascii="Calibri" w:eastAsia="Times New Roman" w:hAnsi="Calibri" w:cs="Calibri"/>
          <w:color w:val="000000"/>
          <w:lang w:val="en-GB" w:eastAsia="cs-CZ"/>
        </w:rPr>
        <w:t>thermal properties of buildings and energy savings in industrial processes for the company</w:t>
      </w:r>
      <w:r>
        <w:rPr>
          <w:rFonts w:ascii="Calibri" w:eastAsia="Times New Roman" w:hAnsi="Calibri" w:cs="Calibri"/>
          <w:color w:val="000000"/>
          <w:lang w:val="en-GB" w:eastAsia="cs-CZ"/>
        </w:rPr>
        <w:t>’s own consumption</w:t>
      </w:r>
      <w:r w:rsidRPr="00177F0B">
        <w:rPr>
          <w:rFonts w:ascii="Calibri" w:eastAsia="Times New Roman" w:hAnsi="Calibri" w:cs="Calibri"/>
          <w:color w:val="000000"/>
          <w:lang w:val="en-GB" w:eastAsia="cs-CZ"/>
        </w:rPr>
        <w:t>.</w:t>
      </w:r>
    </w:p>
    <w:p w:rsidR="0016667B" w:rsidRPr="00177F0B" w:rsidRDefault="0016667B" w:rsidP="0016667B">
      <w:pPr>
        <w:spacing w:after="180"/>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One of the other instruments to achieve the objective set by the European Directive on energy efficiency is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state program </w:t>
      </w:r>
      <w:r w:rsidRPr="00177F0B">
        <w:rPr>
          <w:rFonts w:ascii="Calibri" w:eastAsia="Times New Roman" w:hAnsi="Calibri" w:cs="Calibri"/>
          <w:b/>
          <w:bCs/>
          <w:color w:val="000000"/>
          <w:lang w:val="en-GB" w:eastAsia="cs-CZ"/>
        </w:rPr>
        <w:t>EF</w:t>
      </w:r>
      <w:r>
        <w:rPr>
          <w:rFonts w:ascii="Calibri" w:eastAsia="Times New Roman" w:hAnsi="Calibri" w:cs="Calibri"/>
          <w:b/>
          <w:bCs/>
          <w:color w:val="000000"/>
          <w:lang w:val="en-GB" w:eastAsia="cs-CZ"/>
        </w:rPr>
        <w:t>EK</w:t>
      </w:r>
      <w:r w:rsidRPr="00177F0B">
        <w:rPr>
          <w:rFonts w:ascii="Calibri" w:eastAsia="Times New Roman" w:hAnsi="Calibri" w:cs="Calibri"/>
          <w:b/>
          <w:bCs/>
          <w:color w:val="000000"/>
          <w:lang w:val="en-GB" w:eastAsia="cs-CZ"/>
        </w:rPr>
        <w:t>T</w:t>
      </w:r>
      <w:r w:rsidRPr="00177F0B">
        <w:rPr>
          <w:rFonts w:ascii="Calibri" w:eastAsia="Times New Roman" w:hAnsi="Calibri" w:cs="Calibri"/>
          <w:color w:val="000000"/>
          <w:lang w:val="en-GB" w:eastAsia="cs-CZ"/>
        </w:rPr>
        <w:t xml:space="preserve">, which aims to increase energy conservation </w:t>
      </w:r>
      <w:r>
        <w:rPr>
          <w:rFonts w:ascii="Calibri" w:eastAsia="Times New Roman" w:hAnsi="Calibri" w:cs="Calibri"/>
          <w:color w:val="000000"/>
          <w:lang w:val="en-GB" w:eastAsia="cs-CZ"/>
        </w:rPr>
        <w:t xml:space="preserve">by raising the </w:t>
      </w:r>
      <w:r w:rsidRPr="00177F0B">
        <w:rPr>
          <w:rFonts w:ascii="Calibri" w:eastAsia="Times New Roman" w:hAnsi="Calibri" w:cs="Calibri"/>
          <w:color w:val="000000"/>
          <w:lang w:val="en-GB" w:eastAsia="cs-CZ"/>
        </w:rPr>
        <w:t xml:space="preserve">awareness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small customers, improving the quality of energy services and public sector support for the economic management of energy. It focuses on educational and informational </w:t>
      </w:r>
      <w:r>
        <w:rPr>
          <w:rFonts w:ascii="Calibri" w:eastAsia="Times New Roman" w:hAnsi="Calibri" w:cs="Calibri"/>
          <w:color w:val="000000"/>
          <w:lang w:val="en-GB" w:eastAsia="cs-CZ"/>
        </w:rPr>
        <w:t>activities</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investment in energy saving projects of a smaller scale (especially in villages).</w:t>
      </w:r>
    </w:p>
    <w:p w:rsidR="00AE51CF" w:rsidRPr="007A1B09" w:rsidRDefault="00AE51CF" w:rsidP="00AE51CF">
      <w:pPr>
        <w:spacing w:after="180"/>
        <w:rPr>
          <w:lang w:val="en-GB"/>
        </w:rPr>
      </w:pPr>
    </w:p>
    <w:p w:rsidR="008708C4" w:rsidRPr="007A1B09" w:rsidRDefault="008708C4">
      <w:pPr>
        <w:spacing w:after="0"/>
        <w:ind w:firstLine="360"/>
        <w:jc w:val="left"/>
        <w:rPr>
          <w:rFonts w:asciiTheme="majorHAnsi" w:eastAsiaTheme="majorEastAsia" w:hAnsiTheme="majorHAnsi" w:cstheme="majorBidi"/>
          <w:b/>
          <w:bCs/>
          <w:color w:val="9D3511" w:themeColor="accent1" w:themeShade="BF"/>
          <w:sz w:val="30"/>
          <w:szCs w:val="24"/>
          <w:lang w:val="en-GB"/>
        </w:rPr>
      </w:pPr>
      <w:r w:rsidRPr="007A1B09">
        <w:rPr>
          <w:lang w:val="en-GB"/>
        </w:rPr>
        <w:lastRenderedPageBreak/>
        <w:br w:type="page"/>
      </w:r>
    </w:p>
    <w:p w:rsidR="0008156A" w:rsidRPr="007A1B09" w:rsidRDefault="0059270B" w:rsidP="0008156A">
      <w:pPr>
        <w:pStyle w:val="Nadpis1"/>
        <w:numPr>
          <w:ilvl w:val="0"/>
          <w:numId w:val="4"/>
        </w:numPr>
        <w:rPr>
          <w:lang w:val="en-GB"/>
        </w:rPr>
      </w:pPr>
      <w:bookmarkStart w:id="38" w:name="_Toc385946012"/>
      <w:r w:rsidRPr="0059270B">
        <w:rPr>
          <w:lang w:val="en-GB"/>
        </w:rPr>
        <w:lastRenderedPageBreak/>
        <w:t>Fulfilling the national targets of Europe 2020</w:t>
      </w:r>
      <w:bookmarkEnd w:id="38"/>
    </w:p>
    <w:p w:rsidR="0059270B" w:rsidRPr="00177F0B" w:rsidRDefault="0059270B" w:rsidP="0059270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Following the main objectives of Europe 2020</w:t>
      </w:r>
      <w:r>
        <w:rPr>
          <w:rFonts w:ascii="Calibri" w:eastAsia="Times New Roman" w:hAnsi="Calibri" w:cs="Calibri"/>
          <w:color w:val="000000"/>
          <w:lang w:val="en-GB" w:eastAsia="cs-CZ"/>
        </w:rPr>
        <w:t xml:space="preserve"> Strategy, its</w:t>
      </w:r>
      <w:r w:rsidRPr="00177F0B">
        <w:rPr>
          <w:rFonts w:ascii="Calibri" w:eastAsia="Times New Roman" w:hAnsi="Calibri" w:cs="Calibri"/>
          <w:color w:val="000000"/>
          <w:lang w:val="en-GB" w:eastAsia="cs-CZ"/>
        </w:rPr>
        <w:t xml:space="preserve"> Integrated Guidelines and the individual identified barriers to the </w:t>
      </w:r>
      <w:r>
        <w:rPr>
          <w:rFonts w:ascii="Calibri" w:eastAsia="Times New Roman" w:hAnsi="Calibri" w:cs="Calibri"/>
          <w:color w:val="000000"/>
          <w:lang w:val="en-GB" w:eastAsia="cs-CZ"/>
        </w:rPr>
        <w:t>fulfilment</w:t>
      </w:r>
      <w:r w:rsidRPr="00177F0B">
        <w:rPr>
          <w:rFonts w:ascii="Calibri" w:eastAsia="Times New Roman" w:hAnsi="Calibri" w:cs="Calibri"/>
          <w:color w:val="000000"/>
          <w:lang w:val="en-GB" w:eastAsia="cs-CZ"/>
        </w:rPr>
        <w:t xml:space="preserve"> of jointly defined objectives the government </w:t>
      </w:r>
      <w:r>
        <w:rPr>
          <w:rFonts w:ascii="Calibri" w:eastAsia="Times New Roman" w:hAnsi="Calibri" w:cs="Calibri"/>
          <w:color w:val="000000"/>
          <w:lang w:val="en-GB" w:eastAsia="cs-CZ"/>
        </w:rPr>
        <w:t>in 2010 set</w:t>
      </w:r>
      <w:r w:rsidRPr="00177F0B">
        <w:rPr>
          <w:rFonts w:ascii="Calibri" w:eastAsia="Times New Roman" w:hAnsi="Calibri" w:cs="Calibri"/>
          <w:color w:val="000000"/>
          <w:lang w:val="en-GB" w:eastAsia="cs-CZ"/>
        </w:rPr>
        <w:t xml:space="preserve"> specif</w:t>
      </w:r>
      <w:r>
        <w:rPr>
          <w:rFonts w:ascii="Calibri" w:eastAsia="Times New Roman" w:hAnsi="Calibri" w:cs="Calibri"/>
          <w:color w:val="000000"/>
          <w:lang w:val="en-GB" w:eastAsia="cs-CZ"/>
        </w:rPr>
        <w:t>ic, quantified national targets</w:t>
      </w:r>
      <w:r>
        <w:rPr>
          <w:rStyle w:val="Znakapoznpodarou"/>
          <w:rFonts w:ascii="Calibri" w:eastAsia="Times New Roman" w:hAnsi="Calibri" w:cs="Calibri"/>
          <w:color w:val="000000"/>
          <w:lang w:val="en-GB" w:eastAsia="cs-CZ"/>
        </w:rPr>
        <w:footnoteReference w:id="16"/>
      </w:r>
      <w:r w:rsidRPr="00177F0B">
        <w:rPr>
          <w:rFonts w:ascii="Calibri" w:eastAsia="Times New Roman" w:hAnsi="Calibri" w:cs="Calibri"/>
          <w:color w:val="000000"/>
          <w:lang w:val="en-GB" w:eastAsia="cs-CZ"/>
        </w:rPr>
        <w:t>. Quantitative indicators provide only limited information in terms of the assessment of individual strategies and by</w:t>
      </w:r>
      <w:r>
        <w:rPr>
          <w:rFonts w:ascii="Calibri" w:eastAsia="Times New Roman" w:hAnsi="Calibri" w:cs="Calibri"/>
          <w:color w:val="000000"/>
          <w:lang w:val="en-GB" w:eastAsia="cs-CZ"/>
        </w:rPr>
        <w:t xml:space="preserve"> their</w:t>
      </w:r>
      <w:r w:rsidRPr="00177F0B">
        <w:rPr>
          <w:rFonts w:ascii="Calibri" w:eastAsia="Times New Roman" w:hAnsi="Calibri" w:cs="Calibri"/>
          <w:color w:val="000000"/>
          <w:lang w:val="en-GB" w:eastAsia="cs-CZ"/>
        </w:rPr>
        <w:t xml:space="preserve"> nature cannot cover qualitative aspects of the impact of reform measures. Long-term s</w:t>
      </w:r>
      <w:r>
        <w:rPr>
          <w:rFonts w:ascii="Calibri" w:eastAsia="Times New Roman" w:hAnsi="Calibri" w:cs="Calibri"/>
          <w:color w:val="000000"/>
          <w:lang w:val="en-GB" w:eastAsia="cs-CZ"/>
        </w:rPr>
        <w:t xml:space="preserve">trategic objectives represent </w:t>
      </w:r>
      <w:r w:rsidRPr="00177F0B">
        <w:rPr>
          <w:rFonts w:ascii="Calibri" w:eastAsia="Times New Roman" w:hAnsi="Calibri" w:cs="Calibri"/>
          <w:color w:val="000000"/>
          <w:lang w:val="en-GB" w:eastAsia="cs-CZ"/>
        </w:rPr>
        <w:t>voluntary political commitments that reflect the common interest of the Member States to restore sustainable and inclusive gr</w:t>
      </w:r>
      <w:r>
        <w:rPr>
          <w:rFonts w:ascii="Calibri" w:eastAsia="Times New Roman" w:hAnsi="Calibri" w:cs="Calibri"/>
          <w:color w:val="000000"/>
          <w:lang w:val="en-GB" w:eastAsia="cs-CZ"/>
        </w:rPr>
        <w:t>owth in the EU. In this context they</w:t>
      </w:r>
      <w:r w:rsidRPr="00177F0B">
        <w:rPr>
          <w:rFonts w:ascii="Calibri" w:eastAsia="Times New Roman" w:hAnsi="Calibri" w:cs="Calibri"/>
          <w:color w:val="000000"/>
          <w:lang w:val="en-GB" w:eastAsia="cs-CZ"/>
        </w:rPr>
        <w:t xml:space="preserve"> determine the basic directions of economic policy coordination at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EU level.</w:t>
      </w:r>
    </w:p>
    <w:p w:rsidR="009B04BF" w:rsidRPr="007A1B09" w:rsidRDefault="009B04BF" w:rsidP="003B300D">
      <w:pPr>
        <w:rPr>
          <w:lang w:val="en-GB"/>
        </w:rPr>
      </w:pPr>
    </w:p>
    <w:p w:rsidR="0059270B" w:rsidRPr="0059270B" w:rsidRDefault="0059270B" w:rsidP="0059270B">
      <w:pPr>
        <w:pStyle w:val="Titulek"/>
        <w:keepNext/>
        <w:rPr>
          <w:lang w:val="en-GB"/>
        </w:rPr>
      </w:pPr>
      <w:r w:rsidRPr="0059270B">
        <w:rPr>
          <w:lang w:val="en-GB"/>
        </w:rPr>
        <w:t>Table 2: Summary of the fulfilment of quantitative objectives of the Europe 2020 Strategy</w:t>
      </w:r>
    </w:p>
    <w:p w:rsidR="00E867B0" w:rsidRPr="007A1B09" w:rsidRDefault="00E867B0" w:rsidP="00E867B0">
      <w:pPr>
        <w:pStyle w:val="Titulek"/>
        <w:keepNext/>
        <w:rPr>
          <w:lang w:val="en-GB"/>
        </w:rPr>
      </w:pPr>
    </w:p>
    <w:tbl>
      <w:tblPr>
        <w:tblStyle w:val="Svtlstnovnzvraznn4"/>
        <w:tblW w:w="0" w:type="auto"/>
        <w:tblLook w:val="04A0" w:firstRow="1" w:lastRow="0" w:firstColumn="1" w:lastColumn="0" w:noHBand="0" w:noVBand="1"/>
      </w:tblPr>
      <w:tblGrid>
        <w:gridCol w:w="1951"/>
        <w:gridCol w:w="5103"/>
        <w:gridCol w:w="1079"/>
        <w:gridCol w:w="1079"/>
      </w:tblGrid>
      <w:tr w:rsidR="00E13026" w:rsidRPr="007A1B09" w:rsidTr="001E6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05E77">
            <w:pPr>
              <w:spacing w:after="0"/>
              <w:jc w:val="left"/>
              <w:rPr>
                <w:sz w:val="18"/>
                <w:szCs w:val="18"/>
                <w:lang w:val="en-GB"/>
              </w:rPr>
            </w:pPr>
            <w:r w:rsidRPr="007A1B09">
              <w:rPr>
                <w:sz w:val="18"/>
                <w:szCs w:val="18"/>
                <w:lang w:val="en-GB"/>
              </w:rPr>
              <w:t>Oblast</w:t>
            </w:r>
          </w:p>
        </w:tc>
        <w:tc>
          <w:tcPr>
            <w:tcW w:w="5103" w:type="dxa"/>
          </w:tcPr>
          <w:p w:rsidR="00884BD5" w:rsidRPr="007A1B09" w:rsidRDefault="0059270B" w:rsidP="00505E77">
            <w:pPr>
              <w:spacing w:after="0"/>
              <w:jc w:val="lef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Czech Republic’s national goals</w:t>
            </w:r>
          </w:p>
        </w:tc>
        <w:tc>
          <w:tcPr>
            <w:tcW w:w="1079" w:type="dxa"/>
          </w:tcPr>
          <w:p w:rsidR="00884BD5" w:rsidRPr="007A1B09" w:rsidRDefault="0059270B" w:rsidP="000A4BFA">
            <w:pPr>
              <w:spacing w:after="0"/>
              <w:jc w:val="lef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Reference value</w:t>
            </w:r>
          </w:p>
        </w:tc>
        <w:tc>
          <w:tcPr>
            <w:tcW w:w="1079" w:type="dxa"/>
          </w:tcPr>
          <w:p w:rsidR="00884BD5" w:rsidRPr="007A1B09" w:rsidRDefault="0059270B" w:rsidP="00365D07">
            <w:pPr>
              <w:spacing w:after="0"/>
              <w:jc w:val="lef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Current status</w:t>
            </w:r>
            <w:r w:rsidR="004468AD" w:rsidRPr="007A1B09">
              <w:rPr>
                <w:rStyle w:val="Znakapoznpodarou"/>
                <w:sz w:val="18"/>
                <w:szCs w:val="18"/>
                <w:lang w:val="en-GB"/>
              </w:rPr>
              <w:footnoteReference w:id="17"/>
            </w: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59270B" w:rsidP="004468AD">
            <w:pPr>
              <w:spacing w:after="0"/>
              <w:jc w:val="left"/>
              <w:rPr>
                <w:sz w:val="18"/>
                <w:szCs w:val="18"/>
                <w:lang w:val="en-GB"/>
              </w:rPr>
            </w:pPr>
            <w:r>
              <w:rPr>
                <w:sz w:val="18"/>
                <w:szCs w:val="18"/>
                <w:lang w:val="en-GB"/>
              </w:rPr>
              <w:t>Employment</w:t>
            </w:r>
            <w:r w:rsidR="00365D07" w:rsidRPr="007A1B09">
              <w:rPr>
                <w:sz w:val="18"/>
                <w:szCs w:val="18"/>
                <w:lang w:val="en-GB"/>
              </w:rPr>
              <w:t>:</w:t>
            </w:r>
          </w:p>
        </w:tc>
        <w:tc>
          <w:tcPr>
            <w:tcW w:w="5103" w:type="dxa"/>
          </w:tcPr>
          <w:p w:rsidR="00B1766A" w:rsidRPr="00B1766A"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Increasing employment to 75% for age group between</w:t>
            </w:r>
          </w:p>
          <w:p w:rsidR="00884BD5" w:rsidRPr="007A1B09"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20 and 64 years of age</w:t>
            </w:r>
            <w:r>
              <w:rPr>
                <w:sz w:val="18"/>
                <w:szCs w:val="18"/>
                <w:lang w:val="en-GB"/>
              </w:rPr>
              <w:t>;</w:t>
            </w:r>
          </w:p>
        </w:tc>
        <w:tc>
          <w:tcPr>
            <w:tcW w:w="1079" w:type="dxa"/>
          </w:tcPr>
          <w:p w:rsidR="00884BD5" w:rsidRPr="007A1B09" w:rsidRDefault="00E13026"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70</w:t>
            </w:r>
            <w:r w:rsidR="00435EB0">
              <w:rPr>
                <w:sz w:val="18"/>
                <w:szCs w:val="18"/>
                <w:lang w:val="en-GB"/>
              </w:rPr>
              <w:t>.</w:t>
            </w:r>
            <w:r w:rsidRPr="007A1B09">
              <w:rPr>
                <w:sz w:val="18"/>
                <w:szCs w:val="18"/>
                <w:lang w:val="en-GB"/>
              </w:rPr>
              <w:t>4 %</w:t>
            </w:r>
          </w:p>
        </w:tc>
        <w:tc>
          <w:tcPr>
            <w:tcW w:w="1079" w:type="dxa"/>
          </w:tcPr>
          <w:p w:rsidR="00884BD5" w:rsidRPr="007A1B09"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72</w:t>
            </w:r>
            <w:r w:rsidR="00435EB0">
              <w:rPr>
                <w:sz w:val="18"/>
                <w:szCs w:val="18"/>
                <w:lang w:val="en-GB"/>
              </w:rPr>
              <w:t>.</w:t>
            </w:r>
            <w:r w:rsidRPr="007A1B09">
              <w:rPr>
                <w:sz w:val="18"/>
                <w:szCs w:val="18"/>
                <w:lang w:val="en-GB"/>
              </w:rPr>
              <w:t>7 %</w:t>
            </w:r>
          </w:p>
        </w:tc>
      </w:tr>
      <w:tr w:rsidR="000A4BFA" w:rsidRPr="007A1B09"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Increasing emplo</w:t>
            </w:r>
            <w:r>
              <w:rPr>
                <w:sz w:val="18"/>
                <w:szCs w:val="18"/>
                <w:lang w:val="en-GB"/>
              </w:rPr>
              <w:t xml:space="preserve">yment of women (age 20 - 64) to </w:t>
            </w:r>
            <w:r w:rsidRPr="00B1766A">
              <w:rPr>
                <w:sz w:val="18"/>
                <w:szCs w:val="18"/>
                <w:lang w:val="en-GB"/>
              </w:rPr>
              <w:t>65%;</w:t>
            </w:r>
          </w:p>
        </w:tc>
        <w:tc>
          <w:tcPr>
            <w:tcW w:w="1079" w:type="dxa"/>
          </w:tcPr>
          <w:p w:rsidR="00884BD5" w:rsidRPr="007A1B09" w:rsidRDefault="00E13026"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61 %</w:t>
            </w:r>
          </w:p>
        </w:tc>
        <w:tc>
          <w:tcPr>
            <w:tcW w:w="1079" w:type="dxa"/>
          </w:tcPr>
          <w:p w:rsidR="00884BD5" w:rsidRPr="007A1B09" w:rsidRDefault="003B300D"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63</w:t>
            </w:r>
            <w:r w:rsidR="00435EB0">
              <w:rPr>
                <w:sz w:val="18"/>
                <w:szCs w:val="18"/>
                <w:lang w:val="en-GB"/>
              </w:rPr>
              <w:t>.</w:t>
            </w:r>
            <w:r w:rsidRPr="007A1B09">
              <w:rPr>
                <w:sz w:val="18"/>
                <w:szCs w:val="18"/>
                <w:lang w:val="en-GB"/>
              </w:rPr>
              <w:t>9 %</w:t>
            </w: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Increasing employment o</w:t>
            </w:r>
            <w:r>
              <w:rPr>
                <w:sz w:val="18"/>
                <w:szCs w:val="18"/>
                <w:lang w:val="en-GB"/>
              </w:rPr>
              <w:t>f senior citizens (age 55 - 64)</w:t>
            </w:r>
            <w:r w:rsidRPr="00B1766A">
              <w:rPr>
                <w:sz w:val="18"/>
                <w:szCs w:val="18"/>
                <w:lang w:val="en-GB"/>
              </w:rPr>
              <w:t>to 55%;</w:t>
            </w:r>
          </w:p>
        </w:tc>
        <w:tc>
          <w:tcPr>
            <w:tcW w:w="1079" w:type="dxa"/>
          </w:tcPr>
          <w:p w:rsidR="00884BD5" w:rsidRPr="007A1B09" w:rsidRDefault="00E13026"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46</w:t>
            </w:r>
            <w:r w:rsidR="00435EB0">
              <w:rPr>
                <w:sz w:val="18"/>
                <w:szCs w:val="18"/>
                <w:lang w:val="en-GB"/>
              </w:rPr>
              <w:t>.</w:t>
            </w:r>
            <w:r w:rsidRPr="007A1B09">
              <w:rPr>
                <w:sz w:val="18"/>
                <w:szCs w:val="18"/>
                <w:lang w:val="en-GB"/>
              </w:rPr>
              <w:t>5 %</w:t>
            </w:r>
          </w:p>
        </w:tc>
        <w:tc>
          <w:tcPr>
            <w:tcW w:w="1079" w:type="dxa"/>
          </w:tcPr>
          <w:p w:rsidR="00884BD5" w:rsidRPr="007A1B09"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51</w:t>
            </w:r>
            <w:r w:rsidR="00435EB0">
              <w:rPr>
                <w:sz w:val="18"/>
                <w:szCs w:val="18"/>
                <w:lang w:val="en-GB"/>
              </w:rPr>
              <w:t>.</w:t>
            </w:r>
            <w:r w:rsidRPr="007A1B09">
              <w:rPr>
                <w:sz w:val="18"/>
                <w:szCs w:val="18"/>
                <w:lang w:val="en-GB"/>
              </w:rPr>
              <w:t>4 %</w:t>
            </w:r>
          </w:p>
        </w:tc>
      </w:tr>
      <w:tr w:rsidR="000A4BFA" w:rsidRPr="007A1B09"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Reducing youth u</w:t>
            </w:r>
            <w:r>
              <w:rPr>
                <w:sz w:val="18"/>
                <w:szCs w:val="18"/>
                <w:lang w:val="en-GB"/>
              </w:rPr>
              <w:t xml:space="preserve">nemployment (ages 15 - 24) by a </w:t>
            </w:r>
            <w:r w:rsidRPr="00B1766A">
              <w:rPr>
                <w:sz w:val="18"/>
                <w:szCs w:val="18"/>
                <w:lang w:val="en-GB"/>
              </w:rPr>
              <w:t>third in comparison with 2010 levels;</w:t>
            </w:r>
          </w:p>
        </w:tc>
        <w:tc>
          <w:tcPr>
            <w:tcW w:w="1079" w:type="dxa"/>
          </w:tcPr>
          <w:p w:rsidR="00884BD5" w:rsidRPr="007A1B09" w:rsidRDefault="00E13026"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18</w:t>
            </w:r>
            <w:r w:rsidR="00435EB0">
              <w:rPr>
                <w:sz w:val="18"/>
                <w:szCs w:val="18"/>
                <w:lang w:val="en-GB"/>
              </w:rPr>
              <w:t>.</w:t>
            </w:r>
            <w:r w:rsidRPr="007A1B09">
              <w:rPr>
                <w:sz w:val="18"/>
                <w:szCs w:val="18"/>
                <w:lang w:val="en-GB"/>
              </w:rPr>
              <w:t>4 %</w:t>
            </w:r>
          </w:p>
        </w:tc>
        <w:tc>
          <w:tcPr>
            <w:tcW w:w="1079" w:type="dxa"/>
          </w:tcPr>
          <w:p w:rsidR="00884BD5" w:rsidRPr="007A1B09" w:rsidRDefault="003B300D"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17</w:t>
            </w:r>
            <w:r w:rsidR="00435EB0">
              <w:rPr>
                <w:sz w:val="18"/>
                <w:szCs w:val="18"/>
                <w:lang w:val="en-GB"/>
              </w:rPr>
              <w:t>.</w:t>
            </w:r>
            <w:r w:rsidRPr="007A1B09">
              <w:rPr>
                <w:sz w:val="18"/>
                <w:szCs w:val="18"/>
                <w:lang w:val="en-GB"/>
              </w:rPr>
              <w:t>4 %</w:t>
            </w: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Reducing unemploymen</w:t>
            </w:r>
            <w:r>
              <w:rPr>
                <w:sz w:val="18"/>
                <w:szCs w:val="18"/>
                <w:lang w:val="en-GB"/>
              </w:rPr>
              <w:t xml:space="preserve">t of low skilled workers (ISCED </w:t>
            </w:r>
            <w:r w:rsidRPr="00B1766A">
              <w:rPr>
                <w:sz w:val="18"/>
                <w:szCs w:val="18"/>
                <w:lang w:val="en-GB"/>
              </w:rPr>
              <w:t>0 – 2 level) by a quarter in comparison with 2010.</w:t>
            </w:r>
          </w:p>
        </w:tc>
        <w:tc>
          <w:tcPr>
            <w:tcW w:w="1079" w:type="dxa"/>
          </w:tcPr>
          <w:p w:rsidR="00884BD5" w:rsidRPr="007A1B09" w:rsidRDefault="00394CBA"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25 %</w:t>
            </w:r>
          </w:p>
        </w:tc>
        <w:tc>
          <w:tcPr>
            <w:tcW w:w="1079" w:type="dxa"/>
          </w:tcPr>
          <w:p w:rsidR="00884BD5" w:rsidRPr="007A1B09"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26</w:t>
            </w:r>
            <w:r w:rsidR="00435EB0">
              <w:rPr>
                <w:sz w:val="18"/>
                <w:szCs w:val="18"/>
                <w:lang w:val="en-GB"/>
              </w:rPr>
              <w:t>.</w:t>
            </w:r>
            <w:r w:rsidRPr="007A1B09">
              <w:rPr>
                <w:sz w:val="18"/>
                <w:szCs w:val="18"/>
                <w:lang w:val="en-GB"/>
              </w:rPr>
              <w:t>1 %</w:t>
            </w:r>
          </w:p>
        </w:tc>
      </w:tr>
      <w:tr w:rsidR="000A4BFA" w:rsidRPr="007A1B09"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59270B" w:rsidP="004468AD">
            <w:pPr>
              <w:spacing w:after="0"/>
              <w:jc w:val="left"/>
              <w:rPr>
                <w:sz w:val="18"/>
                <w:szCs w:val="18"/>
                <w:lang w:val="en-GB"/>
              </w:rPr>
            </w:pPr>
            <w:r>
              <w:rPr>
                <w:sz w:val="18"/>
                <w:szCs w:val="18"/>
                <w:lang w:val="en-GB"/>
              </w:rPr>
              <w:t>Fight against poverty and social exclusion</w:t>
            </w:r>
            <w:r w:rsidR="005C30DD" w:rsidRPr="007A1B09">
              <w:rPr>
                <w:sz w:val="18"/>
                <w:szCs w:val="18"/>
                <w:lang w:val="en-GB"/>
              </w:rPr>
              <w:t>:</w:t>
            </w:r>
          </w:p>
        </w:tc>
        <w:tc>
          <w:tcPr>
            <w:tcW w:w="5103" w:type="dxa"/>
          </w:tcPr>
          <w:p w:rsidR="00B1766A" w:rsidRPr="00B1766A"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Maintaining the boundary for a number of people</w:t>
            </w:r>
          </w:p>
          <w:p w:rsidR="00B1766A" w:rsidRPr="00B1766A"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experiencing poverty, material deprivation or life in</w:t>
            </w:r>
          </w:p>
          <w:p w:rsidR="00B1766A" w:rsidRPr="00B1766A"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households with low employment intensity to 2020 in</w:t>
            </w:r>
          </w:p>
          <w:p w:rsidR="00884BD5" w:rsidRPr="007A1B09"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comparison with 2008;</w:t>
            </w:r>
          </w:p>
        </w:tc>
        <w:tc>
          <w:tcPr>
            <w:tcW w:w="1079" w:type="dxa"/>
          </w:tcPr>
          <w:p w:rsidR="00884BD5" w:rsidRPr="007A1B09"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p>
        </w:tc>
        <w:tc>
          <w:tcPr>
            <w:tcW w:w="1079" w:type="dxa"/>
          </w:tcPr>
          <w:p w:rsidR="00884BD5" w:rsidRPr="007A1B09"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 xml:space="preserve">Reducing the number </w:t>
            </w:r>
            <w:r w:rsidR="00A03711">
              <w:rPr>
                <w:sz w:val="18"/>
                <w:szCs w:val="18"/>
                <w:lang w:val="en-GB"/>
              </w:rPr>
              <w:t xml:space="preserve">of people experiencing poverty, </w:t>
            </w:r>
            <w:r w:rsidRPr="00B1766A">
              <w:rPr>
                <w:sz w:val="18"/>
                <w:szCs w:val="18"/>
                <w:lang w:val="en-GB"/>
              </w:rPr>
              <w:t>material deprivation</w:t>
            </w:r>
            <w:r w:rsidR="00A03711">
              <w:rPr>
                <w:sz w:val="18"/>
                <w:szCs w:val="18"/>
                <w:lang w:val="en-GB"/>
              </w:rPr>
              <w:t xml:space="preserve"> or life in households with low </w:t>
            </w:r>
            <w:r w:rsidRPr="00B1766A">
              <w:rPr>
                <w:sz w:val="18"/>
                <w:szCs w:val="18"/>
                <w:lang w:val="en-GB"/>
              </w:rPr>
              <w:t>employment intensity by 30 000 persons.</w:t>
            </w:r>
          </w:p>
        </w:tc>
        <w:tc>
          <w:tcPr>
            <w:tcW w:w="1079" w:type="dxa"/>
          </w:tcPr>
          <w:p w:rsidR="00884BD5" w:rsidRPr="007A1B09" w:rsidRDefault="000A4BF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 xml:space="preserve">1566 </w:t>
            </w:r>
            <w:r w:rsidR="00B1766A">
              <w:rPr>
                <w:sz w:val="18"/>
                <w:szCs w:val="18"/>
                <w:lang w:val="en-GB"/>
              </w:rPr>
              <w:t>k</w:t>
            </w:r>
          </w:p>
        </w:tc>
        <w:tc>
          <w:tcPr>
            <w:tcW w:w="1079" w:type="dxa"/>
          </w:tcPr>
          <w:p w:rsidR="00884BD5" w:rsidRPr="007A1B09" w:rsidRDefault="00B135DC"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 xml:space="preserve">1 580 </w:t>
            </w:r>
            <w:r w:rsidR="00B1766A">
              <w:rPr>
                <w:sz w:val="18"/>
                <w:szCs w:val="18"/>
                <w:lang w:val="en-GB"/>
              </w:rPr>
              <w:t>k</w:t>
            </w:r>
          </w:p>
        </w:tc>
      </w:tr>
      <w:tr w:rsidR="000A4BFA" w:rsidRPr="007A1B09"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59270B" w:rsidP="004468AD">
            <w:pPr>
              <w:spacing w:after="0"/>
              <w:jc w:val="left"/>
              <w:rPr>
                <w:sz w:val="18"/>
                <w:szCs w:val="18"/>
                <w:lang w:val="en-GB"/>
              </w:rPr>
            </w:pPr>
            <w:r>
              <w:rPr>
                <w:sz w:val="18"/>
                <w:szCs w:val="18"/>
                <w:lang w:val="en-GB"/>
              </w:rPr>
              <w:t>Education</w:t>
            </w:r>
            <w:r w:rsidR="005C30DD" w:rsidRPr="007A1B09">
              <w:rPr>
                <w:sz w:val="18"/>
                <w:szCs w:val="18"/>
                <w:lang w:val="en-GB"/>
              </w:rPr>
              <w:t>:</w:t>
            </w:r>
          </w:p>
        </w:tc>
        <w:tc>
          <w:tcPr>
            <w:tcW w:w="5103" w:type="dxa"/>
          </w:tcPr>
          <w:p w:rsidR="00884BD5" w:rsidRPr="007A1B09" w:rsidRDefault="00B1766A" w:rsidP="00B1766A">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B1766A">
              <w:rPr>
                <w:sz w:val="18"/>
                <w:szCs w:val="18"/>
                <w:lang w:val="en-GB"/>
              </w:rPr>
              <w:t>Reducing early school l</w:t>
            </w:r>
            <w:r>
              <w:rPr>
                <w:sz w:val="18"/>
                <w:szCs w:val="18"/>
                <w:lang w:val="en-GB"/>
              </w:rPr>
              <w:t xml:space="preserve">eaving dropout rate to maximum </w:t>
            </w:r>
            <w:r w:rsidRPr="00B1766A">
              <w:rPr>
                <w:sz w:val="18"/>
                <w:szCs w:val="18"/>
                <w:lang w:val="en-GB"/>
              </w:rPr>
              <w:t>of 5.5%;</w:t>
            </w:r>
          </w:p>
        </w:tc>
        <w:tc>
          <w:tcPr>
            <w:tcW w:w="1079" w:type="dxa"/>
          </w:tcPr>
          <w:p w:rsidR="00884BD5" w:rsidRPr="007A1B09" w:rsidRDefault="00505E77"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4</w:t>
            </w:r>
            <w:r w:rsidR="00435EB0">
              <w:rPr>
                <w:sz w:val="18"/>
                <w:szCs w:val="18"/>
                <w:lang w:val="en-GB"/>
              </w:rPr>
              <w:t>.</w:t>
            </w:r>
            <w:r w:rsidRPr="007A1B09">
              <w:rPr>
                <w:sz w:val="18"/>
                <w:szCs w:val="18"/>
                <w:lang w:val="en-GB"/>
              </w:rPr>
              <w:t>9 %</w:t>
            </w:r>
          </w:p>
        </w:tc>
        <w:tc>
          <w:tcPr>
            <w:tcW w:w="1079" w:type="dxa"/>
          </w:tcPr>
          <w:p w:rsidR="00884BD5" w:rsidRPr="007A1B09" w:rsidRDefault="00505E77"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5</w:t>
            </w:r>
            <w:r w:rsidR="00435EB0">
              <w:rPr>
                <w:sz w:val="18"/>
                <w:szCs w:val="18"/>
                <w:lang w:val="en-GB"/>
              </w:rPr>
              <w:t>.</w:t>
            </w:r>
            <w:r w:rsidRPr="007A1B09">
              <w:rPr>
                <w:sz w:val="18"/>
                <w:szCs w:val="18"/>
                <w:lang w:val="en-GB"/>
              </w:rPr>
              <w:t>5 %</w:t>
            </w: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884BD5" w:rsidP="005C30DD">
            <w:pPr>
              <w:spacing w:after="0"/>
              <w:jc w:val="left"/>
              <w:rPr>
                <w:sz w:val="18"/>
                <w:szCs w:val="18"/>
                <w:lang w:val="en-GB"/>
              </w:rPr>
            </w:pPr>
          </w:p>
        </w:tc>
        <w:tc>
          <w:tcPr>
            <w:tcW w:w="5103" w:type="dxa"/>
          </w:tcPr>
          <w:p w:rsidR="00884BD5" w:rsidRPr="007A1B09" w:rsidRDefault="00B1766A" w:rsidP="00B1766A">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B1766A">
              <w:rPr>
                <w:sz w:val="18"/>
                <w:szCs w:val="18"/>
                <w:lang w:val="en-GB"/>
              </w:rPr>
              <w:t>Increasing the sha</w:t>
            </w:r>
            <w:r w:rsidR="00A03711">
              <w:rPr>
                <w:sz w:val="18"/>
                <w:szCs w:val="18"/>
                <w:lang w:val="en-GB"/>
              </w:rPr>
              <w:t>re of the population aged 30-34</w:t>
            </w:r>
            <w:r w:rsidRPr="00B1766A">
              <w:rPr>
                <w:sz w:val="18"/>
                <w:szCs w:val="18"/>
                <w:lang w:val="en-GB"/>
              </w:rPr>
              <w:t>having completed tertiary education to 32%.</w:t>
            </w:r>
          </w:p>
        </w:tc>
        <w:tc>
          <w:tcPr>
            <w:tcW w:w="1079" w:type="dxa"/>
          </w:tcPr>
          <w:p w:rsidR="00884BD5" w:rsidRPr="007A1B09" w:rsidRDefault="00310E1F"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20</w:t>
            </w:r>
            <w:r w:rsidR="00435EB0">
              <w:rPr>
                <w:sz w:val="18"/>
                <w:szCs w:val="18"/>
                <w:lang w:val="en-GB"/>
              </w:rPr>
              <w:t>.</w:t>
            </w:r>
            <w:r w:rsidRPr="007A1B09">
              <w:rPr>
                <w:sz w:val="18"/>
                <w:szCs w:val="18"/>
                <w:lang w:val="en-GB"/>
              </w:rPr>
              <w:t>4 %</w:t>
            </w:r>
          </w:p>
        </w:tc>
        <w:tc>
          <w:tcPr>
            <w:tcW w:w="1079" w:type="dxa"/>
          </w:tcPr>
          <w:p w:rsidR="00884BD5" w:rsidRPr="007A1B09" w:rsidRDefault="008450A2"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26</w:t>
            </w:r>
            <w:r w:rsidR="00435EB0">
              <w:rPr>
                <w:sz w:val="18"/>
                <w:szCs w:val="18"/>
                <w:lang w:val="en-GB"/>
              </w:rPr>
              <w:t>.</w:t>
            </w:r>
            <w:r w:rsidRPr="007A1B09">
              <w:rPr>
                <w:sz w:val="18"/>
                <w:szCs w:val="18"/>
                <w:lang w:val="en-GB"/>
              </w:rPr>
              <w:t>5 %</w:t>
            </w:r>
          </w:p>
        </w:tc>
      </w:tr>
      <w:tr w:rsidR="000A4BFA" w:rsidRPr="007A1B09"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59270B" w:rsidP="008B3A2F">
            <w:pPr>
              <w:spacing w:after="0"/>
              <w:jc w:val="left"/>
              <w:rPr>
                <w:sz w:val="18"/>
                <w:szCs w:val="18"/>
                <w:lang w:val="en-GB"/>
              </w:rPr>
            </w:pPr>
            <w:r>
              <w:rPr>
                <w:sz w:val="18"/>
                <w:szCs w:val="18"/>
                <w:lang w:val="en-GB"/>
              </w:rPr>
              <w:t>Business environment</w:t>
            </w:r>
            <w:r w:rsidR="005C30DD" w:rsidRPr="007A1B09">
              <w:rPr>
                <w:sz w:val="18"/>
                <w:szCs w:val="18"/>
                <w:lang w:val="en-GB"/>
              </w:rPr>
              <w:t>:</w:t>
            </w:r>
          </w:p>
        </w:tc>
        <w:tc>
          <w:tcPr>
            <w:tcW w:w="5103" w:type="dxa"/>
          </w:tcPr>
          <w:p w:rsidR="00884BD5" w:rsidRPr="007A1B09" w:rsidRDefault="00A03711" w:rsidP="00A03711">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A03711">
              <w:rPr>
                <w:sz w:val="18"/>
                <w:szCs w:val="18"/>
                <w:lang w:val="en-GB"/>
              </w:rPr>
              <w:t>Reducing administra</w:t>
            </w:r>
            <w:r>
              <w:rPr>
                <w:sz w:val="18"/>
                <w:szCs w:val="18"/>
                <w:lang w:val="en-GB"/>
              </w:rPr>
              <w:t xml:space="preserve">tive burden faced by businesses </w:t>
            </w:r>
            <w:r w:rsidRPr="00A03711">
              <w:rPr>
                <w:sz w:val="18"/>
                <w:szCs w:val="18"/>
                <w:lang w:val="en-GB"/>
              </w:rPr>
              <w:t>by 30% in comparison with 2005.</w:t>
            </w:r>
          </w:p>
        </w:tc>
        <w:tc>
          <w:tcPr>
            <w:tcW w:w="1079" w:type="dxa"/>
          </w:tcPr>
          <w:p w:rsidR="00884BD5" w:rsidRPr="007A1B09"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p>
        </w:tc>
        <w:tc>
          <w:tcPr>
            <w:tcW w:w="1079" w:type="dxa"/>
          </w:tcPr>
          <w:p w:rsidR="00884BD5" w:rsidRPr="007A1B09" w:rsidRDefault="008450A2"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7A1B09">
              <w:rPr>
                <w:sz w:val="18"/>
                <w:szCs w:val="18"/>
                <w:lang w:val="en-GB"/>
              </w:rPr>
              <w:t>23</w:t>
            </w:r>
            <w:r w:rsidR="00435EB0">
              <w:rPr>
                <w:sz w:val="18"/>
                <w:szCs w:val="18"/>
                <w:lang w:val="en-GB"/>
              </w:rPr>
              <w:t>.</w:t>
            </w:r>
            <w:r w:rsidRPr="007A1B09">
              <w:rPr>
                <w:sz w:val="18"/>
                <w:szCs w:val="18"/>
                <w:lang w:val="en-GB"/>
              </w:rPr>
              <w:t>36 %</w:t>
            </w:r>
          </w:p>
        </w:tc>
      </w:tr>
      <w:tr w:rsidR="001E6A12" w:rsidRPr="007A1B09"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7A1B09" w:rsidRDefault="0059270B" w:rsidP="004468AD">
            <w:pPr>
              <w:spacing w:after="0"/>
              <w:jc w:val="left"/>
              <w:rPr>
                <w:sz w:val="18"/>
                <w:szCs w:val="18"/>
                <w:lang w:val="en-GB"/>
              </w:rPr>
            </w:pPr>
            <w:r>
              <w:rPr>
                <w:sz w:val="18"/>
                <w:szCs w:val="18"/>
                <w:lang w:val="en-GB"/>
              </w:rPr>
              <w:t>R&amp;D</w:t>
            </w:r>
            <w:r w:rsidR="004468AD" w:rsidRPr="007A1B09">
              <w:rPr>
                <w:sz w:val="18"/>
                <w:szCs w:val="18"/>
                <w:lang w:val="en-GB"/>
              </w:rPr>
              <w:t>:</w:t>
            </w:r>
          </w:p>
        </w:tc>
        <w:tc>
          <w:tcPr>
            <w:tcW w:w="5103" w:type="dxa"/>
          </w:tcPr>
          <w:p w:rsidR="00884BD5" w:rsidRPr="007A1B09" w:rsidRDefault="00A03711" w:rsidP="00A03711">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A03711">
              <w:rPr>
                <w:sz w:val="18"/>
                <w:szCs w:val="18"/>
                <w:lang w:val="en-GB"/>
              </w:rPr>
              <w:t>Public expenditure all</w:t>
            </w:r>
            <w:r>
              <w:rPr>
                <w:sz w:val="18"/>
                <w:szCs w:val="18"/>
                <w:lang w:val="en-GB"/>
              </w:rPr>
              <w:t xml:space="preserve">ocated to research, development </w:t>
            </w:r>
            <w:r w:rsidRPr="00A03711">
              <w:rPr>
                <w:sz w:val="18"/>
                <w:szCs w:val="18"/>
                <w:lang w:val="en-GB"/>
              </w:rPr>
              <w:t>and innovation to reach 1% of the Czech GDP.</w:t>
            </w:r>
          </w:p>
        </w:tc>
        <w:tc>
          <w:tcPr>
            <w:tcW w:w="1079" w:type="dxa"/>
          </w:tcPr>
          <w:p w:rsidR="00884BD5" w:rsidRPr="007A1B09" w:rsidRDefault="008450A2"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0</w:t>
            </w:r>
            <w:r w:rsidR="00435EB0">
              <w:rPr>
                <w:sz w:val="18"/>
                <w:szCs w:val="18"/>
                <w:lang w:val="en-GB"/>
              </w:rPr>
              <w:t>.</w:t>
            </w:r>
            <w:r w:rsidRPr="007A1B09">
              <w:rPr>
                <w:sz w:val="18"/>
                <w:szCs w:val="18"/>
                <w:lang w:val="en-GB"/>
              </w:rPr>
              <w:t>62 %</w:t>
            </w:r>
          </w:p>
        </w:tc>
        <w:tc>
          <w:tcPr>
            <w:tcW w:w="1079" w:type="dxa"/>
          </w:tcPr>
          <w:p w:rsidR="00884BD5" w:rsidRPr="007A1B09" w:rsidRDefault="000A4BFA" w:rsidP="003E5967">
            <w:pPr>
              <w:keepNext/>
              <w:spacing w:after="0"/>
              <w:jc w:val="left"/>
              <w:cnfStyle w:val="000000100000" w:firstRow="0" w:lastRow="0" w:firstColumn="0" w:lastColumn="0" w:oddVBand="0" w:evenVBand="0" w:oddHBand="1" w:evenHBand="0" w:firstRowFirstColumn="0" w:firstRowLastColumn="0" w:lastRowFirstColumn="0" w:lastRowLastColumn="0"/>
              <w:rPr>
                <w:sz w:val="18"/>
                <w:szCs w:val="18"/>
                <w:lang w:val="en-GB"/>
              </w:rPr>
            </w:pPr>
            <w:r w:rsidRPr="007A1B09">
              <w:rPr>
                <w:sz w:val="18"/>
                <w:szCs w:val="18"/>
                <w:lang w:val="en-GB"/>
              </w:rPr>
              <w:t>1</w:t>
            </w:r>
            <w:r w:rsidR="00435EB0">
              <w:rPr>
                <w:sz w:val="18"/>
                <w:szCs w:val="18"/>
                <w:lang w:val="en-GB"/>
              </w:rPr>
              <w:t>.</w:t>
            </w:r>
            <w:r w:rsidRPr="007A1B09">
              <w:rPr>
                <w:sz w:val="18"/>
                <w:szCs w:val="18"/>
                <w:lang w:val="en-GB"/>
              </w:rPr>
              <w:t>0</w:t>
            </w:r>
            <w:r w:rsidR="003E5967" w:rsidRPr="007A1B09">
              <w:rPr>
                <w:sz w:val="18"/>
                <w:szCs w:val="18"/>
                <w:lang w:val="en-GB"/>
              </w:rPr>
              <w:t>3</w:t>
            </w:r>
            <w:r w:rsidRPr="007A1B09">
              <w:rPr>
                <w:sz w:val="18"/>
                <w:szCs w:val="18"/>
                <w:lang w:val="en-GB"/>
              </w:rPr>
              <w:t xml:space="preserve"> %</w:t>
            </w:r>
          </w:p>
        </w:tc>
      </w:tr>
    </w:tbl>
    <w:p w:rsidR="00435EB0" w:rsidRPr="00435EB0" w:rsidRDefault="00435EB0" w:rsidP="00435EB0">
      <w:pPr>
        <w:pStyle w:val="Titulek"/>
        <w:jc w:val="right"/>
        <w:rPr>
          <w:lang w:val="en-GB"/>
        </w:rPr>
      </w:pPr>
      <w:r w:rsidRPr="00435EB0">
        <w:rPr>
          <w:lang w:val="en-GB"/>
        </w:rPr>
        <w:t>Source: Eurostat, MPSV, MF, CSO, MIT, Ministry of Education</w:t>
      </w:r>
    </w:p>
    <w:p w:rsidR="006E7AAE" w:rsidRPr="007A1B09" w:rsidRDefault="006E7AAE" w:rsidP="00E867B0">
      <w:pPr>
        <w:pStyle w:val="Titulek"/>
        <w:jc w:val="right"/>
        <w:rPr>
          <w:highlight w:val="yellow"/>
          <w:lang w:val="en-GB"/>
        </w:rPr>
      </w:pPr>
    </w:p>
    <w:p w:rsidR="00505E77" w:rsidRPr="007A1B09" w:rsidRDefault="00435EB0" w:rsidP="00365D07">
      <w:pPr>
        <w:pStyle w:val="Nadpis3"/>
        <w:rPr>
          <w:lang w:val="en-GB"/>
        </w:rPr>
      </w:pPr>
      <w:bookmarkStart w:id="39" w:name="_Toc385946013"/>
      <w:r>
        <w:rPr>
          <w:lang w:val="en-GB"/>
        </w:rPr>
        <w:t>Employment</w:t>
      </w:r>
      <w:bookmarkEnd w:id="39"/>
    </w:p>
    <w:p w:rsidR="00435EB0" w:rsidRPr="00177F0B" w:rsidRDefault="00435EB0" w:rsidP="00435EB0">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the Czech Republic there was a decline in the employment rate due to the economic crisis in 2009-2010, since 2011 the employment rate</w:t>
      </w:r>
      <w:r>
        <w:rPr>
          <w:rFonts w:ascii="Calibri" w:eastAsia="Times New Roman" w:hAnsi="Calibri" w:cs="Calibri"/>
          <w:color w:val="000000"/>
          <w:lang w:val="en-GB" w:eastAsia="cs-CZ"/>
        </w:rPr>
        <w:t xml:space="preserve"> is rising again and already nearing</w:t>
      </w:r>
      <w:r w:rsidRPr="00177F0B">
        <w:rPr>
          <w:rFonts w:ascii="Calibri" w:eastAsia="Times New Roman" w:hAnsi="Calibri" w:cs="Calibri"/>
          <w:color w:val="000000"/>
          <w:lang w:val="en-GB" w:eastAsia="cs-CZ"/>
        </w:rPr>
        <w:t xml:space="preserve"> pre-crisis levels, despite the relatively weak economic recovery. Significant progress has been made in particular in the employment of older persons and part</w:t>
      </w:r>
      <w:r>
        <w:rPr>
          <w:rFonts w:ascii="Calibri" w:eastAsia="Times New Roman" w:hAnsi="Calibri" w:cs="Calibri"/>
          <w:color w:val="000000"/>
          <w:lang w:val="en-GB" w:eastAsia="cs-CZ"/>
        </w:rPr>
        <w:t>ial</w:t>
      </w:r>
      <w:r w:rsidRPr="00177F0B">
        <w:rPr>
          <w:rFonts w:ascii="Calibri" w:eastAsia="Times New Roman" w:hAnsi="Calibri" w:cs="Calibri"/>
          <w:color w:val="000000"/>
          <w:lang w:val="en-GB" w:eastAsia="cs-CZ"/>
        </w:rPr>
        <w:t>ly</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women. Despite some improvements in the past year </w:t>
      </w:r>
      <w:r>
        <w:rPr>
          <w:rFonts w:ascii="Calibri" w:eastAsia="Times New Roman" w:hAnsi="Calibri" w:cs="Calibri"/>
          <w:color w:val="000000"/>
          <w:lang w:val="en-GB" w:eastAsia="cs-CZ"/>
        </w:rPr>
        <w:t xml:space="preserve">the development of </w:t>
      </w:r>
      <w:r w:rsidRPr="00177F0B">
        <w:rPr>
          <w:rFonts w:ascii="Calibri" w:eastAsia="Times New Roman" w:hAnsi="Calibri" w:cs="Calibri"/>
          <w:color w:val="000000"/>
          <w:lang w:val="en-GB" w:eastAsia="cs-CZ"/>
        </w:rPr>
        <w:t xml:space="preserve">national goals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youth and the low-skilled</w:t>
      </w:r>
      <w:r>
        <w:rPr>
          <w:rFonts w:ascii="Calibri" w:eastAsia="Times New Roman" w:hAnsi="Calibri" w:cs="Calibri"/>
          <w:color w:val="000000"/>
          <w:lang w:val="en-GB" w:eastAsia="cs-CZ"/>
        </w:rPr>
        <w:t xml:space="preserve"> persons’</w:t>
      </w:r>
      <w:r w:rsidRPr="00E61EEC">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unemployment </w:t>
      </w:r>
      <w:r>
        <w:rPr>
          <w:rFonts w:ascii="Calibri" w:eastAsia="Times New Roman" w:hAnsi="Calibri" w:cs="Calibri"/>
          <w:color w:val="000000"/>
          <w:lang w:val="en-GB" w:eastAsia="cs-CZ"/>
        </w:rPr>
        <w:t>is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complicated by</w:t>
      </w:r>
      <w:r w:rsidRPr="00177F0B">
        <w:rPr>
          <w:rFonts w:ascii="Calibri" w:eastAsia="Times New Roman" w:hAnsi="Calibri" w:cs="Calibri"/>
          <w:color w:val="000000"/>
          <w:lang w:val="en-GB" w:eastAsia="cs-CZ"/>
        </w:rPr>
        <w:t xml:space="preserve"> the continuing lack of new jobs.</w:t>
      </w:r>
    </w:p>
    <w:p w:rsidR="00365D07" w:rsidRPr="007A1B09" w:rsidRDefault="00CA7185" w:rsidP="00365D07">
      <w:pPr>
        <w:rPr>
          <w:highlight w:val="yellow"/>
          <w:lang w:val="en-GB"/>
        </w:rPr>
      </w:pPr>
      <w:r w:rsidRPr="007A1B09">
        <w:rPr>
          <w:lang w:val="en-GB"/>
        </w:rPr>
        <w:t xml:space="preserve"> </w:t>
      </w:r>
    </w:p>
    <w:p w:rsidR="00A91E1E" w:rsidRPr="007A1B09" w:rsidRDefault="00435EB0" w:rsidP="00A91E1E">
      <w:pPr>
        <w:pStyle w:val="Titulek"/>
        <w:keepNext/>
        <w:rPr>
          <w:lang w:val="en-GB"/>
        </w:rPr>
      </w:pPr>
      <w:r>
        <w:rPr>
          <w:lang w:val="en-GB"/>
        </w:rPr>
        <w:lastRenderedPageBreak/>
        <w:t>Chart</w:t>
      </w:r>
      <w:r w:rsidR="00A91E1E"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5</w:t>
      </w:r>
      <w:r w:rsidR="005B4FA9" w:rsidRPr="007A1B09">
        <w:rPr>
          <w:noProof/>
          <w:lang w:val="en-GB"/>
        </w:rPr>
        <w:fldChar w:fldCharType="end"/>
      </w:r>
      <w:r w:rsidR="00A91E1E" w:rsidRPr="007A1B09">
        <w:rPr>
          <w:lang w:val="en-GB"/>
        </w:rPr>
        <w:t xml:space="preserve">: </w:t>
      </w:r>
      <w:r w:rsidRPr="00435EB0">
        <w:rPr>
          <w:lang w:val="en-GB"/>
        </w:rPr>
        <w:t>Implementation</w:t>
      </w:r>
      <w:r>
        <w:rPr>
          <w:lang w:val="en-GB"/>
        </w:rPr>
        <w:t xml:space="preserve"> of national employment targets</w:t>
      </w:r>
      <w:r w:rsidR="00A91E1E" w:rsidRPr="007A1B09">
        <w:rPr>
          <w:rStyle w:val="Znakapoznpodarou"/>
          <w:lang w:val="en-GB"/>
        </w:rPr>
        <w:footnoteReference w:id="18"/>
      </w:r>
    </w:p>
    <w:p w:rsidR="00A91E1E" w:rsidRPr="007A1B09" w:rsidRDefault="00A91E1E" w:rsidP="005F1C33">
      <w:pPr>
        <w:rPr>
          <w:lang w:val="en-GB"/>
        </w:rPr>
      </w:pPr>
      <w:r w:rsidRPr="007A1B09">
        <w:rPr>
          <w:noProof/>
          <w:lang w:eastAsia="cs-CZ"/>
        </w:rPr>
        <w:drawing>
          <wp:inline distT="0" distB="0" distL="0" distR="0" wp14:anchorId="0876E56F" wp14:editId="544C77BD">
            <wp:extent cx="5760720" cy="2657428"/>
            <wp:effectExtent l="0" t="0" r="11430" b="1016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35EB0" w:rsidRPr="00435EB0" w:rsidRDefault="00435EB0" w:rsidP="00435EB0">
      <w:pPr>
        <w:pStyle w:val="Titulek"/>
        <w:jc w:val="right"/>
        <w:rPr>
          <w:lang w:val="en-GB"/>
        </w:rPr>
      </w:pPr>
      <w:r w:rsidRPr="00435EB0">
        <w:rPr>
          <w:lang w:val="en-GB"/>
        </w:rPr>
        <w:t>Source: MLSA, 2014</w:t>
      </w:r>
    </w:p>
    <w:p w:rsidR="00981DE3" w:rsidRPr="007A1B09" w:rsidRDefault="00A91E1E" w:rsidP="00A91E1E">
      <w:pPr>
        <w:pStyle w:val="Titulek"/>
        <w:jc w:val="right"/>
        <w:rPr>
          <w:lang w:val="en-GB"/>
        </w:rPr>
      </w:pPr>
      <w:r w:rsidRPr="007A1B09">
        <w:rPr>
          <w:lang w:val="en-GB"/>
        </w:rPr>
        <w:t xml:space="preserve"> </w:t>
      </w:r>
    </w:p>
    <w:p w:rsidR="00A91E1E" w:rsidRPr="007A1B09" w:rsidRDefault="00435EB0" w:rsidP="00A91E1E">
      <w:pPr>
        <w:pStyle w:val="Titulek"/>
        <w:keepNext/>
        <w:rPr>
          <w:lang w:val="en-GB"/>
        </w:rPr>
      </w:pPr>
      <w:r>
        <w:rPr>
          <w:lang w:val="en-GB"/>
        </w:rPr>
        <w:t>Chart</w:t>
      </w:r>
      <w:r w:rsidR="00A91E1E"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6</w:t>
      </w:r>
      <w:r w:rsidR="005B4FA9" w:rsidRPr="007A1B09">
        <w:rPr>
          <w:noProof/>
          <w:lang w:val="en-GB"/>
        </w:rPr>
        <w:fldChar w:fldCharType="end"/>
      </w:r>
      <w:r w:rsidR="00A91E1E" w:rsidRPr="007A1B09">
        <w:rPr>
          <w:lang w:val="en-GB"/>
        </w:rPr>
        <w:t xml:space="preserve">: </w:t>
      </w:r>
      <w:r w:rsidRPr="00435EB0">
        <w:rPr>
          <w:rFonts w:ascii="Calibri" w:eastAsia="Times New Roman" w:hAnsi="Calibri" w:cs="Calibri"/>
          <w:bCs w:val="0"/>
          <w:color w:val="000000"/>
          <w:lang w:val="en-GB" w:eastAsia="cs-CZ"/>
        </w:rPr>
        <w:t>Implementation of national objectives in the area of unemployment</w:t>
      </w:r>
      <w:r w:rsidR="00A91E1E" w:rsidRPr="007A1B09">
        <w:rPr>
          <w:rStyle w:val="Znakapoznpodarou"/>
          <w:lang w:val="en-GB"/>
        </w:rPr>
        <w:footnoteReference w:id="19"/>
      </w:r>
    </w:p>
    <w:p w:rsidR="00A91E1E" w:rsidRPr="007A1B09" w:rsidRDefault="00A91E1E" w:rsidP="00A91E1E">
      <w:pPr>
        <w:keepNext/>
        <w:rPr>
          <w:lang w:val="en-GB"/>
        </w:rPr>
      </w:pPr>
      <w:r w:rsidRPr="007A1B09">
        <w:rPr>
          <w:noProof/>
          <w:lang w:eastAsia="cs-CZ"/>
        </w:rPr>
        <w:drawing>
          <wp:inline distT="0" distB="0" distL="0" distR="0" wp14:anchorId="149A7224" wp14:editId="041998D0">
            <wp:extent cx="5760720" cy="2657428"/>
            <wp:effectExtent l="0" t="0" r="11430" b="1016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5EB0" w:rsidRPr="00435EB0" w:rsidRDefault="00435EB0" w:rsidP="00435EB0">
      <w:pPr>
        <w:pStyle w:val="Titulek"/>
        <w:jc w:val="right"/>
        <w:rPr>
          <w:lang w:val="en-GB"/>
        </w:rPr>
      </w:pPr>
      <w:r w:rsidRPr="00435EB0">
        <w:rPr>
          <w:lang w:val="en-GB"/>
        </w:rPr>
        <w:t>Source: MLSA, 2014</w:t>
      </w:r>
    </w:p>
    <w:p w:rsidR="003B300D" w:rsidRPr="00D3500C" w:rsidRDefault="00D3500C" w:rsidP="00D3500C">
      <w:pPr>
        <w:pStyle w:val="Nadpis3"/>
        <w:rPr>
          <w:bCs/>
          <w:lang w:val="en-GB"/>
        </w:rPr>
      </w:pPr>
      <w:bookmarkStart w:id="40" w:name="_Toc385946014"/>
      <w:r w:rsidRPr="00D3500C">
        <w:rPr>
          <w:bCs/>
          <w:lang w:val="en-GB"/>
        </w:rPr>
        <w:t>Combati</w:t>
      </w:r>
      <w:r>
        <w:rPr>
          <w:bCs/>
          <w:lang w:val="en-GB"/>
        </w:rPr>
        <w:t>ng Poverty and Social Exclusion</w:t>
      </w:r>
      <w:bookmarkEnd w:id="40"/>
    </w:p>
    <w:p w:rsidR="00D3500C" w:rsidRPr="00177F0B" w:rsidRDefault="00D3500C" w:rsidP="00D3500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With regard to the degree of risk of poverty and social exclusion, according</w:t>
      </w:r>
      <w:r>
        <w:rPr>
          <w:rFonts w:ascii="Calibri" w:eastAsia="Times New Roman" w:hAnsi="Calibri" w:cs="Calibri"/>
          <w:color w:val="000000"/>
          <w:lang w:val="en-GB" w:eastAsia="cs-CZ"/>
        </w:rPr>
        <w:t xml:space="preserve"> to the latest comparable </w:t>
      </w:r>
      <w:r w:rsidRPr="00177F0B">
        <w:rPr>
          <w:rFonts w:ascii="Calibri" w:eastAsia="Times New Roman" w:hAnsi="Calibri" w:cs="Calibri"/>
          <w:color w:val="000000"/>
          <w:lang w:val="en-GB" w:eastAsia="cs-CZ"/>
        </w:rPr>
        <w:t>Eurostat</w:t>
      </w:r>
      <w:r>
        <w:rPr>
          <w:rFonts w:ascii="Calibri" w:eastAsia="Times New Roman" w:hAnsi="Calibri" w:cs="Calibri"/>
          <w:color w:val="000000"/>
          <w:lang w:val="en-GB" w:eastAsia="cs-CZ"/>
        </w:rPr>
        <w:t xml:space="preserve"> data</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it increased by 0.1 percentage point in 2012 </w:t>
      </w:r>
      <w:r w:rsidRPr="00177F0B">
        <w:rPr>
          <w:rFonts w:ascii="Calibri" w:eastAsia="Times New Roman" w:hAnsi="Calibri" w:cs="Calibri"/>
          <w:color w:val="000000"/>
          <w:lang w:val="en-GB" w:eastAsia="cs-CZ"/>
        </w:rPr>
        <w:t>in compar</w:t>
      </w:r>
      <w:r>
        <w:rPr>
          <w:rFonts w:ascii="Calibri" w:eastAsia="Times New Roman" w:hAnsi="Calibri" w:cs="Calibri"/>
          <w:color w:val="000000"/>
          <w:lang w:val="en-GB" w:eastAsia="cs-CZ"/>
        </w:rPr>
        <w:t xml:space="preserve">ison to 2008 to a total of </w:t>
      </w:r>
      <w:r w:rsidRPr="00177F0B">
        <w:rPr>
          <w:rFonts w:ascii="Calibri" w:eastAsia="Times New Roman" w:hAnsi="Calibri" w:cs="Calibri"/>
          <w:color w:val="000000"/>
          <w:lang w:val="en-GB" w:eastAsia="cs-CZ"/>
        </w:rPr>
        <w:t>to 15.4%, which was about 1 580 000 people. </w:t>
      </w:r>
      <w:r>
        <w:rPr>
          <w:rFonts w:ascii="Calibri" w:eastAsia="Times New Roman" w:hAnsi="Calibri" w:cs="Calibri"/>
          <w:color w:val="000000"/>
          <w:lang w:val="en-GB" w:eastAsia="cs-CZ"/>
        </w:rPr>
        <w:t>Regarding this</w:t>
      </w:r>
      <w:r w:rsidRPr="00177F0B">
        <w:rPr>
          <w:rFonts w:ascii="Calibri" w:eastAsia="Times New Roman" w:hAnsi="Calibri" w:cs="Calibri"/>
          <w:color w:val="000000"/>
          <w:lang w:val="en-GB" w:eastAsia="cs-CZ"/>
        </w:rPr>
        <w:t xml:space="preserve"> comprehensive indicator the Czech Republic </w:t>
      </w:r>
      <w:r>
        <w:rPr>
          <w:rFonts w:ascii="Calibri" w:eastAsia="Times New Roman" w:hAnsi="Calibri" w:cs="Calibri"/>
          <w:color w:val="000000"/>
          <w:lang w:val="en-GB" w:eastAsia="cs-CZ"/>
        </w:rPr>
        <w:t xml:space="preserve">is doing </w:t>
      </w:r>
      <w:r w:rsidRPr="00177F0B">
        <w:rPr>
          <w:rFonts w:ascii="Calibri" w:eastAsia="Times New Roman" w:hAnsi="Calibri" w:cs="Calibri"/>
          <w:color w:val="000000"/>
          <w:lang w:val="en-GB" w:eastAsia="cs-CZ"/>
        </w:rPr>
        <w:t xml:space="preserve">very well (the </w:t>
      </w:r>
      <w:r>
        <w:rPr>
          <w:rFonts w:ascii="Calibri" w:eastAsia="Times New Roman" w:hAnsi="Calibri" w:cs="Calibri"/>
          <w:color w:val="000000"/>
          <w:lang w:val="en-GB" w:eastAsia="cs-CZ"/>
        </w:rPr>
        <w:t>share</w:t>
      </w:r>
      <w:r w:rsidRPr="00177F0B">
        <w:rPr>
          <w:rFonts w:ascii="Calibri" w:eastAsia="Times New Roman" w:hAnsi="Calibri" w:cs="Calibri"/>
          <w:color w:val="000000"/>
          <w:lang w:val="en-GB" w:eastAsia="cs-CZ"/>
        </w:rPr>
        <w:t xml:space="preserve"> of vulnerable people in the Czech Republic is the second lowest of all EU countries - according to Eurostat data, the EU-28</w:t>
      </w:r>
      <w:r w:rsidRPr="00AE381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average was 24.8%).</w:t>
      </w:r>
    </w:p>
    <w:p w:rsidR="00D3500C" w:rsidRPr="00177F0B" w:rsidRDefault="00D3500C" w:rsidP="00D3500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level of risk of income poverty fell from 9.6% to 8.5%</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between 2012 and 2013.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 2013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ncome poverty in the Czech Republic threatened 872,000 people (according to preliminary data 118,000 people </w:t>
      </w:r>
      <w:r w:rsidRPr="00177F0B">
        <w:rPr>
          <w:rFonts w:ascii="Calibri" w:eastAsia="Times New Roman" w:hAnsi="Calibri" w:cs="Calibri"/>
          <w:color w:val="000000"/>
          <w:lang w:val="en-GB" w:eastAsia="cs-CZ"/>
        </w:rPr>
        <w:lastRenderedPageBreak/>
        <w:t>less than in 2012). In this indicator, the Czech Republic is achieving the best results across the EU (EU 28 average in 2012 was 17.0%).</w:t>
      </w:r>
      <w:r>
        <w:rPr>
          <w:rFonts w:ascii="Calibri" w:eastAsia="Times New Roman" w:hAnsi="Calibri" w:cs="Calibri"/>
          <w:color w:val="000000"/>
          <w:lang w:val="en-GB" w:eastAsia="cs-CZ"/>
        </w:rPr>
        <w:t xml:space="preserve"> </w:t>
      </w:r>
    </w:p>
    <w:p w:rsidR="00D3500C" w:rsidRPr="00177F0B" w:rsidRDefault="00D3500C" w:rsidP="00D3500C">
      <w:pPr>
        <w:rPr>
          <w:rFonts w:ascii="Calibri" w:eastAsia="Times New Roman" w:hAnsi="Calibri" w:cs="Calibri"/>
          <w:color w:val="000000"/>
          <w:lang w:val="en-GB" w:eastAsia="cs-CZ"/>
        </w:rPr>
      </w:pPr>
      <w:r>
        <w:rPr>
          <w:rFonts w:ascii="Calibri" w:eastAsia="Times New Roman" w:hAnsi="Calibri" w:cs="Calibri"/>
          <w:color w:val="000000"/>
          <w:lang w:val="en-GB" w:eastAsia="cs-CZ"/>
        </w:rPr>
        <w:t>B</w:t>
      </w:r>
      <w:r w:rsidRPr="00177F0B">
        <w:rPr>
          <w:rFonts w:ascii="Calibri" w:eastAsia="Times New Roman" w:hAnsi="Calibri" w:cs="Calibri"/>
          <w:color w:val="000000"/>
          <w:lang w:val="en-GB" w:eastAsia="cs-CZ"/>
        </w:rPr>
        <w:t>ased on preliminary data more women (9.3% of all women)</w:t>
      </w:r>
      <w:r>
        <w:rPr>
          <w:rFonts w:ascii="Calibri" w:eastAsia="Times New Roman" w:hAnsi="Calibri" w:cs="Calibri"/>
          <w:color w:val="000000"/>
          <w:lang w:val="en-GB" w:eastAsia="cs-CZ"/>
        </w:rPr>
        <w:t xml:space="preserve"> were endangered by poverty</w:t>
      </w:r>
      <w:r w:rsidRPr="00177F0B">
        <w:rPr>
          <w:rFonts w:ascii="Calibri" w:eastAsia="Times New Roman" w:hAnsi="Calibri" w:cs="Calibri"/>
          <w:color w:val="000000"/>
          <w:lang w:val="en-GB" w:eastAsia="cs-CZ"/>
        </w:rPr>
        <w:t xml:space="preserve"> than men (7.6% of all men)</w:t>
      </w:r>
      <w:r>
        <w:rPr>
          <w:rFonts w:ascii="Calibri" w:eastAsia="Times New Roman" w:hAnsi="Calibri" w:cs="Calibri"/>
          <w:color w:val="000000"/>
          <w:lang w:val="en-GB" w:eastAsia="cs-CZ"/>
        </w:rPr>
        <w:t xml:space="preserve"> in 2013</w:t>
      </w:r>
      <w:r w:rsidRPr="00177F0B">
        <w:rPr>
          <w:rFonts w:ascii="Calibri" w:eastAsia="Times New Roman" w:hAnsi="Calibri" w:cs="Calibri"/>
          <w:color w:val="000000"/>
          <w:lang w:val="en-GB" w:eastAsia="cs-CZ"/>
        </w:rPr>
        <w:t xml:space="preserve">. Most at risk of poverty </w:t>
      </w:r>
      <w:r>
        <w:rPr>
          <w:rFonts w:ascii="Calibri" w:eastAsia="Times New Roman" w:hAnsi="Calibri" w:cs="Calibri"/>
          <w:color w:val="000000"/>
          <w:lang w:val="en-GB" w:eastAsia="cs-CZ"/>
        </w:rPr>
        <w:t>were people in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incomplete</w:t>
      </w:r>
      <w:r w:rsidRPr="00177F0B">
        <w:rPr>
          <w:rFonts w:ascii="Calibri" w:eastAsia="Times New Roman" w:hAnsi="Calibri" w:cs="Calibri"/>
          <w:color w:val="000000"/>
          <w:lang w:val="en-GB" w:eastAsia="cs-CZ"/>
        </w:rPr>
        <w:t xml:space="preserve"> families (27.7% of individuals in these families) and especially in jobless households (43.4% of individuals in these f</w:t>
      </w:r>
      <w:r>
        <w:rPr>
          <w:rFonts w:ascii="Calibri" w:eastAsia="Times New Roman" w:hAnsi="Calibri" w:cs="Calibri"/>
          <w:color w:val="000000"/>
          <w:lang w:val="en-GB" w:eastAsia="cs-CZ"/>
        </w:rPr>
        <w:t xml:space="preserve">amilies), where their number </w:t>
      </w:r>
      <w:r w:rsidRPr="00177F0B">
        <w:rPr>
          <w:rFonts w:ascii="Calibri" w:eastAsia="Times New Roman" w:hAnsi="Calibri" w:cs="Calibri"/>
          <w:color w:val="000000"/>
          <w:lang w:val="en-GB" w:eastAsia="cs-CZ"/>
        </w:rPr>
        <w:t>relatively</w:t>
      </w:r>
      <w:r>
        <w:rPr>
          <w:rFonts w:ascii="Calibri" w:eastAsia="Times New Roman" w:hAnsi="Calibri" w:cs="Calibri"/>
          <w:color w:val="000000"/>
          <w:lang w:val="en-GB" w:eastAsia="cs-CZ"/>
        </w:rPr>
        <w:t xml:space="preserve"> sharply increased</w:t>
      </w:r>
      <w:r w:rsidRPr="00177F0B">
        <w:rPr>
          <w:rFonts w:ascii="Calibri" w:eastAsia="Times New Roman" w:hAnsi="Calibri" w:cs="Calibri"/>
          <w:color w:val="000000"/>
          <w:lang w:val="en-GB" w:eastAsia="cs-CZ"/>
        </w:rPr>
        <w:t xml:space="preserve"> by more than 3 percentage points </w:t>
      </w:r>
      <w:r>
        <w:rPr>
          <w:rFonts w:ascii="Calibri" w:eastAsia="Times New Roman" w:hAnsi="Calibri" w:cs="Calibri"/>
          <w:color w:val="000000"/>
          <w:lang w:val="en-GB" w:eastAsia="cs-CZ"/>
        </w:rPr>
        <w:t>as a consequence of the</w:t>
      </w:r>
      <w:r w:rsidRPr="00177F0B">
        <w:rPr>
          <w:rFonts w:ascii="Calibri" w:eastAsia="Times New Roman" w:hAnsi="Calibri" w:cs="Calibri"/>
          <w:color w:val="000000"/>
          <w:lang w:val="en-GB" w:eastAsia="cs-CZ"/>
        </w:rPr>
        <w:t xml:space="preserve"> inc</w:t>
      </w:r>
      <w:r>
        <w:rPr>
          <w:rFonts w:ascii="Calibri" w:eastAsia="Times New Roman" w:hAnsi="Calibri" w:cs="Calibri"/>
          <w:color w:val="000000"/>
          <w:lang w:val="en-GB" w:eastAsia="cs-CZ"/>
        </w:rPr>
        <w:t>rease of long-term unemployment</w:t>
      </w:r>
      <w:r w:rsidRPr="00177F0B">
        <w:rPr>
          <w:rFonts w:ascii="Calibri" w:eastAsia="Times New Roman" w:hAnsi="Calibri" w:cs="Calibri"/>
          <w:color w:val="000000"/>
          <w:lang w:val="en-GB" w:eastAsia="cs-CZ"/>
        </w:rPr>
        <w:t>. T</w:t>
      </w:r>
      <w:r>
        <w:rPr>
          <w:rFonts w:ascii="Calibri" w:eastAsia="Times New Roman" w:hAnsi="Calibri" w:cs="Calibri"/>
          <w:color w:val="000000"/>
          <w:lang w:val="en-GB" w:eastAsia="cs-CZ"/>
        </w:rPr>
        <w:t>he turning point</w:t>
      </w:r>
      <w:r w:rsidRPr="00177F0B">
        <w:rPr>
          <w:rFonts w:ascii="Calibri" w:eastAsia="Times New Roman" w:hAnsi="Calibri" w:cs="Calibri"/>
          <w:color w:val="000000"/>
          <w:lang w:val="en-GB" w:eastAsia="cs-CZ"/>
        </w:rPr>
        <w:t xml:space="preserve"> in the previous trend of decreasing risk of income poverty among unemployed persons occurred in 2010 due to the slowdown in the growth of household income </w:t>
      </w:r>
      <w:r>
        <w:rPr>
          <w:rFonts w:ascii="Calibri" w:eastAsia="Times New Roman" w:hAnsi="Calibri" w:cs="Calibri"/>
          <w:color w:val="000000"/>
          <w:lang w:val="en-GB" w:eastAsia="cs-CZ"/>
        </w:rPr>
        <w:t xml:space="preserve">starting in </w:t>
      </w:r>
      <w:r w:rsidRPr="00177F0B">
        <w:rPr>
          <w:rFonts w:ascii="Calibri" w:eastAsia="Times New Roman" w:hAnsi="Calibri" w:cs="Calibri"/>
          <w:color w:val="000000"/>
          <w:lang w:val="en-GB" w:eastAsia="cs-CZ"/>
        </w:rPr>
        <w:t>2009 in the context of the global financial crisis.</w:t>
      </w:r>
    </w:p>
    <w:p w:rsidR="00D3500C" w:rsidRPr="00177F0B" w:rsidRDefault="00D3500C" w:rsidP="00D3500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contrast, the rate of material deprivation in the whole population </w:t>
      </w:r>
      <w:r>
        <w:rPr>
          <w:rFonts w:ascii="Calibri" w:eastAsia="Times New Roman" w:hAnsi="Calibri" w:cs="Calibri"/>
          <w:color w:val="000000"/>
          <w:lang w:val="en-GB" w:eastAsia="cs-CZ"/>
        </w:rPr>
        <w:t xml:space="preserve">in 2013 </w:t>
      </w:r>
      <w:r w:rsidRPr="00177F0B">
        <w:rPr>
          <w:rFonts w:ascii="Calibri" w:eastAsia="Times New Roman" w:hAnsi="Calibri" w:cs="Calibri"/>
          <w:color w:val="000000"/>
          <w:lang w:val="en-GB" w:eastAsia="cs-CZ"/>
        </w:rPr>
        <w:t>remain</w:t>
      </w:r>
      <w:r>
        <w:rPr>
          <w:rFonts w:ascii="Calibri" w:eastAsia="Times New Roman" w:hAnsi="Calibri" w:cs="Calibri"/>
          <w:color w:val="000000"/>
          <w:lang w:val="en-GB" w:eastAsia="cs-CZ"/>
        </w:rPr>
        <w:t>ed</w:t>
      </w:r>
      <w:r w:rsidRPr="00177F0B">
        <w:rPr>
          <w:rFonts w:ascii="Calibri" w:eastAsia="Times New Roman" w:hAnsi="Calibri" w:cs="Calibri"/>
          <w:color w:val="000000"/>
          <w:lang w:val="en-GB" w:eastAsia="cs-CZ"/>
        </w:rPr>
        <w:t xml:space="preserve">, according to preliminary results, </w:t>
      </w:r>
      <w:r>
        <w:rPr>
          <w:rFonts w:ascii="Calibri" w:eastAsia="Times New Roman" w:hAnsi="Calibri" w:cs="Calibri"/>
          <w:color w:val="000000"/>
          <w:lang w:val="en-GB" w:eastAsia="cs-CZ"/>
        </w:rPr>
        <w:t xml:space="preserve">at </w:t>
      </w:r>
      <w:r w:rsidRPr="00177F0B">
        <w:rPr>
          <w:rFonts w:ascii="Calibri" w:eastAsia="Times New Roman" w:hAnsi="Calibri" w:cs="Calibri"/>
          <w:color w:val="000000"/>
          <w:lang w:val="en-GB" w:eastAsia="cs-CZ"/>
        </w:rPr>
        <w:t xml:space="preserve">about the same level as in 2012, </w:t>
      </w:r>
      <w:r>
        <w:rPr>
          <w:rFonts w:ascii="Calibri" w:eastAsia="Times New Roman" w:hAnsi="Calibri" w:cs="Calibri"/>
          <w:color w:val="000000"/>
          <w:lang w:val="en-GB" w:eastAsia="cs-CZ"/>
        </w:rPr>
        <w:t xml:space="preserve">which was </w:t>
      </w:r>
      <w:r w:rsidRPr="00177F0B">
        <w:rPr>
          <w:rFonts w:ascii="Calibri" w:eastAsia="Times New Roman" w:hAnsi="Calibri" w:cs="Calibri"/>
          <w:color w:val="000000"/>
          <w:lang w:val="en-GB" w:eastAsia="cs-CZ"/>
        </w:rPr>
        <w:t xml:space="preserve">6.6%, </w:t>
      </w:r>
      <w:r>
        <w:rPr>
          <w:rFonts w:ascii="Calibri" w:eastAsia="Times New Roman" w:hAnsi="Calibri" w:cs="Calibri"/>
          <w:color w:val="000000"/>
          <w:lang w:val="en-GB" w:eastAsia="cs-CZ"/>
        </w:rPr>
        <w:t>while there are still</w:t>
      </w:r>
      <w:r w:rsidRPr="00177F0B">
        <w:rPr>
          <w:rFonts w:ascii="Calibri" w:eastAsia="Times New Roman" w:hAnsi="Calibri" w:cs="Calibri"/>
          <w:color w:val="000000"/>
          <w:lang w:val="en-GB" w:eastAsia="cs-CZ"/>
        </w:rPr>
        <w:t xml:space="preserve"> larger differences in its concentration in the overall population, especially broken down by type of household</w:t>
      </w:r>
      <w:r>
        <w:rPr>
          <w:rFonts w:ascii="Calibri" w:eastAsia="Times New Roman" w:hAnsi="Calibri" w:cs="Calibri"/>
          <w:color w:val="000000"/>
          <w:lang w:val="en-GB" w:eastAsia="cs-CZ"/>
        </w:rPr>
        <w:t>.</w:t>
      </w:r>
    </w:p>
    <w:p w:rsidR="0067162F" w:rsidRPr="007A1B09" w:rsidRDefault="0067162F" w:rsidP="0067162F">
      <w:pPr>
        <w:rPr>
          <w:lang w:val="en-GB"/>
        </w:rPr>
      </w:pPr>
    </w:p>
    <w:p w:rsidR="007D2353" w:rsidRPr="007A1B09" w:rsidRDefault="00D3500C" w:rsidP="007D2353">
      <w:pPr>
        <w:pStyle w:val="Titulek"/>
        <w:keepNext/>
        <w:rPr>
          <w:lang w:val="en-GB"/>
        </w:rPr>
      </w:pPr>
      <w:r>
        <w:rPr>
          <w:lang w:val="en-GB"/>
        </w:rPr>
        <w:t>Chart</w:t>
      </w:r>
      <w:r w:rsidR="007D2353"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7</w:t>
      </w:r>
      <w:r w:rsidR="005B4FA9" w:rsidRPr="007A1B09">
        <w:rPr>
          <w:noProof/>
          <w:lang w:val="en-GB"/>
        </w:rPr>
        <w:fldChar w:fldCharType="end"/>
      </w:r>
      <w:r w:rsidR="007D2353" w:rsidRPr="007A1B09">
        <w:rPr>
          <w:lang w:val="en-GB"/>
        </w:rPr>
        <w:t xml:space="preserve">: </w:t>
      </w:r>
      <w:r w:rsidRPr="00D3500C">
        <w:rPr>
          <w:lang w:val="en-GB"/>
        </w:rPr>
        <w:t>Population of the Czech Republic at risk of poverty or social exclusion</w:t>
      </w:r>
    </w:p>
    <w:p w:rsidR="002C00CB" w:rsidRPr="007A1B09" w:rsidRDefault="003648CA" w:rsidP="002C00CB">
      <w:pPr>
        <w:keepNext/>
        <w:rPr>
          <w:lang w:val="en-GB"/>
        </w:rPr>
      </w:pPr>
      <w:r w:rsidRPr="007A1B09">
        <w:rPr>
          <w:noProof/>
          <w:lang w:eastAsia="cs-CZ"/>
        </w:rPr>
        <w:drawing>
          <wp:inline distT="0" distB="0" distL="0" distR="0" wp14:anchorId="65080CD9" wp14:editId="00E1BDE6">
            <wp:extent cx="5764696" cy="2727298"/>
            <wp:effectExtent l="0" t="0" r="26670" b="1651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3500C" w:rsidRPr="00435EB0" w:rsidRDefault="00D3500C" w:rsidP="00D3500C">
      <w:pPr>
        <w:pStyle w:val="Titulek"/>
        <w:jc w:val="right"/>
        <w:rPr>
          <w:lang w:val="en-GB"/>
        </w:rPr>
      </w:pPr>
      <w:r w:rsidRPr="00435EB0">
        <w:rPr>
          <w:lang w:val="en-GB"/>
        </w:rPr>
        <w:t>Source: MLSA, 2014</w:t>
      </w:r>
    </w:p>
    <w:p w:rsidR="00073235" w:rsidRPr="00D3500C" w:rsidRDefault="00D3500C" w:rsidP="004468AD">
      <w:pPr>
        <w:pStyle w:val="Nadpis3"/>
        <w:rPr>
          <w:bCs/>
          <w:lang w:val="en-GB"/>
        </w:rPr>
      </w:pPr>
      <w:bookmarkStart w:id="41" w:name="_Toc385946015"/>
      <w:r>
        <w:rPr>
          <w:bCs/>
          <w:lang w:val="en-GB"/>
        </w:rPr>
        <w:t>Education</w:t>
      </w:r>
      <w:bookmarkEnd w:id="41"/>
    </w:p>
    <w:p w:rsidR="00D3500C" w:rsidRPr="00177F0B" w:rsidRDefault="00D3500C" w:rsidP="00D3500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2012 the value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national target CR</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was achieved, i.e. 5.5% of drop-outs. In comparison with the EU the Czech Republic </w:t>
      </w:r>
      <w:r>
        <w:rPr>
          <w:rFonts w:ascii="Calibri" w:eastAsia="Times New Roman" w:hAnsi="Calibri" w:cs="Calibri"/>
          <w:color w:val="000000"/>
          <w:lang w:val="en-GB" w:eastAsia="cs-CZ"/>
        </w:rPr>
        <w:t xml:space="preserve">is </w:t>
      </w:r>
      <w:r w:rsidRPr="00177F0B">
        <w:rPr>
          <w:rFonts w:ascii="Calibri" w:eastAsia="Times New Roman" w:hAnsi="Calibri" w:cs="Calibri"/>
          <w:color w:val="000000"/>
          <w:lang w:val="en-GB" w:eastAsia="cs-CZ"/>
        </w:rPr>
        <w:t>success</w:t>
      </w:r>
      <w:r>
        <w:rPr>
          <w:rFonts w:ascii="Calibri" w:eastAsia="Times New Roman" w:hAnsi="Calibri" w:cs="Calibri"/>
          <w:color w:val="000000"/>
          <w:lang w:val="en-GB" w:eastAsia="cs-CZ"/>
        </w:rPr>
        <w:t xml:space="preserve">ful in fulfilling </w:t>
      </w:r>
      <w:r w:rsidRPr="00177F0B">
        <w:rPr>
          <w:rFonts w:ascii="Calibri" w:eastAsia="Times New Roman" w:hAnsi="Calibri" w:cs="Calibri"/>
          <w:color w:val="000000"/>
          <w:lang w:val="en-GB" w:eastAsia="cs-CZ"/>
        </w:rPr>
        <w:t>the objective (the EU average in 2012 was 12.7%),</w:t>
      </w:r>
      <w:r>
        <w:rPr>
          <w:rFonts w:ascii="Calibri" w:eastAsia="Times New Roman" w:hAnsi="Calibri" w:cs="Calibri"/>
          <w:color w:val="000000"/>
          <w:lang w:val="en-GB" w:eastAsia="cs-CZ"/>
        </w:rPr>
        <w:t xml:space="preserve"> however</w:t>
      </w:r>
      <w:r w:rsidRPr="00177F0B">
        <w:rPr>
          <w:rFonts w:ascii="Calibri" w:eastAsia="Times New Roman" w:hAnsi="Calibri" w:cs="Calibri"/>
          <w:color w:val="000000"/>
          <w:lang w:val="en-GB" w:eastAsia="cs-CZ"/>
        </w:rPr>
        <w:t xml:space="preserve"> there was a slight increase compared to the previou</w:t>
      </w:r>
      <w:r>
        <w:rPr>
          <w:rFonts w:ascii="Calibri" w:eastAsia="Times New Roman" w:hAnsi="Calibri" w:cs="Calibri"/>
          <w:color w:val="000000"/>
          <w:lang w:val="en-GB" w:eastAsia="cs-CZ"/>
        </w:rPr>
        <w:t>s period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(2010 and 2011</w:t>
      </w:r>
      <w:r w:rsidRPr="00177F0B">
        <w:rPr>
          <w:rFonts w:ascii="Calibri" w:eastAsia="Times New Roman" w:hAnsi="Calibri" w:cs="Calibri"/>
          <w:color w:val="000000"/>
          <w:lang w:val="en-GB" w:eastAsia="cs-CZ"/>
        </w:rPr>
        <w:t xml:space="preserve"> 4.9%). The most frequently among persons prematurely departing from education </w:t>
      </w:r>
      <w:r>
        <w:rPr>
          <w:rFonts w:ascii="Calibri" w:eastAsia="Times New Roman" w:hAnsi="Calibri" w:cs="Calibri"/>
          <w:color w:val="000000"/>
          <w:lang w:val="en-GB" w:eastAsia="cs-CZ"/>
        </w:rPr>
        <w:t>are the</w:t>
      </w:r>
      <w:r w:rsidRPr="00177F0B">
        <w:rPr>
          <w:rFonts w:ascii="Calibri" w:eastAsia="Times New Roman" w:hAnsi="Calibri" w:cs="Calibri"/>
          <w:color w:val="000000"/>
          <w:lang w:val="en-GB" w:eastAsia="cs-CZ"/>
        </w:rPr>
        <w:t xml:space="preserve"> socially </w:t>
      </w:r>
      <w:r>
        <w:rPr>
          <w:rFonts w:ascii="Calibri" w:eastAsia="Times New Roman" w:hAnsi="Calibri" w:cs="Calibri"/>
          <w:color w:val="000000"/>
          <w:lang w:val="en-GB" w:eastAsia="cs-CZ"/>
        </w:rPr>
        <w:t>disadvantaged</w:t>
      </w:r>
      <w:r w:rsidRPr="00177F0B">
        <w:rPr>
          <w:rFonts w:ascii="Calibri" w:eastAsia="Times New Roman" w:hAnsi="Calibri" w:cs="Calibri"/>
          <w:color w:val="000000"/>
          <w:lang w:val="en-GB" w:eastAsia="cs-CZ"/>
        </w:rPr>
        <w:t>, m</w:t>
      </w:r>
      <w:r>
        <w:rPr>
          <w:rFonts w:ascii="Calibri" w:eastAsia="Times New Roman" w:hAnsi="Calibri" w:cs="Calibri"/>
          <w:color w:val="000000"/>
          <w:lang w:val="en-GB" w:eastAsia="cs-CZ"/>
        </w:rPr>
        <w:t>igrants and unsuccessful graduates</w:t>
      </w:r>
      <w:r w:rsidRPr="00177F0B">
        <w:rPr>
          <w:rFonts w:ascii="Calibri" w:eastAsia="Times New Roman" w:hAnsi="Calibri" w:cs="Calibri"/>
          <w:color w:val="000000"/>
          <w:lang w:val="en-GB" w:eastAsia="cs-CZ"/>
        </w:rPr>
        <w:t>, whose numbers increased after the introduction of a national school-leaving examination.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In 2012 25.6% of persons aged 30-34 years </w:t>
      </w:r>
      <w:r>
        <w:rPr>
          <w:rFonts w:ascii="Calibri" w:eastAsia="Times New Roman" w:hAnsi="Calibri" w:cs="Calibri"/>
          <w:color w:val="000000"/>
          <w:lang w:val="en-GB" w:eastAsia="cs-CZ"/>
        </w:rPr>
        <w:t>had completed tertiary education. The u</w:t>
      </w:r>
      <w:r w:rsidRPr="00177F0B">
        <w:rPr>
          <w:rFonts w:ascii="Calibri" w:eastAsia="Times New Roman" w:hAnsi="Calibri" w:cs="Calibri"/>
          <w:color w:val="000000"/>
          <w:lang w:val="en-GB" w:eastAsia="cs-CZ"/>
        </w:rPr>
        <w:t xml:space="preserve">pward trend corresponds </w:t>
      </w:r>
      <w:r>
        <w:rPr>
          <w:rFonts w:ascii="Calibri" w:eastAsia="Times New Roman" w:hAnsi="Calibri" w:cs="Calibri"/>
          <w:color w:val="000000"/>
          <w:lang w:val="en-GB" w:eastAsia="cs-CZ"/>
        </w:rPr>
        <w:t>with the gradual</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fulfilment of</w:t>
      </w:r>
      <w:r w:rsidRPr="00177F0B">
        <w:rPr>
          <w:rFonts w:ascii="Calibri" w:eastAsia="Times New Roman" w:hAnsi="Calibri" w:cs="Calibri"/>
          <w:color w:val="000000"/>
          <w:lang w:val="en-GB" w:eastAsia="cs-CZ"/>
        </w:rPr>
        <w:t xml:space="preserve"> the target, while the quality of higher education</w:t>
      </w:r>
      <w:r w:rsidRPr="0080442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 be carefully monitored in the following period.</w:t>
      </w:r>
    </w:p>
    <w:p w:rsidR="004468AD" w:rsidRPr="007A1B09" w:rsidRDefault="004468AD" w:rsidP="004468AD">
      <w:pPr>
        <w:rPr>
          <w:lang w:val="en-GB"/>
        </w:rPr>
      </w:pPr>
    </w:p>
    <w:p w:rsidR="00D3500C" w:rsidRPr="00D3500C" w:rsidRDefault="00D3500C" w:rsidP="00D3500C">
      <w:pPr>
        <w:pStyle w:val="Titulek"/>
        <w:keepNext/>
        <w:rPr>
          <w:lang w:val="en-GB"/>
        </w:rPr>
      </w:pPr>
      <w:r>
        <w:rPr>
          <w:lang w:val="en-GB"/>
        </w:rPr>
        <w:lastRenderedPageBreak/>
        <w:t>Chart</w:t>
      </w:r>
      <w:r w:rsidR="00A2680E"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8</w:t>
      </w:r>
      <w:r w:rsidR="005B4FA9" w:rsidRPr="007A1B09">
        <w:rPr>
          <w:noProof/>
          <w:lang w:val="en-GB"/>
        </w:rPr>
        <w:fldChar w:fldCharType="end"/>
      </w:r>
      <w:r w:rsidR="00A2680E" w:rsidRPr="007A1B09">
        <w:rPr>
          <w:lang w:val="en-GB"/>
        </w:rPr>
        <w:t xml:space="preserve">: </w:t>
      </w:r>
      <w:r w:rsidRPr="00D3500C">
        <w:rPr>
          <w:lang w:val="en-GB"/>
        </w:rPr>
        <w:t>Number of early leaving from education and the number of people with tertiary education (in%)</w:t>
      </w:r>
    </w:p>
    <w:p w:rsidR="00A2680E" w:rsidRPr="007A1B09" w:rsidRDefault="00A2680E" w:rsidP="00A2680E">
      <w:pPr>
        <w:pStyle w:val="Titulek"/>
        <w:keepNext/>
        <w:rPr>
          <w:lang w:val="en-GB"/>
        </w:rPr>
      </w:pPr>
    </w:p>
    <w:p w:rsidR="00A2680E" w:rsidRPr="007A1B09" w:rsidRDefault="00A2680E" w:rsidP="00A2680E">
      <w:pPr>
        <w:keepNext/>
        <w:rPr>
          <w:lang w:val="en-GB"/>
        </w:rPr>
      </w:pPr>
      <w:r w:rsidRPr="007A1B09">
        <w:rPr>
          <w:noProof/>
          <w:lang w:eastAsia="cs-CZ"/>
        </w:rPr>
        <w:drawing>
          <wp:inline distT="0" distB="0" distL="0" distR="0" wp14:anchorId="6F3EC498" wp14:editId="5608E338">
            <wp:extent cx="5724939" cy="2075291"/>
            <wp:effectExtent l="0" t="0" r="9525" b="2032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A6AEC" w:rsidRPr="007A1B09" w:rsidRDefault="00D3500C" w:rsidP="00A2680E">
      <w:pPr>
        <w:pStyle w:val="Titulek"/>
        <w:jc w:val="right"/>
        <w:rPr>
          <w:lang w:val="en-GB"/>
        </w:rPr>
      </w:pPr>
      <w:r>
        <w:rPr>
          <w:lang w:val="en-GB"/>
        </w:rPr>
        <w:t>Source</w:t>
      </w:r>
      <w:r w:rsidR="00A2680E" w:rsidRPr="007A1B09">
        <w:rPr>
          <w:lang w:val="en-GB"/>
        </w:rPr>
        <w:t xml:space="preserve">: Eurostat, 2014 </w:t>
      </w:r>
    </w:p>
    <w:p w:rsidR="008450A2" w:rsidRPr="00D3500C" w:rsidRDefault="00D3500C" w:rsidP="008450A2">
      <w:pPr>
        <w:pStyle w:val="Nadpis3"/>
        <w:rPr>
          <w:bCs/>
          <w:lang w:val="en-GB"/>
        </w:rPr>
      </w:pPr>
      <w:bookmarkStart w:id="42" w:name="_Toc385946016"/>
      <w:r w:rsidRPr="00D3500C">
        <w:rPr>
          <w:bCs/>
          <w:lang w:val="en-GB"/>
        </w:rPr>
        <w:t>Imp</w:t>
      </w:r>
      <w:r>
        <w:rPr>
          <w:bCs/>
          <w:lang w:val="en-GB"/>
        </w:rPr>
        <w:t>roving the business environment</w:t>
      </w:r>
      <w:bookmarkEnd w:id="42"/>
    </w:p>
    <w:p w:rsidR="004468AD" w:rsidRPr="00D3500C" w:rsidRDefault="00D3500C" w:rsidP="006E7AA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At the end of 2012 a reduction in administrative burdens by CZK 17.2 billion</w:t>
      </w:r>
      <w:r>
        <w:rPr>
          <w:rFonts w:ascii="Calibri" w:eastAsia="Times New Roman" w:hAnsi="Calibri" w:cs="Calibri"/>
          <w:color w:val="000000"/>
          <w:lang w:val="en-GB" w:eastAsia="cs-CZ"/>
        </w:rPr>
        <w:t xml:space="preserve"> was achieved</w:t>
      </w:r>
      <w:r w:rsidRPr="00177F0B">
        <w:rPr>
          <w:rFonts w:ascii="Calibri" w:eastAsia="Times New Roman" w:hAnsi="Calibri" w:cs="Calibri"/>
          <w:color w:val="000000"/>
          <w:lang w:val="en-GB" w:eastAsia="cs-CZ"/>
        </w:rPr>
        <w:t xml:space="preserve">, i.e. a decrease </w:t>
      </w:r>
      <w:r>
        <w:rPr>
          <w:rFonts w:ascii="Calibri" w:eastAsia="Times New Roman" w:hAnsi="Calibri" w:cs="Calibri"/>
          <w:color w:val="000000"/>
          <w:lang w:val="en-GB" w:eastAsia="cs-CZ"/>
        </w:rPr>
        <w:t>by 23.36% compared to the burden</w:t>
      </w:r>
      <w:r w:rsidRPr="00177F0B">
        <w:rPr>
          <w:rFonts w:ascii="Calibri" w:eastAsia="Times New Roman" w:hAnsi="Calibri" w:cs="Calibri"/>
          <w:color w:val="000000"/>
          <w:lang w:val="en-GB" w:eastAsia="cs-CZ"/>
        </w:rPr>
        <w:t xml:space="preserve"> quantified in 2005 at six different departments (i.e. CZK 73.7 billion).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dopted measures for which it was not possible to </w:t>
      </w:r>
      <w:r>
        <w:rPr>
          <w:rFonts w:ascii="Calibri" w:eastAsia="Times New Roman" w:hAnsi="Calibri" w:cs="Calibri"/>
          <w:color w:val="000000"/>
          <w:lang w:val="en-GB" w:eastAsia="cs-CZ"/>
        </w:rPr>
        <w:t>perform calculations</w:t>
      </w:r>
      <w:r w:rsidRPr="00177F0B">
        <w:rPr>
          <w:rFonts w:ascii="Calibri" w:eastAsia="Times New Roman" w:hAnsi="Calibri" w:cs="Calibri"/>
          <w:color w:val="000000"/>
          <w:lang w:val="en-GB" w:eastAsia="cs-CZ"/>
        </w:rPr>
        <w:t xml:space="preserve"> due to the lack of data</w:t>
      </w:r>
      <w:r>
        <w:rPr>
          <w:rFonts w:ascii="Calibri" w:eastAsia="Times New Roman" w:hAnsi="Calibri" w:cs="Calibri"/>
          <w:color w:val="000000"/>
          <w:lang w:val="en-GB" w:eastAsia="cs-CZ"/>
        </w:rPr>
        <w:t xml:space="preserve"> represent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l</w:t>
      </w:r>
      <w:r w:rsidRPr="00177F0B">
        <w:rPr>
          <w:rFonts w:ascii="Calibri" w:eastAsia="Times New Roman" w:hAnsi="Calibri" w:cs="Calibri"/>
          <w:color w:val="000000"/>
          <w:lang w:val="en-GB" w:eastAsia="cs-CZ"/>
        </w:rPr>
        <w:t xml:space="preserve">ess than 2%. It can be said that the planned reduction of 25% was fulfilled. The total </w:t>
      </w:r>
      <w:r>
        <w:rPr>
          <w:rFonts w:ascii="Calibri" w:eastAsia="Times New Roman" w:hAnsi="Calibri" w:cs="Calibri"/>
          <w:color w:val="000000"/>
          <w:lang w:val="en-GB" w:eastAsia="cs-CZ"/>
        </w:rPr>
        <w:t>burden</w:t>
      </w:r>
      <w:r w:rsidRPr="00177F0B">
        <w:rPr>
          <w:rFonts w:ascii="Calibri" w:eastAsia="Times New Roman" w:hAnsi="Calibri" w:cs="Calibri"/>
          <w:color w:val="000000"/>
          <w:lang w:val="en-GB" w:eastAsia="cs-CZ"/>
        </w:rPr>
        <w:t xml:space="preserve"> in 2005 for all state au</w:t>
      </w:r>
      <w:r>
        <w:rPr>
          <w:rFonts w:ascii="Calibri" w:eastAsia="Times New Roman" w:hAnsi="Calibri" w:cs="Calibri"/>
          <w:color w:val="000000"/>
          <w:lang w:val="en-GB" w:eastAsia="cs-CZ"/>
        </w:rPr>
        <w:t>thorities was CZK 86.4 billion.</w:t>
      </w:r>
    </w:p>
    <w:p w:rsidR="00550939" w:rsidRPr="007A1B09" w:rsidRDefault="00D3500C" w:rsidP="00550939">
      <w:pPr>
        <w:pStyle w:val="Titulek"/>
        <w:keepNext/>
        <w:rPr>
          <w:lang w:val="en-GB"/>
        </w:rPr>
      </w:pPr>
      <w:r>
        <w:rPr>
          <w:lang w:val="en-GB"/>
        </w:rPr>
        <w:t xml:space="preserve">Chart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9</w:t>
      </w:r>
      <w:r w:rsidR="005B4FA9" w:rsidRPr="007A1B09">
        <w:rPr>
          <w:noProof/>
          <w:lang w:val="en-GB"/>
        </w:rPr>
        <w:fldChar w:fldCharType="end"/>
      </w:r>
      <w:r w:rsidR="00550939" w:rsidRPr="007A1B09">
        <w:rPr>
          <w:lang w:val="en-GB"/>
        </w:rPr>
        <w:t xml:space="preserve">: </w:t>
      </w:r>
      <w:r w:rsidRPr="00D3500C">
        <w:rPr>
          <w:lang w:val="en-GB"/>
        </w:rPr>
        <w:t>Reducing the administrative burden compared to the load quantified in 2005</w:t>
      </w:r>
    </w:p>
    <w:p w:rsidR="00550939" w:rsidRPr="007A1B09" w:rsidRDefault="00550939" w:rsidP="00550939">
      <w:pPr>
        <w:keepNext/>
        <w:rPr>
          <w:lang w:val="en-GB"/>
        </w:rPr>
      </w:pPr>
      <w:r w:rsidRPr="007A1B09">
        <w:rPr>
          <w:noProof/>
          <w:lang w:eastAsia="cs-CZ"/>
        </w:rPr>
        <w:drawing>
          <wp:inline distT="0" distB="0" distL="0" distR="0" wp14:anchorId="2E01C538" wp14:editId="14F7C213">
            <wp:extent cx="5796501" cy="2234317"/>
            <wp:effectExtent l="0" t="0" r="13970" b="1397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3500C" w:rsidRPr="00D3500C" w:rsidRDefault="00D3500C" w:rsidP="00D3500C">
      <w:pPr>
        <w:pStyle w:val="Titulek"/>
        <w:jc w:val="right"/>
        <w:rPr>
          <w:lang w:val="en-GB"/>
        </w:rPr>
      </w:pPr>
      <w:r w:rsidRPr="00D3500C">
        <w:rPr>
          <w:lang w:val="en-GB"/>
        </w:rPr>
        <w:t>Source: MIT, 2014</w:t>
      </w:r>
    </w:p>
    <w:p w:rsidR="00073235" w:rsidRPr="00D3500C" w:rsidRDefault="00D3500C" w:rsidP="00D50BCD">
      <w:pPr>
        <w:pStyle w:val="Nadpis3"/>
        <w:rPr>
          <w:bCs/>
          <w:lang w:val="en-GB"/>
        </w:rPr>
      </w:pPr>
      <w:bookmarkStart w:id="43" w:name="_Toc385946017"/>
      <w:r w:rsidRPr="00D3500C">
        <w:rPr>
          <w:bCs/>
          <w:lang w:val="en-GB"/>
        </w:rPr>
        <w:t>Resea</w:t>
      </w:r>
      <w:r>
        <w:rPr>
          <w:bCs/>
          <w:lang w:val="en-GB"/>
        </w:rPr>
        <w:t>rch, development and innovation</w:t>
      </w:r>
      <w:bookmarkEnd w:id="43"/>
    </w:p>
    <w:p w:rsidR="00D3500C" w:rsidRPr="00177F0B" w:rsidRDefault="00D3500C" w:rsidP="00D3500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Total investment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in R &amp; D </w:t>
      </w:r>
      <w:r>
        <w:rPr>
          <w:rFonts w:ascii="Calibri" w:eastAsia="Times New Roman" w:hAnsi="Calibri" w:cs="Calibri"/>
          <w:color w:val="000000"/>
          <w:lang w:val="en-GB" w:eastAsia="cs-CZ"/>
        </w:rPr>
        <w:t xml:space="preserve">increase </w:t>
      </w:r>
      <w:r w:rsidRPr="00177F0B">
        <w:rPr>
          <w:rFonts w:ascii="Calibri" w:eastAsia="Times New Roman" w:hAnsi="Calibri" w:cs="Calibri"/>
          <w:color w:val="000000"/>
          <w:lang w:val="en-GB" w:eastAsia="cs-CZ"/>
        </w:rPr>
        <w:t xml:space="preserve">continuously since 1993 </w:t>
      </w:r>
      <w:r>
        <w:rPr>
          <w:rFonts w:ascii="Calibri" w:eastAsia="Times New Roman" w:hAnsi="Calibri" w:cs="Calibri"/>
          <w:color w:val="000000"/>
          <w:lang w:val="en-GB" w:eastAsia="cs-CZ"/>
        </w:rPr>
        <w:t>and</w:t>
      </w:r>
      <w:r w:rsidRPr="00177F0B">
        <w:rPr>
          <w:rFonts w:ascii="Calibri" w:eastAsia="Times New Roman" w:hAnsi="Calibri" w:cs="Calibri"/>
          <w:color w:val="000000"/>
          <w:lang w:val="en-GB" w:eastAsia="cs-CZ"/>
        </w:rPr>
        <w:t xml:space="preserve"> in 2012 amounted to 72.36 billion CZK and the share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actual total</w:t>
      </w:r>
      <w:r>
        <w:rPr>
          <w:rFonts w:ascii="Calibri" w:eastAsia="Times New Roman" w:hAnsi="Calibri" w:cs="Calibri"/>
          <w:color w:val="000000"/>
          <w:lang w:val="en-GB" w:eastAsia="cs-CZ"/>
        </w:rPr>
        <w:t xml:space="preserve"> expenditure amounted to 1.88%</w:t>
      </w:r>
      <w:r w:rsidRPr="00177F0B">
        <w:rPr>
          <w:rFonts w:ascii="Calibri" w:eastAsia="Times New Roman" w:hAnsi="Calibri" w:cs="Calibri"/>
          <w:color w:val="000000"/>
          <w:lang w:val="en-GB" w:eastAsia="cs-CZ"/>
        </w:rPr>
        <w:t xml:space="preserve"> GDP.</w:t>
      </w:r>
      <w:r>
        <w:rPr>
          <w:rFonts w:ascii="Calibri" w:eastAsia="Times New Roman" w:hAnsi="Calibri" w:cs="Calibri"/>
          <w:color w:val="000000"/>
          <w:lang w:val="en-GB" w:eastAsia="cs-CZ"/>
        </w:rPr>
        <w:t xml:space="preserve"> Total public expenditure on R&amp;D </w:t>
      </w:r>
      <w:r w:rsidRPr="00177F0B">
        <w:rPr>
          <w:rFonts w:ascii="Calibri" w:eastAsia="Times New Roman" w:hAnsi="Calibri" w:cs="Calibri"/>
          <w:color w:val="000000"/>
          <w:lang w:val="en-GB" w:eastAsia="cs-CZ"/>
        </w:rPr>
        <w:t>support reached 39.1 billion CZK </w:t>
      </w:r>
      <w:r>
        <w:rPr>
          <w:rFonts w:ascii="Calibri" w:eastAsia="Times New Roman" w:hAnsi="Calibri" w:cs="Calibri"/>
          <w:color w:val="000000"/>
          <w:lang w:val="en-GB" w:eastAsia="cs-CZ"/>
        </w:rPr>
        <w:t>in 2012</w:t>
      </w:r>
      <w:r>
        <w:rPr>
          <w:rStyle w:val="Znakapoznpodarou"/>
          <w:rFonts w:ascii="Calibri" w:eastAsia="Times New Roman" w:hAnsi="Calibri" w:cs="Calibri"/>
          <w:color w:val="000000"/>
          <w:lang w:val="en-GB" w:eastAsia="cs-CZ"/>
        </w:rPr>
        <w:footnoteReference w:id="20"/>
      </w:r>
      <w:r w:rsidRPr="00177F0B">
        <w:rPr>
          <w:rFonts w:ascii="Calibri" w:eastAsia="Times New Roman" w:hAnsi="Calibri" w:cs="Calibri"/>
          <w:color w:val="000000"/>
          <w:lang w:val="en-GB" w:eastAsia="cs-CZ"/>
        </w:rPr>
        <w:t xml:space="preserve">. This led to an increase in public spending in this area to 1.02% of GDP, and the formal </w:t>
      </w:r>
      <w:r>
        <w:rPr>
          <w:rFonts w:ascii="Calibri" w:eastAsia="Times New Roman" w:hAnsi="Calibri" w:cs="Calibri"/>
          <w:color w:val="000000"/>
          <w:lang w:val="en-GB" w:eastAsia="cs-CZ"/>
        </w:rPr>
        <w:t>achievement of</w:t>
      </w:r>
      <w:r w:rsidRPr="00177F0B">
        <w:rPr>
          <w:rFonts w:ascii="Calibri" w:eastAsia="Times New Roman" w:hAnsi="Calibri" w:cs="Calibri"/>
          <w:color w:val="000000"/>
          <w:lang w:val="en-GB" w:eastAsia="cs-CZ"/>
        </w:rPr>
        <w:t xml:space="preserve"> the national targets under the Europe 2020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trategy. </w:t>
      </w:r>
      <w:r>
        <w:rPr>
          <w:rFonts w:ascii="Calibri" w:eastAsia="Times New Roman" w:hAnsi="Calibri" w:cs="Calibri"/>
          <w:color w:val="000000"/>
          <w:lang w:val="en-GB" w:eastAsia="cs-CZ"/>
        </w:rPr>
        <w:t>In 2013</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total of</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CZK 39.8 billion of public expenditure </w:t>
      </w:r>
      <w:r>
        <w:rPr>
          <w:rFonts w:ascii="Calibri" w:eastAsia="Times New Roman" w:hAnsi="Calibri" w:cs="Calibri"/>
          <w:color w:val="000000"/>
          <w:lang w:val="en-GB" w:eastAsia="cs-CZ"/>
        </w:rPr>
        <w:t>was drawn which represents an increase of 0.7 billion CZK</w:t>
      </w:r>
      <w:r w:rsidRPr="00177F0B">
        <w:rPr>
          <w:rFonts w:ascii="Calibri" w:eastAsia="Times New Roman" w:hAnsi="Calibri" w:cs="Calibri"/>
          <w:color w:val="000000"/>
          <w:lang w:val="en-GB" w:eastAsia="cs-CZ"/>
        </w:rPr>
        <w:t xml:space="preserve"> compared to the previous year. The overall trend </w:t>
      </w:r>
      <w:r>
        <w:rPr>
          <w:rFonts w:ascii="Calibri" w:eastAsia="Times New Roman" w:hAnsi="Calibri" w:cs="Calibri"/>
          <w:color w:val="000000"/>
          <w:lang w:val="en-GB" w:eastAsia="cs-CZ"/>
        </w:rPr>
        <w:t>of increasing</w:t>
      </w:r>
      <w:r w:rsidRPr="00177F0B">
        <w:rPr>
          <w:rFonts w:ascii="Calibri" w:eastAsia="Times New Roman" w:hAnsi="Calibri" w:cs="Calibri"/>
          <w:color w:val="000000"/>
          <w:lang w:val="en-GB" w:eastAsia="cs-CZ"/>
        </w:rPr>
        <w:t xml:space="preserve"> expenditures from 2010 is positive and it </w:t>
      </w:r>
      <w:r>
        <w:rPr>
          <w:rFonts w:ascii="Calibri" w:eastAsia="Times New Roman" w:hAnsi="Calibri" w:cs="Calibri"/>
          <w:color w:val="000000"/>
          <w:lang w:val="en-GB" w:eastAsia="cs-CZ"/>
        </w:rPr>
        <w:lastRenderedPageBreak/>
        <w:t>can be</w:t>
      </w:r>
      <w:r w:rsidRPr="00177F0B">
        <w:rPr>
          <w:rFonts w:ascii="Calibri" w:eastAsia="Times New Roman" w:hAnsi="Calibri" w:cs="Calibri"/>
          <w:color w:val="000000"/>
          <w:lang w:val="en-GB" w:eastAsia="cs-CZ"/>
        </w:rPr>
        <w:t xml:space="preserve"> expected that in the coming years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will </w:t>
      </w:r>
      <w:r>
        <w:rPr>
          <w:rFonts w:ascii="Calibri" w:eastAsia="Times New Roman" w:hAnsi="Calibri" w:cs="Calibri"/>
          <w:color w:val="000000"/>
          <w:lang w:val="en-GB" w:eastAsia="cs-CZ"/>
        </w:rPr>
        <w:t xml:space="preserve">be </w:t>
      </w:r>
      <w:r w:rsidRPr="00177F0B">
        <w:rPr>
          <w:rFonts w:ascii="Calibri" w:eastAsia="Times New Roman" w:hAnsi="Calibri" w:cs="Calibri"/>
          <w:color w:val="000000"/>
          <w:lang w:val="en-GB" w:eastAsia="cs-CZ"/>
        </w:rPr>
        <w:t>gradually approaching the general objectives of the EU, i.e. publi</w:t>
      </w:r>
      <w:r>
        <w:rPr>
          <w:rFonts w:ascii="Calibri" w:eastAsia="Times New Roman" w:hAnsi="Calibri" w:cs="Calibri"/>
          <w:color w:val="000000"/>
          <w:lang w:val="en-GB" w:eastAsia="cs-CZ"/>
        </w:rPr>
        <w:t>c and private investment in R&amp;D at</w:t>
      </w:r>
      <w:r w:rsidRPr="00177F0B">
        <w:rPr>
          <w:rFonts w:ascii="Calibri" w:eastAsia="Times New Roman" w:hAnsi="Calibri" w:cs="Calibri"/>
          <w:color w:val="000000"/>
          <w:lang w:val="en-GB" w:eastAsia="cs-CZ"/>
        </w:rPr>
        <w:t xml:space="preserve"> 3% of GDP.</w:t>
      </w:r>
    </w:p>
    <w:p w:rsidR="00073235" w:rsidRPr="007A1B09" w:rsidRDefault="00073235" w:rsidP="00E775E6">
      <w:pPr>
        <w:rPr>
          <w:lang w:val="en-GB"/>
        </w:rPr>
      </w:pPr>
    </w:p>
    <w:p w:rsidR="00073235" w:rsidRPr="007A1B09" w:rsidRDefault="00D3500C" w:rsidP="00073235">
      <w:pPr>
        <w:pStyle w:val="Titulek"/>
        <w:keepNext/>
        <w:rPr>
          <w:lang w:val="en-GB"/>
        </w:rPr>
      </w:pPr>
      <w:r>
        <w:rPr>
          <w:lang w:val="en-GB"/>
        </w:rPr>
        <w:t>Chart</w:t>
      </w:r>
      <w:r w:rsidR="00073235"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10</w:t>
      </w:r>
      <w:r w:rsidR="005B4FA9" w:rsidRPr="007A1B09">
        <w:rPr>
          <w:noProof/>
          <w:lang w:val="en-GB"/>
        </w:rPr>
        <w:fldChar w:fldCharType="end"/>
      </w:r>
      <w:r w:rsidR="00073235" w:rsidRPr="007A1B09">
        <w:rPr>
          <w:lang w:val="en-GB"/>
        </w:rPr>
        <w:t xml:space="preserve">: </w:t>
      </w:r>
      <w:r>
        <w:rPr>
          <w:lang w:val="en-GB"/>
        </w:rPr>
        <w:t>Total expenditure on R&amp;</w:t>
      </w:r>
      <w:r w:rsidRPr="00D3500C">
        <w:rPr>
          <w:lang w:val="en-GB"/>
        </w:rPr>
        <w:t>D by source of funds (GERD</w:t>
      </w:r>
    </w:p>
    <w:p w:rsidR="00073235" w:rsidRPr="007A1B09" w:rsidRDefault="00073235" w:rsidP="00073235">
      <w:pPr>
        <w:keepNext/>
        <w:rPr>
          <w:lang w:val="en-GB"/>
        </w:rPr>
      </w:pPr>
      <w:r w:rsidRPr="007A1B09">
        <w:rPr>
          <w:noProof/>
          <w:lang w:eastAsia="cs-CZ"/>
        </w:rPr>
        <w:drawing>
          <wp:inline distT="0" distB="0" distL="0" distR="0" wp14:anchorId="7FDD0660" wp14:editId="5D4A88E9">
            <wp:extent cx="5762445" cy="2656936"/>
            <wp:effectExtent l="0" t="0" r="10160" b="1016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3500C" w:rsidRPr="00D3500C" w:rsidRDefault="00D3500C" w:rsidP="00D3500C">
      <w:pPr>
        <w:pStyle w:val="Titulek"/>
        <w:jc w:val="right"/>
        <w:rPr>
          <w:lang w:val="en-GB"/>
        </w:rPr>
      </w:pPr>
      <w:r w:rsidRPr="00D3500C">
        <w:rPr>
          <w:lang w:val="en-GB"/>
        </w:rPr>
        <w:t>Source: Czech Statistical Office 2013 Annual Statistical Survey on Research and development VTR 5-01</w:t>
      </w:r>
    </w:p>
    <w:p w:rsidR="00073235" w:rsidRPr="007A1B09" w:rsidRDefault="00073235" w:rsidP="001A20ED">
      <w:pPr>
        <w:pStyle w:val="Titulek"/>
        <w:jc w:val="right"/>
        <w:rPr>
          <w:lang w:val="en-GB"/>
        </w:rPr>
      </w:pPr>
    </w:p>
    <w:p w:rsidR="008951B4" w:rsidRPr="007A1B09" w:rsidRDefault="008951B4" w:rsidP="00073235">
      <w:pPr>
        <w:rPr>
          <w:lang w:val="en-GB"/>
        </w:rPr>
      </w:pPr>
    </w:p>
    <w:p w:rsidR="00A12B3D" w:rsidRPr="007A1B09" w:rsidRDefault="00A12B3D">
      <w:pPr>
        <w:spacing w:after="0"/>
        <w:ind w:firstLine="360"/>
        <w:jc w:val="left"/>
        <w:rPr>
          <w:rFonts w:asciiTheme="majorHAnsi" w:eastAsiaTheme="majorEastAsia" w:hAnsiTheme="majorHAnsi" w:cstheme="majorBidi"/>
          <w:b/>
          <w:bCs/>
          <w:color w:val="9D3511" w:themeColor="accent1" w:themeShade="BF"/>
          <w:sz w:val="30"/>
          <w:szCs w:val="24"/>
          <w:lang w:val="en-GB"/>
        </w:rPr>
      </w:pPr>
      <w:r w:rsidRPr="007A1B09">
        <w:rPr>
          <w:lang w:val="en-GB"/>
        </w:rPr>
        <w:br w:type="page"/>
      </w:r>
    </w:p>
    <w:p w:rsidR="008708C4" w:rsidRPr="007A1B09" w:rsidRDefault="00D3500C" w:rsidP="008708C4">
      <w:pPr>
        <w:pStyle w:val="Nadpis1"/>
        <w:rPr>
          <w:lang w:val="en-GB"/>
        </w:rPr>
      </w:pPr>
      <w:bookmarkStart w:id="44" w:name="_Toc385946018"/>
      <w:r w:rsidRPr="00D3500C">
        <w:rPr>
          <w:lang w:val="en-GB"/>
        </w:rPr>
        <w:lastRenderedPageBreak/>
        <w:t>The government’s</w:t>
      </w:r>
      <w:r w:rsidRPr="00D3500C">
        <w:rPr>
          <w:rFonts w:ascii="Cambria" w:eastAsia="Times New Roman" w:hAnsi="Cambria" w:cs="Times New Roman"/>
          <w:color w:val="9D3511"/>
          <w:kern w:val="36"/>
          <w:sz w:val="21"/>
          <w:szCs w:val="22"/>
          <w:lang w:val="en-GB" w:eastAsia="cs-CZ"/>
        </w:rPr>
        <w:t xml:space="preserve"> </w:t>
      </w:r>
      <w:r w:rsidRPr="00D3500C">
        <w:rPr>
          <w:lang w:val="en-GB"/>
        </w:rPr>
        <w:t>reform measures</w:t>
      </w:r>
      <w:bookmarkEnd w:id="44"/>
    </w:p>
    <w:p w:rsidR="00A12B3D" w:rsidRPr="00D3500C" w:rsidRDefault="00D3500C" w:rsidP="00A12B3D">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Beyond the </w:t>
      </w:r>
      <w:r w:rsidRPr="00177F0B">
        <w:rPr>
          <w:rFonts w:ascii="Calibri" w:eastAsia="Times New Roman" w:hAnsi="Calibri" w:cs="Calibri"/>
          <w:color w:val="000000"/>
          <w:lang w:val="en-GB" w:eastAsia="cs-CZ"/>
        </w:rPr>
        <w:t>response to the</w:t>
      </w:r>
      <w:r>
        <w:rPr>
          <w:rFonts w:ascii="Calibri" w:eastAsia="Times New Roman" w:hAnsi="Calibri" w:cs="Calibri"/>
          <w:color w:val="000000"/>
          <w:lang w:val="en-GB" w:eastAsia="cs-CZ"/>
        </w:rPr>
        <w:t xml:space="preserve"> Council R</w:t>
      </w:r>
      <w:r w:rsidRPr="00177F0B">
        <w:rPr>
          <w:rFonts w:ascii="Calibri" w:eastAsia="Times New Roman" w:hAnsi="Calibri" w:cs="Calibri"/>
          <w:color w:val="000000"/>
          <w:lang w:val="en-GB" w:eastAsia="cs-CZ"/>
        </w:rPr>
        <w:t>ecommendation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the Czech Republic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2013, the government intends to implement other key measures that will contribute to the Europe 2020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trategy at the national level, while promoting competitiveness and economic growth in the country. Th</w:t>
      </w:r>
      <w:r>
        <w:rPr>
          <w:rFonts w:ascii="Calibri" w:eastAsia="Times New Roman" w:hAnsi="Calibri" w:cs="Calibri"/>
          <w:color w:val="000000"/>
          <w:lang w:val="en-GB" w:eastAsia="cs-CZ"/>
        </w:rPr>
        <w:t>ese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are</w:t>
      </w:r>
      <w:r w:rsidRPr="00177F0B">
        <w:rPr>
          <w:rFonts w:ascii="Calibri" w:eastAsia="Times New Roman" w:hAnsi="Calibri" w:cs="Calibri"/>
          <w:color w:val="000000"/>
          <w:lang w:val="en-GB" w:eastAsia="cs-CZ"/>
        </w:rPr>
        <w:t xml:space="preserve"> especially the reform measures that promote macroeconomic stability and long-term sustainability of public finances, </w:t>
      </w:r>
      <w:r>
        <w:rPr>
          <w:rFonts w:ascii="Calibri" w:eastAsia="Times New Roman" w:hAnsi="Calibri" w:cs="Calibri"/>
          <w:color w:val="000000"/>
          <w:lang w:val="en-GB" w:eastAsia="cs-CZ"/>
        </w:rPr>
        <w:t>efficient</w:t>
      </w:r>
      <w:r w:rsidRPr="00177F0B">
        <w:rPr>
          <w:rFonts w:ascii="Calibri" w:eastAsia="Times New Roman" w:hAnsi="Calibri" w:cs="Calibri"/>
          <w:color w:val="000000"/>
          <w:lang w:val="en-GB" w:eastAsia="cs-CZ"/>
        </w:rPr>
        <w:t xml:space="preserve"> government, attractive business environment and an efficient labour market, social inclusion, development of education and a favourable environment for research and innovation. Following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policy statement the government deems necessary to formulate economic policy in a way that will lead to the stabilization of public finances and at the same time strengthen the sources of sustainable growth c of the country</w:t>
      </w:r>
      <w:r>
        <w:rPr>
          <w:rFonts w:ascii="Calibri" w:eastAsia="Times New Roman" w:hAnsi="Calibri" w:cs="Calibri"/>
          <w:color w:val="000000"/>
          <w:lang w:val="en-GB" w:eastAsia="cs-CZ"/>
        </w:rPr>
        <w:t>’s c</w:t>
      </w:r>
      <w:r w:rsidRPr="00177F0B">
        <w:rPr>
          <w:rFonts w:ascii="Calibri" w:eastAsia="Times New Roman" w:hAnsi="Calibri" w:cs="Calibri"/>
          <w:color w:val="000000"/>
          <w:lang w:val="en-GB" w:eastAsia="cs-CZ"/>
        </w:rPr>
        <w:t>ompetitiveness</w:t>
      </w:r>
      <w:r>
        <w:rPr>
          <w:rFonts w:ascii="Calibri" w:eastAsia="Times New Roman" w:hAnsi="Calibri" w:cs="Calibri"/>
          <w:color w:val="000000"/>
          <w:lang w:val="en-GB" w:eastAsia="cs-CZ"/>
        </w:rPr>
        <w:t>.</w:t>
      </w:r>
    </w:p>
    <w:p w:rsidR="00E775E6" w:rsidRPr="00D3500C" w:rsidRDefault="00D3500C" w:rsidP="00D3500C">
      <w:pPr>
        <w:pStyle w:val="Nadpis2"/>
        <w:numPr>
          <w:ilvl w:val="1"/>
          <w:numId w:val="4"/>
        </w:numPr>
        <w:ind w:left="851" w:hanging="851"/>
        <w:rPr>
          <w:bCs/>
          <w:lang w:val="en-GB"/>
        </w:rPr>
      </w:pPr>
      <w:bookmarkStart w:id="45" w:name="_Toc385946019"/>
      <w:r w:rsidRPr="00D3500C">
        <w:rPr>
          <w:bCs/>
          <w:lang w:val="en-GB"/>
        </w:rPr>
        <w:t>Transparent and efficient public finance institutions</w:t>
      </w:r>
      <w:bookmarkEnd w:id="45"/>
    </w:p>
    <w:p w:rsidR="009F1CCD" w:rsidRPr="00D3500C" w:rsidRDefault="00D3500C" w:rsidP="00E504F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key </w:t>
      </w:r>
      <w:r>
        <w:rPr>
          <w:rFonts w:ascii="Calibri" w:eastAsia="Times New Roman" w:hAnsi="Calibri" w:cs="Calibri"/>
          <w:color w:val="000000"/>
          <w:lang w:val="en-GB" w:eastAsia="cs-CZ"/>
        </w:rPr>
        <w:t>conditions</w:t>
      </w:r>
      <w:r w:rsidRPr="00177F0B">
        <w:rPr>
          <w:rFonts w:ascii="Calibri" w:eastAsia="Times New Roman" w:hAnsi="Calibri" w:cs="Calibri"/>
          <w:color w:val="000000"/>
          <w:lang w:val="en-GB" w:eastAsia="cs-CZ"/>
        </w:rPr>
        <w:t xml:space="preserve"> to support the recovery of economic growth and employment </w:t>
      </w:r>
      <w:r>
        <w:rPr>
          <w:rFonts w:ascii="Calibri" w:eastAsia="Times New Roman" w:hAnsi="Calibri" w:cs="Calibri"/>
          <w:color w:val="000000"/>
          <w:lang w:val="en-GB" w:eastAsia="cs-CZ"/>
        </w:rPr>
        <w:t>is</w:t>
      </w:r>
      <w:r w:rsidRPr="00177F0B">
        <w:rPr>
          <w:rFonts w:ascii="Calibri" w:eastAsia="Times New Roman" w:hAnsi="Calibri" w:cs="Calibri"/>
          <w:color w:val="000000"/>
          <w:lang w:val="en-GB" w:eastAsia="cs-CZ"/>
        </w:rPr>
        <w:t xml:space="preserve"> a stable macroec</w:t>
      </w:r>
      <w:r w:rsidRPr="00177F0B">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nomic environment </w:t>
      </w:r>
      <w:r>
        <w:rPr>
          <w:rFonts w:ascii="Calibri" w:eastAsia="Times New Roman" w:hAnsi="Calibri" w:cs="Calibri"/>
          <w:color w:val="000000"/>
          <w:lang w:val="en-GB" w:eastAsia="cs-CZ"/>
        </w:rPr>
        <w:t xml:space="preserve">and </w:t>
      </w:r>
      <w:r w:rsidRPr="00177F0B">
        <w:rPr>
          <w:rFonts w:ascii="Calibri" w:eastAsia="Times New Roman" w:hAnsi="Calibri" w:cs="Calibri"/>
          <w:color w:val="000000"/>
          <w:lang w:val="en-GB" w:eastAsia="cs-CZ"/>
        </w:rPr>
        <w:t>quality, efficient and corruption-resistant public administration. Government measures are aimed at improving the state economy and efficient and transparent public administration, especially i</w:t>
      </w:r>
      <w:r>
        <w:rPr>
          <w:rFonts w:ascii="Calibri" w:eastAsia="Times New Roman" w:hAnsi="Calibri" w:cs="Calibri"/>
          <w:color w:val="000000"/>
          <w:lang w:val="en-GB" w:eastAsia="cs-CZ"/>
        </w:rPr>
        <w:t>n the handling of public funds.</w:t>
      </w:r>
    </w:p>
    <w:p w:rsidR="00E775E6" w:rsidRPr="007A1B09" w:rsidRDefault="008F49E3" w:rsidP="00334C4C">
      <w:pPr>
        <w:pStyle w:val="Nadpis3"/>
        <w:numPr>
          <w:ilvl w:val="2"/>
          <w:numId w:val="4"/>
        </w:numPr>
        <w:ind w:left="851" w:hanging="851"/>
        <w:rPr>
          <w:lang w:val="en-GB"/>
        </w:rPr>
      </w:pPr>
      <w:bookmarkStart w:id="46" w:name="_Toc385946020"/>
      <w:r w:rsidRPr="007A1B09">
        <w:rPr>
          <w:lang w:val="en-GB"/>
        </w:rPr>
        <w:t>Transparent</w:t>
      </w:r>
      <w:r w:rsidR="00D3500C">
        <w:rPr>
          <w:lang w:val="en-GB"/>
        </w:rPr>
        <w:t xml:space="preserve"> public </w:t>
      </w:r>
      <w:r w:rsidR="00070C80" w:rsidRPr="007A1B09">
        <w:rPr>
          <w:lang w:val="en-GB"/>
        </w:rPr>
        <w:t>finance</w:t>
      </w:r>
      <w:bookmarkEnd w:id="46"/>
      <w:r w:rsidR="00572FF8" w:rsidRPr="007A1B09">
        <w:rPr>
          <w:lang w:val="en-GB"/>
        </w:rPr>
        <w:t xml:space="preserve"> </w:t>
      </w:r>
    </w:p>
    <w:p w:rsidR="00692DEB" w:rsidRPr="007A1B09" w:rsidRDefault="00D3500C" w:rsidP="00692DEB">
      <w:pPr>
        <w:rPr>
          <w:lang w:val="en-GB"/>
        </w:rPr>
      </w:pPr>
      <w:r w:rsidRPr="00177F0B">
        <w:rPr>
          <w:rFonts w:ascii="Calibri" w:eastAsia="Times New Roman" w:hAnsi="Calibri" w:cs="Calibri"/>
          <w:color w:val="000000"/>
          <w:lang w:val="en-GB" w:eastAsia="cs-CZ"/>
        </w:rPr>
        <w:t>The Government aims to ensure such changes in the tax system, which will not hinder economic growth and contribute to a more balanced</w:t>
      </w:r>
      <w:r w:rsidRPr="00307D4D">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tax burden and </w:t>
      </w:r>
      <w:r>
        <w:rPr>
          <w:rFonts w:ascii="Calibri" w:eastAsia="Times New Roman" w:hAnsi="Calibri" w:cs="Calibri"/>
          <w:color w:val="000000"/>
          <w:lang w:val="en-GB" w:eastAsia="cs-CZ"/>
        </w:rPr>
        <w:t>adequate</w:t>
      </w:r>
      <w:r w:rsidRPr="00177F0B">
        <w:rPr>
          <w:rFonts w:ascii="Calibri" w:eastAsia="Times New Roman" w:hAnsi="Calibri" w:cs="Calibri"/>
          <w:color w:val="000000"/>
          <w:lang w:val="en-GB" w:eastAsia="cs-CZ"/>
        </w:rPr>
        <w:t xml:space="preserve"> public budgets</w:t>
      </w:r>
      <w:r>
        <w:rPr>
          <w:rFonts w:ascii="Calibri" w:eastAsia="Times New Roman" w:hAnsi="Calibri" w:cs="Calibri"/>
          <w:color w:val="000000"/>
          <w:lang w:val="en-GB" w:eastAsia="cs-CZ"/>
        </w:rPr>
        <w:t xml:space="preserve"> revenue </w:t>
      </w:r>
      <w:r w:rsidRPr="00177F0B">
        <w:rPr>
          <w:rFonts w:ascii="Calibri" w:eastAsia="Times New Roman" w:hAnsi="Calibri" w:cs="Calibri"/>
          <w:color w:val="000000"/>
          <w:lang w:val="en-GB" w:eastAsia="cs-CZ"/>
        </w:rPr>
        <w:t xml:space="preserve">and at the same time </w:t>
      </w:r>
      <w:r>
        <w:rPr>
          <w:rFonts w:ascii="Calibri" w:eastAsia="Times New Roman" w:hAnsi="Calibri" w:cs="Calibri"/>
          <w:color w:val="000000"/>
          <w:lang w:val="en-GB" w:eastAsia="cs-CZ"/>
        </w:rPr>
        <w:t xml:space="preserve">to an </w:t>
      </w:r>
      <w:r w:rsidRPr="00177F0B">
        <w:rPr>
          <w:rFonts w:ascii="Calibri" w:eastAsia="Times New Roman" w:hAnsi="Calibri" w:cs="Calibri"/>
          <w:color w:val="000000"/>
          <w:lang w:val="en-GB" w:eastAsia="cs-CZ"/>
        </w:rPr>
        <w:t>efficient and transparent management of state expenditure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which includes, inter alia, providing full information to the public</w:t>
      </w:r>
    </w:p>
    <w:p w:rsidR="00D3500C" w:rsidRPr="00177F0B" w:rsidRDefault="00D3500C" w:rsidP="00D3500C">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Disclosure of financial information</w:t>
      </w:r>
    </w:p>
    <w:p w:rsidR="005E0D88" w:rsidRPr="007A1B09" w:rsidRDefault="00D3500C" w:rsidP="00D3500C">
      <w:pPr>
        <w:rPr>
          <w:lang w:val="en-GB"/>
        </w:rPr>
      </w:pPr>
      <w:r w:rsidRPr="00177F0B">
        <w:rPr>
          <w:rFonts w:ascii="Calibri" w:eastAsia="Times New Roman" w:hAnsi="Calibri" w:cs="Calibri"/>
          <w:color w:val="000000"/>
          <w:lang w:val="en-GB" w:eastAsia="cs-CZ"/>
        </w:rPr>
        <w:t xml:space="preserve">In 2013, the project </w:t>
      </w:r>
      <w:r>
        <w:rPr>
          <w:rFonts w:ascii="Calibri" w:eastAsia="Times New Roman" w:hAnsi="Calibri" w:cs="Calibri"/>
          <w:color w:val="000000"/>
          <w:lang w:val="en-GB" w:eastAsia="cs-CZ"/>
        </w:rPr>
        <w:t xml:space="preserve">of a </w:t>
      </w:r>
      <w:r w:rsidRPr="00177F0B">
        <w:rPr>
          <w:rFonts w:ascii="Calibri" w:eastAsia="Times New Roman" w:hAnsi="Calibri" w:cs="Calibri"/>
          <w:color w:val="000000"/>
          <w:lang w:val="en-GB" w:eastAsia="cs-CZ"/>
        </w:rPr>
        <w:t>specialized information portal (called MONITOR)</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was completed, which allows free public access to budget and accounting information from all levels of state and local gover</w:t>
      </w:r>
      <w:r w:rsidRPr="00177F0B">
        <w:rPr>
          <w:rFonts w:ascii="Calibri" w:eastAsia="Times New Roman" w:hAnsi="Calibri" w:cs="Calibri"/>
          <w:color w:val="000000"/>
          <w:lang w:val="en-GB" w:eastAsia="cs-CZ"/>
        </w:rPr>
        <w:t>n</w:t>
      </w:r>
      <w:r w:rsidRPr="00177F0B">
        <w:rPr>
          <w:rFonts w:ascii="Calibri" w:eastAsia="Times New Roman" w:hAnsi="Calibri" w:cs="Calibri"/>
          <w:color w:val="000000"/>
          <w:lang w:val="en-GB" w:eastAsia="cs-CZ"/>
        </w:rPr>
        <w:t>ments. During the years 2014 and 2015 expansion of</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information portal</w:t>
      </w:r>
      <w:r w:rsidRPr="00307D4D">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continue according to the development plan,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the aim to provide clear and transparent publication of data from </w:t>
      </w:r>
      <w:r w:rsidRPr="00177F0B">
        <w:rPr>
          <w:rFonts w:ascii="Calibri" w:eastAsia="Times New Roman" w:hAnsi="Calibri" w:cs="Calibri"/>
          <w:b/>
          <w:bCs/>
          <w:color w:val="000000"/>
          <w:lang w:val="en-GB" w:eastAsia="cs-CZ"/>
        </w:rPr>
        <w:t>the Treasury</w:t>
      </w:r>
      <w:r>
        <w:rPr>
          <w:rFonts w:ascii="Calibri" w:eastAsia="Times New Roman" w:hAnsi="Calibri" w:cs="Calibri"/>
          <w:b/>
          <w:bCs/>
          <w:color w:val="000000"/>
          <w:lang w:val="en-GB" w:eastAsia="cs-CZ"/>
        </w:rPr>
        <w:t xml:space="preserve"> system</w:t>
      </w:r>
      <w:r w:rsidRPr="00177F0B">
        <w:rPr>
          <w:rFonts w:ascii="Calibri" w:eastAsia="Times New Roman" w:hAnsi="Calibri" w:cs="Calibri"/>
          <w:b/>
          <w:bCs/>
          <w:color w:val="000000"/>
          <w:lang w:val="en-GB" w:eastAsia="cs-CZ"/>
        </w:rPr>
        <w:t xml:space="preserve"> to the public</w:t>
      </w:r>
      <w:r w:rsidRPr="00177F0B">
        <w:rPr>
          <w:rFonts w:ascii="Calibri" w:eastAsia="Times New Roman" w:hAnsi="Calibri" w:cs="Calibri"/>
          <w:color w:val="000000"/>
          <w:lang w:val="en-GB" w:eastAsia="cs-CZ"/>
        </w:rPr>
        <w:t>.</w:t>
      </w:r>
      <w:r w:rsidR="005E0D88" w:rsidRPr="007A1B09">
        <w:rPr>
          <w:lang w:val="en-GB"/>
        </w:rPr>
        <w:t xml:space="preserve">                                     </w:t>
      </w:r>
    </w:p>
    <w:p w:rsidR="00334C4C" w:rsidRPr="007A1B09" w:rsidRDefault="00D3500C" w:rsidP="008F49E3">
      <w:pPr>
        <w:pStyle w:val="Nadpis3"/>
        <w:numPr>
          <w:ilvl w:val="2"/>
          <w:numId w:val="4"/>
        </w:numPr>
        <w:ind w:left="851" w:hanging="851"/>
        <w:rPr>
          <w:lang w:val="en-GB"/>
        </w:rPr>
      </w:pPr>
      <w:bookmarkStart w:id="47" w:name="_Toc385946021"/>
      <w:r w:rsidRPr="00D3500C">
        <w:rPr>
          <w:bCs/>
          <w:lang w:val="en-GB"/>
        </w:rPr>
        <w:t>Effective governance and quality legislative environment</w:t>
      </w:r>
      <w:bookmarkEnd w:id="47"/>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Effective public go</w:t>
      </w:r>
      <w:r>
        <w:rPr>
          <w:rFonts w:ascii="Calibri" w:eastAsia="Times New Roman" w:hAnsi="Calibri" w:cs="Calibri"/>
          <w:color w:val="000000"/>
          <w:lang w:val="en-GB" w:eastAsia="cs-CZ"/>
        </w:rPr>
        <w:t>vernance and good legislation are among</w:t>
      </w:r>
      <w:r w:rsidRPr="00177F0B">
        <w:rPr>
          <w:rFonts w:ascii="Calibri" w:eastAsia="Times New Roman" w:hAnsi="Calibri" w:cs="Calibri"/>
          <w:color w:val="000000"/>
          <w:lang w:val="en-GB" w:eastAsia="cs-CZ"/>
        </w:rPr>
        <w:t xml:space="preserve"> the cornerstones for creating an attractive and predictable envir</w:t>
      </w:r>
      <w:r>
        <w:rPr>
          <w:rFonts w:ascii="Calibri" w:eastAsia="Times New Roman" w:hAnsi="Calibri" w:cs="Calibri"/>
          <w:color w:val="000000"/>
          <w:lang w:val="en-GB" w:eastAsia="cs-CZ"/>
        </w:rPr>
        <w:t>onment for entrepreneurs. </w:t>
      </w:r>
      <w:r w:rsidRPr="00177F0B">
        <w:rPr>
          <w:rFonts w:ascii="Calibri" w:eastAsia="Times New Roman" w:hAnsi="Calibri" w:cs="Calibri"/>
          <w:color w:val="000000"/>
          <w:lang w:val="en-GB" w:eastAsia="cs-CZ"/>
        </w:rPr>
        <w:t xml:space="preserve">In this </w:t>
      </w:r>
      <w:r>
        <w:rPr>
          <w:rFonts w:ascii="Calibri" w:eastAsia="Times New Roman" w:hAnsi="Calibri" w:cs="Calibri"/>
          <w:color w:val="000000"/>
          <w:lang w:val="en-GB" w:eastAsia="cs-CZ"/>
        </w:rPr>
        <w:t>regard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government aims to improve governance and the quality of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services and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improve the quality of legislation and law enforcement.</w:t>
      </w:r>
    </w:p>
    <w:p w:rsidR="00C8311B" w:rsidRPr="00177F0B" w:rsidRDefault="00C8311B" w:rsidP="00C8311B">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Development of Public Administration</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2014, the government </w:t>
      </w:r>
      <w:r>
        <w:rPr>
          <w:rFonts w:ascii="Calibri" w:eastAsia="Times New Roman" w:hAnsi="Calibri" w:cs="Calibri"/>
          <w:color w:val="000000"/>
          <w:lang w:val="en-GB" w:eastAsia="cs-CZ"/>
        </w:rPr>
        <w:t>will receive</w:t>
      </w:r>
      <w:r w:rsidRPr="00177F0B">
        <w:rPr>
          <w:rFonts w:ascii="Calibri" w:eastAsia="Times New Roman" w:hAnsi="Calibri" w:cs="Calibri"/>
          <w:color w:val="000000"/>
          <w:lang w:val="en-GB" w:eastAsia="cs-CZ"/>
        </w:rPr>
        <w:t xml:space="preserve"> the </w:t>
      </w:r>
      <w:r>
        <w:rPr>
          <w:rFonts w:ascii="Calibri" w:eastAsia="Times New Roman" w:hAnsi="Calibri" w:cs="Calibri"/>
          <w:b/>
          <w:bCs/>
          <w:color w:val="000000"/>
          <w:lang w:val="en-GB" w:eastAsia="cs-CZ"/>
        </w:rPr>
        <w:t>Strategic Framework f</w:t>
      </w:r>
      <w:r w:rsidRPr="00177F0B">
        <w:rPr>
          <w:rFonts w:ascii="Calibri" w:eastAsia="Times New Roman" w:hAnsi="Calibri" w:cs="Calibri"/>
          <w:b/>
          <w:bCs/>
          <w:color w:val="000000"/>
          <w:lang w:val="en-GB" w:eastAsia="cs-CZ"/>
        </w:rPr>
        <w:t xml:space="preserve">or </w:t>
      </w:r>
      <w:r>
        <w:rPr>
          <w:rFonts w:ascii="Calibri" w:eastAsia="Times New Roman" w:hAnsi="Calibri" w:cs="Calibri"/>
          <w:b/>
          <w:bCs/>
          <w:color w:val="000000"/>
          <w:lang w:val="en-GB" w:eastAsia="cs-CZ"/>
        </w:rPr>
        <w:t>t</w:t>
      </w:r>
      <w:r w:rsidRPr="00177F0B">
        <w:rPr>
          <w:rFonts w:ascii="Calibri" w:eastAsia="Times New Roman" w:hAnsi="Calibri" w:cs="Calibri"/>
          <w:b/>
          <w:bCs/>
          <w:color w:val="000000"/>
          <w:lang w:val="en-GB" w:eastAsia="cs-CZ"/>
        </w:rPr>
        <w:t xml:space="preserve">he Development </w:t>
      </w:r>
      <w:r>
        <w:rPr>
          <w:rFonts w:ascii="Calibri" w:eastAsia="Times New Roman" w:hAnsi="Calibri" w:cs="Calibri"/>
          <w:b/>
          <w:bCs/>
          <w:color w:val="000000"/>
          <w:lang w:val="en-GB" w:eastAsia="cs-CZ"/>
        </w:rPr>
        <w:t>of Public Administration 2014</w:t>
      </w:r>
      <w:r w:rsidRPr="00177F0B">
        <w:rPr>
          <w:rFonts w:ascii="Calibri" w:eastAsia="Times New Roman" w:hAnsi="Calibri" w:cs="Calibri"/>
          <w:b/>
          <w:bCs/>
          <w:color w:val="000000"/>
          <w:lang w:val="en-GB" w:eastAsia="cs-CZ"/>
        </w:rPr>
        <w:t>+</w:t>
      </w:r>
      <w:r w:rsidRPr="00177F0B">
        <w:rPr>
          <w:rFonts w:ascii="Calibri" w:eastAsia="Times New Roman" w:hAnsi="Calibri" w:cs="Calibri"/>
          <w:color w:val="000000"/>
          <w:lang w:val="en-GB" w:eastAsia="cs-CZ"/>
        </w:rPr>
        <w:t xml:space="preserve">, which aims to increase the efficiency of public administration and transparency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the public administration</w:t>
      </w:r>
      <w:r w:rsidRPr="005F0E9C">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funding</w:t>
      </w:r>
      <w:r w:rsidRPr="00177F0B">
        <w:rPr>
          <w:rFonts w:ascii="Calibri" w:eastAsia="Times New Roman" w:hAnsi="Calibri" w:cs="Calibri"/>
          <w:color w:val="000000"/>
          <w:lang w:val="en-GB" w:eastAsia="cs-CZ"/>
        </w:rPr>
        <w:t>. The document defines the strategic objectives in four areas: moderni</w:t>
      </w:r>
      <w:r>
        <w:rPr>
          <w:rFonts w:ascii="Calibri" w:eastAsia="Times New Roman" w:hAnsi="Calibri" w:cs="Calibri"/>
          <w:color w:val="000000"/>
          <w:lang w:val="en-GB" w:eastAsia="cs-CZ"/>
        </w:rPr>
        <w:t>zation of public administration</w:t>
      </w:r>
      <w:r w:rsidRPr="00177F0B">
        <w:rPr>
          <w:rFonts w:ascii="Calibri" w:eastAsia="Times New Roman" w:hAnsi="Calibri" w:cs="Calibri"/>
          <w:color w:val="000000"/>
          <w:lang w:val="en-GB" w:eastAsia="cs-CZ"/>
        </w:rPr>
        <w:t xml:space="preserve"> including the measurement of its performance, the performance of public administration in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territory</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funding of public administration in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territory, education and human resource management in public administration. It focuses on selected measures that may </w:t>
      </w:r>
      <w:r>
        <w:rPr>
          <w:rFonts w:ascii="Calibri" w:eastAsia="Times New Roman" w:hAnsi="Calibri" w:cs="Calibri"/>
          <w:color w:val="000000"/>
          <w:lang w:val="en-GB" w:eastAsia="cs-CZ"/>
        </w:rPr>
        <w:t xml:space="preserve">systematically </w:t>
      </w:r>
      <w:r w:rsidRPr="00177F0B">
        <w:rPr>
          <w:rFonts w:ascii="Calibri" w:eastAsia="Times New Roman" w:hAnsi="Calibri" w:cs="Calibri"/>
          <w:color w:val="000000"/>
          <w:lang w:val="en-GB" w:eastAsia="cs-CZ"/>
        </w:rPr>
        <w:t xml:space="preserve">affect </w:t>
      </w:r>
      <w:r>
        <w:rPr>
          <w:rFonts w:ascii="Calibri" w:eastAsia="Times New Roman" w:hAnsi="Calibri" w:cs="Calibri"/>
          <w:color w:val="000000"/>
          <w:lang w:val="en-GB" w:eastAsia="cs-CZ"/>
        </w:rPr>
        <w:t xml:space="preserve">public </w:t>
      </w:r>
      <w:r w:rsidRPr="00177F0B">
        <w:rPr>
          <w:rFonts w:ascii="Calibri" w:eastAsia="Times New Roman" w:hAnsi="Calibri" w:cs="Calibri"/>
          <w:color w:val="000000"/>
          <w:lang w:val="en-GB" w:eastAsia="cs-CZ"/>
        </w:rPr>
        <w:t xml:space="preserve">governance, in particular by increasing transparency, the creation of mechanisms for better </w:t>
      </w:r>
      <w:r>
        <w:rPr>
          <w:rFonts w:ascii="Calibri" w:eastAsia="Times New Roman" w:hAnsi="Calibri" w:cs="Calibri"/>
          <w:color w:val="000000"/>
          <w:lang w:val="en-GB" w:eastAsia="cs-CZ"/>
        </w:rPr>
        <w:t>evaluation of efficiency</w:t>
      </w:r>
      <w:r w:rsidRPr="00177F0B">
        <w:rPr>
          <w:rFonts w:ascii="Calibri" w:eastAsia="Times New Roman" w:hAnsi="Calibri" w:cs="Calibri"/>
          <w:color w:val="000000"/>
          <w:lang w:val="en-GB" w:eastAsia="cs-CZ"/>
        </w:rPr>
        <w:t xml:space="preserve">, addressing the issues of territorial administrative structures </w:t>
      </w:r>
      <w:r>
        <w:rPr>
          <w:rFonts w:ascii="Calibri" w:eastAsia="Times New Roman" w:hAnsi="Calibri" w:cs="Calibri"/>
          <w:color w:val="000000"/>
          <w:lang w:val="en-GB" w:eastAsia="cs-CZ"/>
        </w:rPr>
        <w:t xml:space="preserve">that </w:t>
      </w:r>
      <w:r w:rsidRPr="00177F0B">
        <w:rPr>
          <w:rFonts w:ascii="Calibri" w:eastAsia="Times New Roman" w:hAnsi="Calibri" w:cs="Calibri"/>
          <w:color w:val="000000"/>
          <w:lang w:val="en-GB" w:eastAsia="cs-CZ"/>
        </w:rPr>
        <w:t>make it difficult to coordinate the activities of the public administration and greater transparency in the funding of public administration.</w:t>
      </w:r>
    </w:p>
    <w:p w:rsidR="00C8311B" w:rsidRPr="00177F0B" w:rsidRDefault="00C8311B" w:rsidP="00C8311B">
      <w:pPr>
        <w:spacing w:before="200" w:after="80"/>
        <w:outlineLvl w:val="3"/>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lastRenderedPageBreak/>
        <w:t>Computerization of the public administration</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b/>
          <w:bCs/>
          <w:color w:val="000000"/>
          <w:lang w:val="en-GB" w:eastAsia="cs-CZ"/>
        </w:rPr>
        <w:t>Smart Administration Strategy for the period 2007 - 2015</w:t>
      </w:r>
      <w:r w:rsidRPr="00177F0B">
        <w:rPr>
          <w:rFonts w:ascii="Calibri" w:eastAsia="Times New Roman" w:hAnsi="Calibri" w:cs="Calibri"/>
          <w:color w:val="000000"/>
          <w:lang w:val="en-GB" w:eastAsia="cs-CZ"/>
        </w:rPr>
        <w:t> provides a framework for the coordination of all processes leading to effic</w:t>
      </w:r>
      <w:r>
        <w:rPr>
          <w:rFonts w:ascii="Calibri" w:eastAsia="Times New Roman" w:hAnsi="Calibri" w:cs="Calibri"/>
          <w:color w:val="000000"/>
          <w:lang w:val="en-GB" w:eastAsia="cs-CZ"/>
        </w:rPr>
        <w:t>ient public administration and</w:t>
      </w:r>
      <w:r w:rsidRPr="00177F0B">
        <w:rPr>
          <w:rFonts w:ascii="Calibri" w:eastAsia="Times New Roman" w:hAnsi="Calibri" w:cs="Calibri"/>
          <w:color w:val="000000"/>
          <w:lang w:val="en-GB" w:eastAsia="cs-CZ"/>
        </w:rPr>
        <w:t xml:space="preserve"> friendly public services.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mportant component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the </w:t>
      </w:r>
      <w:r>
        <w:rPr>
          <w:rFonts w:ascii="Calibri" w:eastAsia="Times New Roman" w:hAnsi="Calibri" w:cs="Calibri"/>
          <w:color w:val="000000"/>
          <w:lang w:val="en-GB" w:eastAsia="cs-CZ"/>
        </w:rPr>
        <w:t xml:space="preserve">Strategy are projects </w:t>
      </w:r>
      <w:r w:rsidRPr="00177F0B">
        <w:rPr>
          <w:rFonts w:ascii="Calibri" w:eastAsia="Times New Roman" w:hAnsi="Calibri" w:cs="Calibri"/>
          <w:color w:val="000000"/>
          <w:lang w:val="en-GB" w:eastAsia="cs-CZ"/>
        </w:rPr>
        <w:t> </w:t>
      </w:r>
      <w:r>
        <w:rPr>
          <w:rFonts w:ascii="Calibri" w:eastAsia="Times New Roman" w:hAnsi="Calibri" w:cs="Calibri"/>
          <w:b/>
          <w:bCs/>
          <w:color w:val="000000"/>
          <w:lang w:val="en-GB" w:eastAsia="cs-CZ"/>
        </w:rPr>
        <w:t>e-C</w:t>
      </w:r>
      <w:r w:rsidRPr="00177F0B">
        <w:rPr>
          <w:rFonts w:ascii="Calibri" w:eastAsia="Times New Roman" w:hAnsi="Calibri" w:cs="Calibri"/>
          <w:b/>
          <w:bCs/>
          <w:color w:val="000000"/>
          <w:lang w:val="en-GB" w:eastAsia="cs-CZ"/>
        </w:rPr>
        <w:t>ollection</w:t>
      </w:r>
      <w:r w:rsidRPr="00177F0B">
        <w:rPr>
          <w:rFonts w:ascii="Calibri" w:eastAsia="Times New Roman" w:hAnsi="Calibri" w:cs="Calibri"/>
          <w:color w:val="000000"/>
          <w:lang w:val="en-GB" w:eastAsia="cs-CZ"/>
        </w:rPr>
        <w:t> and </w:t>
      </w:r>
      <w:r w:rsidRPr="00177F0B">
        <w:rPr>
          <w:rFonts w:ascii="Calibri" w:eastAsia="Times New Roman" w:hAnsi="Calibri" w:cs="Calibri"/>
          <w:b/>
          <w:bCs/>
          <w:color w:val="000000"/>
          <w:lang w:val="en-GB" w:eastAsia="cs-CZ"/>
        </w:rPr>
        <w:t>e-Legislation</w:t>
      </w:r>
      <w:r w:rsidRPr="00177F0B">
        <w:rPr>
          <w:rFonts w:ascii="Calibri" w:eastAsia="Times New Roman" w:hAnsi="Calibri" w:cs="Calibri"/>
          <w:color w:val="000000"/>
          <w:lang w:val="en-GB" w:eastAsia="cs-CZ"/>
        </w:rPr>
        <w:t xml:space="preserve"> that will bring technical and legislative measures to increase accessibility and clarity of the law and its better and more efficient </w:t>
      </w:r>
      <w:r>
        <w:rPr>
          <w:rFonts w:ascii="Calibri" w:eastAsia="Times New Roman" w:hAnsi="Calibri" w:cs="Calibri"/>
          <w:color w:val="000000"/>
          <w:lang w:val="en-GB" w:eastAsia="cs-CZ"/>
        </w:rPr>
        <w:t>creation</w:t>
      </w:r>
      <w:r w:rsidRPr="00177F0B">
        <w:rPr>
          <w:rFonts w:ascii="Calibri" w:eastAsia="Times New Roman" w:hAnsi="Calibri" w:cs="Calibri"/>
          <w:color w:val="000000"/>
          <w:lang w:val="en-GB" w:eastAsia="cs-CZ"/>
        </w:rPr>
        <w:t>. Their implementation will be completed in 2015.</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This strategy </w:t>
      </w:r>
      <w:r>
        <w:rPr>
          <w:rFonts w:ascii="Calibri" w:eastAsia="Times New Roman" w:hAnsi="Calibri" w:cs="Calibri"/>
          <w:color w:val="000000"/>
          <w:lang w:val="en-GB" w:eastAsia="cs-CZ"/>
        </w:rPr>
        <w:t>will be followed by a</w:t>
      </w:r>
      <w:r w:rsidRPr="00177F0B">
        <w:rPr>
          <w:rFonts w:ascii="Calibri" w:eastAsia="Times New Roman" w:hAnsi="Calibri" w:cs="Calibri"/>
          <w:color w:val="000000"/>
          <w:lang w:val="en-GB" w:eastAsia="cs-CZ"/>
        </w:rPr>
        <w:t> </w:t>
      </w:r>
      <w:r>
        <w:rPr>
          <w:rFonts w:ascii="Calibri" w:eastAsia="Times New Roman" w:hAnsi="Calibri" w:cs="Calibri"/>
          <w:b/>
          <w:bCs/>
          <w:color w:val="000000"/>
          <w:lang w:val="en-GB" w:eastAsia="cs-CZ"/>
        </w:rPr>
        <w:t>S</w:t>
      </w:r>
      <w:r w:rsidRPr="00177F0B">
        <w:rPr>
          <w:rFonts w:ascii="Calibri" w:eastAsia="Times New Roman" w:hAnsi="Calibri" w:cs="Calibri"/>
          <w:b/>
          <w:bCs/>
          <w:color w:val="000000"/>
          <w:lang w:val="en-GB" w:eastAsia="cs-CZ"/>
        </w:rPr>
        <w:t xml:space="preserve">trategic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 xml:space="preserve">ramework for the </w:t>
      </w:r>
      <w:r>
        <w:rPr>
          <w:rFonts w:ascii="Calibri" w:eastAsia="Times New Roman" w:hAnsi="Calibri" w:cs="Calibri"/>
          <w:b/>
          <w:bCs/>
          <w:color w:val="000000"/>
          <w:lang w:val="en-GB" w:eastAsia="cs-CZ"/>
        </w:rPr>
        <w:t xml:space="preserve">Development of </w:t>
      </w:r>
      <w:proofErr w:type="spellStart"/>
      <w:r>
        <w:rPr>
          <w:rFonts w:ascii="Calibri" w:eastAsia="Times New Roman" w:hAnsi="Calibri" w:cs="Calibri"/>
          <w:b/>
          <w:bCs/>
          <w:color w:val="000000"/>
          <w:lang w:val="en-GB" w:eastAsia="cs-CZ"/>
        </w:rPr>
        <w:t>eGovernment</w:t>
      </w:r>
      <w:proofErr w:type="spellEnd"/>
      <w:r>
        <w:rPr>
          <w:rFonts w:ascii="Calibri" w:eastAsia="Times New Roman" w:hAnsi="Calibri" w:cs="Calibri"/>
          <w:b/>
          <w:bCs/>
          <w:color w:val="000000"/>
          <w:lang w:val="en-GB" w:eastAsia="cs-CZ"/>
        </w:rPr>
        <w:t xml:space="preserve"> 2014</w:t>
      </w:r>
      <w:r w:rsidRPr="00177F0B">
        <w:rPr>
          <w:rFonts w:ascii="Calibri" w:eastAsia="Times New Roman" w:hAnsi="Calibri" w:cs="Calibri"/>
          <w:b/>
          <w:bCs/>
          <w:color w:val="000000"/>
          <w:lang w:val="en-GB" w:eastAsia="cs-CZ"/>
        </w:rPr>
        <w:t>+,</w:t>
      </w:r>
      <w:r w:rsidRPr="00177F0B">
        <w:rPr>
          <w:rFonts w:ascii="Calibri" w:eastAsia="Times New Roman" w:hAnsi="Calibri" w:cs="Calibri"/>
          <w:color w:val="000000"/>
          <w:lang w:val="en-GB" w:eastAsia="cs-CZ"/>
        </w:rPr>
        <w:t xml:space="preserve"> which will set out the next stage of the modernization of public administration, in particular towards streamlining and improving the quality of public institutions and which also defines the </w:t>
      </w:r>
      <w:r>
        <w:rPr>
          <w:rFonts w:ascii="Calibri" w:eastAsia="Times New Roman" w:hAnsi="Calibri" w:cs="Calibri"/>
          <w:color w:val="000000"/>
          <w:lang w:val="en-GB" w:eastAsia="cs-CZ"/>
        </w:rPr>
        <w:t>range of</w:t>
      </w:r>
      <w:r w:rsidRPr="00177F0B">
        <w:rPr>
          <w:rFonts w:ascii="Calibri" w:eastAsia="Times New Roman" w:hAnsi="Calibri" w:cs="Calibri"/>
          <w:color w:val="000000"/>
          <w:lang w:val="en-GB" w:eastAsia="cs-CZ"/>
        </w:rPr>
        <w:t xml:space="preserve"> issues for further development of </w:t>
      </w:r>
      <w:proofErr w:type="spellStart"/>
      <w:r w:rsidRPr="00177F0B">
        <w:rPr>
          <w:rFonts w:ascii="Calibri" w:eastAsia="Times New Roman" w:hAnsi="Calibri" w:cs="Calibri"/>
          <w:color w:val="000000"/>
          <w:lang w:val="en-GB" w:eastAsia="cs-CZ"/>
        </w:rPr>
        <w:t>eGovernment</w:t>
      </w:r>
      <w:proofErr w:type="spellEnd"/>
      <w:r w:rsidRPr="00177F0B">
        <w:rPr>
          <w:rFonts w:ascii="Calibri" w:eastAsia="Times New Roman" w:hAnsi="Calibri" w:cs="Calibri"/>
          <w:color w:val="000000"/>
          <w:lang w:val="en-GB" w:eastAsia="cs-CZ"/>
        </w:rPr>
        <w:t xml:space="preserve"> in the Czech Republic. A document that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government</w:t>
      </w:r>
      <w:r>
        <w:rPr>
          <w:rFonts w:ascii="Calibri" w:eastAsia="Times New Roman" w:hAnsi="Calibri" w:cs="Calibri"/>
          <w:color w:val="000000"/>
          <w:lang w:val="en-GB" w:eastAsia="cs-CZ"/>
        </w:rPr>
        <w:t xml:space="preserve"> shall discuss</w:t>
      </w:r>
      <w:r w:rsidRPr="00177F0B">
        <w:rPr>
          <w:rFonts w:ascii="Calibri" w:eastAsia="Times New Roman" w:hAnsi="Calibri" w:cs="Calibri"/>
          <w:color w:val="000000"/>
          <w:lang w:val="en-GB" w:eastAsia="cs-CZ"/>
        </w:rPr>
        <w:t xml:space="preserve"> in 2014, builds on previous </w:t>
      </w:r>
      <w:r>
        <w:rPr>
          <w:rFonts w:ascii="Calibri" w:eastAsia="Times New Roman" w:hAnsi="Calibri" w:cs="Calibri"/>
          <w:color w:val="000000"/>
          <w:lang w:val="en-GB" w:eastAsia="cs-CZ"/>
        </w:rPr>
        <w:t>key</w:t>
      </w:r>
      <w:r w:rsidRPr="00177F0B">
        <w:rPr>
          <w:rFonts w:ascii="Calibri" w:eastAsia="Times New Roman" w:hAnsi="Calibri" w:cs="Calibri"/>
          <w:color w:val="000000"/>
          <w:lang w:val="en-GB" w:eastAsia="cs-CZ"/>
        </w:rPr>
        <w:t xml:space="preserve"> projects. The main goal </w:t>
      </w:r>
      <w:r>
        <w:rPr>
          <w:rFonts w:ascii="Calibri" w:eastAsia="Times New Roman" w:hAnsi="Calibri" w:cs="Calibri"/>
          <w:color w:val="000000"/>
          <w:lang w:val="en-GB" w:eastAsia="cs-CZ"/>
        </w:rPr>
        <w:t xml:space="preserve">is to achieve that </w:t>
      </w:r>
      <w:r w:rsidRPr="00177F0B">
        <w:rPr>
          <w:rFonts w:ascii="Calibri" w:eastAsia="Times New Roman" w:hAnsi="Calibri" w:cs="Calibri"/>
          <w:color w:val="000000"/>
          <w:lang w:val="en-GB" w:eastAsia="cs-CZ"/>
        </w:rPr>
        <w:t xml:space="preserve">85% of all submissions to public administration </w:t>
      </w:r>
      <w:r>
        <w:rPr>
          <w:rFonts w:ascii="Calibri" w:eastAsia="Times New Roman" w:hAnsi="Calibri" w:cs="Calibri"/>
          <w:color w:val="000000"/>
          <w:lang w:val="en-GB" w:eastAsia="cs-CZ"/>
        </w:rPr>
        <w:t xml:space="preserve">would be </w:t>
      </w:r>
      <w:r w:rsidRPr="00177F0B">
        <w:rPr>
          <w:rFonts w:ascii="Calibri" w:eastAsia="Times New Roman" w:hAnsi="Calibri" w:cs="Calibri"/>
          <w:color w:val="000000"/>
          <w:lang w:val="en-GB" w:eastAsia="cs-CZ"/>
        </w:rPr>
        <w:t>in electronic form</w:t>
      </w:r>
      <w:r>
        <w:rPr>
          <w:rFonts w:ascii="Calibri" w:eastAsia="Times New Roman" w:hAnsi="Calibri" w:cs="Calibri"/>
          <w:color w:val="000000"/>
          <w:lang w:val="en-GB" w:eastAsia="cs-CZ"/>
        </w:rPr>
        <w:t xml:space="preserve"> by</w:t>
      </w:r>
      <w:r w:rsidRPr="00177F0B">
        <w:rPr>
          <w:rFonts w:ascii="Calibri" w:eastAsia="Times New Roman" w:hAnsi="Calibri" w:cs="Calibri"/>
          <w:color w:val="000000"/>
          <w:lang w:val="en-GB" w:eastAsia="cs-CZ"/>
        </w:rPr>
        <w:t xml:space="preserve"> 2020</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for this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purpose the four-</w:t>
      </w:r>
      <w:r w:rsidRPr="00177F0B">
        <w:rPr>
          <w:rFonts w:ascii="Calibri" w:eastAsia="Times New Roman" w:hAnsi="Calibri" w:cs="Calibri"/>
          <w:color w:val="000000"/>
          <w:lang w:val="en-GB" w:eastAsia="cs-CZ"/>
        </w:rPr>
        <w:t>layered architecture of e-Government</w:t>
      </w:r>
      <w:r w:rsidRPr="006D6966">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be used, which </w:t>
      </w:r>
      <w:r>
        <w:rPr>
          <w:rFonts w:ascii="Calibri" w:eastAsia="Times New Roman" w:hAnsi="Calibri" w:cs="Calibri"/>
          <w:color w:val="000000"/>
          <w:lang w:val="en-GB" w:eastAsia="cs-CZ"/>
        </w:rPr>
        <w:t>has</w:t>
      </w:r>
      <w:r w:rsidRPr="00177F0B">
        <w:rPr>
          <w:rFonts w:ascii="Calibri" w:eastAsia="Times New Roman" w:hAnsi="Calibri" w:cs="Calibri"/>
          <w:color w:val="000000"/>
          <w:lang w:val="en-GB" w:eastAsia="cs-CZ"/>
        </w:rPr>
        <w:t xml:space="preserve"> already </w:t>
      </w:r>
      <w:r>
        <w:rPr>
          <w:rFonts w:ascii="Calibri" w:eastAsia="Times New Roman" w:hAnsi="Calibri" w:cs="Calibri"/>
          <w:color w:val="000000"/>
          <w:lang w:val="en-GB" w:eastAsia="cs-CZ"/>
        </w:rPr>
        <w:t xml:space="preserve">been </w:t>
      </w:r>
      <w:r w:rsidRPr="00177F0B">
        <w:rPr>
          <w:rFonts w:ascii="Calibri" w:eastAsia="Times New Roman" w:hAnsi="Calibri" w:cs="Calibri"/>
          <w:color w:val="000000"/>
          <w:lang w:val="en-GB" w:eastAsia="cs-CZ"/>
        </w:rPr>
        <w:t>largely completed.</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As part of creating a</w:t>
      </w:r>
      <w:r>
        <w:rPr>
          <w:rFonts w:ascii="Calibri" w:eastAsia="Times New Roman" w:hAnsi="Calibri" w:cs="Calibri"/>
          <w:color w:val="000000"/>
          <w:lang w:val="en-GB" w:eastAsia="cs-CZ"/>
        </w:rPr>
        <w:t xml:space="preserve">n </w:t>
      </w:r>
      <w:r w:rsidRPr="006D6966">
        <w:rPr>
          <w:rFonts w:ascii="Calibri" w:eastAsia="Times New Roman" w:hAnsi="Calibri" w:cs="Calibri"/>
          <w:b/>
          <w:color w:val="000000"/>
          <w:lang w:val="en-GB" w:eastAsia="cs-CZ"/>
        </w:rPr>
        <w:t>Offence Register</w:t>
      </w:r>
      <w:r w:rsidRPr="00177F0B">
        <w:rPr>
          <w:rFonts w:ascii="Calibri" w:eastAsia="Times New Roman" w:hAnsi="Calibri" w:cs="Calibri"/>
          <w:color w:val="000000"/>
          <w:lang w:val="en-GB" w:eastAsia="cs-CZ"/>
        </w:rPr>
        <w:t xml:space="preserve"> the government </w:t>
      </w:r>
      <w:r>
        <w:rPr>
          <w:rFonts w:ascii="Calibri" w:eastAsia="Times New Roman" w:hAnsi="Calibri" w:cs="Calibri"/>
          <w:color w:val="000000"/>
          <w:lang w:val="en-GB" w:eastAsia="cs-CZ"/>
        </w:rPr>
        <w:t xml:space="preserve">will be </w:t>
      </w:r>
      <w:r w:rsidRPr="00177F0B">
        <w:rPr>
          <w:rFonts w:ascii="Calibri" w:eastAsia="Times New Roman" w:hAnsi="Calibri" w:cs="Calibri"/>
          <w:color w:val="000000"/>
          <w:lang w:val="en-GB" w:eastAsia="cs-CZ"/>
        </w:rPr>
        <w:t xml:space="preserve">presented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a draft of the new legislation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in 2014, </w:t>
      </w:r>
      <w:r>
        <w:rPr>
          <w:rFonts w:ascii="Calibri" w:eastAsia="Times New Roman" w:hAnsi="Calibri" w:cs="Calibri"/>
          <w:color w:val="000000"/>
          <w:lang w:val="en-GB" w:eastAsia="cs-CZ"/>
        </w:rPr>
        <w:t>including measures affecting</w:t>
      </w:r>
      <w:r w:rsidRPr="00177F0B">
        <w:rPr>
          <w:rFonts w:ascii="Calibri" w:eastAsia="Times New Roman" w:hAnsi="Calibri" w:cs="Calibri"/>
          <w:color w:val="000000"/>
          <w:lang w:val="en-GB" w:eastAsia="cs-CZ"/>
        </w:rPr>
        <w:t xml:space="preserve"> repeated offenses, and draft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new legislation </w:t>
      </w:r>
      <w:r>
        <w:rPr>
          <w:rFonts w:ascii="Calibri" w:eastAsia="Times New Roman" w:hAnsi="Calibri" w:cs="Calibri"/>
          <w:color w:val="000000"/>
          <w:lang w:val="en-GB" w:eastAsia="cs-CZ"/>
        </w:rPr>
        <w:t>on evidence of offenses.</w:t>
      </w:r>
      <w:r>
        <w:rPr>
          <w:rStyle w:val="Znakapoznpodarou"/>
          <w:rFonts w:ascii="Calibri" w:eastAsia="Times New Roman" w:hAnsi="Calibri" w:cs="Calibri"/>
          <w:color w:val="000000"/>
          <w:lang w:val="en-GB" w:eastAsia="cs-CZ"/>
        </w:rPr>
        <w:footnoteReference w:id="21"/>
      </w:r>
    </w:p>
    <w:p w:rsidR="00C8311B" w:rsidRPr="00177F0B" w:rsidRDefault="00C8311B" w:rsidP="00C8311B">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Regulatory Impact Assessment (RIA)</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Institutional arrangements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supervision over the quality</w:t>
      </w:r>
      <w:r>
        <w:rPr>
          <w:rFonts w:ascii="Calibri" w:eastAsia="Times New Roman" w:hAnsi="Calibri" w:cs="Calibri"/>
          <w:color w:val="000000"/>
          <w:lang w:val="en-GB" w:eastAsia="cs-CZ"/>
        </w:rPr>
        <w:t xml:space="preserve"> and </w:t>
      </w:r>
      <w:r w:rsidRPr="00177F0B">
        <w:rPr>
          <w:rFonts w:ascii="Calibri" w:eastAsia="Times New Roman" w:hAnsi="Calibri" w:cs="Calibri"/>
          <w:color w:val="000000"/>
          <w:lang w:val="en-GB" w:eastAsia="cs-CZ"/>
        </w:rPr>
        <w:t xml:space="preserve">constitutionality of processed draft legislation </w:t>
      </w:r>
      <w:r>
        <w:rPr>
          <w:rFonts w:ascii="Calibri" w:eastAsia="Times New Roman" w:hAnsi="Calibri" w:cs="Calibri"/>
          <w:color w:val="000000"/>
          <w:lang w:val="en-GB" w:eastAsia="cs-CZ"/>
        </w:rPr>
        <w:t>is provided by the</w:t>
      </w:r>
      <w:r w:rsidRPr="00177F0B">
        <w:rPr>
          <w:rFonts w:ascii="Calibri" w:eastAsia="Times New Roman" w:hAnsi="Calibri" w:cs="Calibri"/>
          <w:color w:val="000000"/>
          <w:lang w:val="en-GB" w:eastAsia="cs-CZ"/>
        </w:rPr>
        <w:t xml:space="preserve"> Government Legislative Council, </w:t>
      </w:r>
      <w:r>
        <w:rPr>
          <w:rFonts w:ascii="Calibri" w:eastAsia="Times New Roman" w:hAnsi="Calibri" w:cs="Calibri"/>
          <w:color w:val="000000"/>
          <w:lang w:val="en-GB" w:eastAsia="cs-CZ"/>
        </w:rPr>
        <w:t>its opinions of which are</w:t>
      </w:r>
      <w:r w:rsidRPr="00177F0B">
        <w:rPr>
          <w:rFonts w:ascii="Calibri" w:eastAsia="Times New Roman" w:hAnsi="Calibri" w:cs="Calibri"/>
          <w:color w:val="000000"/>
          <w:lang w:val="en-GB" w:eastAsia="cs-CZ"/>
        </w:rPr>
        <w:t xml:space="preserve"> based </w:t>
      </w:r>
      <w:r>
        <w:rPr>
          <w:rFonts w:ascii="Calibri" w:eastAsia="Times New Roman" w:hAnsi="Calibri" w:cs="Calibri"/>
          <w:color w:val="000000"/>
          <w:lang w:val="en-GB" w:eastAsia="cs-CZ"/>
        </w:rPr>
        <w:t>on the</w:t>
      </w:r>
      <w:r w:rsidRPr="00177F0B">
        <w:rPr>
          <w:rFonts w:ascii="Calibri" w:eastAsia="Times New Roman" w:hAnsi="Calibri" w:cs="Calibri"/>
          <w:color w:val="000000"/>
          <w:lang w:val="en-GB" w:eastAsia="cs-CZ"/>
        </w:rPr>
        <w:t xml:space="preserve"> opinions of the expert working committee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One of these committees is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RIA</w:t>
      </w:r>
      <w:r w:rsidRPr="00F92267">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Commission</w:t>
      </w:r>
      <w:r w:rsidRPr="00177F0B">
        <w:rPr>
          <w:rFonts w:ascii="Calibri" w:eastAsia="Times New Roman" w:hAnsi="Calibri" w:cs="Calibri"/>
          <w:color w:val="000000"/>
          <w:lang w:val="en-GB" w:eastAsia="cs-CZ"/>
        </w:rPr>
        <w:t xml:space="preserve"> established in November 2011 </w:t>
      </w:r>
      <w:r>
        <w:rPr>
          <w:rFonts w:ascii="Calibri" w:eastAsia="Times New Roman" w:hAnsi="Calibri" w:cs="Calibri"/>
          <w:color w:val="000000"/>
          <w:lang w:val="en-GB" w:eastAsia="cs-CZ"/>
        </w:rPr>
        <w:t xml:space="preserve">in order </w:t>
      </w:r>
      <w:r w:rsidRPr="00177F0B">
        <w:rPr>
          <w:rFonts w:ascii="Calibri" w:eastAsia="Times New Roman" w:hAnsi="Calibri" w:cs="Calibri"/>
          <w:color w:val="000000"/>
          <w:lang w:val="en-GB" w:eastAsia="cs-CZ"/>
        </w:rPr>
        <w:t xml:space="preserve">to review </w:t>
      </w:r>
      <w:r>
        <w:rPr>
          <w:rFonts w:ascii="Calibri" w:eastAsia="Times New Roman" w:hAnsi="Calibri" w:cs="Calibri"/>
          <w:color w:val="000000"/>
          <w:lang w:val="en-GB" w:eastAsia="cs-CZ"/>
        </w:rPr>
        <w:t>the quality of submitted</w:t>
      </w:r>
      <w:r w:rsidRPr="00177F0B">
        <w:rPr>
          <w:rFonts w:ascii="Calibri" w:eastAsia="Times New Roman" w:hAnsi="Calibri" w:cs="Calibri"/>
          <w:color w:val="000000"/>
          <w:lang w:val="en-GB" w:eastAsia="cs-CZ"/>
        </w:rPr>
        <w:t xml:space="preserve"> RIA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draft legislation at the </w:t>
      </w:r>
      <w:r>
        <w:rPr>
          <w:rFonts w:ascii="Calibri" w:eastAsia="Times New Roman" w:hAnsi="Calibri" w:cs="Calibri"/>
          <w:color w:val="000000"/>
          <w:lang w:val="en-GB" w:eastAsia="cs-CZ"/>
        </w:rPr>
        <w:t xml:space="preserve">government </w:t>
      </w:r>
      <w:r w:rsidRPr="00177F0B">
        <w:rPr>
          <w:rFonts w:ascii="Calibri" w:eastAsia="Times New Roman" w:hAnsi="Calibri" w:cs="Calibri"/>
          <w:color w:val="000000"/>
          <w:lang w:val="en-GB" w:eastAsia="cs-CZ"/>
        </w:rPr>
        <w:t xml:space="preserve">level, i.e. </w:t>
      </w:r>
      <w:r>
        <w:rPr>
          <w:rFonts w:ascii="Calibri" w:eastAsia="Times New Roman" w:hAnsi="Calibri" w:cs="Calibri"/>
          <w:color w:val="000000"/>
          <w:lang w:val="en-GB" w:eastAsia="cs-CZ"/>
        </w:rPr>
        <w:t>draft laws</w:t>
      </w:r>
      <w:r w:rsidRPr="00177F0B">
        <w:rPr>
          <w:rFonts w:ascii="Calibri" w:eastAsia="Times New Roman" w:hAnsi="Calibri" w:cs="Calibri"/>
          <w:color w:val="000000"/>
          <w:lang w:val="en-GB" w:eastAsia="cs-CZ"/>
        </w:rPr>
        <w:t xml:space="preserve"> and Government Regulation</w:t>
      </w:r>
      <w:r>
        <w:rPr>
          <w:rFonts w:ascii="Calibri" w:eastAsia="Times New Roman" w:hAnsi="Calibri" w:cs="Calibri"/>
          <w:color w:val="000000"/>
          <w:lang w:val="en-GB" w:eastAsia="cs-CZ"/>
        </w:rPr>
        <w:t>s</w:t>
      </w:r>
      <w:r>
        <w:rPr>
          <w:rStyle w:val="Znakapoznpodarou"/>
          <w:rFonts w:ascii="Calibri" w:eastAsia="Times New Roman" w:hAnsi="Calibri" w:cs="Calibri"/>
          <w:color w:val="000000"/>
          <w:lang w:val="en-GB" w:eastAsia="cs-CZ"/>
        </w:rPr>
        <w:footnoteReference w:id="22"/>
      </w:r>
      <w:r w:rsidRPr="00177F0B">
        <w:rPr>
          <w:rFonts w:ascii="Calibri" w:eastAsia="Times New Roman" w:hAnsi="Calibri" w:cs="Calibri"/>
          <w:color w:val="000000"/>
          <w:lang w:val="en-GB" w:eastAsia="cs-CZ"/>
        </w:rPr>
        <w:t>.</w:t>
      </w:r>
    </w:p>
    <w:p w:rsidR="00C8311B" w:rsidRPr="00177F0B" w:rsidRDefault="00C8311B" w:rsidP="00C8311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Increased pressure on the quality of the reasoning of the</w:t>
      </w:r>
      <w:r w:rsidRPr="00F92267">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RIA</w:t>
      </w:r>
      <w:r>
        <w:rPr>
          <w:rFonts w:ascii="Calibri" w:eastAsia="Times New Roman" w:hAnsi="Calibri" w:cs="Calibri"/>
          <w:color w:val="000000"/>
          <w:lang w:val="en-GB" w:eastAsia="cs-CZ"/>
        </w:rPr>
        <w:t xml:space="preserve"> Commission</w:t>
      </w:r>
      <w:r w:rsidRPr="00177F0B">
        <w:rPr>
          <w:rFonts w:ascii="Calibri" w:eastAsia="Times New Roman" w:hAnsi="Calibri" w:cs="Calibri"/>
          <w:color w:val="000000"/>
          <w:lang w:val="en-GB" w:eastAsia="cs-CZ"/>
        </w:rPr>
        <w:t xml:space="preserve"> on proposals submitted </w:t>
      </w:r>
      <w:r>
        <w:rPr>
          <w:rFonts w:ascii="Calibri" w:eastAsia="Times New Roman" w:hAnsi="Calibri" w:cs="Calibri"/>
          <w:color w:val="000000"/>
          <w:lang w:val="en-GB" w:eastAsia="cs-CZ"/>
        </w:rPr>
        <w:t>at</w:t>
      </w:r>
      <w:r w:rsidRPr="00177F0B">
        <w:rPr>
          <w:rFonts w:ascii="Calibri" w:eastAsia="Times New Roman" w:hAnsi="Calibri" w:cs="Calibri"/>
          <w:color w:val="000000"/>
          <w:lang w:val="en-GB" w:eastAsia="cs-CZ"/>
        </w:rPr>
        <w:t xml:space="preserve"> the government </w:t>
      </w:r>
      <w:r>
        <w:rPr>
          <w:rFonts w:ascii="Calibri" w:eastAsia="Times New Roman" w:hAnsi="Calibri" w:cs="Calibri"/>
          <w:color w:val="000000"/>
          <w:lang w:val="en-GB" w:eastAsia="cs-CZ"/>
        </w:rPr>
        <w:t xml:space="preserve">level </w:t>
      </w:r>
      <w:r w:rsidRPr="00177F0B">
        <w:rPr>
          <w:rFonts w:ascii="Calibri" w:eastAsia="Times New Roman" w:hAnsi="Calibri" w:cs="Calibri"/>
          <w:color w:val="000000"/>
          <w:lang w:val="en-GB" w:eastAsia="cs-CZ"/>
        </w:rPr>
        <w:t xml:space="preserve">was reflected, inter alia, </w:t>
      </w:r>
      <w:r>
        <w:rPr>
          <w:rFonts w:ascii="Calibri" w:eastAsia="Times New Roman" w:hAnsi="Calibri" w:cs="Calibri"/>
          <w:color w:val="000000"/>
          <w:lang w:val="en-GB" w:eastAsia="cs-CZ"/>
        </w:rPr>
        <w:t xml:space="preserve">in </w:t>
      </w:r>
      <w:r w:rsidRPr="00177F0B">
        <w:rPr>
          <w:rFonts w:ascii="Calibri" w:eastAsia="Times New Roman" w:hAnsi="Calibri" w:cs="Calibri"/>
          <w:color w:val="000000"/>
          <w:lang w:val="en-GB" w:eastAsia="cs-CZ"/>
        </w:rPr>
        <w:t xml:space="preserve">the submission of legislative proposals through </w:t>
      </w:r>
      <w:r>
        <w:rPr>
          <w:rFonts w:ascii="Calibri" w:eastAsia="Times New Roman" w:hAnsi="Calibri" w:cs="Calibri"/>
          <w:color w:val="000000"/>
          <w:lang w:val="en-GB" w:eastAsia="cs-CZ"/>
        </w:rPr>
        <w:t>Deputy</w:t>
      </w:r>
      <w:r w:rsidRPr="00177F0B">
        <w:rPr>
          <w:rFonts w:ascii="Calibri" w:eastAsia="Times New Roman" w:hAnsi="Calibri" w:cs="Calibri"/>
          <w:color w:val="000000"/>
          <w:lang w:val="en-GB" w:eastAsia="cs-CZ"/>
        </w:rPr>
        <w:t xml:space="preserve"> initiatives in the Parliament</w:t>
      </w:r>
      <w:r>
        <w:rPr>
          <w:rFonts w:ascii="Calibri" w:eastAsia="Times New Roman" w:hAnsi="Calibri" w:cs="Calibri"/>
          <w:color w:val="000000"/>
          <w:lang w:val="en-GB" w:eastAsia="cs-CZ"/>
        </w:rPr>
        <w:t>, to which the duty to prepare</w:t>
      </w:r>
      <w:r w:rsidRPr="00177F0B">
        <w:rPr>
          <w:rFonts w:ascii="Calibri" w:eastAsia="Times New Roman" w:hAnsi="Calibri" w:cs="Calibri"/>
          <w:color w:val="000000"/>
          <w:lang w:val="en-GB" w:eastAsia="cs-CZ"/>
        </w:rPr>
        <w:t xml:space="preserve"> RIA</w:t>
      </w:r>
      <w:r>
        <w:rPr>
          <w:rFonts w:ascii="Calibri" w:eastAsia="Times New Roman" w:hAnsi="Calibri" w:cs="Calibri"/>
          <w:color w:val="000000"/>
          <w:lang w:val="en-GB" w:eastAsia="cs-CZ"/>
        </w:rPr>
        <w:t xml:space="preserve"> does not</w:t>
      </w:r>
      <w:r w:rsidRPr="00177F0B">
        <w:rPr>
          <w:rFonts w:ascii="Calibri" w:eastAsia="Times New Roman" w:hAnsi="Calibri" w:cs="Calibri"/>
          <w:color w:val="000000"/>
          <w:lang w:val="en-GB" w:eastAsia="cs-CZ"/>
        </w:rPr>
        <w:t xml:space="preserve"> apply. This fact should be resolved by adjusting the </w:t>
      </w:r>
      <w:r>
        <w:rPr>
          <w:rFonts w:ascii="Calibri" w:eastAsia="Times New Roman" w:hAnsi="Calibri" w:cs="Calibri"/>
          <w:color w:val="000000"/>
          <w:lang w:val="en-GB" w:eastAsia="cs-CZ"/>
        </w:rPr>
        <w:t>rules of proceedings of</w:t>
      </w:r>
      <w:r w:rsidRPr="00177F0B">
        <w:rPr>
          <w:rFonts w:ascii="Calibri" w:eastAsia="Times New Roman" w:hAnsi="Calibri" w:cs="Calibri"/>
          <w:color w:val="000000"/>
          <w:lang w:val="en-GB" w:eastAsia="cs-CZ"/>
        </w:rPr>
        <w:t xml:space="preserve"> both chambers of the Czech Parliament with </w:t>
      </w:r>
      <w:r w:rsidRPr="00177F0B">
        <w:rPr>
          <w:rFonts w:ascii="Calibri" w:eastAsia="Times New Roman" w:hAnsi="Calibri" w:cs="Calibri"/>
          <w:b/>
          <w:bCs/>
          <w:color w:val="000000"/>
          <w:lang w:val="en-GB" w:eastAsia="cs-CZ"/>
        </w:rPr>
        <w:t xml:space="preserve">the introduction of the obligation to the same level of requirements for thorough justification and evaluation of the impact of </w:t>
      </w:r>
      <w:r>
        <w:rPr>
          <w:rFonts w:ascii="Calibri" w:eastAsia="Times New Roman" w:hAnsi="Calibri" w:cs="Calibri"/>
          <w:b/>
          <w:bCs/>
          <w:color w:val="000000"/>
          <w:lang w:val="en-GB" w:eastAsia="cs-CZ"/>
        </w:rPr>
        <w:t>Deputy</w:t>
      </w:r>
      <w:r w:rsidRPr="00177F0B">
        <w:rPr>
          <w:rFonts w:ascii="Calibri" w:eastAsia="Times New Roman" w:hAnsi="Calibri" w:cs="Calibri"/>
          <w:b/>
          <w:bCs/>
          <w:color w:val="000000"/>
          <w:lang w:val="en-GB" w:eastAsia="cs-CZ"/>
        </w:rPr>
        <w:t xml:space="preserve"> and Senate initiatives</w:t>
      </w:r>
      <w:r w:rsidRPr="00177F0B">
        <w:rPr>
          <w:rFonts w:ascii="Calibri" w:eastAsia="Times New Roman" w:hAnsi="Calibri" w:cs="Calibri"/>
          <w:color w:val="000000"/>
          <w:lang w:val="en-GB" w:eastAsia="cs-CZ"/>
        </w:rPr>
        <w:t xml:space="preserve"> such as is </w:t>
      </w:r>
      <w:r>
        <w:rPr>
          <w:rFonts w:ascii="Calibri" w:eastAsia="Times New Roman" w:hAnsi="Calibri" w:cs="Calibri"/>
          <w:color w:val="000000"/>
          <w:lang w:val="en-GB" w:eastAsia="cs-CZ"/>
        </w:rPr>
        <w:t>applied</w:t>
      </w:r>
      <w:r w:rsidRPr="00177F0B">
        <w:rPr>
          <w:rFonts w:ascii="Calibri" w:eastAsia="Times New Roman" w:hAnsi="Calibri" w:cs="Calibri"/>
          <w:color w:val="000000"/>
          <w:lang w:val="en-GB" w:eastAsia="cs-CZ"/>
        </w:rPr>
        <w:t xml:space="preserve"> to the government's proposals.</w:t>
      </w:r>
    </w:p>
    <w:p w:rsidR="00C8311B" w:rsidRPr="00177F0B" w:rsidRDefault="00C8311B" w:rsidP="00C8311B">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Recodification of civil procedural law</w:t>
      </w:r>
    </w:p>
    <w:p w:rsidR="00C04F16" w:rsidRPr="007A1B09" w:rsidRDefault="00C8311B" w:rsidP="00C8311B">
      <w:pPr>
        <w:rPr>
          <w:lang w:val="en-GB"/>
        </w:rPr>
      </w:pPr>
      <w:r w:rsidRPr="00177F0B">
        <w:rPr>
          <w:rFonts w:ascii="Calibri" w:eastAsia="Times New Roman" w:hAnsi="Calibri" w:cs="Calibri"/>
          <w:color w:val="000000"/>
          <w:lang w:val="en-GB" w:eastAsia="cs-CZ"/>
        </w:rPr>
        <w:t xml:space="preserve">The Government </w:t>
      </w:r>
      <w:r>
        <w:rPr>
          <w:rFonts w:ascii="Calibri" w:eastAsia="Times New Roman" w:hAnsi="Calibri" w:cs="Calibri"/>
          <w:color w:val="000000"/>
          <w:lang w:val="en-GB" w:eastAsia="cs-CZ"/>
        </w:rPr>
        <w:t xml:space="preserve">shall prepare the </w:t>
      </w:r>
      <w:r w:rsidRPr="00177F0B">
        <w:rPr>
          <w:rFonts w:ascii="Calibri" w:eastAsia="Times New Roman" w:hAnsi="Calibri" w:cs="Calibri"/>
          <w:color w:val="000000"/>
          <w:lang w:val="en-GB" w:eastAsia="cs-CZ"/>
        </w:rPr>
        <w:t xml:space="preserve">recodification of civil procedural law that aims to significantly speed up court proceedings while guaranteeing the right to a fair trial. Acceleration should occur due to the convergence </w:t>
      </w:r>
      <w:r>
        <w:rPr>
          <w:rFonts w:ascii="Calibri" w:eastAsia="Times New Roman" w:hAnsi="Calibri" w:cs="Calibri"/>
          <w:color w:val="000000"/>
          <w:lang w:val="en-GB" w:eastAsia="cs-CZ"/>
        </w:rPr>
        <w:t>of the regulations of litigations</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executory</w:t>
      </w:r>
      <w:r w:rsidRPr="00177F0B">
        <w:rPr>
          <w:rFonts w:ascii="Calibri" w:eastAsia="Times New Roman" w:hAnsi="Calibri" w:cs="Calibri"/>
          <w:color w:val="000000"/>
          <w:lang w:val="en-GB" w:eastAsia="cs-CZ"/>
        </w:rPr>
        <w:t xml:space="preserve"> proceedings, as well as due to an overall streamlinin</w:t>
      </w:r>
      <w:r>
        <w:rPr>
          <w:rFonts w:ascii="Calibri" w:eastAsia="Times New Roman" w:hAnsi="Calibri" w:cs="Calibri"/>
          <w:color w:val="000000"/>
          <w:lang w:val="en-GB" w:eastAsia="cs-CZ"/>
        </w:rPr>
        <w:t>g of the procedural</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regulation. T</w:t>
      </w:r>
      <w:r w:rsidRPr="00177F0B">
        <w:rPr>
          <w:rFonts w:ascii="Calibri" w:eastAsia="Times New Roman" w:hAnsi="Calibri" w:cs="Calibri"/>
          <w:color w:val="000000"/>
          <w:lang w:val="en-GB" w:eastAsia="cs-CZ"/>
        </w:rPr>
        <w:t>he</w:t>
      </w:r>
      <w:r>
        <w:rPr>
          <w:rFonts w:ascii="Calibri" w:eastAsia="Times New Roman" w:hAnsi="Calibri" w:cs="Calibri"/>
          <w:color w:val="000000"/>
          <w:lang w:val="en-GB" w:eastAsia="cs-CZ"/>
        </w:rPr>
        <w:t xml:space="preserve"> main goals of the</w:t>
      </w:r>
      <w:r w:rsidRPr="00177F0B">
        <w:rPr>
          <w:rFonts w:ascii="Calibri" w:eastAsia="Times New Roman" w:hAnsi="Calibri" w:cs="Calibri"/>
          <w:color w:val="000000"/>
          <w:lang w:val="en-GB" w:eastAsia="cs-CZ"/>
        </w:rPr>
        <w:t xml:space="preserve"> recodification should </w:t>
      </w:r>
      <w:r>
        <w:rPr>
          <w:rFonts w:ascii="Calibri" w:eastAsia="Times New Roman" w:hAnsi="Calibri" w:cs="Calibri"/>
          <w:color w:val="000000"/>
          <w:lang w:val="en-GB" w:eastAsia="cs-CZ"/>
        </w:rPr>
        <w:t xml:space="preserve">be </w:t>
      </w:r>
      <w:r w:rsidRPr="00177F0B">
        <w:rPr>
          <w:rFonts w:ascii="Calibri" w:eastAsia="Times New Roman" w:hAnsi="Calibri" w:cs="Calibri"/>
          <w:color w:val="000000"/>
          <w:lang w:val="en-GB" w:eastAsia="cs-CZ"/>
        </w:rPr>
        <w:t xml:space="preserve">to replace the existing Act No. 99/1963 Coll., The Civil Code, as amended. To this end, </w:t>
      </w:r>
      <w:r>
        <w:rPr>
          <w:rFonts w:ascii="Calibri" w:eastAsia="Times New Roman" w:hAnsi="Calibri" w:cs="Calibri"/>
          <w:color w:val="000000"/>
          <w:lang w:val="en-GB" w:eastAsia="cs-CZ"/>
        </w:rPr>
        <w:t>legislative intent of the</w:t>
      </w:r>
      <w:r w:rsidRPr="00177F0B">
        <w:rPr>
          <w:rFonts w:ascii="Calibri" w:eastAsia="Times New Roman" w:hAnsi="Calibri" w:cs="Calibri"/>
          <w:color w:val="000000"/>
          <w:lang w:val="en-GB" w:eastAsia="cs-CZ"/>
        </w:rPr>
        <w:t xml:space="preserve"> recodification of civil procedural law</w:t>
      </w:r>
      <w:r>
        <w:rPr>
          <w:rFonts w:ascii="Calibri" w:eastAsia="Times New Roman" w:hAnsi="Calibri" w:cs="Calibri"/>
          <w:color w:val="000000"/>
          <w:lang w:val="en-GB" w:eastAsia="cs-CZ"/>
        </w:rPr>
        <w:t xml:space="preserve"> shall be processed first</w:t>
      </w:r>
      <w:r w:rsidRPr="00177F0B">
        <w:rPr>
          <w:rFonts w:ascii="Calibri" w:eastAsia="Times New Roman" w:hAnsi="Calibri" w:cs="Calibri"/>
          <w:color w:val="000000"/>
          <w:lang w:val="en-GB" w:eastAsia="cs-CZ"/>
        </w:rPr>
        <w:t>.</w:t>
      </w:r>
    </w:p>
    <w:p w:rsidR="00E775E6" w:rsidRPr="007A1B09" w:rsidRDefault="00D04D6E" w:rsidP="00E775E6">
      <w:pPr>
        <w:pStyle w:val="Nadpis2"/>
        <w:numPr>
          <w:ilvl w:val="1"/>
          <w:numId w:val="4"/>
        </w:numPr>
        <w:ind w:left="851" w:hanging="851"/>
        <w:rPr>
          <w:lang w:val="en-GB"/>
        </w:rPr>
      </w:pPr>
      <w:bookmarkStart w:id="48" w:name="_Toc385946022"/>
      <w:r w:rsidRPr="00D04D6E">
        <w:rPr>
          <w:bCs/>
          <w:lang w:val="en-GB"/>
        </w:rPr>
        <w:t>The attractive business environment and infrastructure development for the Czech industry</w:t>
      </w:r>
      <w:bookmarkEnd w:id="48"/>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attractive business environment and </w:t>
      </w:r>
      <w:r>
        <w:rPr>
          <w:rFonts w:ascii="Calibri" w:eastAsia="Times New Roman" w:hAnsi="Calibri" w:cs="Calibri"/>
          <w:color w:val="000000"/>
          <w:lang w:val="en-GB" w:eastAsia="cs-CZ"/>
        </w:rPr>
        <w:t>quality</w:t>
      </w:r>
      <w:r w:rsidRPr="00177F0B">
        <w:rPr>
          <w:rFonts w:ascii="Calibri" w:eastAsia="Times New Roman" w:hAnsi="Calibri" w:cs="Calibri"/>
          <w:color w:val="000000"/>
          <w:lang w:val="en-GB" w:eastAsia="cs-CZ"/>
        </w:rPr>
        <w:t xml:space="preserve"> infrastructure are fundamental requirements of competitiveness. The government's aim is to create and improve conditions for business development in the country. The key elements </w:t>
      </w:r>
      <w:r>
        <w:rPr>
          <w:rFonts w:ascii="Calibri" w:eastAsia="Times New Roman" w:hAnsi="Calibri" w:cs="Calibri"/>
          <w:color w:val="000000"/>
          <w:lang w:val="en-GB" w:eastAsia="cs-CZ"/>
        </w:rPr>
        <w:t xml:space="preserve">are </w:t>
      </w:r>
      <w:r w:rsidRPr="00177F0B">
        <w:rPr>
          <w:rFonts w:ascii="Calibri" w:eastAsia="Times New Roman" w:hAnsi="Calibri" w:cs="Calibri"/>
          <w:color w:val="000000"/>
          <w:lang w:val="en-GB" w:eastAsia="cs-CZ"/>
        </w:rPr>
        <w:t xml:space="preserve">ensuring the quality of transport and digital infrastructure, attractive investment incentives system, balanced climate and energy policy and agricultural development taking into account the needs of the environment. Given the growing importance of SMEs in the national </w:t>
      </w:r>
      <w:r>
        <w:rPr>
          <w:rFonts w:ascii="Calibri" w:eastAsia="Times New Roman" w:hAnsi="Calibri" w:cs="Calibri"/>
          <w:color w:val="000000"/>
          <w:lang w:val="en-GB" w:eastAsia="cs-CZ"/>
        </w:rPr>
        <w:t>and</w:t>
      </w:r>
      <w:r w:rsidRPr="00177F0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lastRenderedPageBreak/>
        <w:t>global economy, special attention is paid to the development of small and medium enterprises and enhanc</w:t>
      </w:r>
      <w:r>
        <w:rPr>
          <w:rFonts w:ascii="Calibri" w:eastAsia="Times New Roman" w:hAnsi="Calibri" w:cs="Calibri"/>
          <w:color w:val="000000"/>
          <w:lang w:val="en-GB" w:eastAsia="cs-CZ"/>
        </w:rPr>
        <w:t>ement of</w:t>
      </w:r>
      <w:r w:rsidRPr="00177F0B">
        <w:rPr>
          <w:rFonts w:ascii="Calibri" w:eastAsia="Times New Roman" w:hAnsi="Calibri" w:cs="Calibri"/>
          <w:color w:val="000000"/>
          <w:lang w:val="en-GB" w:eastAsia="cs-CZ"/>
        </w:rPr>
        <w:t xml:space="preserve"> their ability to contribute to economic growth.</w:t>
      </w:r>
    </w:p>
    <w:p w:rsidR="001A66FA" w:rsidRPr="007A1B09" w:rsidRDefault="001A66FA" w:rsidP="001A66FA">
      <w:pPr>
        <w:rPr>
          <w:lang w:val="en-GB"/>
        </w:rPr>
      </w:pPr>
    </w:p>
    <w:p w:rsidR="003237CF" w:rsidRPr="007A1B09" w:rsidRDefault="00D04D6E" w:rsidP="003237CF">
      <w:pPr>
        <w:pStyle w:val="Nadpis3"/>
        <w:numPr>
          <w:ilvl w:val="2"/>
          <w:numId w:val="4"/>
        </w:numPr>
        <w:ind w:left="851" w:hanging="851"/>
        <w:rPr>
          <w:lang w:val="en-GB"/>
        </w:rPr>
      </w:pPr>
      <w:bookmarkStart w:id="49" w:name="_Toc385946023"/>
      <w:r w:rsidRPr="00D04D6E">
        <w:rPr>
          <w:bCs/>
          <w:lang w:val="en-GB"/>
        </w:rPr>
        <w:t>Improving the business environment, the development of services for business</w:t>
      </w:r>
      <w:bookmarkEnd w:id="49"/>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sees the need to create an environment that does not unnecessarily restrict the business activities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administrative barriers and inefficient regulatory barriers.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Reducing the administrative and regulatory burden on businesses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approved 53 new measures to reduce the administrative burden</w:t>
      </w:r>
      <w:r>
        <w:rPr>
          <w:rFonts w:ascii="Calibri" w:eastAsia="Times New Roman" w:hAnsi="Calibri" w:cs="Calibri"/>
          <w:color w:val="000000"/>
          <w:lang w:val="en-GB" w:eastAsia="cs-CZ"/>
        </w:rPr>
        <w:t xml:space="preserve"> within the</w:t>
      </w:r>
      <w:r w:rsidRPr="00177F0B">
        <w:rPr>
          <w:rFonts w:ascii="Calibri" w:eastAsia="Times New Roman" w:hAnsi="Calibri" w:cs="Calibri"/>
          <w:color w:val="000000"/>
          <w:lang w:val="en-GB" w:eastAsia="cs-CZ"/>
        </w:rPr>
        <w:t xml:space="preserve"> project </w:t>
      </w:r>
      <w:r w:rsidRPr="00177F0B">
        <w:rPr>
          <w:rFonts w:ascii="Calibri" w:eastAsia="Times New Roman" w:hAnsi="Calibri" w:cs="Calibri"/>
          <w:b/>
          <w:bCs/>
          <w:color w:val="000000"/>
          <w:lang w:val="en-GB" w:eastAsia="cs-CZ"/>
        </w:rPr>
        <w:t xml:space="preserve">The </w:t>
      </w:r>
      <w:r>
        <w:rPr>
          <w:rFonts w:ascii="Calibri" w:eastAsia="Times New Roman" w:hAnsi="Calibri" w:cs="Calibri"/>
          <w:b/>
          <w:bCs/>
          <w:color w:val="000000"/>
          <w:lang w:val="en-GB" w:eastAsia="cs-CZ"/>
        </w:rPr>
        <w:t>M</w:t>
      </w:r>
      <w:r w:rsidRPr="00177F0B">
        <w:rPr>
          <w:rFonts w:ascii="Calibri" w:eastAsia="Times New Roman" w:hAnsi="Calibri" w:cs="Calibri"/>
          <w:b/>
          <w:bCs/>
          <w:color w:val="000000"/>
          <w:lang w:val="en-GB" w:eastAsia="cs-CZ"/>
        </w:rPr>
        <w:t xml:space="preserve">easurement of </w:t>
      </w:r>
      <w:r>
        <w:rPr>
          <w:rFonts w:ascii="Calibri" w:eastAsia="Times New Roman" w:hAnsi="Calibri" w:cs="Calibri"/>
          <w:b/>
          <w:bCs/>
          <w:color w:val="000000"/>
          <w:lang w:val="en-GB" w:eastAsia="cs-CZ"/>
        </w:rPr>
        <w:t>A</w:t>
      </w:r>
      <w:r w:rsidRPr="00177F0B">
        <w:rPr>
          <w:rFonts w:ascii="Calibri" w:eastAsia="Times New Roman" w:hAnsi="Calibri" w:cs="Calibri"/>
          <w:b/>
          <w:bCs/>
          <w:color w:val="000000"/>
          <w:lang w:val="en-GB" w:eastAsia="cs-CZ"/>
        </w:rPr>
        <w:t xml:space="preserve">dministrative </w:t>
      </w:r>
      <w:r>
        <w:rPr>
          <w:rFonts w:ascii="Calibri" w:eastAsia="Times New Roman" w:hAnsi="Calibri" w:cs="Calibri"/>
          <w:b/>
          <w:bCs/>
          <w:color w:val="000000"/>
          <w:lang w:val="en-GB" w:eastAsia="cs-CZ"/>
        </w:rPr>
        <w:t>B</w:t>
      </w:r>
      <w:r w:rsidRPr="00177F0B">
        <w:rPr>
          <w:rFonts w:ascii="Calibri" w:eastAsia="Times New Roman" w:hAnsi="Calibri" w:cs="Calibri"/>
          <w:b/>
          <w:bCs/>
          <w:color w:val="000000"/>
          <w:lang w:val="en-GB" w:eastAsia="cs-CZ"/>
        </w:rPr>
        <w:t>urdens</w:t>
      </w:r>
      <w:r w:rsidRPr="00177F0B">
        <w:rPr>
          <w:rFonts w:ascii="Calibri" w:eastAsia="Times New Roman" w:hAnsi="Calibri" w:cs="Calibri"/>
          <w:color w:val="000000"/>
          <w:lang w:val="en-GB" w:eastAsia="cs-CZ"/>
        </w:rPr>
        <w:t xml:space="preserve"> and in combination with the outputs from the implementation of the Plan of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 xml:space="preserve">educing the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dministrative </w:t>
      </w:r>
      <w:r>
        <w:rPr>
          <w:rFonts w:ascii="Calibri" w:eastAsia="Times New Roman" w:hAnsi="Calibri" w:cs="Calibri"/>
          <w:color w:val="000000"/>
          <w:lang w:val="en-GB" w:eastAsia="cs-CZ"/>
        </w:rPr>
        <w:t>B</w:t>
      </w:r>
      <w:r w:rsidRPr="00177F0B">
        <w:rPr>
          <w:rFonts w:ascii="Calibri" w:eastAsia="Times New Roman" w:hAnsi="Calibri" w:cs="Calibri"/>
          <w:color w:val="000000"/>
          <w:lang w:val="en-GB" w:eastAsia="cs-CZ"/>
        </w:rPr>
        <w:t xml:space="preserve">urden on </w:t>
      </w:r>
      <w:r>
        <w:rPr>
          <w:rFonts w:ascii="Calibri" w:eastAsia="Times New Roman" w:hAnsi="Calibri" w:cs="Calibri"/>
          <w:color w:val="000000"/>
          <w:lang w:val="en-GB" w:eastAsia="cs-CZ"/>
        </w:rPr>
        <w:t>Businesses, which will start to be implemented in</w:t>
      </w:r>
      <w:r w:rsidRPr="00177F0B">
        <w:rPr>
          <w:rFonts w:ascii="Calibri" w:eastAsia="Times New Roman" w:hAnsi="Calibri" w:cs="Calibri"/>
          <w:color w:val="000000"/>
          <w:lang w:val="en-GB" w:eastAsia="cs-CZ"/>
        </w:rPr>
        <w:t xml:space="preserve"> 2014.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lso set</w:t>
      </w:r>
      <w:r>
        <w:rPr>
          <w:rFonts w:ascii="Calibri" w:eastAsia="Times New Roman" w:hAnsi="Calibri" w:cs="Calibri"/>
          <w:color w:val="000000"/>
          <w:lang w:val="en-GB" w:eastAsia="cs-CZ"/>
        </w:rPr>
        <w:t xml:space="preserve"> were the</w:t>
      </w:r>
      <w:r w:rsidRPr="00177F0B">
        <w:rPr>
          <w:rFonts w:ascii="Calibri" w:eastAsia="Times New Roman" w:hAnsi="Calibri" w:cs="Calibri"/>
          <w:color w:val="000000"/>
          <w:lang w:val="en-GB" w:eastAsia="cs-CZ"/>
        </w:rPr>
        <w:t xml:space="preserve"> long-term goals, which include the removal of a total of 60 measures by 2015, and the implementation of further </w:t>
      </w:r>
      <w:r>
        <w:rPr>
          <w:rFonts w:ascii="Calibri" w:eastAsia="Times New Roman" w:hAnsi="Calibri" w:cs="Calibri"/>
          <w:color w:val="000000"/>
          <w:lang w:val="en-GB" w:eastAsia="cs-CZ"/>
        </w:rPr>
        <w:t>measurement of</w:t>
      </w:r>
      <w:r w:rsidRPr="00177F0B">
        <w:rPr>
          <w:rFonts w:ascii="Calibri" w:eastAsia="Times New Roman" w:hAnsi="Calibri" w:cs="Calibri"/>
          <w:color w:val="000000"/>
          <w:lang w:val="en-GB" w:eastAsia="cs-CZ"/>
        </w:rPr>
        <w:t xml:space="preserve"> the administrative burden on businesses in 2016, which will assess progress </w:t>
      </w:r>
      <w:r>
        <w:rPr>
          <w:rFonts w:ascii="Calibri" w:eastAsia="Times New Roman" w:hAnsi="Calibri" w:cs="Calibri"/>
          <w:color w:val="000000"/>
          <w:lang w:val="en-GB" w:eastAsia="cs-CZ"/>
        </w:rPr>
        <w:t>in comparison to</w:t>
      </w:r>
      <w:r w:rsidRPr="00177F0B">
        <w:rPr>
          <w:rFonts w:ascii="Calibri" w:eastAsia="Times New Roman" w:hAnsi="Calibri" w:cs="Calibri"/>
          <w:color w:val="000000"/>
          <w:lang w:val="en-GB" w:eastAsia="cs-CZ"/>
        </w:rPr>
        <w:t xml:space="preserve"> 2012.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government also prepared </w:t>
      </w:r>
      <w:r w:rsidRPr="00177F0B">
        <w:rPr>
          <w:rFonts w:ascii="Calibri" w:eastAsia="Times New Roman" w:hAnsi="Calibri" w:cs="Calibri"/>
          <w:b/>
          <w:bCs/>
          <w:color w:val="000000"/>
          <w:lang w:val="en-GB" w:eastAsia="cs-CZ"/>
        </w:rPr>
        <w:t>an amendment to the Trade</w:t>
      </w:r>
      <w:r>
        <w:rPr>
          <w:rFonts w:ascii="Calibri" w:eastAsia="Times New Roman" w:hAnsi="Calibri" w:cs="Calibri"/>
          <w:b/>
          <w:bCs/>
          <w:color w:val="000000"/>
          <w:lang w:val="en-GB" w:eastAsia="cs-CZ"/>
        </w:rPr>
        <w:t>s Licensing</w:t>
      </w:r>
      <w:r w:rsidRPr="00177F0B">
        <w:rPr>
          <w:rFonts w:ascii="Calibri" w:eastAsia="Times New Roman" w:hAnsi="Calibri" w:cs="Calibri"/>
          <w:b/>
          <w:bCs/>
          <w:color w:val="000000"/>
          <w:lang w:val="en-GB" w:eastAsia="cs-CZ"/>
        </w:rPr>
        <w:t xml:space="preserve"> Act</w:t>
      </w:r>
      <w:r w:rsidRPr="00177F0B">
        <w:rPr>
          <w:rFonts w:ascii="Calibri" w:eastAsia="Times New Roman" w:hAnsi="Calibri" w:cs="Calibri"/>
          <w:color w:val="000000"/>
          <w:lang w:val="en-GB" w:eastAsia="cs-CZ"/>
        </w:rPr>
        <w:t xml:space="preserve">, which proposes to abolish the obligation for entrepreneurs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repeatedly demonstrate</w:t>
      </w:r>
      <w:r w:rsidRPr="00D46F06">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documents</w:t>
      </w:r>
      <w:r>
        <w:rPr>
          <w:rFonts w:ascii="Calibri" w:eastAsia="Times New Roman" w:hAnsi="Calibri" w:cs="Calibri"/>
          <w:color w:val="000000"/>
          <w:lang w:val="en-GB" w:eastAsia="cs-CZ"/>
        </w:rPr>
        <w:t xml:space="preserve"> to the</w:t>
      </w:r>
      <w:r w:rsidRPr="00177F0B">
        <w:rPr>
          <w:rFonts w:ascii="Calibri" w:eastAsia="Times New Roman" w:hAnsi="Calibri" w:cs="Calibri"/>
          <w:color w:val="000000"/>
          <w:lang w:val="en-GB" w:eastAsia="cs-CZ"/>
        </w:rPr>
        <w:t xml:space="preserve"> municipal trade licensing office</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which have been </w:t>
      </w:r>
      <w:r>
        <w:rPr>
          <w:rFonts w:ascii="Calibri" w:eastAsia="Times New Roman" w:hAnsi="Calibri" w:cs="Calibri"/>
          <w:color w:val="000000"/>
          <w:lang w:val="en-GB" w:eastAsia="cs-CZ"/>
        </w:rPr>
        <w:t>already submitted to</w:t>
      </w:r>
      <w:r w:rsidRPr="00177F0B">
        <w:rPr>
          <w:rFonts w:ascii="Calibri" w:eastAsia="Times New Roman" w:hAnsi="Calibri" w:cs="Calibri"/>
          <w:color w:val="000000"/>
          <w:lang w:val="en-GB" w:eastAsia="cs-CZ"/>
        </w:rPr>
        <w:t xml:space="preserve"> any Licensin</w:t>
      </w:r>
      <w:r>
        <w:rPr>
          <w:rFonts w:ascii="Calibri" w:eastAsia="Times New Roman" w:hAnsi="Calibri" w:cs="Calibri"/>
          <w:color w:val="000000"/>
          <w:lang w:val="en-GB" w:eastAsia="cs-CZ"/>
        </w:rPr>
        <w:t>g Office and remained unchanged</w:t>
      </w:r>
      <w:r w:rsidRPr="00177F0B">
        <w:rPr>
          <w:rFonts w:ascii="Calibri" w:eastAsia="Times New Roman" w:hAnsi="Calibri" w:cs="Calibri"/>
          <w:color w:val="000000"/>
          <w:lang w:val="en-GB" w:eastAsia="cs-CZ"/>
        </w:rPr>
        <w:t>. The amendment is now pending before the Chamber of Deputies.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Eco-audit</w:t>
      </w:r>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Still continuing a</w:t>
      </w:r>
      <w:r w:rsidRPr="00177F0B">
        <w:rPr>
          <w:rFonts w:ascii="Calibri" w:eastAsia="Times New Roman" w:hAnsi="Calibri" w:cs="Calibri"/>
          <w:color w:val="000000"/>
          <w:lang w:val="en-GB" w:eastAsia="cs-CZ"/>
        </w:rPr>
        <w:t>s</w:t>
      </w:r>
      <w:r>
        <w:rPr>
          <w:rFonts w:ascii="Calibri" w:eastAsia="Times New Roman" w:hAnsi="Calibri" w:cs="Calibri"/>
          <w:color w:val="000000"/>
          <w:lang w:val="en-GB" w:eastAsia="cs-CZ"/>
        </w:rPr>
        <w:t xml:space="preserve"> a</w:t>
      </w:r>
      <w:r w:rsidRPr="00177F0B">
        <w:rPr>
          <w:rFonts w:ascii="Calibri" w:eastAsia="Times New Roman" w:hAnsi="Calibri" w:cs="Calibri"/>
          <w:color w:val="000000"/>
          <w:lang w:val="en-GB" w:eastAsia="cs-CZ"/>
        </w:rPr>
        <w:t xml:space="preserve"> part of measures to remove regulatory burden on business</w:t>
      </w:r>
      <w:r>
        <w:rPr>
          <w:rFonts w:ascii="Calibri" w:eastAsia="Times New Roman" w:hAnsi="Calibri" w:cs="Calibri"/>
          <w:color w:val="000000"/>
          <w:lang w:val="en-GB" w:eastAsia="cs-CZ"/>
        </w:rPr>
        <w:t>es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is the</w:t>
      </w:r>
      <w:r w:rsidRPr="00177F0B">
        <w:rPr>
          <w:rFonts w:ascii="Calibri" w:eastAsia="Times New Roman" w:hAnsi="Calibri" w:cs="Calibri"/>
          <w:color w:val="000000"/>
          <w:lang w:val="en-GB" w:eastAsia="cs-CZ"/>
        </w:rPr>
        <w:t xml:space="preserve"> project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the</w:t>
      </w:r>
      <w:r>
        <w:rPr>
          <w:rFonts w:ascii="Calibri" w:eastAsia="Times New Roman" w:hAnsi="Calibri" w:cs="Calibri"/>
          <w:color w:val="000000"/>
          <w:lang w:val="en-GB" w:eastAsia="cs-CZ"/>
        </w:rPr>
        <w:t xml:space="preserve"> so-called</w:t>
      </w:r>
      <w:r w:rsidRPr="00177F0B">
        <w:rPr>
          <w:rFonts w:ascii="Calibri" w:eastAsia="Times New Roman" w:hAnsi="Calibri" w:cs="Calibri"/>
          <w:color w:val="000000"/>
          <w:lang w:val="en-GB" w:eastAsia="cs-CZ"/>
        </w:rPr>
        <w:t xml:space="preserve"> eco-audit, which aims to reduce unnecessary administrative and financial burden of enterprises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in environmental legislation. The government approved the measures proposed under the previous stage of eco-audit and imposed their </w:t>
      </w:r>
      <w:r>
        <w:rPr>
          <w:rFonts w:ascii="Calibri" w:eastAsia="Times New Roman" w:hAnsi="Calibri" w:cs="Calibri"/>
          <w:color w:val="000000"/>
          <w:lang w:val="en-GB" w:eastAsia="cs-CZ"/>
        </w:rPr>
        <w:t>fulfilment</w:t>
      </w:r>
      <w:r w:rsidRPr="00177F0B">
        <w:rPr>
          <w:rFonts w:ascii="Calibri" w:eastAsia="Times New Roman" w:hAnsi="Calibri" w:cs="Calibri"/>
          <w:color w:val="000000"/>
          <w:lang w:val="en-GB" w:eastAsia="cs-CZ"/>
        </w:rPr>
        <w:t xml:space="preserve"> in the period ending</w:t>
      </w:r>
      <w:r>
        <w:rPr>
          <w:rFonts w:ascii="Calibri" w:eastAsia="Times New Roman" w:hAnsi="Calibri" w:cs="Calibri"/>
          <w:color w:val="000000"/>
          <w:lang w:val="en-GB" w:eastAsia="cs-CZ"/>
        </w:rPr>
        <w:t xml:space="preserve"> on 31</w:t>
      </w:r>
      <w:r w:rsidRPr="001D5D98">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December  2014</w:t>
      </w:r>
      <w:r w:rsidRPr="00177F0B">
        <w:rPr>
          <w:rFonts w:ascii="Calibri" w:eastAsia="Times New Roman" w:hAnsi="Calibri" w:cs="Calibri"/>
          <w:color w:val="000000"/>
          <w:lang w:val="en-GB" w:eastAsia="cs-CZ"/>
        </w:rPr>
        <w:t xml:space="preserve"> by an amendment to the relevant legislation in the field of the environment, while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solving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some tasks</w:t>
      </w:r>
      <w:r>
        <w:rPr>
          <w:rFonts w:ascii="Calibri" w:eastAsia="Times New Roman" w:hAnsi="Calibri" w:cs="Calibri"/>
          <w:color w:val="000000"/>
          <w:lang w:val="en-GB" w:eastAsia="cs-CZ"/>
        </w:rPr>
        <w:t xml:space="preserve"> is still on-going</w:t>
      </w:r>
      <w:r w:rsidRPr="00177F0B">
        <w:rPr>
          <w:rFonts w:ascii="Calibri" w:eastAsia="Times New Roman" w:hAnsi="Calibri" w:cs="Calibri"/>
          <w:color w:val="000000"/>
          <w:lang w:val="en-GB" w:eastAsia="cs-CZ"/>
        </w:rPr>
        <w:t>. During the second half of 2013 additional screening</w:t>
      </w:r>
      <w:r>
        <w:rPr>
          <w:rFonts w:ascii="Calibri" w:eastAsia="Times New Roman" w:hAnsi="Calibri" w:cs="Calibri"/>
          <w:color w:val="000000"/>
          <w:lang w:val="en-GB" w:eastAsia="cs-CZ"/>
        </w:rPr>
        <w:t xml:space="preserve"> of Czech</w:t>
      </w:r>
      <w:r w:rsidRPr="00177F0B">
        <w:rPr>
          <w:rFonts w:ascii="Calibri" w:eastAsia="Times New Roman" w:hAnsi="Calibri" w:cs="Calibri"/>
          <w:color w:val="000000"/>
          <w:lang w:val="en-GB" w:eastAsia="cs-CZ"/>
        </w:rPr>
        <w:t xml:space="preserve"> laws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Environment</w:t>
      </w:r>
      <w:r>
        <w:rPr>
          <w:rFonts w:ascii="Calibri" w:eastAsia="Times New Roman" w:hAnsi="Calibri" w:cs="Calibri"/>
          <w:color w:val="000000"/>
          <w:lang w:val="en-GB" w:eastAsia="cs-CZ"/>
        </w:rPr>
        <w:t xml:space="preserve"> was conducted</w:t>
      </w:r>
      <w:r w:rsidRPr="00177F0B">
        <w:rPr>
          <w:rFonts w:ascii="Calibri" w:eastAsia="Times New Roman" w:hAnsi="Calibri" w:cs="Calibri"/>
          <w:color w:val="000000"/>
          <w:lang w:val="en-GB" w:eastAsia="cs-CZ"/>
        </w:rPr>
        <w:t xml:space="preserve"> in collaboration with the business community.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speci</w:t>
      </w:r>
      <w:r>
        <w:rPr>
          <w:rFonts w:ascii="Calibri" w:eastAsia="Times New Roman" w:hAnsi="Calibri" w:cs="Calibri"/>
          <w:color w:val="000000"/>
          <w:lang w:val="en-GB" w:eastAsia="cs-CZ"/>
        </w:rPr>
        <w:t>fic proposals</w:t>
      </w:r>
      <w:r w:rsidRPr="00177F0B">
        <w:rPr>
          <w:rFonts w:ascii="Calibri" w:eastAsia="Times New Roman" w:hAnsi="Calibri" w:cs="Calibri"/>
          <w:color w:val="000000"/>
          <w:lang w:val="en-GB" w:eastAsia="cs-CZ"/>
        </w:rPr>
        <w:t xml:space="preserve"> to amend the legislation were collectively developed and negotiations</w:t>
      </w:r>
      <w:r>
        <w:rPr>
          <w:rFonts w:ascii="Calibri" w:eastAsia="Times New Roman" w:hAnsi="Calibri" w:cs="Calibri"/>
          <w:color w:val="000000"/>
          <w:lang w:val="en-GB" w:eastAsia="cs-CZ"/>
        </w:rPr>
        <w:t xml:space="preserve"> are now underway</w:t>
      </w:r>
      <w:r w:rsidRPr="00177F0B">
        <w:rPr>
          <w:rFonts w:ascii="Calibri" w:eastAsia="Times New Roman" w:hAnsi="Calibri" w:cs="Calibri"/>
          <w:color w:val="000000"/>
          <w:lang w:val="en-GB" w:eastAsia="cs-CZ"/>
        </w:rPr>
        <w:t xml:space="preserve"> at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ministerial level </w:t>
      </w:r>
      <w:r>
        <w:rPr>
          <w:rFonts w:ascii="Calibri" w:eastAsia="Times New Roman" w:hAnsi="Calibri" w:cs="Calibri"/>
          <w:color w:val="000000"/>
          <w:lang w:val="en-GB" w:eastAsia="cs-CZ"/>
        </w:rPr>
        <w:t>on the</w:t>
      </w:r>
      <w:r w:rsidRPr="00177F0B">
        <w:rPr>
          <w:rFonts w:ascii="Calibri" w:eastAsia="Times New Roman" w:hAnsi="Calibri" w:cs="Calibri"/>
          <w:color w:val="000000"/>
          <w:lang w:val="en-GB" w:eastAsia="cs-CZ"/>
        </w:rPr>
        <w:t xml:space="preserve"> relevance and ways of dealing with such </w:t>
      </w:r>
      <w:r>
        <w:rPr>
          <w:rFonts w:ascii="Calibri" w:eastAsia="Times New Roman" w:hAnsi="Calibri" w:cs="Calibri"/>
          <w:color w:val="000000"/>
          <w:lang w:val="en-GB" w:eastAsia="cs-CZ"/>
        </w:rPr>
        <w:t>motions</w:t>
      </w:r>
      <w:r w:rsidRPr="00177F0B">
        <w:rPr>
          <w:rFonts w:ascii="Calibri" w:eastAsia="Times New Roman" w:hAnsi="Calibri" w:cs="Calibri"/>
          <w:color w:val="000000"/>
          <w:lang w:val="en-GB" w:eastAsia="cs-CZ"/>
        </w:rPr>
        <w:t>. The resulting material will be submitted to the Government by the end of 2014.</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Uniform efficiency</w:t>
      </w:r>
      <w:r w:rsidRPr="001D5D98">
        <w:rPr>
          <w:rFonts w:ascii="Cambria" w:eastAsia="Times New Roman" w:hAnsi="Cambria" w:cs="Times New Roman"/>
          <w:b/>
          <w:bCs/>
          <w:i/>
          <w:iCs/>
          <w:color w:val="D41616"/>
          <w:lang w:val="en-GB" w:eastAsia="cs-CZ"/>
        </w:rPr>
        <w:t xml:space="preserve"> </w:t>
      </w:r>
      <w:r w:rsidRPr="00177F0B">
        <w:rPr>
          <w:rFonts w:ascii="Cambria" w:eastAsia="Times New Roman" w:hAnsi="Cambria" w:cs="Times New Roman"/>
          <w:b/>
          <w:bCs/>
          <w:i/>
          <w:iCs/>
          <w:color w:val="D41616"/>
          <w:lang w:val="en-GB" w:eastAsia="cs-CZ"/>
        </w:rPr>
        <w:t>data</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Application of uniform efficacy data will mean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reduc</w:t>
      </w:r>
      <w:r>
        <w:rPr>
          <w:rFonts w:ascii="Calibri" w:eastAsia="Times New Roman" w:hAnsi="Calibri" w:cs="Calibri"/>
          <w:color w:val="000000"/>
          <w:lang w:val="en-GB" w:eastAsia="cs-CZ"/>
        </w:rPr>
        <w:t>tion of the entrepreneurs’ burden</w:t>
      </w:r>
      <w:r w:rsidRPr="00177F0B">
        <w:rPr>
          <w:rFonts w:ascii="Calibri" w:eastAsia="Times New Roman" w:hAnsi="Calibri" w:cs="Calibri"/>
          <w:color w:val="000000"/>
          <w:lang w:val="en-GB" w:eastAsia="cs-CZ"/>
        </w:rPr>
        <w:t xml:space="preserve"> by means of concentrati</w:t>
      </w:r>
      <w:r>
        <w:rPr>
          <w:rFonts w:ascii="Calibri" w:eastAsia="Times New Roman" w:hAnsi="Calibri" w:cs="Calibri"/>
          <w:color w:val="000000"/>
          <w:lang w:val="en-GB" w:eastAsia="cs-CZ"/>
        </w:rPr>
        <w:t xml:space="preserve">ng </w:t>
      </w:r>
      <w:r w:rsidRPr="00177F0B">
        <w:rPr>
          <w:rFonts w:ascii="Calibri" w:eastAsia="Times New Roman" w:hAnsi="Calibri" w:cs="Calibri"/>
          <w:color w:val="000000"/>
          <w:lang w:val="en-GB" w:eastAsia="cs-CZ"/>
        </w:rPr>
        <w:t>legislation that ha</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 xml:space="preserve">an impact on the business </w:t>
      </w:r>
      <w:r>
        <w:rPr>
          <w:rFonts w:ascii="Calibri" w:eastAsia="Times New Roman" w:hAnsi="Calibri" w:cs="Calibri"/>
          <w:color w:val="000000"/>
          <w:lang w:val="en-GB" w:eastAsia="cs-CZ"/>
        </w:rPr>
        <w:t>sector</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into two terms – </w:t>
      </w:r>
      <w:r w:rsidRPr="00177F0B">
        <w:rPr>
          <w:rFonts w:ascii="Calibri" w:eastAsia="Times New Roman" w:hAnsi="Calibri" w:cs="Calibri"/>
          <w:color w:val="000000"/>
          <w:lang w:val="en-GB" w:eastAsia="cs-CZ"/>
        </w:rPr>
        <w:t>1</w:t>
      </w:r>
      <w:r w:rsidRPr="001D5D98">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January</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1</w:t>
      </w:r>
      <w:r w:rsidRPr="001D5D98">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July</w:t>
      </w:r>
      <w:r w:rsidRPr="00177F0B">
        <w:rPr>
          <w:rFonts w:ascii="Calibri" w:eastAsia="Times New Roman" w:hAnsi="Calibri" w:cs="Calibri"/>
          <w:color w:val="000000"/>
          <w:lang w:val="en-GB" w:eastAsia="cs-CZ"/>
        </w:rPr>
        <w:t>. The introduction of uniform effic</w:t>
      </w:r>
      <w:r>
        <w:rPr>
          <w:rFonts w:ascii="Calibri" w:eastAsia="Times New Roman" w:hAnsi="Calibri" w:cs="Calibri"/>
          <w:color w:val="000000"/>
          <w:lang w:val="en-GB" w:eastAsia="cs-CZ"/>
        </w:rPr>
        <w:t>iency</w:t>
      </w:r>
      <w:r w:rsidRPr="00177F0B">
        <w:rPr>
          <w:rFonts w:ascii="Calibri" w:eastAsia="Times New Roman" w:hAnsi="Calibri" w:cs="Calibri"/>
          <w:color w:val="000000"/>
          <w:lang w:val="en-GB" w:eastAsia="cs-CZ"/>
        </w:rPr>
        <w:t xml:space="preserve"> data will be included in the form of recommendations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the Legislative Rules of the Government in the next amendment.</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Awareness of the business community</w:t>
      </w:r>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The government will continue its</w:t>
      </w:r>
      <w:r w:rsidRPr="00177F0B">
        <w:rPr>
          <w:rFonts w:ascii="Calibri" w:eastAsia="Times New Roman" w:hAnsi="Calibri" w:cs="Calibri"/>
          <w:color w:val="000000"/>
          <w:lang w:val="en-GB" w:eastAsia="cs-CZ"/>
        </w:rPr>
        <w:t xml:space="preserve"> activities that increase awareness of the instruments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integrated services for entrepreneurs, </w:t>
      </w:r>
      <w:r>
        <w:rPr>
          <w:rFonts w:ascii="Calibri" w:eastAsia="Times New Roman" w:hAnsi="Calibri" w:cs="Calibri"/>
          <w:color w:val="000000"/>
          <w:lang w:val="en-GB" w:eastAsia="cs-CZ"/>
        </w:rPr>
        <w:t>i.e.</w:t>
      </w:r>
      <w:r w:rsidRPr="00177F0B">
        <w:rPr>
          <w:rFonts w:ascii="Calibri" w:eastAsia="Times New Roman" w:hAnsi="Calibri" w:cs="Calibri"/>
          <w:color w:val="000000"/>
          <w:lang w:val="en-GB" w:eastAsia="cs-CZ"/>
        </w:rPr>
        <w:t xml:space="preserve"> Points of Single Contact (PSC), </w:t>
      </w:r>
      <w:proofErr w:type="spellStart"/>
      <w:r w:rsidRPr="00177F0B">
        <w:rPr>
          <w:rFonts w:ascii="Calibri" w:eastAsia="Times New Roman" w:hAnsi="Calibri" w:cs="Calibri"/>
          <w:color w:val="000000"/>
          <w:lang w:val="en-GB" w:eastAsia="cs-CZ"/>
        </w:rPr>
        <w:t>ProCoP</w:t>
      </w:r>
      <w:proofErr w:type="spellEnd"/>
      <w:r w:rsidRPr="00177F0B">
        <w:rPr>
          <w:rFonts w:ascii="Calibri" w:eastAsia="Times New Roman" w:hAnsi="Calibri" w:cs="Calibri"/>
          <w:color w:val="000000"/>
          <w:lang w:val="en-GB" w:eastAsia="cs-CZ"/>
        </w:rPr>
        <w:t xml:space="preserve"> and SOLVIT, </w:t>
      </w:r>
      <w:r>
        <w:rPr>
          <w:rFonts w:ascii="Calibri" w:eastAsia="Times New Roman" w:hAnsi="Calibri" w:cs="Calibri"/>
          <w:color w:val="000000"/>
          <w:lang w:val="en-GB" w:eastAsia="cs-CZ"/>
        </w:rPr>
        <w:t>among</w:t>
      </w:r>
      <w:r w:rsidRPr="00177F0B">
        <w:rPr>
          <w:rFonts w:ascii="Calibri" w:eastAsia="Times New Roman" w:hAnsi="Calibri" w:cs="Calibri"/>
          <w:color w:val="000000"/>
          <w:lang w:val="en-GB" w:eastAsia="cs-CZ"/>
        </w:rPr>
        <w:t xml:space="preserve"> Czech businessmen and citizens. In addition to the information activities </w:t>
      </w:r>
      <w:r>
        <w:rPr>
          <w:rFonts w:ascii="Calibri" w:eastAsia="Times New Roman" w:hAnsi="Calibri" w:cs="Calibri"/>
          <w:color w:val="000000"/>
          <w:lang w:val="en-GB" w:eastAsia="cs-CZ"/>
        </w:rPr>
        <w:t>aimed at</w:t>
      </w:r>
      <w:r w:rsidRPr="00177F0B">
        <w:rPr>
          <w:rFonts w:ascii="Calibri" w:eastAsia="Times New Roman" w:hAnsi="Calibri" w:cs="Calibri"/>
          <w:color w:val="000000"/>
          <w:lang w:val="en-GB" w:eastAsia="cs-CZ"/>
        </w:rPr>
        <w:t xml:space="preserve"> stakeholders and the wider public </w:t>
      </w:r>
      <w:r>
        <w:rPr>
          <w:rFonts w:ascii="Calibri" w:eastAsia="Times New Roman" w:hAnsi="Calibri" w:cs="Calibri"/>
          <w:color w:val="000000"/>
          <w:lang w:val="en-GB" w:eastAsia="cs-CZ"/>
        </w:rPr>
        <w:t xml:space="preserve">the government </w:t>
      </w:r>
      <w:r w:rsidRPr="00177F0B">
        <w:rPr>
          <w:rFonts w:ascii="Calibri" w:eastAsia="Times New Roman" w:hAnsi="Calibri" w:cs="Calibri"/>
          <w:color w:val="000000"/>
          <w:lang w:val="en-GB" w:eastAsia="cs-CZ"/>
        </w:rPr>
        <w:t xml:space="preserve">will focus on the development and improvement of these </w:t>
      </w:r>
      <w:r>
        <w:rPr>
          <w:rFonts w:ascii="Calibri" w:eastAsia="Times New Roman" w:hAnsi="Calibri" w:cs="Calibri"/>
          <w:color w:val="000000"/>
          <w:lang w:val="en-GB" w:eastAsia="cs-CZ"/>
        </w:rPr>
        <w:t>services (2</w:t>
      </w:r>
      <w:r w:rsidRPr="008F2365">
        <w:rPr>
          <w:rFonts w:ascii="Calibri" w:eastAsia="Times New Roman" w:hAnsi="Calibri" w:cs="Calibri"/>
          <w:color w:val="000000"/>
          <w:vertAlign w:val="superscript"/>
          <w:lang w:val="en-GB" w:eastAsia="cs-CZ"/>
        </w:rPr>
        <w:t>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generation</w:t>
      </w:r>
      <w:r>
        <w:rPr>
          <w:rFonts w:ascii="Calibri" w:eastAsia="Times New Roman" w:hAnsi="Calibri" w:cs="Calibri"/>
          <w:color w:val="000000"/>
          <w:lang w:val="en-GB" w:eastAsia="cs-CZ"/>
        </w:rPr>
        <w:t xml:space="preserve"> PSC</w:t>
      </w:r>
      <w:r w:rsidRPr="00177F0B">
        <w:rPr>
          <w:rFonts w:ascii="Calibri" w:eastAsia="Times New Roman" w:hAnsi="Calibri" w:cs="Calibri"/>
          <w:color w:val="000000"/>
          <w:lang w:val="en-GB" w:eastAsia="cs-CZ"/>
        </w:rPr>
        <w:t>) and enhancing their user-friendliness. </w:t>
      </w:r>
      <w:r>
        <w:rPr>
          <w:rFonts w:ascii="Calibri" w:eastAsia="Times New Roman" w:hAnsi="Calibri" w:cs="Calibri"/>
          <w:color w:val="000000"/>
          <w:lang w:val="en-GB" w:eastAsia="cs-CZ"/>
        </w:rPr>
        <w:t>The government w</w:t>
      </w:r>
      <w:r w:rsidRPr="00177F0B">
        <w:rPr>
          <w:rFonts w:ascii="Calibri" w:eastAsia="Times New Roman" w:hAnsi="Calibri" w:cs="Calibri"/>
          <w:color w:val="000000"/>
          <w:lang w:val="en-GB" w:eastAsia="cs-CZ"/>
        </w:rPr>
        <w:t xml:space="preserve">ill also continue in the information activities on the business server Businessinfo.cz, within which it will develop further services such as virtual </w:t>
      </w:r>
      <w:r>
        <w:rPr>
          <w:rFonts w:ascii="Calibri" w:eastAsia="Times New Roman" w:hAnsi="Calibri" w:cs="Calibri"/>
          <w:color w:val="000000"/>
          <w:lang w:val="en-GB" w:eastAsia="cs-CZ"/>
        </w:rPr>
        <w:t>PSC,</w:t>
      </w:r>
      <w:r w:rsidRPr="00177F0B">
        <w:rPr>
          <w:rFonts w:ascii="Calibri" w:eastAsia="Times New Roman" w:hAnsi="Calibri" w:cs="Calibri"/>
          <w:color w:val="000000"/>
          <w:lang w:val="en-GB" w:eastAsia="cs-CZ"/>
        </w:rPr>
        <w:t xml:space="preserve"> inform</w:t>
      </w:r>
      <w:r>
        <w:rPr>
          <w:rFonts w:ascii="Calibri" w:eastAsia="Times New Roman" w:hAnsi="Calibri" w:cs="Calibri"/>
          <w:color w:val="000000"/>
          <w:lang w:val="en-GB" w:eastAsia="cs-CZ"/>
        </w:rPr>
        <w:t xml:space="preserve"> entrepreneurs</w:t>
      </w:r>
      <w:r w:rsidRPr="00177F0B">
        <w:rPr>
          <w:rFonts w:ascii="Calibri" w:eastAsia="Times New Roman" w:hAnsi="Calibri" w:cs="Calibri"/>
          <w:color w:val="000000"/>
          <w:lang w:val="en-GB" w:eastAsia="cs-CZ"/>
        </w:rPr>
        <w:t xml:space="preserve"> and citizens on current public consultation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the European Commission and inform about current events within the internal market.</w:t>
      </w:r>
    </w:p>
    <w:p w:rsidR="00F34EA6" w:rsidRPr="007A1B09" w:rsidRDefault="00D04D6E" w:rsidP="00D04D6E">
      <w:pPr>
        <w:spacing w:after="0"/>
        <w:ind w:firstLine="360"/>
        <w:jc w:val="left"/>
        <w:rPr>
          <w:lang w:val="en-GB"/>
        </w:rPr>
      </w:pPr>
      <w:r>
        <w:rPr>
          <w:lang w:val="en-GB"/>
        </w:rPr>
        <w:br w:type="page"/>
      </w:r>
    </w:p>
    <w:p w:rsidR="003237CF" w:rsidRPr="007A1B09" w:rsidRDefault="00D04D6E" w:rsidP="003237CF">
      <w:pPr>
        <w:pStyle w:val="Nadpis3"/>
        <w:numPr>
          <w:ilvl w:val="2"/>
          <w:numId w:val="4"/>
        </w:numPr>
        <w:ind w:left="851" w:hanging="851"/>
        <w:rPr>
          <w:lang w:val="en-GB"/>
        </w:rPr>
      </w:pPr>
      <w:bookmarkStart w:id="50" w:name="_Toc385946024"/>
      <w:r w:rsidRPr="00D04D6E">
        <w:rPr>
          <w:bCs/>
          <w:lang w:val="en-GB"/>
        </w:rPr>
        <w:lastRenderedPageBreak/>
        <w:t>Industrial policy</w:t>
      </w:r>
      <w:bookmarkEnd w:id="50"/>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Industry accounts for a significant part of the Czech economy and the government's goal is to create attractive conditions for Czech and foreign investors and encourage them to </w:t>
      </w:r>
      <w:r>
        <w:rPr>
          <w:rFonts w:ascii="Calibri" w:eastAsia="Times New Roman" w:hAnsi="Calibri" w:cs="Calibri"/>
          <w:color w:val="000000"/>
          <w:lang w:val="en-GB" w:eastAsia="cs-CZ"/>
        </w:rPr>
        <w:t>maintain long-term business activities and</w:t>
      </w:r>
      <w:r w:rsidRPr="00177F0B">
        <w:rPr>
          <w:rFonts w:ascii="Calibri" w:eastAsia="Times New Roman" w:hAnsi="Calibri" w:cs="Calibri"/>
          <w:color w:val="000000"/>
          <w:lang w:val="en-GB" w:eastAsia="cs-CZ"/>
        </w:rPr>
        <w:t xml:space="preserve"> to reinvest in the Czech economy. At the same time the government will stimulate the introduction of products with high added value and advanced technologies </w:t>
      </w:r>
      <w:r>
        <w:rPr>
          <w:rFonts w:ascii="Calibri" w:eastAsia="Times New Roman" w:hAnsi="Calibri" w:cs="Calibri"/>
          <w:color w:val="000000"/>
          <w:lang w:val="en-GB" w:eastAsia="cs-CZ"/>
        </w:rPr>
        <w:t>contributing to</w:t>
      </w:r>
      <w:r w:rsidRPr="00177F0B">
        <w:rPr>
          <w:rFonts w:ascii="Calibri" w:eastAsia="Times New Roman" w:hAnsi="Calibri" w:cs="Calibri"/>
          <w:color w:val="000000"/>
          <w:lang w:val="en-GB" w:eastAsia="cs-CZ"/>
        </w:rPr>
        <w:t xml:space="preserve"> the modernization and sustainability of industrial production. An important part of economic policy is to maximize economic diplomacy that will create favourable conditions for the growth of trade in foreign markets.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views positively the main message contained in the Communication from the European Commission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22</w:t>
      </w:r>
      <w:r w:rsidRPr="00993E40">
        <w:rPr>
          <w:rFonts w:ascii="Calibri" w:eastAsia="Times New Roman" w:hAnsi="Calibri" w:cs="Calibri"/>
          <w:color w:val="000000"/>
          <w:vertAlign w:val="superscript"/>
          <w:lang w:val="en-GB" w:eastAsia="cs-CZ"/>
        </w:rPr>
        <w:t>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2014 </w:t>
      </w:r>
      <w:r w:rsidRPr="00993E40">
        <w:rPr>
          <w:rFonts w:ascii="Calibri" w:eastAsia="Times New Roman" w:hAnsi="Calibri" w:cs="Calibri"/>
          <w:b/>
          <w:bCs/>
          <w:color w:val="000000"/>
          <w:lang w:val="en-GB" w:eastAsia="cs-CZ"/>
        </w:rPr>
        <w:t>For a European Industrial Renaissance</w:t>
      </w:r>
      <w:r w:rsidRPr="00177F0B">
        <w:rPr>
          <w:rFonts w:ascii="Calibri" w:eastAsia="Times New Roman" w:hAnsi="Calibri" w:cs="Calibri"/>
          <w:color w:val="000000"/>
          <w:lang w:val="en-GB" w:eastAsia="cs-CZ"/>
        </w:rPr>
        <w:t>, which is the recognition of the fundamental importance of the industry to create jobs and promote growth. EU continues to support efforts to increase the share of industry in European GDP</w:t>
      </w:r>
      <w:r>
        <w:rPr>
          <w:rFonts w:ascii="Calibri" w:eastAsia="Times New Roman" w:hAnsi="Calibri" w:cs="Calibri"/>
          <w:color w:val="000000"/>
          <w:lang w:val="en-GB" w:eastAsia="cs-CZ"/>
        </w:rPr>
        <w:t xml:space="preserve"> up to</w:t>
      </w:r>
      <w:r w:rsidRPr="00177F0B">
        <w:rPr>
          <w:rFonts w:ascii="Calibri" w:eastAsia="Times New Roman" w:hAnsi="Calibri" w:cs="Calibri"/>
          <w:color w:val="000000"/>
          <w:lang w:val="en-GB" w:eastAsia="cs-CZ"/>
        </w:rPr>
        <w:t xml:space="preserve"> 20% in 2020. From the perspective of government</w:t>
      </w:r>
      <w:r>
        <w:rPr>
          <w:rFonts w:ascii="Calibri" w:eastAsia="Times New Roman" w:hAnsi="Calibri" w:cs="Calibri"/>
          <w:color w:val="000000"/>
          <w:lang w:val="en-GB" w:eastAsia="cs-CZ"/>
        </w:rPr>
        <w:t xml:space="preserve"> it</w:t>
      </w:r>
      <w:r w:rsidRPr="00177F0B">
        <w:rPr>
          <w:rFonts w:ascii="Calibri" w:eastAsia="Times New Roman" w:hAnsi="Calibri" w:cs="Calibri"/>
          <w:color w:val="000000"/>
          <w:lang w:val="en-GB" w:eastAsia="cs-CZ"/>
        </w:rPr>
        <w:t xml:space="preserve"> is crucial </w:t>
      </w:r>
      <w:r>
        <w:rPr>
          <w:rFonts w:ascii="Calibri" w:eastAsia="Times New Roman" w:hAnsi="Calibri" w:cs="Calibri"/>
          <w:color w:val="000000"/>
          <w:lang w:val="en-GB" w:eastAsia="cs-CZ"/>
        </w:rPr>
        <w:t xml:space="preserve">that </w:t>
      </w:r>
      <w:r w:rsidRPr="00177F0B">
        <w:rPr>
          <w:rFonts w:ascii="Calibri" w:eastAsia="Times New Roman" w:hAnsi="Calibri" w:cs="Calibri"/>
          <w:color w:val="000000"/>
          <w:lang w:val="en-GB" w:eastAsia="cs-CZ"/>
        </w:rPr>
        <w:t>the</w:t>
      </w:r>
      <w:r>
        <w:rPr>
          <w:rFonts w:ascii="Calibri" w:eastAsia="Times New Roman" w:hAnsi="Calibri" w:cs="Calibri"/>
          <w:color w:val="000000"/>
          <w:lang w:val="en-GB" w:eastAsia="cs-CZ"/>
        </w:rPr>
        <w:t xml:space="preserve"> discussions on topics of the competitiveness of industry and new climate and energy</w:t>
      </w:r>
      <w:r w:rsidRPr="00177F0B">
        <w:rPr>
          <w:rFonts w:ascii="Calibri" w:eastAsia="Times New Roman" w:hAnsi="Calibri" w:cs="Calibri"/>
          <w:color w:val="000000"/>
          <w:lang w:val="en-GB" w:eastAsia="cs-CZ"/>
        </w:rPr>
        <w:t xml:space="preserve"> policy that are fundamental for the EU </w:t>
      </w:r>
      <w:r>
        <w:rPr>
          <w:rFonts w:ascii="Calibri" w:eastAsia="Times New Roman" w:hAnsi="Calibri" w:cs="Calibri"/>
          <w:color w:val="000000"/>
          <w:lang w:val="en-GB" w:eastAsia="cs-CZ"/>
        </w:rPr>
        <w:t>is interconnected</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priorit</w:t>
      </w:r>
      <w:r>
        <w:rPr>
          <w:rFonts w:ascii="Calibri" w:eastAsia="Times New Roman" w:hAnsi="Calibri" w:cs="Calibri"/>
          <w:color w:val="000000"/>
          <w:lang w:val="en-GB" w:eastAsia="cs-CZ"/>
        </w:rPr>
        <w:t>ies that</w:t>
      </w:r>
      <w:r w:rsidRPr="00E63093">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both the </w:t>
      </w:r>
      <w:r w:rsidRPr="00177F0B">
        <w:rPr>
          <w:rFonts w:ascii="Calibri" w:eastAsia="Times New Roman" w:hAnsi="Calibri" w:cs="Calibri"/>
          <w:color w:val="000000"/>
          <w:lang w:val="en-GB" w:eastAsia="cs-CZ"/>
        </w:rPr>
        <w:t xml:space="preserve">EU </w:t>
      </w:r>
      <w:r>
        <w:rPr>
          <w:rFonts w:ascii="Calibri" w:eastAsia="Times New Roman" w:hAnsi="Calibri" w:cs="Calibri"/>
          <w:color w:val="000000"/>
          <w:lang w:val="en-GB" w:eastAsia="cs-CZ"/>
        </w:rPr>
        <w:t xml:space="preserve">and the </w:t>
      </w:r>
      <w:r w:rsidRPr="00177F0B">
        <w:rPr>
          <w:rFonts w:ascii="Calibri" w:eastAsia="Times New Roman" w:hAnsi="Calibri" w:cs="Calibri"/>
          <w:color w:val="000000"/>
          <w:lang w:val="en-GB" w:eastAsia="cs-CZ"/>
        </w:rPr>
        <w:t>government consider</w:t>
      </w:r>
      <w:r>
        <w:rPr>
          <w:rFonts w:ascii="Calibri" w:eastAsia="Times New Roman" w:hAnsi="Calibri" w:cs="Calibri"/>
          <w:color w:val="000000"/>
          <w:lang w:val="en-GB" w:eastAsia="cs-CZ"/>
        </w:rPr>
        <w:t xml:space="preserve"> key</w:t>
      </w:r>
      <w:r w:rsidRPr="00177F0B">
        <w:rPr>
          <w:rFonts w:ascii="Calibri" w:eastAsia="Times New Roman" w:hAnsi="Calibri" w:cs="Calibri"/>
          <w:color w:val="000000"/>
          <w:lang w:val="en-GB" w:eastAsia="cs-CZ"/>
        </w:rPr>
        <w:t xml:space="preserve"> to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improve</w:t>
      </w:r>
      <w:r>
        <w:rPr>
          <w:rFonts w:ascii="Calibri" w:eastAsia="Times New Roman" w:hAnsi="Calibri" w:cs="Calibri"/>
          <w:color w:val="000000"/>
          <w:lang w:val="en-GB" w:eastAsia="cs-CZ"/>
        </w:rPr>
        <w:t>ment of</w:t>
      </w:r>
      <w:r w:rsidRPr="00177F0B">
        <w:rPr>
          <w:rFonts w:ascii="Calibri" w:eastAsia="Times New Roman" w:hAnsi="Calibri" w:cs="Calibri"/>
          <w:color w:val="000000"/>
          <w:lang w:val="en-GB" w:eastAsia="cs-CZ"/>
        </w:rPr>
        <w:t xml:space="preserve"> the industrial competitiveness of the Czech Republic a</w:t>
      </w:r>
      <w:r>
        <w:rPr>
          <w:rFonts w:ascii="Calibri" w:eastAsia="Times New Roman" w:hAnsi="Calibri" w:cs="Calibri"/>
          <w:color w:val="000000"/>
          <w:lang w:val="en-GB" w:eastAsia="cs-CZ"/>
        </w:rPr>
        <w:t>re the</w:t>
      </w:r>
      <w:r w:rsidRPr="00177F0B">
        <w:rPr>
          <w:rFonts w:ascii="Calibri" w:eastAsia="Times New Roman" w:hAnsi="Calibri" w:cs="Calibri"/>
          <w:color w:val="000000"/>
          <w:lang w:val="en-GB" w:eastAsia="cs-CZ"/>
        </w:rPr>
        <w:t xml:space="preserve"> realistic</w:t>
      </w:r>
      <w:r>
        <w:rPr>
          <w:rFonts w:ascii="Calibri" w:eastAsia="Times New Roman" w:hAnsi="Calibri" w:cs="Calibri"/>
          <w:color w:val="000000"/>
          <w:lang w:val="en-GB" w:eastAsia="cs-CZ"/>
        </w:rPr>
        <w:t>ally</w:t>
      </w:r>
      <w:r w:rsidRPr="00177F0B">
        <w:rPr>
          <w:rFonts w:ascii="Calibri" w:eastAsia="Times New Roman" w:hAnsi="Calibri" w:cs="Calibri"/>
          <w:color w:val="000000"/>
          <w:lang w:val="en-GB" w:eastAsia="cs-CZ"/>
        </w:rPr>
        <w:t xml:space="preserve"> set climate and energy</w:t>
      </w:r>
      <w:r>
        <w:rPr>
          <w:rFonts w:ascii="Calibri" w:eastAsia="Times New Roman" w:hAnsi="Calibri" w:cs="Calibri"/>
          <w:color w:val="000000"/>
          <w:lang w:val="en-GB" w:eastAsia="cs-CZ"/>
        </w:rPr>
        <w:t xml:space="preserve"> framework</w:t>
      </w:r>
      <w:r w:rsidRPr="00177F0B">
        <w:rPr>
          <w:rFonts w:ascii="Calibri" w:eastAsia="Times New Roman" w:hAnsi="Calibri" w:cs="Calibri"/>
          <w:color w:val="000000"/>
          <w:lang w:val="en-GB" w:eastAsia="cs-CZ"/>
        </w:rPr>
        <w:t xml:space="preserve"> 2030, competitive energy prices, strengthening and stability of the internal market, development of human capital, </w:t>
      </w:r>
      <w:r>
        <w:rPr>
          <w:rFonts w:ascii="Calibri" w:eastAsia="Times New Roman" w:hAnsi="Calibri" w:cs="Calibri"/>
          <w:color w:val="000000"/>
          <w:lang w:val="en-GB" w:eastAsia="cs-CZ"/>
        </w:rPr>
        <w:t>support of</w:t>
      </w:r>
      <w:r w:rsidRPr="00177F0B">
        <w:rPr>
          <w:rFonts w:ascii="Calibri" w:eastAsia="Times New Roman" w:hAnsi="Calibri" w:cs="Calibri"/>
          <w:color w:val="000000"/>
          <w:lang w:val="en-GB" w:eastAsia="cs-CZ"/>
        </w:rPr>
        <w:t xml:space="preserve"> research, development and innovation and modernized </w:t>
      </w:r>
      <w:r>
        <w:rPr>
          <w:rFonts w:ascii="Calibri" w:eastAsia="Times New Roman" w:hAnsi="Calibri" w:cs="Calibri"/>
          <w:color w:val="000000"/>
          <w:lang w:val="en-GB" w:eastAsia="cs-CZ"/>
        </w:rPr>
        <w:t>state support</w:t>
      </w:r>
      <w:r w:rsidRPr="00177F0B">
        <w:rPr>
          <w:rFonts w:ascii="Calibri" w:eastAsia="Times New Roman" w:hAnsi="Calibri" w:cs="Calibri"/>
          <w:color w:val="000000"/>
          <w:lang w:val="en-GB" w:eastAsia="cs-CZ"/>
        </w:rPr>
        <w:t xml:space="preserve"> rules.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Support </w:t>
      </w:r>
      <w:r>
        <w:rPr>
          <w:rFonts w:ascii="Cambria" w:eastAsia="Times New Roman" w:hAnsi="Cambria" w:cs="Times New Roman"/>
          <w:b/>
          <w:bCs/>
          <w:i/>
          <w:iCs/>
          <w:color w:val="D41616"/>
          <w:lang w:val="en-GB" w:eastAsia="cs-CZ"/>
        </w:rPr>
        <w:t>of SME</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December 2012, the a </w:t>
      </w:r>
      <w:r w:rsidRPr="00177F0B">
        <w:rPr>
          <w:rFonts w:ascii="Calibri" w:eastAsia="Times New Roman" w:hAnsi="Calibri" w:cs="Calibri"/>
          <w:b/>
          <w:bCs/>
          <w:color w:val="000000"/>
          <w:lang w:val="en-GB" w:eastAsia="cs-CZ"/>
        </w:rPr>
        <w:t xml:space="preserve">Concept </w:t>
      </w:r>
      <w:r>
        <w:rPr>
          <w:rFonts w:ascii="Calibri" w:eastAsia="Times New Roman" w:hAnsi="Calibri" w:cs="Calibri"/>
          <w:b/>
          <w:bCs/>
          <w:color w:val="000000"/>
          <w:lang w:val="en-GB" w:eastAsia="cs-CZ"/>
        </w:rPr>
        <w:t>o</w:t>
      </w:r>
      <w:r w:rsidRPr="00177F0B">
        <w:rPr>
          <w:rFonts w:ascii="Calibri" w:eastAsia="Times New Roman" w:hAnsi="Calibri" w:cs="Calibri"/>
          <w:b/>
          <w:bCs/>
          <w:color w:val="000000"/>
          <w:lang w:val="en-GB" w:eastAsia="cs-CZ"/>
        </w:rPr>
        <w:t xml:space="preserve">f Support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 xml:space="preserve">or Small And Medium-Sized Enterprises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 xml:space="preserve">or </w:t>
      </w:r>
      <w:r>
        <w:rPr>
          <w:rFonts w:ascii="Calibri" w:eastAsia="Times New Roman" w:hAnsi="Calibri" w:cs="Calibri"/>
          <w:b/>
          <w:bCs/>
          <w:color w:val="000000"/>
          <w:lang w:val="en-GB" w:eastAsia="cs-CZ"/>
        </w:rPr>
        <w:t>t</w:t>
      </w:r>
      <w:r w:rsidRPr="00177F0B">
        <w:rPr>
          <w:rFonts w:ascii="Calibri" w:eastAsia="Times New Roman" w:hAnsi="Calibri" w:cs="Calibri"/>
          <w:b/>
          <w:bCs/>
          <w:color w:val="000000"/>
          <w:lang w:val="en-GB" w:eastAsia="cs-CZ"/>
        </w:rPr>
        <w:t>he Period 2014-2020</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(MSP Concept 2014</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was adopted</w:t>
      </w:r>
      <w:r w:rsidRPr="00177F0B">
        <w:rPr>
          <w:rFonts w:ascii="Calibri" w:eastAsia="Times New Roman" w:hAnsi="Calibri" w:cs="Calibri"/>
          <w:color w:val="000000"/>
          <w:lang w:val="en-GB" w:eastAsia="cs-CZ"/>
        </w:rPr>
        <w:t>, which represents a major strategic document in support of small and medium-sized enterprises in the country. </w:t>
      </w:r>
      <w:r>
        <w:rPr>
          <w:rFonts w:ascii="Calibri" w:eastAsia="Times New Roman" w:hAnsi="Calibri" w:cs="Calibri"/>
          <w:color w:val="000000"/>
          <w:lang w:val="en-GB" w:eastAsia="cs-CZ"/>
        </w:rPr>
        <w:t>The c</w:t>
      </w:r>
      <w:r w:rsidRPr="00177F0B">
        <w:rPr>
          <w:rFonts w:ascii="Calibri" w:eastAsia="Times New Roman" w:hAnsi="Calibri" w:cs="Calibri"/>
          <w:color w:val="000000"/>
          <w:lang w:val="en-GB" w:eastAsia="cs-CZ"/>
        </w:rPr>
        <w:t>oncept brings 50 specific measures grouped into four strategic priorities</w:t>
      </w:r>
      <w:r>
        <w:rPr>
          <w:rStyle w:val="Znakapoznpodarou"/>
          <w:rFonts w:ascii="Calibri" w:eastAsia="Times New Roman" w:hAnsi="Calibri" w:cs="Calibri"/>
          <w:color w:val="000000"/>
          <w:lang w:val="en-GB" w:eastAsia="cs-CZ"/>
        </w:rPr>
        <w:footnoteReference w:id="23"/>
      </w:r>
      <w:r w:rsidRPr="00177F0B">
        <w:rPr>
          <w:rFonts w:ascii="Calibri" w:eastAsia="Times New Roman" w:hAnsi="Calibri" w:cs="Calibri"/>
          <w:color w:val="000000"/>
          <w:lang w:val="en-GB" w:eastAsia="cs-CZ"/>
        </w:rPr>
        <w:t> aimed at the effective functioning and overall development of small and medium enterpr</w:t>
      </w:r>
      <w:r>
        <w:rPr>
          <w:rFonts w:ascii="Calibri" w:eastAsia="Times New Roman" w:hAnsi="Calibri" w:cs="Calibri"/>
          <w:color w:val="000000"/>
          <w:lang w:val="en-GB" w:eastAsia="cs-CZ"/>
        </w:rPr>
        <w:t>ises, which</w:t>
      </w:r>
      <w:r w:rsidRPr="00177F0B">
        <w:rPr>
          <w:rFonts w:ascii="Calibri" w:eastAsia="Times New Roman" w:hAnsi="Calibri" w:cs="Calibri"/>
          <w:color w:val="000000"/>
          <w:lang w:val="en-GB" w:eastAsia="cs-CZ"/>
        </w:rPr>
        <w:t xml:space="preserve"> form a significant part of the national economy.</w:t>
      </w:r>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Emphasized within the</w:t>
      </w:r>
      <w:r w:rsidRPr="00177F0B">
        <w:rPr>
          <w:rFonts w:ascii="Calibri" w:eastAsia="Times New Roman" w:hAnsi="Calibri" w:cs="Calibri"/>
          <w:color w:val="000000"/>
          <w:lang w:val="en-GB" w:eastAsia="cs-CZ"/>
        </w:rPr>
        <w:t xml:space="preserve"> support of entrepreneurs is primarily t</w:t>
      </w:r>
      <w:r>
        <w:rPr>
          <w:rFonts w:ascii="Calibri" w:eastAsia="Times New Roman" w:hAnsi="Calibri" w:cs="Calibri"/>
          <w:color w:val="000000"/>
          <w:lang w:val="en-GB" w:eastAsia="cs-CZ"/>
        </w:rPr>
        <w:t>he</w:t>
      </w:r>
      <w:r w:rsidRPr="00177F0B">
        <w:rPr>
          <w:rFonts w:ascii="Calibri" w:eastAsia="Times New Roman" w:hAnsi="Calibri" w:cs="Calibri"/>
          <w:color w:val="000000"/>
          <w:lang w:val="en-GB" w:eastAsia="cs-CZ"/>
        </w:rPr>
        <w:t xml:space="preserve"> support </w:t>
      </w:r>
      <w:r>
        <w:rPr>
          <w:rFonts w:ascii="Calibri" w:eastAsia="Times New Roman" w:hAnsi="Calibri" w:cs="Calibri"/>
          <w:color w:val="000000"/>
          <w:lang w:val="en-GB" w:eastAsia="cs-CZ"/>
        </w:rPr>
        <w:t>of the development and operational</w:t>
      </w:r>
      <w:r w:rsidRPr="00177F0B">
        <w:rPr>
          <w:rFonts w:ascii="Calibri" w:eastAsia="Times New Roman" w:hAnsi="Calibri" w:cs="Calibri"/>
          <w:color w:val="000000"/>
          <w:lang w:val="en-GB" w:eastAsia="cs-CZ"/>
        </w:rPr>
        <w:t xml:space="preserve"> financing, export</w:t>
      </w:r>
      <w:r>
        <w:rPr>
          <w:rFonts w:ascii="Calibri" w:eastAsia="Times New Roman" w:hAnsi="Calibri" w:cs="Calibri"/>
          <w:color w:val="000000"/>
          <w:lang w:val="en-GB" w:eastAsia="cs-CZ"/>
        </w:rPr>
        <w:t>, energetics</w:t>
      </w:r>
      <w:r w:rsidRPr="00177F0B">
        <w:rPr>
          <w:rFonts w:ascii="Calibri" w:eastAsia="Times New Roman" w:hAnsi="Calibri" w:cs="Calibri"/>
          <w:color w:val="000000"/>
          <w:lang w:val="en-GB" w:eastAsia="cs-CZ"/>
        </w:rPr>
        <w:t>, development of key skills and financial literacy</w:t>
      </w:r>
      <w:r>
        <w:rPr>
          <w:rFonts w:ascii="Calibri" w:eastAsia="Times New Roman" w:hAnsi="Calibri" w:cs="Calibri"/>
          <w:color w:val="000000"/>
          <w:lang w:val="en-GB" w:eastAsia="cs-CZ"/>
        </w:rPr>
        <w:t xml:space="preserve"> of entrepr</w:t>
      </w:r>
      <w:r>
        <w:rPr>
          <w:rFonts w:ascii="Calibri" w:eastAsia="Times New Roman" w:hAnsi="Calibri" w:cs="Calibri"/>
          <w:color w:val="000000"/>
          <w:lang w:val="en-GB" w:eastAsia="cs-CZ"/>
        </w:rPr>
        <w:t>e</w:t>
      </w:r>
      <w:r>
        <w:rPr>
          <w:rFonts w:ascii="Calibri" w:eastAsia="Times New Roman" w:hAnsi="Calibri" w:cs="Calibri"/>
          <w:color w:val="000000"/>
          <w:lang w:val="en-GB" w:eastAsia="cs-CZ"/>
        </w:rPr>
        <w:t>neurs, technical education</w:t>
      </w:r>
      <w:r w:rsidRPr="00177F0B">
        <w:rPr>
          <w:rFonts w:ascii="Calibri" w:eastAsia="Times New Roman" w:hAnsi="Calibri" w:cs="Calibri"/>
          <w:color w:val="000000"/>
          <w:lang w:val="en-GB" w:eastAsia="cs-CZ"/>
        </w:rPr>
        <w:t xml:space="preserve"> and research, development and innovation. The concept also highlights the importance of promoting social entrepreneurship </w:t>
      </w:r>
      <w:r>
        <w:rPr>
          <w:rFonts w:ascii="Calibri" w:eastAsia="Times New Roman" w:hAnsi="Calibri" w:cs="Calibri"/>
          <w:color w:val="000000"/>
          <w:lang w:val="en-GB" w:eastAsia="cs-CZ"/>
        </w:rPr>
        <w:t xml:space="preserve">and </w:t>
      </w:r>
      <w:r w:rsidRPr="00177F0B">
        <w:rPr>
          <w:rFonts w:ascii="Calibri" w:eastAsia="Times New Roman" w:hAnsi="Calibri" w:cs="Calibri"/>
          <w:color w:val="000000"/>
          <w:lang w:val="en-GB" w:eastAsia="cs-CZ"/>
        </w:rPr>
        <w:t xml:space="preserve">education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social entrepreneurs. It</w:t>
      </w:r>
      <w:r>
        <w:rPr>
          <w:rFonts w:ascii="Calibri" w:eastAsia="Times New Roman" w:hAnsi="Calibri" w:cs="Calibri"/>
          <w:color w:val="000000"/>
          <w:lang w:val="en-GB" w:eastAsia="cs-CZ"/>
        </w:rPr>
        <w:t xml:space="preserve"> will be</w:t>
      </w:r>
      <w:r w:rsidRPr="00177F0B">
        <w:rPr>
          <w:rFonts w:ascii="Calibri" w:eastAsia="Times New Roman" w:hAnsi="Calibri" w:cs="Calibri"/>
          <w:color w:val="000000"/>
          <w:lang w:val="en-GB" w:eastAsia="cs-CZ"/>
        </w:rPr>
        <w:t xml:space="preserve"> implement</w:t>
      </w:r>
      <w:r>
        <w:rPr>
          <w:rFonts w:ascii="Calibri" w:eastAsia="Times New Roman" w:hAnsi="Calibri" w:cs="Calibri"/>
          <w:color w:val="000000"/>
          <w:lang w:val="en-GB" w:eastAsia="cs-CZ"/>
        </w:rPr>
        <w:t>ed</w:t>
      </w:r>
      <w:r w:rsidRPr="00177F0B">
        <w:rPr>
          <w:rFonts w:ascii="Calibri" w:eastAsia="Times New Roman" w:hAnsi="Calibri" w:cs="Calibri"/>
          <w:color w:val="000000"/>
          <w:lang w:val="en-GB" w:eastAsia="cs-CZ"/>
        </w:rPr>
        <w:t xml:space="preserve"> through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national programs to promote entrepreneurship (e.g. warranty, REVIT), among others, and will be implemented under the Operational Programme Enterprise and Innovation for Competitiveness.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t>Support of</w:t>
      </w:r>
      <w:r w:rsidRPr="00177F0B">
        <w:rPr>
          <w:rFonts w:ascii="Cambria" w:eastAsia="Times New Roman" w:hAnsi="Cambria" w:cs="Times New Roman"/>
          <w:b/>
          <w:bCs/>
          <w:i/>
          <w:iCs/>
          <w:color w:val="D41616"/>
          <w:lang w:val="en-GB" w:eastAsia="cs-CZ"/>
        </w:rPr>
        <w:t xml:space="preserve"> export</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2014, the government will continue to create conditions</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global diversification of Czech exports and in cooperation with the business </w:t>
      </w:r>
      <w:r>
        <w:rPr>
          <w:rFonts w:ascii="Calibri" w:eastAsia="Times New Roman" w:hAnsi="Calibri" w:cs="Calibri"/>
          <w:color w:val="000000"/>
          <w:lang w:val="en-GB" w:eastAsia="cs-CZ"/>
        </w:rPr>
        <w:t>sector</w:t>
      </w:r>
      <w:r w:rsidRPr="00177F0B">
        <w:rPr>
          <w:rFonts w:ascii="Calibri" w:eastAsia="Times New Roman" w:hAnsi="Calibri" w:cs="Calibri"/>
          <w:color w:val="000000"/>
          <w:lang w:val="en-GB" w:eastAsia="cs-CZ"/>
        </w:rPr>
        <w:t xml:space="preserve"> continue the process of identif</w:t>
      </w:r>
      <w:r>
        <w:rPr>
          <w:rFonts w:ascii="Calibri" w:eastAsia="Times New Roman" w:hAnsi="Calibri" w:cs="Calibri"/>
          <w:color w:val="000000"/>
          <w:lang w:val="en-GB" w:eastAsia="cs-CZ"/>
        </w:rPr>
        <w:t>ication of</w:t>
      </w:r>
      <w:r w:rsidRPr="00177F0B">
        <w:rPr>
          <w:rFonts w:ascii="Calibri" w:eastAsia="Times New Roman" w:hAnsi="Calibri" w:cs="Calibri"/>
          <w:color w:val="000000"/>
          <w:lang w:val="en-GB" w:eastAsia="cs-CZ"/>
        </w:rPr>
        <w:t xml:space="preserve"> promising fields. In order to support export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government plans </w:t>
      </w:r>
      <w:r>
        <w:rPr>
          <w:rFonts w:ascii="Calibri" w:eastAsia="Times New Roman" w:hAnsi="Calibri" w:cs="Calibri"/>
          <w:color w:val="000000"/>
          <w:lang w:val="en-GB" w:eastAsia="cs-CZ"/>
        </w:rPr>
        <w:t xml:space="preserve">also for </w:t>
      </w:r>
      <w:r w:rsidRPr="00177F0B">
        <w:rPr>
          <w:rFonts w:ascii="Calibri" w:eastAsia="Times New Roman" w:hAnsi="Calibri" w:cs="Calibri"/>
          <w:color w:val="000000"/>
          <w:lang w:val="en-GB" w:eastAsia="cs-CZ"/>
        </w:rPr>
        <w:t xml:space="preserve">this year to </w:t>
      </w:r>
      <w:r>
        <w:rPr>
          <w:rFonts w:ascii="Calibri" w:eastAsia="Times New Roman" w:hAnsi="Calibri" w:cs="Calibri"/>
          <w:color w:val="000000"/>
          <w:lang w:val="en-GB" w:eastAsia="cs-CZ"/>
        </w:rPr>
        <w:t>ensure</w:t>
      </w:r>
      <w:r w:rsidRPr="00177F0B">
        <w:rPr>
          <w:rFonts w:ascii="Calibri" w:eastAsia="Times New Roman" w:hAnsi="Calibri" w:cs="Calibri"/>
          <w:color w:val="000000"/>
          <w:lang w:val="en-GB" w:eastAsia="cs-CZ"/>
        </w:rPr>
        <w:t xml:space="preserve"> business missions and participation in fairs and exhibitions, meetings of joint bodies for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conomic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 xml:space="preserve">ooperation and professional seminars and business forums. To improve services for exporters, particularly with regard to the provision of comprehensive and complete information from the territories or fields in one place,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internet portal</w:t>
      </w:r>
      <w:r w:rsidRPr="008C77A5">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 be improved. In order to improve and standardize the delivery of state services abroad, the government</w:t>
      </w:r>
      <w:r>
        <w:rPr>
          <w:rFonts w:ascii="Calibri" w:eastAsia="Times New Roman" w:hAnsi="Calibri" w:cs="Calibri"/>
          <w:color w:val="000000"/>
          <w:lang w:val="en-GB" w:eastAsia="cs-CZ"/>
        </w:rPr>
        <w:t xml:space="preserve"> will in the near term</w:t>
      </w:r>
      <w:r w:rsidRPr="00177F0B">
        <w:rPr>
          <w:rFonts w:ascii="Calibri" w:eastAsia="Times New Roman" w:hAnsi="Calibri" w:cs="Calibri"/>
          <w:color w:val="000000"/>
          <w:lang w:val="en-GB" w:eastAsia="cs-CZ"/>
        </w:rPr>
        <w:t xml:space="preserve"> prepare </w:t>
      </w:r>
      <w:r w:rsidRPr="00177F0B">
        <w:rPr>
          <w:rFonts w:ascii="Calibri" w:eastAsia="Times New Roman" w:hAnsi="Calibri" w:cs="Calibri"/>
          <w:b/>
          <w:bCs/>
          <w:color w:val="000000"/>
          <w:lang w:val="en-GB" w:eastAsia="cs-CZ"/>
        </w:rPr>
        <w:t xml:space="preserve">the </w:t>
      </w:r>
      <w:r>
        <w:rPr>
          <w:rFonts w:ascii="Calibri" w:eastAsia="Times New Roman" w:hAnsi="Calibri" w:cs="Calibri"/>
          <w:b/>
          <w:bCs/>
          <w:color w:val="000000"/>
          <w:lang w:val="en-GB" w:eastAsia="cs-CZ"/>
        </w:rPr>
        <w:t>C</w:t>
      </w:r>
      <w:r w:rsidRPr="00177F0B">
        <w:rPr>
          <w:rFonts w:ascii="Calibri" w:eastAsia="Times New Roman" w:hAnsi="Calibri" w:cs="Calibri"/>
          <w:b/>
          <w:bCs/>
          <w:color w:val="000000"/>
          <w:lang w:val="en-GB" w:eastAsia="cs-CZ"/>
        </w:rPr>
        <w:t xml:space="preserve">oncept of </w:t>
      </w:r>
      <w:r>
        <w:rPr>
          <w:rFonts w:ascii="Calibri" w:eastAsia="Times New Roman" w:hAnsi="Calibri" w:cs="Calibri"/>
          <w:b/>
          <w:bCs/>
          <w:color w:val="000000"/>
          <w:lang w:val="en-GB" w:eastAsia="cs-CZ"/>
        </w:rPr>
        <w:t>E</w:t>
      </w:r>
      <w:r w:rsidRPr="00177F0B">
        <w:rPr>
          <w:rFonts w:ascii="Calibri" w:eastAsia="Times New Roman" w:hAnsi="Calibri" w:cs="Calibri"/>
          <w:b/>
          <w:bCs/>
          <w:color w:val="000000"/>
          <w:lang w:val="en-GB" w:eastAsia="cs-CZ"/>
        </w:rPr>
        <w:t xml:space="preserve">conomic </w:t>
      </w:r>
      <w:r>
        <w:rPr>
          <w:rFonts w:ascii="Calibri" w:eastAsia="Times New Roman" w:hAnsi="Calibri" w:cs="Calibri"/>
          <w:b/>
          <w:bCs/>
          <w:color w:val="000000"/>
          <w:lang w:val="en-GB" w:eastAsia="cs-CZ"/>
        </w:rPr>
        <w:t>D</w:t>
      </w:r>
      <w:r w:rsidRPr="00177F0B">
        <w:rPr>
          <w:rFonts w:ascii="Calibri" w:eastAsia="Times New Roman" w:hAnsi="Calibri" w:cs="Calibri"/>
          <w:b/>
          <w:bCs/>
          <w:color w:val="000000"/>
          <w:lang w:val="en-GB" w:eastAsia="cs-CZ"/>
        </w:rPr>
        <w:t>iplomacy</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Support </w:t>
      </w:r>
      <w:r>
        <w:rPr>
          <w:rFonts w:ascii="Cambria" w:eastAsia="Times New Roman" w:hAnsi="Cambria" w:cs="Times New Roman"/>
          <w:b/>
          <w:bCs/>
          <w:i/>
          <w:iCs/>
          <w:color w:val="D41616"/>
          <w:lang w:val="en-GB" w:eastAsia="cs-CZ"/>
        </w:rPr>
        <w:t xml:space="preserve">of </w:t>
      </w:r>
      <w:r w:rsidRPr="00177F0B">
        <w:rPr>
          <w:rFonts w:ascii="Cambria" w:eastAsia="Times New Roman" w:hAnsi="Cambria" w:cs="Times New Roman"/>
          <w:b/>
          <w:bCs/>
          <w:i/>
          <w:iCs/>
          <w:color w:val="D41616"/>
          <w:lang w:val="en-GB" w:eastAsia="cs-CZ"/>
        </w:rPr>
        <w:t>investment</w:t>
      </w:r>
      <w:r>
        <w:rPr>
          <w:rFonts w:ascii="Cambria" w:eastAsia="Times New Roman" w:hAnsi="Cambria" w:cs="Times New Roman"/>
          <w:b/>
          <w:bCs/>
          <w:i/>
          <w:iCs/>
          <w:color w:val="D41616"/>
          <w:lang w:val="en-GB" w:eastAsia="cs-CZ"/>
        </w:rPr>
        <w:t>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By </w:t>
      </w:r>
      <w:r>
        <w:rPr>
          <w:rFonts w:ascii="Calibri" w:eastAsia="Times New Roman" w:hAnsi="Calibri" w:cs="Calibri"/>
          <w:color w:val="000000"/>
          <w:lang w:val="en-GB" w:eastAsia="cs-CZ"/>
        </w:rPr>
        <w:t>2015</w:t>
      </w:r>
      <w:r w:rsidRPr="00177F0B">
        <w:rPr>
          <w:rFonts w:ascii="Calibri" w:eastAsia="Times New Roman" w:hAnsi="Calibri" w:cs="Calibri"/>
          <w:color w:val="000000"/>
          <w:lang w:val="en-GB" w:eastAsia="cs-CZ"/>
        </w:rPr>
        <w:t xml:space="preserve"> the government</w:t>
      </w:r>
      <w:r>
        <w:rPr>
          <w:rFonts w:ascii="Calibri" w:eastAsia="Times New Roman" w:hAnsi="Calibri" w:cs="Calibri"/>
          <w:color w:val="000000"/>
          <w:lang w:val="en-GB" w:eastAsia="cs-CZ"/>
        </w:rPr>
        <w:t xml:space="preserve"> shall</w:t>
      </w:r>
      <w:r w:rsidRPr="00177F0B">
        <w:rPr>
          <w:rFonts w:ascii="Calibri" w:eastAsia="Times New Roman" w:hAnsi="Calibri" w:cs="Calibri"/>
          <w:color w:val="000000"/>
          <w:lang w:val="en-GB" w:eastAsia="cs-CZ"/>
        </w:rPr>
        <w:t xml:space="preserve"> prepare </w:t>
      </w:r>
      <w:r w:rsidRPr="00177F0B">
        <w:rPr>
          <w:rFonts w:ascii="Calibri" w:eastAsia="Times New Roman" w:hAnsi="Calibri" w:cs="Calibri"/>
          <w:b/>
          <w:bCs/>
          <w:color w:val="000000"/>
          <w:lang w:val="en-GB" w:eastAsia="cs-CZ"/>
        </w:rPr>
        <w:t xml:space="preserve">the Concept of </w:t>
      </w:r>
      <w:r>
        <w:rPr>
          <w:rFonts w:ascii="Calibri" w:eastAsia="Times New Roman" w:hAnsi="Calibri" w:cs="Calibri"/>
          <w:b/>
          <w:bCs/>
          <w:color w:val="000000"/>
          <w:lang w:val="en-GB" w:eastAsia="cs-CZ"/>
        </w:rPr>
        <w:t>Investment S</w:t>
      </w:r>
      <w:r w:rsidRPr="00177F0B">
        <w:rPr>
          <w:rFonts w:ascii="Calibri" w:eastAsia="Times New Roman" w:hAnsi="Calibri" w:cs="Calibri"/>
          <w:b/>
          <w:bCs/>
          <w:color w:val="000000"/>
          <w:lang w:val="en-GB" w:eastAsia="cs-CZ"/>
        </w:rPr>
        <w:t>upport</w:t>
      </w:r>
      <w:r w:rsidRPr="00177F0B">
        <w:rPr>
          <w:rFonts w:ascii="Calibri" w:eastAsia="Times New Roman" w:hAnsi="Calibri" w:cs="Calibri"/>
          <w:color w:val="000000"/>
          <w:lang w:val="en-GB" w:eastAsia="cs-CZ"/>
        </w:rPr>
        <w:t xml:space="preserve">, which should significantly contribute to the improvement of the investment environment in the country. A very important part </w:t>
      </w:r>
      <w:r>
        <w:rPr>
          <w:rFonts w:ascii="Calibri" w:eastAsia="Times New Roman" w:hAnsi="Calibri" w:cs="Calibri"/>
          <w:color w:val="000000"/>
          <w:lang w:val="en-GB" w:eastAsia="cs-CZ"/>
        </w:rPr>
        <w:t>will be</w:t>
      </w:r>
      <w:r w:rsidRPr="00177F0B">
        <w:rPr>
          <w:rFonts w:ascii="Calibri" w:eastAsia="Times New Roman" w:hAnsi="Calibri" w:cs="Calibri"/>
          <w:color w:val="000000"/>
          <w:lang w:val="en-GB" w:eastAsia="cs-CZ"/>
        </w:rPr>
        <w:t xml:space="preserve"> the effective financial support for investments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the investment incentives and </w:t>
      </w:r>
      <w:r>
        <w:rPr>
          <w:rFonts w:ascii="Calibri" w:eastAsia="Times New Roman" w:hAnsi="Calibri" w:cs="Calibri"/>
          <w:color w:val="000000"/>
          <w:lang w:val="en-GB" w:eastAsia="cs-CZ"/>
        </w:rPr>
        <w:t xml:space="preserve">the improvement of attractiveness of </w:t>
      </w:r>
      <w:r w:rsidRPr="00177F0B">
        <w:rPr>
          <w:rFonts w:ascii="Calibri" w:eastAsia="Times New Roman" w:hAnsi="Calibri" w:cs="Calibri"/>
          <w:color w:val="000000"/>
          <w:lang w:val="en-GB" w:eastAsia="cs-CZ"/>
        </w:rPr>
        <w:t xml:space="preserve">strategic industrial zones </w:t>
      </w:r>
      <w:r>
        <w:rPr>
          <w:rFonts w:ascii="Calibri" w:eastAsia="Times New Roman" w:hAnsi="Calibri" w:cs="Calibri"/>
          <w:color w:val="000000"/>
          <w:lang w:val="en-GB" w:eastAsia="cs-CZ"/>
        </w:rPr>
        <w:t xml:space="preserve">for </w:t>
      </w:r>
      <w:r w:rsidRPr="00177F0B">
        <w:rPr>
          <w:rFonts w:ascii="Calibri" w:eastAsia="Times New Roman" w:hAnsi="Calibri" w:cs="Calibri"/>
          <w:color w:val="000000"/>
          <w:lang w:val="en-GB" w:eastAsia="cs-CZ"/>
        </w:rPr>
        <w:t>investors.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Incentives will be formulated to meet the </w:t>
      </w:r>
      <w:r w:rsidRPr="00177F0B">
        <w:rPr>
          <w:rFonts w:ascii="Calibri" w:eastAsia="Times New Roman" w:hAnsi="Calibri" w:cs="Calibri"/>
          <w:color w:val="000000"/>
          <w:lang w:val="en-GB" w:eastAsia="cs-CZ"/>
        </w:rPr>
        <w:lastRenderedPageBreak/>
        <w:t xml:space="preserve">added value of the various economic activities and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 xml:space="preserve">encourage foreign investors to reinvest back into the Czech economy. By the end of 2015 the legislation will be prepared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discuss</w:t>
      </w:r>
      <w:r>
        <w:rPr>
          <w:rFonts w:ascii="Calibri" w:eastAsia="Times New Roman" w:hAnsi="Calibri" w:cs="Calibri"/>
          <w:color w:val="000000"/>
          <w:lang w:val="en-GB" w:eastAsia="cs-CZ"/>
        </w:rPr>
        <w:t>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 the aim</w:t>
      </w:r>
      <w:r w:rsidRPr="00177F0B">
        <w:rPr>
          <w:rFonts w:ascii="Calibri" w:eastAsia="Times New Roman" w:hAnsi="Calibri" w:cs="Calibri"/>
          <w:color w:val="000000"/>
          <w:lang w:val="en-GB" w:eastAsia="cs-CZ"/>
        </w:rPr>
        <w:t xml:space="preserve"> to simplify the permit</w:t>
      </w:r>
      <w:r>
        <w:rPr>
          <w:rFonts w:ascii="Calibri" w:eastAsia="Times New Roman" w:hAnsi="Calibri" w:cs="Calibri"/>
          <w:color w:val="000000"/>
          <w:lang w:val="en-GB" w:eastAsia="cs-CZ"/>
        </w:rPr>
        <w:t xml:space="preserve"> awarding</w:t>
      </w:r>
      <w:r w:rsidRPr="00177F0B">
        <w:rPr>
          <w:rFonts w:ascii="Calibri" w:eastAsia="Times New Roman" w:hAnsi="Calibri" w:cs="Calibri"/>
          <w:color w:val="000000"/>
          <w:lang w:val="en-GB" w:eastAsia="cs-CZ"/>
        </w:rPr>
        <w:t xml:space="preserve"> process for the location and construction</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investment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including the process of assessing the impact of buildings on the environment (even following the revision of the EIA Directive).</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Increase in Corporate Social Responsibility</w:t>
      </w:r>
    </w:p>
    <w:p w:rsidR="00EF6DEB" w:rsidRPr="00D04D6E" w:rsidRDefault="00D04D6E" w:rsidP="00EF6DE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contribute to the development of the concept of social responsibility of organizations in the Czech Republic and its positive impact on society, economic development and competitiveness of the Czech </w:t>
      </w:r>
      <w:r>
        <w:rPr>
          <w:rFonts w:ascii="Calibri" w:eastAsia="Times New Roman" w:hAnsi="Calibri" w:cs="Calibri"/>
          <w:color w:val="000000"/>
          <w:lang w:val="en-GB" w:eastAsia="cs-CZ"/>
        </w:rPr>
        <w:t>Republic the g</w:t>
      </w:r>
      <w:r w:rsidRPr="00177F0B">
        <w:rPr>
          <w:rFonts w:ascii="Calibri" w:eastAsia="Times New Roman" w:hAnsi="Calibri" w:cs="Calibri"/>
          <w:color w:val="000000"/>
          <w:lang w:val="en-GB" w:eastAsia="cs-CZ"/>
        </w:rPr>
        <w:t>overnment approved on 2</w:t>
      </w:r>
      <w:r w:rsidRPr="0048756C">
        <w:rPr>
          <w:rFonts w:ascii="Calibri" w:eastAsia="Times New Roman" w:hAnsi="Calibri" w:cs="Calibri"/>
          <w:color w:val="000000"/>
          <w:vertAlign w:val="superscript"/>
          <w:lang w:val="en-GB" w:eastAsia="cs-CZ"/>
        </w:rPr>
        <w:t>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 April 2014 a strateg</w:t>
      </w:r>
      <w:r>
        <w:rPr>
          <w:rFonts w:ascii="Calibri" w:eastAsia="Times New Roman" w:hAnsi="Calibri" w:cs="Calibri"/>
          <w:color w:val="000000"/>
          <w:lang w:val="en-GB" w:eastAsia="cs-CZ"/>
        </w:rPr>
        <w:t>ic</w:t>
      </w:r>
      <w:r w:rsidRPr="00177F0B">
        <w:rPr>
          <w:rFonts w:ascii="Calibri" w:eastAsia="Times New Roman" w:hAnsi="Calibri" w:cs="Calibri"/>
          <w:color w:val="000000"/>
          <w:lang w:val="en-GB" w:eastAsia="cs-CZ"/>
        </w:rPr>
        <w:t xml:space="preserve"> document </w:t>
      </w:r>
      <w:r w:rsidRPr="00177F0B">
        <w:rPr>
          <w:rFonts w:ascii="Calibri" w:eastAsia="Times New Roman" w:hAnsi="Calibri" w:cs="Calibri"/>
          <w:b/>
          <w:bCs/>
          <w:color w:val="000000"/>
          <w:lang w:val="en-GB" w:eastAsia="cs-CZ"/>
        </w:rPr>
        <w:t xml:space="preserve">National Action Plan for </w:t>
      </w:r>
      <w:r>
        <w:rPr>
          <w:rFonts w:ascii="Calibri" w:eastAsia="Times New Roman" w:hAnsi="Calibri" w:cs="Calibri"/>
          <w:b/>
          <w:bCs/>
          <w:color w:val="000000"/>
          <w:lang w:val="en-GB" w:eastAsia="cs-CZ"/>
        </w:rPr>
        <w:t xml:space="preserve">Corporate </w:t>
      </w:r>
      <w:r w:rsidRPr="00177F0B">
        <w:rPr>
          <w:rFonts w:ascii="Calibri" w:eastAsia="Times New Roman" w:hAnsi="Calibri" w:cs="Calibri"/>
          <w:b/>
          <w:bCs/>
          <w:color w:val="000000"/>
          <w:lang w:val="en-GB" w:eastAsia="cs-CZ"/>
        </w:rPr>
        <w:t xml:space="preserve">Social Responsibility in the Czech Republic. The </w:t>
      </w:r>
      <w:r>
        <w:rPr>
          <w:rFonts w:ascii="Calibri" w:eastAsia="Times New Roman" w:hAnsi="Calibri" w:cs="Calibri"/>
          <w:b/>
          <w:bCs/>
          <w:color w:val="000000"/>
          <w:lang w:val="en-GB" w:eastAsia="cs-CZ"/>
        </w:rPr>
        <w:t xml:space="preserve">aim of the </w:t>
      </w:r>
      <w:r w:rsidRPr="00177F0B">
        <w:rPr>
          <w:rFonts w:ascii="Calibri" w:eastAsia="Times New Roman" w:hAnsi="Calibri" w:cs="Calibri"/>
          <w:b/>
          <w:bCs/>
          <w:color w:val="000000"/>
          <w:lang w:val="en-GB" w:eastAsia="cs-CZ"/>
        </w:rPr>
        <w:t xml:space="preserve">measure is </w:t>
      </w:r>
      <w:r>
        <w:rPr>
          <w:rFonts w:ascii="Calibri" w:eastAsia="Times New Roman" w:hAnsi="Calibri" w:cs="Calibri"/>
          <w:b/>
          <w:bCs/>
          <w:color w:val="000000"/>
          <w:lang w:val="en-GB" w:eastAsia="cs-CZ"/>
        </w:rPr>
        <w:t xml:space="preserve">the </w:t>
      </w:r>
      <w:r w:rsidRPr="00177F0B">
        <w:rPr>
          <w:rFonts w:ascii="Calibri" w:eastAsia="Times New Roman" w:hAnsi="Calibri" w:cs="Calibri"/>
          <w:b/>
          <w:bCs/>
          <w:color w:val="000000"/>
          <w:lang w:val="en-GB" w:eastAsia="cs-CZ"/>
        </w:rPr>
        <w:t xml:space="preserve">strengthening </w:t>
      </w:r>
      <w:r>
        <w:rPr>
          <w:rFonts w:ascii="Calibri" w:eastAsia="Times New Roman" w:hAnsi="Calibri" w:cs="Calibri"/>
          <w:b/>
          <w:bCs/>
          <w:color w:val="000000"/>
          <w:lang w:val="en-GB" w:eastAsia="cs-CZ"/>
        </w:rPr>
        <w:t xml:space="preserve">of </w:t>
      </w:r>
      <w:r w:rsidRPr="00177F0B">
        <w:rPr>
          <w:rFonts w:ascii="Calibri" w:eastAsia="Times New Roman" w:hAnsi="Calibri" w:cs="Calibri"/>
          <w:b/>
          <w:bCs/>
          <w:color w:val="000000"/>
          <w:lang w:val="en-GB" w:eastAsia="cs-CZ"/>
        </w:rPr>
        <w:t xml:space="preserve">regulatory functions. The aim of each activity is primarily </w:t>
      </w:r>
      <w:r>
        <w:rPr>
          <w:rFonts w:ascii="Calibri" w:eastAsia="Times New Roman" w:hAnsi="Calibri" w:cs="Calibri"/>
          <w:b/>
          <w:bCs/>
          <w:color w:val="000000"/>
          <w:lang w:val="en-GB" w:eastAsia="cs-CZ"/>
        </w:rPr>
        <w:t>to motivate</w:t>
      </w:r>
      <w:r w:rsidRPr="00177F0B">
        <w:rPr>
          <w:rFonts w:ascii="Calibri" w:eastAsia="Times New Roman" w:hAnsi="Calibri" w:cs="Calibri"/>
          <w:color w:val="000000"/>
          <w:lang w:val="en-GB" w:eastAsia="cs-CZ"/>
        </w:rPr>
        <w:t xml:space="preserve"> commercial </w:t>
      </w:r>
      <w:r>
        <w:rPr>
          <w:rFonts w:ascii="Calibri" w:eastAsia="Times New Roman" w:hAnsi="Calibri" w:cs="Calibri"/>
          <w:color w:val="000000"/>
          <w:lang w:val="en-GB" w:eastAsia="cs-CZ"/>
        </w:rPr>
        <w:t>companies</w:t>
      </w:r>
      <w:r w:rsidRPr="00177F0B">
        <w:rPr>
          <w:rFonts w:ascii="Calibri" w:eastAsia="Times New Roman" w:hAnsi="Calibri" w:cs="Calibri"/>
          <w:color w:val="000000"/>
          <w:lang w:val="en-GB" w:eastAsia="cs-CZ"/>
        </w:rPr>
        <w:t xml:space="preserve">, non-profit organizations and government authorities </w:t>
      </w:r>
      <w:r>
        <w:rPr>
          <w:rFonts w:ascii="Calibri" w:eastAsia="Times New Roman" w:hAnsi="Calibri" w:cs="Calibri"/>
          <w:color w:val="000000"/>
          <w:lang w:val="en-GB" w:eastAsia="cs-CZ"/>
        </w:rPr>
        <w:t>to implement</w:t>
      </w:r>
      <w:r w:rsidRPr="00177F0B">
        <w:rPr>
          <w:rFonts w:ascii="Calibri" w:eastAsia="Times New Roman" w:hAnsi="Calibri" w:cs="Calibri"/>
          <w:color w:val="000000"/>
          <w:lang w:val="en-GB" w:eastAsia="cs-CZ"/>
        </w:rPr>
        <w:t xml:space="preserve"> social responsibility, which is defined as "the responsibility of organizations for the impact o</w:t>
      </w:r>
      <w:r>
        <w:rPr>
          <w:rFonts w:ascii="Calibri" w:eastAsia="Times New Roman" w:hAnsi="Calibri" w:cs="Calibri"/>
          <w:color w:val="000000"/>
          <w:lang w:val="en-GB" w:eastAsia="cs-CZ"/>
        </w:rPr>
        <w:t>f their activities on society."</w:t>
      </w:r>
    </w:p>
    <w:p w:rsidR="00D00966" w:rsidRPr="007A1B09" w:rsidRDefault="00D04D6E" w:rsidP="00D00966">
      <w:pPr>
        <w:pStyle w:val="Nadpis3"/>
        <w:numPr>
          <w:ilvl w:val="2"/>
          <w:numId w:val="4"/>
        </w:numPr>
        <w:ind w:left="851" w:hanging="851"/>
        <w:rPr>
          <w:lang w:val="en-GB"/>
        </w:rPr>
      </w:pPr>
      <w:bookmarkStart w:id="51" w:name="_Toc385946025"/>
      <w:r>
        <w:rPr>
          <w:lang w:val="en-GB"/>
        </w:rPr>
        <w:t>Transport</w:t>
      </w:r>
      <w:r w:rsidR="003237CF" w:rsidRPr="007A1B09">
        <w:rPr>
          <w:lang w:val="en-GB"/>
        </w:rPr>
        <w:t xml:space="preserve"> infrastru</w:t>
      </w:r>
      <w:r>
        <w:rPr>
          <w:lang w:val="en-GB"/>
        </w:rPr>
        <w:t>c</w:t>
      </w:r>
      <w:r w:rsidR="003237CF" w:rsidRPr="007A1B09">
        <w:rPr>
          <w:lang w:val="en-GB"/>
        </w:rPr>
        <w:t>tur</w:t>
      </w:r>
      <w:r>
        <w:rPr>
          <w:lang w:val="en-GB"/>
        </w:rPr>
        <w:t>e</w:t>
      </w:r>
      <w:bookmarkEnd w:id="51"/>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current state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Czech transport network in terms of quality and functionality</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far below the level of the 15</w:t>
      </w:r>
      <w:r>
        <w:rPr>
          <w:rFonts w:ascii="Calibri" w:eastAsia="Times New Roman" w:hAnsi="Calibri" w:cs="Calibri"/>
          <w:color w:val="000000"/>
          <w:lang w:val="en-GB" w:eastAsia="cs-CZ"/>
        </w:rPr>
        <w:t xml:space="preserve"> original </w:t>
      </w:r>
      <w:r w:rsidRPr="00177F0B">
        <w:rPr>
          <w:rFonts w:ascii="Calibri" w:eastAsia="Times New Roman" w:hAnsi="Calibri" w:cs="Calibri"/>
          <w:color w:val="000000"/>
          <w:lang w:val="en-GB" w:eastAsia="cs-CZ"/>
        </w:rPr>
        <w:t>member</w:t>
      </w:r>
      <w:r>
        <w:rPr>
          <w:rFonts w:ascii="Calibri" w:eastAsia="Times New Roman" w:hAnsi="Calibri" w:cs="Calibri"/>
          <w:color w:val="000000"/>
          <w:lang w:val="en-GB" w:eastAsia="cs-CZ"/>
        </w:rPr>
        <w:t xml:space="preserve"> states</w:t>
      </w:r>
      <w:r w:rsidRPr="00177F0B">
        <w:rPr>
          <w:rFonts w:ascii="Calibri" w:eastAsia="Times New Roman" w:hAnsi="Calibri" w:cs="Calibri"/>
          <w:color w:val="000000"/>
          <w:lang w:val="en-GB" w:eastAsia="cs-CZ"/>
        </w:rPr>
        <w:t xml:space="preserve">. This condition is regarded as one </w:t>
      </w:r>
      <w:r>
        <w:rPr>
          <w:rFonts w:ascii="Calibri" w:eastAsia="Times New Roman" w:hAnsi="Calibri" w:cs="Calibri"/>
          <w:color w:val="000000"/>
          <w:lang w:val="en-GB" w:eastAsia="cs-CZ"/>
        </w:rPr>
        <w:t>of the main obstacles to achieve</w:t>
      </w:r>
      <w:r w:rsidRPr="00177F0B">
        <w:rPr>
          <w:rFonts w:ascii="Calibri" w:eastAsia="Times New Roman" w:hAnsi="Calibri" w:cs="Calibri"/>
          <w:color w:val="000000"/>
          <w:lang w:val="en-GB" w:eastAsia="cs-CZ"/>
        </w:rPr>
        <w:t xml:space="preserve"> higher rates of economic growth in the country.</w:t>
      </w:r>
      <w:r w:rsidRPr="00AB0F65">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considers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ffective completion of the backbone transport infrastructure and connection</w:t>
      </w:r>
      <w:r>
        <w:rPr>
          <w:rFonts w:ascii="Calibri" w:eastAsia="Times New Roman" w:hAnsi="Calibri" w:cs="Calibri"/>
          <w:color w:val="000000"/>
          <w:lang w:val="en-GB" w:eastAsia="cs-CZ"/>
        </w:rPr>
        <w:t xml:space="preserve"> of remaining regions</w:t>
      </w:r>
      <w:r w:rsidRPr="00177F0B">
        <w:rPr>
          <w:rFonts w:ascii="Calibri" w:eastAsia="Times New Roman" w:hAnsi="Calibri" w:cs="Calibri"/>
          <w:color w:val="000000"/>
          <w:lang w:val="en-GB" w:eastAsia="cs-CZ"/>
        </w:rPr>
        <w:t xml:space="preserve"> a</w:t>
      </w:r>
      <w:r>
        <w:rPr>
          <w:rFonts w:ascii="Calibri" w:eastAsia="Times New Roman" w:hAnsi="Calibri" w:cs="Calibri"/>
          <w:color w:val="000000"/>
          <w:lang w:val="en-GB" w:eastAsia="cs-CZ"/>
        </w:rPr>
        <w:t>nd</w:t>
      </w:r>
      <w:r w:rsidRPr="00177F0B">
        <w:rPr>
          <w:rFonts w:ascii="Calibri" w:eastAsia="Times New Roman" w:hAnsi="Calibri" w:cs="Calibri"/>
          <w:color w:val="000000"/>
          <w:lang w:val="en-GB" w:eastAsia="cs-CZ"/>
        </w:rPr>
        <w:t xml:space="preserve"> major industrial centres</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the m</w:t>
      </w:r>
      <w:r>
        <w:rPr>
          <w:rFonts w:ascii="Calibri" w:eastAsia="Times New Roman" w:hAnsi="Calibri" w:cs="Calibri"/>
          <w:color w:val="000000"/>
          <w:lang w:val="en-GB" w:eastAsia="cs-CZ"/>
        </w:rPr>
        <w:t xml:space="preserve">ajor Czech and European routes as a </w:t>
      </w:r>
      <w:r w:rsidRPr="00177F0B">
        <w:rPr>
          <w:rFonts w:ascii="Calibri" w:eastAsia="Times New Roman" w:hAnsi="Calibri" w:cs="Calibri"/>
          <w:color w:val="000000"/>
          <w:lang w:val="en-GB" w:eastAsia="cs-CZ"/>
        </w:rPr>
        <w:t>necessary condition for the renewal of sustainable economic growth b</w:t>
      </w:r>
      <w:r>
        <w:rPr>
          <w:rFonts w:ascii="Calibri" w:eastAsia="Times New Roman" w:hAnsi="Calibri" w:cs="Calibri"/>
          <w:color w:val="000000"/>
          <w:lang w:val="en-GB" w:eastAsia="cs-CZ"/>
        </w:rPr>
        <w:t>ased on the improvement of</w:t>
      </w:r>
      <w:r w:rsidRPr="00177F0B">
        <w:rPr>
          <w:rFonts w:ascii="Calibri" w:eastAsia="Times New Roman" w:hAnsi="Calibri" w:cs="Calibri"/>
          <w:color w:val="000000"/>
          <w:lang w:val="en-GB" w:eastAsia="cs-CZ"/>
        </w:rPr>
        <w:t xml:space="preserve"> the competitiveness of the Czech economy, inc</w:t>
      </w:r>
      <w:r>
        <w:rPr>
          <w:rFonts w:ascii="Calibri" w:eastAsia="Times New Roman" w:hAnsi="Calibri" w:cs="Calibri"/>
          <w:color w:val="000000"/>
          <w:lang w:val="en-GB" w:eastAsia="cs-CZ"/>
        </w:rPr>
        <w:t>luding the removal of barriers of</w:t>
      </w:r>
      <w:r w:rsidRPr="00177F0B">
        <w:rPr>
          <w:rFonts w:ascii="Calibri" w:eastAsia="Times New Roman" w:hAnsi="Calibri" w:cs="Calibri"/>
          <w:color w:val="000000"/>
          <w:lang w:val="en-GB" w:eastAsia="cs-CZ"/>
        </w:rPr>
        <w:t xml:space="preserve"> entrepreneurship in regions with poor transport infrastructure.</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Effective strategic planning and its implementation</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2013, the Government approved two key strategic documents </w:t>
      </w:r>
      <w:r>
        <w:rPr>
          <w:rFonts w:ascii="Calibri" w:eastAsia="Times New Roman" w:hAnsi="Calibri" w:cs="Calibri"/>
          <w:color w:val="000000"/>
          <w:lang w:val="en-GB" w:eastAsia="cs-CZ"/>
        </w:rPr>
        <w:t>of the sector</w:t>
      </w:r>
      <w:r w:rsidRPr="00177F0B">
        <w:rPr>
          <w:rFonts w:ascii="Calibri" w:eastAsia="Times New Roman" w:hAnsi="Calibri" w:cs="Calibri"/>
          <w:color w:val="000000"/>
          <w:lang w:val="en-GB" w:eastAsia="cs-CZ"/>
        </w:rPr>
        <w:t xml:space="preserve"> - Transport Policy </w:t>
      </w:r>
      <w:r>
        <w:rPr>
          <w:rFonts w:ascii="Calibri" w:eastAsia="Times New Roman" w:hAnsi="Calibri" w:cs="Calibri"/>
          <w:color w:val="000000"/>
          <w:lang w:val="en-GB" w:eastAsia="cs-CZ"/>
        </w:rPr>
        <w:t xml:space="preserve">for the period 2014-2020 with an outlook </w:t>
      </w:r>
      <w:r w:rsidRPr="00177F0B">
        <w:rPr>
          <w:rFonts w:ascii="Calibri" w:eastAsia="Times New Roman" w:hAnsi="Calibri" w:cs="Calibri"/>
          <w:color w:val="000000"/>
          <w:lang w:val="en-GB" w:eastAsia="cs-CZ"/>
        </w:rPr>
        <w:t>to 2050 and the Transport Sector Strateg</w:t>
      </w:r>
      <w:r>
        <w:rPr>
          <w:rFonts w:ascii="Calibri" w:eastAsia="Times New Roman" w:hAnsi="Calibri" w:cs="Calibri"/>
          <w:color w:val="000000"/>
          <w:lang w:val="en-GB" w:eastAsia="cs-CZ"/>
        </w:rPr>
        <w:t>ies</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The </w:t>
      </w:r>
      <w:r w:rsidRPr="00177F0B">
        <w:rPr>
          <w:rFonts w:ascii="Calibri" w:eastAsia="Times New Roman" w:hAnsi="Calibri" w:cs="Calibri"/>
          <w:color w:val="000000"/>
          <w:lang w:val="en-GB" w:eastAsia="cs-CZ"/>
        </w:rPr>
        <w:t>Document </w:t>
      </w:r>
      <w:r w:rsidRPr="00177F0B">
        <w:rPr>
          <w:rFonts w:ascii="Calibri" w:eastAsia="Times New Roman" w:hAnsi="Calibri" w:cs="Calibri"/>
          <w:b/>
          <w:bCs/>
          <w:color w:val="000000"/>
          <w:lang w:val="en-GB" w:eastAsia="cs-CZ"/>
        </w:rPr>
        <w:t>Transport Sector Strateg</w:t>
      </w:r>
      <w:r>
        <w:rPr>
          <w:rFonts w:ascii="Calibri" w:eastAsia="Times New Roman" w:hAnsi="Calibri" w:cs="Calibri"/>
          <w:b/>
          <w:bCs/>
          <w:color w:val="000000"/>
          <w:lang w:val="en-GB" w:eastAsia="cs-CZ"/>
        </w:rPr>
        <w:t>ies</w:t>
      </w:r>
      <w:r w:rsidRPr="00177F0B">
        <w:rPr>
          <w:rFonts w:ascii="Calibri" w:eastAsia="Times New Roman" w:hAnsi="Calibri" w:cs="Calibri"/>
          <w:color w:val="000000"/>
          <w:lang w:val="en-GB" w:eastAsia="cs-CZ"/>
        </w:rPr>
        <w:t xml:space="preserve"> is the key strategic document </w:t>
      </w:r>
      <w:r>
        <w:rPr>
          <w:rFonts w:ascii="Calibri" w:eastAsia="Times New Roman" w:hAnsi="Calibri" w:cs="Calibri"/>
          <w:color w:val="000000"/>
          <w:lang w:val="en-GB" w:eastAsia="cs-CZ"/>
        </w:rPr>
        <w:t>to ensure</w:t>
      </w:r>
      <w:r w:rsidRPr="00177F0B">
        <w:rPr>
          <w:rFonts w:ascii="Calibri" w:eastAsia="Times New Roman" w:hAnsi="Calibri" w:cs="Calibri"/>
          <w:color w:val="000000"/>
          <w:lang w:val="en-GB" w:eastAsia="cs-CZ"/>
        </w:rPr>
        <w:t xml:space="preserve"> operation and development of the Czech transport infrastructure, and in particular it is the starting point for determining the objectives of the Operational Programme Transport. </w:t>
      </w:r>
      <w:r>
        <w:rPr>
          <w:rFonts w:ascii="Calibri" w:eastAsia="Times New Roman" w:hAnsi="Calibri" w:cs="Calibri"/>
          <w:color w:val="000000"/>
          <w:lang w:val="en-GB" w:eastAsia="cs-CZ"/>
        </w:rPr>
        <w:t>Implemented o</w:t>
      </w:r>
      <w:r w:rsidRPr="00177F0B">
        <w:rPr>
          <w:rFonts w:ascii="Calibri" w:eastAsia="Times New Roman" w:hAnsi="Calibri" w:cs="Calibri"/>
          <w:color w:val="000000"/>
          <w:lang w:val="en-GB" w:eastAsia="cs-CZ"/>
        </w:rPr>
        <w:t xml:space="preserve">n the basis of these documents </w:t>
      </w:r>
      <w:r>
        <w:rPr>
          <w:rFonts w:ascii="Calibri" w:eastAsia="Times New Roman" w:hAnsi="Calibri" w:cs="Calibri"/>
          <w:color w:val="000000"/>
          <w:lang w:val="en-GB" w:eastAsia="cs-CZ"/>
        </w:rPr>
        <w:t xml:space="preserve">will be </w:t>
      </w:r>
      <w:r w:rsidRPr="00177F0B">
        <w:rPr>
          <w:rFonts w:ascii="Calibri" w:eastAsia="Times New Roman" w:hAnsi="Calibri" w:cs="Calibri"/>
          <w:color w:val="000000"/>
          <w:lang w:val="en-GB" w:eastAsia="cs-CZ"/>
        </w:rPr>
        <w:t xml:space="preserve">the annual planning process of building preparation, initiation of the process of restructuring investor organizations and the </w:t>
      </w:r>
      <w:r>
        <w:rPr>
          <w:rFonts w:ascii="Calibri" w:eastAsia="Times New Roman" w:hAnsi="Calibri" w:cs="Calibri"/>
          <w:color w:val="000000"/>
          <w:lang w:val="en-GB" w:eastAsia="cs-CZ"/>
        </w:rPr>
        <w:t>connection</w:t>
      </w:r>
      <w:r w:rsidRPr="00177F0B">
        <w:rPr>
          <w:rFonts w:ascii="Calibri" w:eastAsia="Times New Roman" w:hAnsi="Calibri" w:cs="Calibri"/>
          <w:color w:val="000000"/>
          <w:lang w:val="en-GB" w:eastAsia="cs-CZ"/>
        </w:rPr>
        <w:t xml:space="preserve"> of the most important investment projects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transport infrastructure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the state budget. </w:t>
      </w:r>
      <w:r>
        <w:rPr>
          <w:rFonts w:ascii="Calibri" w:eastAsia="Times New Roman" w:hAnsi="Calibri" w:cs="Calibri"/>
          <w:color w:val="000000"/>
          <w:lang w:val="en-GB" w:eastAsia="cs-CZ"/>
        </w:rPr>
        <w:t>In the document</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Transport Policy of the C</w:t>
      </w:r>
      <w:r>
        <w:rPr>
          <w:rFonts w:ascii="Calibri" w:eastAsia="Times New Roman" w:hAnsi="Calibri" w:cs="Calibri"/>
          <w:b/>
          <w:bCs/>
          <w:color w:val="000000"/>
          <w:lang w:val="en-GB" w:eastAsia="cs-CZ"/>
        </w:rPr>
        <w:t xml:space="preserve">zech </w:t>
      </w:r>
      <w:r w:rsidRPr="00177F0B">
        <w:rPr>
          <w:rFonts w:ascii="Calibri" w:eastAsia="Times New Roman" w:hAnsi="Calibri" w:cs="Calibri"/>
          <w:b/>
          <w:bCs/>
          <w:color w:val="000000"/>
          <w:lang w:val="en-GB" w:eastAsia="cs-CZ"/>
        </w:rPr>
        <w:t>R</w:t>
      </w:r>
      <w:r>
        <w:rPr>
          <w:rFonts w:ascii="Calibri" w:eastAsia="Times New Roman" w:hAnsi="Calibri" w:cs="Calibri"/>
          <w:b/>
          <w:bCs/>
          <w:color w:val="000000"/>
          <w:lang w:val="en-GB" w:eastAsia="cs-CZ"/>
        </w:rPr>
        <w:t xml:space="preserve">epublic </w:t>
      </w:r>
      <w:r w:rsidRPr="00AB0F65">
        <w:rPr>
          <w:rFonts w:ascii="Calibri" w:eastAsia="Times New Roman" w:hAnsi="Calibri" w:cs="Calibri"/>
          <w:bCs/>
          <w:color w:val="000000"/>
          <w:lang w:val="en-GB" w:eastAsia="cs-CZ"/>
        </w:rPr>
        <w:t>the</w:t>
      </w:r>
      <w:r>
        <w:rPr>
          <w:rFonts w:ascii="Calibri" w:eastAsia="Times New Roman" w:hAnsi="Calibri" w:cs="Calibri"/>
          <w:color w:val="000000"/>
          <w:lang w:val="en-GB" w:eastAsia="cs-CZ"/>
        </w:rPr>
        <w:t> g</w:t>
      </w:r>
      <w:r w:rsidRPr="00177F0B">
        <w:rPr>
          <w:rFonts w:ascii="Calibri" w:eastAsia="Times New Roman" w:hAnsi="Calibri" w:cs="Calibri"/>
          <w:color w:val="000000"/>
          <w:lang w:val="en-GB" w:eastAsia="cs-CZ"/>
        </w:rPr>
        <w:t xml:space="preserve">overnment identifies the main problems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the sector and prop</w:t>
      </w:r>
      <w:r>
        <w:rPr>
          <w:rFonts w:ascii="Calibri" w:eastAsia="Times New Roman" w:hAnsi="Calibri" w:cs="Calibri"/>
          <w:color w:val="000000"/>
          <w:lang w:val="en-GB" w:eastAsia="cs-CZ"/>
        </w:rPr>
        <w:t>oses measures to address them. This is</w:t>
      </w:r>
      <w:r w:rsidRPr="00177F0B">
        <w:rPr>
          <w:rFonts w:ascii="Calibri" w:eastAsia="Times New Roman" w:hAnsi="Calibri" w:cs="Calibri"/>
          <w:color w:val="000000"/>
          <w:lang w:val="en-GB" w:eastAsia="cs-CZ"/>
        </w:rPr>
        <w:t xml:space="preserve"> followed by </w:t>
      </w:r>
      <w:r>
        <w:rPr>
          <w:rFonts w:ascii="Calibri" w:eastAsia="Times New Roman" w:hAnsi="Calibri" w:cs="Calibri"/>
          <w:color w:val="000000"/>
          <w:lang w:val="en-GB" w:eastAsia="cs-CZ"/>
        </w:rPr>
        <w:t>individual</w:t>
      </w:r>
      <w:r w:rsidRPr="00177F0B">
        <w:rPr>
          <w:rFonts w:ascii="Calibri" w:eastAsia="Times New Roman" w:hAnsi="Calibri" w:cs="Calibri"/>
          <w:color w:val="000000"/>
          <w:lang w:val="en-GB" w:eastAsia="cs-CZ"/>
        </w:rPr>
        <w:t xml:space="preserve"> sub-strategies that further elaborate</w:t>
      </w:r>
      <w:r>
        <w:rPr>
          <w:rFonts w:ascii="Calibri" w:eastAsia="Times New Roman" w:hAnsi="Calibri" w:cs="Calibri"/>
          <w:color w:val="000000"/>
          <w:lang w:val="en-GB" w:eastAsia="cs-CZ"/>
        </w:rPr>
        <w:t xml:space="preserve"> on</w:t>
      </w:r>
      <w:r w:rsidRPr="00177F0B">
        <w:rPr>
          <w:rFonts w:ascii="Calibri" w:eastAsia="Times New Roman" w:hAnsi="Calibri" w:cs="Calibri"/>
          <w:color w:val="000000"/>
          <w:lang w:val="en-GB" w:eastAsia="cs-CZ"/>
        </w:rPr>
        <w:t xml:space="preserve"> solutions and funding within the different areas. The key priorities include, among others, the development of transport infrastructure (Transport Sector Strategy), harmonization of conditions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the transport market, the development of rail and water transport, improving the quality of road transport, the promotion of multimodal transport systems and </w:t>
      </w:r>
      <w:r>
        <w:rPr>
          <w:rFonts w:ascii="Calibri" w:eastAsia="Times New Roman" w:hAnsi="Calibri" w:cs="Calibri"/>
          <w:color w:val="000000"/>
          <w:lang w:val="en-GB" w:eastAsia="cs-CZ"/>
        </w:rPr>
        <w:t>the restriction of</w:t>
      </w:r>
      <w:r w:rsidRPr="00177F0B">
        <w:rPr>
          <w:rFonts w:ascii="Calibri" w:eastAsia="Times New Roman" w:hAnsi="Calibri" w:cs="Calibri"/>
          <w:color w:val="000000"/>
          <w:lang w:val="en-GB" w:eastAsia="cs-CZ"/>
        </w:rPr>
        <w:t xml:space="preserve"> the effects of transport on th</w:t>
      </w:r>
      <w:r>
        <w:rPr>
          <w:rFonts w:ascii="Calibri" w:eastAsia="Times New Roman" w:hAnsi="Calibri" w:cs="Calibri"/>
          <w:color w:val="000000"/>
          <w:lang w:val="en-GB" w:eastAsia="cs-CZ"/>
        </w:rPr>
        <w:t>e environment and public health by</w:t>
      </w:r>
      <w:r w:rsidRPr="00177F0B">
        <w:rPr>
          <w:rFonts w:ascii="Calibri" w:eastAsia="Times New Roman" w:hAnsi="Calibri" w:cs="Calibri"/>
          <w:color w:val="000000"/>
          <w:lang w:val="en-GB" w:eastAsia="cs-CZ"/>
        </w:rPr>
        <w:t xml:space="preserve"> using alternative types of fuel (natural gas, electricity, LPG) and support</w:t>
      </w:r>
      <w:r>
        <w:rPr>
          <w:rFonts w:ascii="Calibri" w:eastAsia="Times New Roman" w:hAnsi="Calibri" w:cs="Calibri"/>
          <w:color w:val="000000"/>
          <w:lang w:val="en-GB" w:eastAsia="cs-CZ"/>
        </w:rPr>
        <w:t>ing the</w:t>
      </w:r>
      <w:r w:rsidRPr="00177F0B">
        <w:rPr>
          <w:rFonts w:ascii="Calibri" w:eastAsia="Times New Roman" w:hAnsi="Calibri" w:cs="Calibri"/>
          <w:color w:val="000000"/>
          <w:lang w:val="en-GB" w:eastAsia="cs-CZ"/>
        </w:rPr>
        <w:t xml:space="preserve"> infrastructure for alternative fuels. By the end of 2014, the government </w:t>
      </w:r>
      <w:r>
        <w:rPr>
          <w:rFonts w:ascii="Calibri" w:eastAsia="Times New Roman" w:hAnsi="Calibri" w:cs="Calibri"/>
          <w:color w:val="000000"/>
          <w:lang w:val="en-GB" w:eastAsia="cs-CZ"/>
        </w:rPr>
        <w:t xml:space="preserve">shall </w:t>
      </w:r>
      <w:r w:rsidRPr="00177F0B">
        <w:rPr>
          <w:rFonts w:ascii="Calibri" w:eastAsia="Times New Roman" w:hAnsi="Calibri" w:cs="Calibri"/>
          <w:color w:val="000000"/>
          <w:lang w:val="en-GB" w:eastAsia="cs-CZ"/>
        </w:rPr>
        <w:t>submit a draft </w:t>
      </w:r>
      <w:r w:rsidRPr="00177F0B">
        <w:rPr>
          <w:rFonts w:ascii="Calibri" w:eastAsia="Times New Roman" w:hAnsi="Calibri" w:cs="Calibri"/>
          <w:b/>
          <w:bCs/>
          <w:color w:val="000000"/>
          <w:lang w:val="en-GB" w:eastAsia="cs-CZ"/>
        </w:rPr>
        <w:t>National Action Plan for Clean Mobility in the Czech Republic</w:t>
      </w:r>
      <w:r w:rsidRPr="00177F0B">
        <w:rPr>
          <w:rFonts w:ascii="Calibri" w:eastAsia="Times New Roman" w:hAnsi="Calibri" w:cs="Calibri"/>
          <w:color w:val="000000"/>
          <w:lang w:val="en-GB" w:eastAsia="cs-CZ"/>
        </w:rPr>
        <w:t xml:space="preserve">, which will set targets for the Czech Republic </w:t>
      </w:r>
      <w:r>
        <w:rPr>
          <w:rFonts w:ascii="Calibri" w:eastAsia="Times New Roman" w:hAnsi="Calibri" w:cs="Calibri"/>
          <w:color w:val="000000"/>
          <w:lang w:val="en-GB" w:eastAsia="cs-CZ"/>
        </w:rPr>
        <w:t>regarding the</w:t>
      </w:r>
      <w:r w:rsidRPr="00177F0B">
        <w:rPr>
          <w:rFonts w:ascii="Calibri" w:eastAsia="Times New Roman" w:hAnsi="Calibri" w:cs="Calibri"/>
          <w:color w:val="000000"/>
          <w:lang w:val="en-GB" w:eastAsia="cs-CZ"/>
        </w:rPr>
        <w:t xml:space="preserve"> support of alternative fuel vehicles.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Priority projects in infrastructure</w:t>
      </w:r>
    </w:p>
    <w:p w:rsidR="00DB5A14" w:rsidRPr="00D04D6E" w:rsidRDefault="00D04D6E" w:rsidP="00DB5A14">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Among the priority projects in the field of railway infrastructure </w:t>
      </w:r>
      <w:r>
        <w:rPr>
          <w:rFonts w:ascii="Calibri" w:eastAsia="Times New Roman" w:hAnsi="Calibri" w:cs="Calibri"/>
          <w:color w:val="000000"/>
          <w:lang w:val="en-GB" w:eastAsia="cs-CZ"/>
        </w:rPr>
        <w:t>are primarily</w:t>
      </w:r>
      <w:r w:rsidRPr="00177F0B">
        <w:rPr>
          <w:rFonts w:ascii="Calibri" w:eastAsia="Times New Roman" w:hAnsi="Calibri" w:cs="Calibri"/>
          <w:color w:val="000000"/>
          <w:lang w:val="en-GB" w:eastAsia="cs-CZ"/>
        </w:rPr>
        <w:t xml:space="preserve"> the completion o</w:t>
      </w:r>
      <w:r>
        <w:rPr>
          <w:rFonts w:ascii="Calibri" w:eastAsia="Times New Roman" w:hAnsi="Calibri" w:cs="Calibri"/>
          <w:color w:val="000000"/>
          <w:lang w:val="en-GB" w:eastAsia="cs-CZ"/>
        </w:rPr>
        <w:t>f the railway transit corridors</w:t>
      </w:r>
      <w:r w:rsidRPr="00177F0B">
        <w:rPr>
          <w:rFonts w:ascii="Calibri" w:eastAsia="Times New Roman" w:hAnsi="Calibri" w:cs="Calibri"/>
          <w:color w:val="000000"/>
          <w:lang w:val="en-GB" w:eastAsia="cs-CZ"/>
        </w:rPr>
        <w:t xml:space="preserve"> including rail </w:t>
      </w:r>
      <w:r>
        <w:rPr>
          <w:rFonts w:ascii="Calibri" w:eastAsia="Times New Roman" w:hAnsi="Calibri" w:cs="Calibri"/>
          <w:color w:val="000000"/>
          <w:lang w:val="en-GB" w:eastAsia="cs-CZ"/>
        </w:rPr>
        <w:t>hubs</w:t>
      </w:r>
      <w:r w:rsidRPr="00177F0B">
        <w:rPr>
          <w:rFonts w:ascii="Calibri" w:eastAsia="Times New Roman" w:hAnsi="Calibri" w:cs="Calibri"/>
          <w:color w:val="000000"/>
          <w:lang w:val="en-GB" w:eastAsia="cs-CZ"/>
        </w:rPr>
        <w:t xml:space="preserve"> (2018) and the modernization of lines on the main TEN-T network. Among the priority projects in the field of road infrastructure </w:t>
      </w:r>
      <w:r>
        <w:rPr>
          <w:rFonts w:ascii="Calibri" w:eastAsia="Times New Roman" w:hAnsi="Calibri" w:cs="Calibri"/>
          <w:color w:val="000000"/>
          <w:lang w:val="en-GB" w:eastAsia="cs-CZ"/>
        </w:rPr>
        <w:t>is primarily</w:t>
      </w:r>
      <w:r w:rsidRPr="00177F0B">
        <w:rPr>
          <w:rFonts w:ascii="Calibri" w:eastAsia="Times New Roman" w:hAnsi="Calibri" w:cs="Calibri"/>
          <w:color w:val="000000"/>
          <w:lang w:val="en-GB" w:eastAsia="cs-CZ"/>
        </w:rPr>
        <w:t xml:space="preserve"> the construction of new highways and road sections on the main global network and the TEN-T (2050). In the area</w:t>
      </w:r>
      <w:r>
        <w:rPr>
          <w:rFonts w:ascii="Calibri" w:eastAsia="Times New Roman" w:hAnsi="Calibri" w:cs="Calibri"/>
          <w:color w:val="000000"/>
          <w:lang w:val="en-GB" w:eastAsia="cs-CZ"/>
        </w:rPr>
        <w:t xml:space="preserve"> of ​​inland waterway transport the g</w:t>
      </w:r>
      <w:r w:rsidRPr="00177F0B">
        <w:rPr>
          <w:rFonts w:ascii="Calibri" w:eastAsia="Times New Roman" w:hAnsi="Calibri" w:cs="Calibri"/>
          <w:color w:val="000000"/>
          <w:lang w:val="en-GB" w:eastAsia="cs-CZ"/>
        </w:rPr>
        <w:t xml:space="preserve">overnment will continue to deal with the problems of navigability (including international </w:t>
      </w:r>
      <w:r>
        <w:rPr>
          <w:rFonts w:ascii="Calibri" w:eastAsia="Times New Roman" w:hAnsi="Calibri" w:cs="Calibri"/>
          <w:color w:val="000000"/>
          <w:lang w:val="en-GB" w:eastAsia="cs-CZ"/>
        </w:rPr>
        <w:t>relations</w:t>
      </w:r>
      <w:r w:rsidRPr="00177F0B">
        <w:rPr>
          <w:rFonts w:ascii="Calibri" w:eastAsia="Times New Roman" w:hAnsi="Calibri" w:cs="Calibri"/>
          <w:color w:val="000000"/>
          <w:lang w:val="en-GB" w:eastAsia="cs-CZ"/>
        </w:rPr>
        <w:t xml:space="preserve">) and the reliability of the </w:t>
      </w:r>
      <w:r>
        <w:rPr>
          <w:rFonts w:ascii="Calibri" w:eastAsia="Times New Roman" w:hAnsi="Calibri" w:cs="Calibri"/>
          <w:color w:val="000000"/>
          <w:lang w:val="en-GB" w:eastAsia="cs-CZ"/>
        </w:rPr>
        <w:t>Labe-Vltava waterway</w:t>
      </w:r>
      <w:r>
        <w:rPr>
          <w:rFonts w:ascii="Calibri" w:eastAsia="Times New Roman" w:hAnsi="Calibri" w:cs="Calibri"/>
          <w:color w:val="000000"/>
          <w:lang w:val="en-US" w:eastAsia="cs-CZ"/>
        </w:rPr>
        <w:t>;</w:t>
      </w:r>
      <w:r w:rsidRPr="00177F0B">
        <w:rPr>
          <w:rFonts w:ascii="Calibri" w:eastAsia="Times New Roman" w:hAnsi="Calibri" w:cs="Calibri"/>
          <w:color w:val="000000"/>
          <w:lang w:val="en-GB" w:eastAsia="cs-CZ"/>
        </w:rPr>
        <w:t xml:space="preserve"> a vital priority in the multimodal transport will </w:t>
      </w:r>
      <w:r>
        <w:rPr>
          <w:rFonts w:ascii="Calibri" w:eastAsia="Times New Roman" w:hAnsi="Calibri" w:cs="Calibri"/>
          <w:color w:val="000000"/>
          <w:lang w:val="en-GB" w:eastAsia="cs-CZ"/>
        </w:rPr>
        <w:t xml:space="preserve">be to </w:t>
      </w:r>
      <w:r w:rsidRPr="00177F0B">
        <w:rPr>
          <w:rFonts w:ascii="Calibri" w:eastAsia="Times New Roman" w:hAnsi="Calibri" w:cs="Calibri"/>
          <w:color w:val="000000"/>
          <w:lang w:val="en-GB" w:eastAsia="cs-CZ"/>
        </w:rPr>
        <w:t xml:space="preserve">ensure the availability of resources from European funds for the development of freight transport logistics, especially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use of rail transport. Great attention will be paid to the </w:t>
      </w:r>
      <w:r w:rsidRPr="00177F0B">
        <w:rPr>
          <w:rFonts w:ascii="Calibri" w:eastAsia="Times New Roman" w:hAnsi="Calibri" w:cs="Calibri"/>
          <w:color w:val="000000"/>
          <w:lang w:val="en-GB" w:eastAsia="cs-CZ"/>
        </w:rPr>
        <w:lastRenderedPageBreak/>
        <w:t>improvement of the legislation in the transport sector and the development of intelligent transport systems (ITS), which increase traffic safety, improve traffic management, raise awareness about the situation in the traffic and improve accessibility to public transport. ITS are also</w:t>
      </w:r>
      <w:r>
        <w:rPr>
          <w:rFonts w:ascii="Calibri" w:eastAsia="Times New Roman" w:hAnsi="Calibri" w:cs="Calibri"/>
          <w:color w:val="000000"/>
          <w:lang w:val="en-GB" w:eastAsia="cs-CZ"/>
        </w:rPr>
        <w:t xml:space="preserve"> a</w:t>
      </w:r>
      <w:r w:rsidRPr="00177F0B">
        <w:rPr>
          <w:rFonts w:ascii="Calibri" w:eastAsia="Times New Roman" w:hAnsi="Calibri" w:cs="Calibri"/>
          <w:color w:val="000000"/>
          <w:lang w:val="en-GB" w:eastAsia="cs-CZ"/>
        </w:rPr>
        <w:t xml:space="preserve"> tool for optimization of</w:t>
      </w:r>
      <w:r>
        <w:rPr>
          <w:rFonts w:ascii="Calibri" w:eastAsia="Times New Roman" w:hAnsi="Calibri" w:cs="Calibri"/>
          <w:color w:val="000000"/>
          <w:lang w:val="en-GB" w:eastAsia="cs-CZ"/>
        </w:rPr>
        <w:t xml:space="preserve"> the utilization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infrastructure capacity.</w:t>
      </w:r>
    </w:p>
    <w:p w:rsidR="003237CF" w:rsidRPr="007A1B09" w:rsidRDefault="00D04D6E" w:rsidP="003237CF">
      <w:pPr>
        <w:pStyle w:val="Nadpis3"/>
        <w:numPr>
          <w:ilvl w:val="2"/>
          <w:numId w:val="4"/>
        </w:numPr>
        <w:ind w:left="851" w:hanging="851"/>
        <w:rPr>
          <w:lang w:val="en-GB"/>
        </w:rPr>
      </w:pPr>
      <w:bookmarkStart w:id="52" w:name="_Toc385946026"/>
      <w:r>
        <w:rPr>
          <w:lang w:val="en-GB"/>
        </w:rPr>
        <w:t>Digita</w:t>
      </w:r>
      <w:r w:rsidR="003237CF" w:rsidRPr="007A1B09">
        <w:rPr>
          <w:lang w:val="en-GB"/>
        </w:rPr>
        <w:t>l infrastru</w:t>
      </w:r>
      <w:r>
        <w:rPr>
          <w:lang w:val="en-GB"/>
        </w:rPr>
        <w:t>c</w:t>
      </w:r>
      <w:r w:rsidR="003237CF" w:rsidRPr="007A1B09">
        <w:rPr>
          <w:lang w:val="en-GB"/>
        </w:rPr>
        <w:t>tur</w:t>
      </w:r>
      <w:r>
        <w:rPr>
          <w:lang w:val="en-GB"/>
        </w:rPr>
        <w:t>e</w:t>
      </w:r>
      <w:bookmarkEnd w:id="52"/>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development of digital infrastructure is a </w:t>
      </w:r>
      <w:r>
        <w:rPr>
          <w:rFonts w:ascii="Calibri" w:eastAsia="Times New Roman" w:hAnsi="Calibri" w:cs="Calibri"/>
          <w:color w:val="000000"/>
          <w:lang w:val="en-GB" w:eastAsia="cs-CZ"/>
        </w:rPr>
        <w:t>key</w:t>
      </w:r>
      <w:r w:rsidRPr="00177F0B">
        <w:rPr>
          <w:rFonts w:ascii="Calibri" w:eastAsia="Times New Roman" w:hAnsi="Calibri" w:cs="Calibri"/>
          <w:color w:val="000000"/>
          <w:lang w:val="en-GB" w:eastAsia="cs-CZ"/>
        </w:rPr>
        <w:t xml:space="preserve"> area of ​​development of the Czech economy with positive effects on the technical readiness of enterprises, the influx of foreign investment, labour productivity, </w:t>
      </w:r>
      <w:r>
        <w:rPr>
          <w:rFonts w:ascii="Calibri" w:eastAsia="Times New Roman" w:hAnsi="Calibri" w:cs="Calibri"/>
          <w:color w:val="000000"/>
          <w:lang w:val="en-GB" w:eastAsia="cs-CZ"/>
        </w:rPr>
        <w:t>and</w:t>
      </w:r>
      <w:r w:rsidRPr="00177F0B">
        <w:rPr>
          <w:rFonts w:ascii="Calibri" w:eastAsia="Times New Roman" w:hAnsi="Calibri" w:cs="Calibri"/>
          <w:color w:val="000000"/>
          <w:lang w:val="en-GB" w:eastAsia="cs-CZ"/>
        </w:rPr>
        <w:t xml:space="preserve"> also the overall education of the population.</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On 20</w:t>
      </w:r>
      <w:r w:rsidRPr="00CD5865">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March 2013 the Government approved the National Policy on Electronic Communications </w:t>
      </w:r>
      <w:r w:rsidRPr="00177F0B">
        <w:rPr>
          <w:rFonts w:ascii="Calibri" w:eastAsia="Times New Roman" w:hAnsi="Calibri" w:cs="Calibri"/>
          <w:b/>
          <w:bCs/>
          <w:color w:val="000000"/>
          <w:lang w:val="en-GB" w:eastAsia="cs-CZ"/>
        </w:rPr>
        <w:t>Digital Czech</w:t>
      </w:r>
      <w:r>
        <w:rPr>
          <w:rFonts w:ascii="Calibri" w:eastAsia="Times New Roman" w:hAnsi="Calibri" w:cs="Calibri"/>
          <w:b/>
          <w:bCs/>
          <w:color w:val="000000"/>
          <w:lang w:val="en-GB" w:eastAsia="cs-CZ"/>
        </w:rPr>
        <w:t xml:space="preserve"> Republic v. 2.0-The Path to the Digital E</w:t>
      </w:r>
      <w:r w:rsidRPr="00177F0B">
        <w:rPr>
          <w:rFonts w:ascii="Calibri" w:eastAsia="Times New Roman" w:hAnsi="Calibri" w:cs="Calibri"/>
          <w:b/>
          <w:bCs/>
          <w:color w:val="000000"/>
          <w:lang w:val="en-GB" w:eastAsia="cs-CZ"/>
        </w:rPr>
        <w:t>conomy</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Within the</w:t>
      </w:r>
      <w:r w:rsidRPr="00177F0B">
        <w:rPr>
          <w:rFonts w:ascii="Calibri" w:eastAsia="Times New Roman" w:hAnsi="Calibri" w:cs="Calibri"/>
          <w:color w:val="000000"/>
          <w:lang w:val="en-GB" w:eastAsia="cs-CZ"/>
        </w:rPr>
        <w:t xml:space="preserve"> implementation of the state policy,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inter alia, seek to strengthen the digital economy with emphasis on self-regulatory mechanisms to support the development of high-speed access to the Internet enabling the transmission rate in accordance with the o</w:t>
      </w:r>
      <w:r>
        <w:rPr>
          <w:rFonts w:ascii="Calibri" w:eastAsia="Times New Roman" w:hAnsi="Calibri" w:cs="Calibri"/>
          <w:color w:val="000000"/>
          <w:lang w:val="en-GB" w:eastAsia="cs-CZ"/>
        </w:rPr>
        <w:t>bjectives of the Digital Agenda</w:t>
      </w:r>
      <w:r>
        <w:rPr>
          <w:rStyle w:val="Znakapoznpodarou"/>
          <w:rFonts w:ascii="Calibri" w:eastAsia="Times New Roman" w:hAnsi="Calibri" w:cs="Calibri"/>
          <w:color w:val="000000"/>
          <w:lang w:val="en-GB" w:eastAsia="cs-CZ"/>
        </w:rPr>
        <w:footnoteReference w:id="24"/>
      </w:r>
      <w:r w:rsidRPr="00177F0B">
        <w:rPr>
          <w:rFonts w:ascii="Calibri" w:eastAsia="Times New Roman" w:hAnsi="Calibri" w:cs="Calibri"/>
          <w:color w:val="000000"/>
          <w:lang w:val="en-GB" w:eastAsia="cs-CZ"/>
        </w:rPr>
        <w:t> , the effe</w:t>
      </w:r>
      <w:r>
        <w:rPr>
          <w:rFonts w:ascii="Calibri" w:eastAsia="Times New Roman" w:hAnsi="Calibri" w:cs="Calibri"/>
          <w:color w:val="000000"/>
          <w:lang w:val="en-GB" w:eastAsia="cs-CZ"/>
        </w:rPr>
        <w:t>ctive use of the radio spectrum</w:t>
      </w:r>
      <w:r>
        <w:rPr>
          <w:rStyle w:val="Znakapoznpodarou"/>
          <w:rFonts w:ascii="Calibri" w:eastAsia="Times New Roman" w:hAnsi="Calibri" w:cs="Calibri"/>
          <w:color w:val="000000"/>
          <w:lang w:val="en-GB" w:eastAsia="cs-CZ"/>
        </w:rPr>
        <w:footnoteReference w:id="25"/>
      </w:r>
      <w:r w:rsidRPr="00177F0B">
        <w:rPr>
          <w:rFonts w:ascii="Calibri" w:eastAsia="Times New Roman" w:hAnsi="Calibri" w:cs="Calibri"/>
          <w:color w:val="000000"/>
          <w:lang w:val="en-GB" w:eastAsia="cs-CZ"/>
        </w:rPr>
        <w:t>, increasing the availability o</w:t>
      </w:r>
      <w:r>
        <w:rPr>
          <w:rFonts w:ascii="Calibri" w:eastAsia="Times New Roman" w:hAnsi="Calibri" w:cs="Calibri"/>
          <w:color w:val="000000"/>
          <w:lang w:val="en-GB" w:eastAsia="cs-CZ"/>
        </w:rPr>
        <w:t>f ICT, support digital literacy</w:t>
      </w:r>
      <w:r w:rsidRPr="00177F0B">
        <w:rPr>
          <w:rFonts w:ascii="Calibri" w:eastAsia="Times New Roman" w:hAnsi="Calibri" w:cs="Calibri"/>
          <w:color w:val="000000"/>
          <w:lang w:val="en-GB" w:eastAsia="cs-CZ"/>
        </w:rPr>
        <w:t xml:space="preserve"> and promote legal offers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audio-visual services.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respons</w:t>
      </w:r>
      <w:r>
        <w:rPr>
          <w:rFonts w:ascii="Calibri" w:eastAsia="Times New Roman" w:hAnsi="Calibri" w:cs="Calibri"/>
          <w:color w:val="000000"/>
          <w:lang w:val="en-GB" w:eastAsia="cs-CZ"/>
        </w:rPr>
        <w:t>e to international developments</w:t>
      </w:r>
      <w:r w:rsidRPr="00177F0B">
        <w:rPr>
          <w:rFonts w:ascii="Calibri" w:eastAsia="Times New Roman" w:hAnsi="Calibri" w:cs="Calibri"/>
          <w:color w:val="000000"/>
          <w:lang w:val="en-GB" w:eastAsia="cs-CZ"/>
        </w:rPr>
        <w:t xml:space="preserve"> the government supports the openness of the Int</w:t>
      </w:r>
      <w:r>
        <w:rPr>
          <w:rFonts w:ascii="Calibri" w:eastAsia="Times New Roman" w:hAnsi="Calibri" w:cs="Calibri"/>
          <w:color w:val="000000"/>
          <w:lang w:val="en-GB" w:eastAsia="cs-CZ"/>
        </w:rPr>
        <w:t xml:space="preserve">ernet and freedom of access to it </w:t>
      </w:r>
      <w:r w:rsidRPr="00177F0B">
        <w:rPr>
          <w:rFonts w:ascii="Calibri" w:eastAsia="Times New Roman" w:hAnsi="Calibri" w:cs="Calibri"/>
          <w:color w:val="000000"/>
          <w:lang w:val="en-GB" w:eastAsia="cs-CZ"/>
        </w:rPr>
        <w:t xml:space="preserve">without central </w:t>
      </w:r>
      <w:r>
        <w:rPr>
          <w:rFonts w:ascii="Calibri" w:eastAsia="Times New Roman" w:hAnsi="Calibri" w:cs="Calibri"/>
          <w:color w:val="000000"/>
          <w:lang w:val="en-GB" w:eastAsia="cs-CZ"/>
        </w:rPr>
        <w:t>regulation</w:t>
      </w:r>
      <w:r w:rsidRPr="00177F0B">
        <w:rPr>
          <w:rFonts w:ascii="Calibri" w:eastAsia="Times New Roman" w:hAnsi="Calibri" w:cs="Calibri"/>
          <w:color w:val="000000"/>
          <w:lang w:val="en-GB" w:eastAsia="cs-CZ"/>
        </w:rPr>
        <w:t xml:space="preserve"> interventions and its development with the participation of all stakeholders.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Reducing the cost of construction of high-speed electronic communications networks and simplify</w:t>
      </w:r>
      <w:r>
        <w:rPr>
          <w:rFonts w:ascii="Cambria" w:eastAsia="Times New Roman" w:hAnsi="Cambria" w:cs="Times New Roman"/>
          <w:b/>
          <w:bCs/>
          <w:i/>
          <w:iCs/>
          <w:color w:val="D41616"/>
          <w:lang w:val="en-GB" w:eastAsia="cs-CZ"/>
        </w:rPr>
        <w:t>ing</w:t>
      </w:r>
      <w:r w:rsidRPr="00177F0B">
        <w:rPr>
          <w:rFonts w:ascii="Cambria" w:eastAsia="Times New Roman" w:hAnsi="Cambria" w:cs="Times New Roman"/>
          <w:b/>
          <w:bCs/>
          <w:i/>
          <w:iCs/>
          <w:color w:val="D41616"/>
          <w:lang w:val="en-GB" w:eastAsia="cs-CZ"/>
        </w:rPr>
        <w:t xml:space="preserve"> the construction process</w:t>
      </w:r>
    </w:p>
    <w:p w:rsidR="00FF17A7" w:rsidRPr="00D04D6E" w:rsidRDefault="00D04D6E" w:rsidP="00FF17A7">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Support for the construction of broadband electronic communications in the form of reducing the cost of construction is one of the priority tasks of the government.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Obstacle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to the development of networks can be seen not only in need of financial investments, but especially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administrative complexity associated with </w:t>
      </w:r>
      <w:r>
        <w:rPr>
          <w:rFonts w:ascii="Calibri" w:eastAsia="Times New Roman" w:hAnsi="Calibri" w:cs="Calibri"/>
          <w:color w:val="000000"/>
          <w:lang w:val="en-GB" w:eastAsia="cs-CZ"/>
        </w:rPr>
        <w:t>construction,</w:t>
      </w:r>
      <w:r w:rsidRPr="00177F0B">
        <w:rPr>
          <w:rFonts w:ascii="Calibri" w:eastAsia="Times New Roman" w:hAnsi="Calibri" w:cs="Calibri"/>
          <w:color w:val="000000"/>
          <w:lang w:val="en-GB" w:eastAsia="cs-CZ"/>
        </w:rPr>
        <w:t xml:space="preserve"> diverse practice of building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length of construction </w:t>
      </w:r>
      <w:r>
        <w:rPr>
          <w:rFonts w:ascii="Calibri" w:eastAsia="Times New Roman" w:hAnsi="Calibri" w:cs="Calibri"/>
          <w:color w:val="000000"/>
          <w:lang w:val="en-GB" w:eastAsia="cs-CZ"/>
        </w:rPr>
        <w:t>proceedings</w:t>
      </w:r>
      <w:r w:rsidRPr="00177F0B">
        <w:rPr>
          <w:rFonts w:ascii="Calibri" w:eastAsia="Times New Roman" w:hAnsi="Calibri" w:cs="Calibri"/>
          <w:color w:val="000000"/>
          <w:lang w:val="en-GB" w:eastAsia="cs-CZ"/>
        </w:rPr>
        <w:t xml:space="preserve"> and inconsistent amount of fees associated with easements. The government is aware of its role in this area and intends to help resolve these problems, not only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publishing a</w:t>
      </w:r>
      <w:r w:rsidRPr="00177F0B">
        <w:rPr>
          <w:rFonts w:ascii="Calibri" w:eastAsia="Times New Roman" w:hAnsi="Calibri" w:cs="Calibri"/>
          <w:color w:val="000000"/>
          <w:lang w:val="en-GB" w:eastAsia="cs-CZ"/>
        </w:rPr>
        <w:t xml:space="preserve"> methodology for the building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but possibly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modifications to the legislation. In order to reduce the cost of construction, the government will also transpose the Directive on measures to reduce the cost of deploying high-speed networks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electronic communications, which was </w:t>
      </w:r>
      <w:r>
        <w:rPr>
          <w:rFonts w:ascii="Calibri" w:eastAsia="Times New Roman" w:hAnsi="Calibri" w:cs="Calibri"/>
          <w:color w:val="000000"/>
          <w:lang w:val="en-GB" w:eastAsia="cs-CZ"/>
        </w:rPr>
        <w:t>approved at the European level.</w:t>
      </w:r>
    </w:p>
    <w:p w:rsidR="003237CF" w:rsidRPr="007A1B09" w:rsidRDefault="00D04D6E" w:rsidP="003237CF">
      <w:pPr>
        <w:pStyle w:val="Nadpis3"/>
        <w:numPr>
          <w:ilvl w:val="2"/>
          <w:numId w:val="4"/>
        </w:numPr>
        <w:ind w:left="851" w:hanging="851"/>
        <w:rPr>
          <w:lang w:val="en-GB"/>
        </w:rPr>
      </w:pPr>
      <w:bookmarkStart w:id="53" w:name="_Toc385946027"/>
      <w:r w:rsidRPr="00D04D6E">
        <w:rPr>
          <w:bCs/>
          <w:lang w:val="en-GB"/>
        </w:rPr>
        <w:t>Energ</w:t>
      </w:r>
      <w:r>
        <w:rPr>
          <w:bCs/>
          <w:lang w:val="en-GB"/>
        </w:rPr>
        <w:t>etics</w:t>
      </w:r>
      <w:r w:rsidRPr="00D04D6E">
        <w:rPr>
          <w:bCs/>
          <w:lang w:val="en-GB"/>
        </w:rPr>
        <w:t xml:space="preserve"> and climate protection</w:t>
      </w:r>
      <w:bookmarkEnd w:id="53"/>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The aim of the government regarding</w:t>
      </w:r>
      <w:r w:rsidRPr="00177F0B">
        <w:rPr>
          <w:rFonts w:ascii="Calibri" w:eastAsia="Times New Roman" w:hAnsi="Calibri" w:cs="Calibri"/>
          <w:color w:val="000000"/>
          <w:lang w:val="en-GB" w:eastAsia="cs-CZ"/>
        </w:rPr>
        <w:t xml:space="preserve"> energ</w:t>
      </w:r>
      <w:r>
        <w:rPr>
          <w:rFonts w:ascii="Calibri" w:eastAsia="Times New Roman" w:hAnsi="Calibri" w:cs="Calibri"/>
          <w:color w:val="000000"/>
          <w:lang w:val="en-GB" w:eastAsia="cs-CZ"/>
        </w:rPr>
        <w:t xml:space="preserve">etics </w:t>
      </w:r>
      <w:r w:rsidRPr="00177F0B">
        <w:rPr>
          <w:rFonts w:ascii="Calibri" w:eastAsia="Times New Roman" w:hAnsi="Calibri" w:cs="Calibri"/>
          <w:color w:val="000000"/>
          <w:lang w:val="en-GB" w:eastAsia="cs-CZ"/>
        </w:rPr>
        <w:t xml:space="preserve">and climate protection is to ensure the transition to a competitive low carbon economy and reducing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dependence on fossil fuels.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Climate and energy policy must especially emphasize the balance between the three main pillars of sustainability, competitiveness and security.</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climate and energy package for the period 2020 - 2030</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the negotiations on the final form of the climate-energy package </w:t>
      </w:r>
      <w:r>
        <w:rPr>
          <w:rFonts w:ascii="Calibri" w:eastAsia="Times New Roman" w:hAnsi="Calibri" w:cs="Calibri"/>
          <w:color w:val="000000"/>
          <w:lang w:val="en-GB" w:eastAsia="cs-CZ"/>
        </w:rPr>
        <w:t>the Czech Republic</w:t>
      </w:r>
      <w:r w:rsidRPr="00177F0B">
        <w:rPr>
          <w:rFonts w:ascii="Calibri" w:eastAsia="Times New Roman" w:hAnsi="Calibri" w:cs="Calibri"/>
          <w:color w:val="000000"/>
          <w:lang w:val="en-GB" w:eastAsia="cs-CZ"/>
        </w:rPr>
        <w:t xml:space="preserve"> prefers </w:t>
      </w:r>
      <w:r>
        <w:rPr>
          <w:rFonts w:ascii="Calibri" w:eastAsia="Times New Roman" w:hAnsi="Calibri" w:cs="Calibri"/>
          <w:color w:val="000000"/>
          <w:lang w:val="en-GB" w:eastAsia="cs-CZ"/>
        </w:rPr>
        <w:t>one</w:t>
      </w:r>
      <w:r w:rsidRPr="00177F0B">
        <w:rPr>
          <w:rFonts w:ascii="Calibri" w:eastAsia="Times New Roman" w:hAnsi="Calibri" w:cs="Calibri"/>
          <w:color w:val="000000"/>
          <w:lang w:val="en-GB" w:eastAsia="cs-CZ"/>
        </w:rPr>
        <w:t xml:space="preserve"> binding target to reduce greenhouse gas emissions at the EU level, comple</w:t>
      </w:r>
      <w:r>
        <w:rPr>
          <w:rFonts w:ascii="Calibri" w:eastAsia="Times New Roman" w:hAnsi="Calibri" w:cs="Calibri"/>
          <w:color w:val="000000"/>
          <w:lang w:val="en-GB" w:eastAsia="cs-CZ"/>
        </w:rPr>
        <w:t>mented</w:t>
      </w:r>
      <w:r w:rsidRPr="00177F0B">
        <w:rPr>
          <w:rFonts w:ascii="Calibri" w:eastAsia="Times New Roman" w:hAnsi="Calibri" w:cs="Calibri"/>
          <w:color w:val="000000"/>
          <w:lang w:val="en-GB" w:eastAsia="cs-CZ"/>
        </w:rPr>
        <w:t xml:space="preserve"> with guarantees for fair </w:t>
      </w:r>
      <w:r>
        <w:rPr>
          <w:rFonts w:ascii="Calibri" w:eastAsia="Times New Roman" w:hAnsi="Calibri" w:cs="Calibri"/>
          <w:color w:val="000000"/>
          <w:lang w:val="en-GB" w:eastAsia="cs-CZ"/>
        </w:rPr>
        <w:t>distribution of costs among the</w:t>
      </w:r>
      <w:r w:rsidRPr="00177F0B">
        <w:rPr>
          <w:rFonts w:ascii="Calibri" w:eastAsia="Times New Roman" w:hAnsi="Calibri" w:cs="Calibri"/>
          <w:color w:val="000000"/>
          <w:lang w:val="en-GB" w:eastAsia="cs-CZ"/>
        </w:rPr>
        <w:t xml:space="preserve"> Member States, with respect to the relatively high</w:t>
      </w:r>
      <w:r>
        <w:rPr>
          <w:rFonts w:ascii="Calibri" w:eastAsia="Times New Roman" w:hAnsi="Calibri" w:cs="Calibri"/>
          <w:color w:val="000000"/>
          <w:lang w:val="en-GB" w:eastAsia="cs-CZ"/>
        </w:rPr>
        <w:t>er</w:t>
      </w:r>
      <w:r w:rsidRPr="00177F0B">
        <w:rPr>
          <w:rFonts w:ascii="Calibri" w:eastAsia="Times New Roman" w:hAnsi="Calibri" w:cs="Calibri"/>
          <w:color w:val="000000"/>
          <w:lang w:val="en-GB" w:eastAsia="cs-CZ"/>
        </w:rPr>
        <w:t xml:space="preserve"> costs for low-income Member States (by GDP per capita). The priority of the Czech Republic is also a continuation of the measures to protect energy-intensive industries. In case of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agreement</w:t>
      </w:r>
      <w:r>
        <w:rPr>
          <w:rFonts w:ascii="Calibri" w:eastAsia="Times New Roman" w:hAnsi="Calibri" w:cs="Calibri"/>
          <w:color w:val="000000"/>
          <w:lang w:val="en-GB" w:eastAsia="cs-CZ"/>
        </w:rPr>
        <w:t xml:space="preserve"> between</w:t>
      </w:r>
      <w:r w:rsidRPr="00177F0B">
        <w:rPr>
          <w:rFonts w:ascii="Calibri" w:eastAsia="Times New Roman" w:hAnsi="Calibri" w:cs="Calibri"/>
          <w:color w:val="000000"/>
          <w:lang w:val="en-GB" w:eastAsia="cs-CZ"/>
        </w:rPr>
        <w:t xml:space="preserve"> the world's major producers of greenhouse gases at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COP 21</w:t>
      </w:r>
      <w:r>
        <w:rPr>
          <w:rFonts w:ascii="Calibri" w:eastAsia="Times New Roman" w:hAnsi="Calibri" w:cs="Calibri"/>
          <w:color w:val="000000"/>
          <w:lang w:val="en-GB" w:eastAsia="cs-CZ"/>
        </w:rPr>
        <w:t xml:space="preserve"> meeting</w:t>
      </w:r>
      <w:r w:rsidRPr="00177F0B">
        <w:rPr>
          <w:rFonts w:ascii="Calibri" w:eastAsia="Times New Roman" w:hAnsi="Calibri" w:cs="Calibri"/>
          <w:color w:val="000000"/>
          <w:lang w:val="en-GB" w:eastAsia="cs-CZ"/>
        </w:rPr>
        <w:t xml:space="preserve"> in Paris in 2015, the Czech Republic may also accept </w:t>
      </w:r>
      <w:r>
        <w:rPr>
          <w:rFonts w:ascii="Calibri" w:eastAsia="Times New Roman" w:hAnsi="Calibri" w:cs="Calibri"/>
          <w:color w:val="000000"/>
          <w:lang w:val="en-GB" w:eastAsia="cs-CZ"/>
        </w:rPr>
        <w:t>one</w:t>
      </w:r>
      <w:r w:rsidRPr="00177F0B">
        <w:rPr>
          <w:rFonts w:ascii="Calibri" w:eastAsia="Times New Roman" w:hAnsi="Calibri" w:cs="Calibri"/>
          <w:color w:val="000000"/>
          <w:lang w:val="en-GB" w:eastAsia="cs-CZ"/>
        </w:rPr>
        <w:t xml:space="preserve"> binding target of reducing emissions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40%.</w:t>
      </w:r>
      <w:r>
        <w:rPr>
          <w:rFonts w:ascii="Calibri" w:eastAsia="Times New Roman" w:hAnsi="Calibri" w:cs="Calibri"/>
          <w:color w:val="000000"/>
          <w:lang w:val="en-GB" w:eastAsia="cs-CZ"/>
        </w:rPr>
        <w:t xml:space="preserve"> </w:t>
      </w:r>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further development of renewable energy sources, the C</w:t>
      </w:r>
      <w:r>
        <w:rPr>
          <w:rFonts w:ascii="Calibri" w:eastAsia="Times New Roman" w:hAnsi="Calibri" w:cs="Calibri"/>
          <w:color w:val="000000"/>
          <w:lang w:val="en-GB" w:eastAsia="cs-CZ"/>
        </w:rPr>
        <w:t xml:space="preserve">zech </w:t>
      </w:r>
      <w:r w:rsidRPr="00177F0B">
        <w:rPr>
          <w:rFonts w:ascii="Calibri" w:eastAsia="Times New Roman" w:hAnsi="Calibri" w:cs="Calibri"/>
          <w:color w:val="000000"/>
          <w:lang w:val="en-GB" w:eastAsia="cs-CZ"/>
        </w:rPr>
        <w:t>R</w:t>
      </w:r>
      <w:r>
        <w:rPr>
          <w:rFonts w:ascii="Calibri" w:eastAsia="Times New Roman" w:hAnsi="Calibri" w:cs="Calibri"/>
          <w:color w:val="000000"/>
          <w:lang w:val="en-GB" w:eastAsia="cs-CZ"/>
        </w:rPr>
        <w:t>epublic promotes an</w:t>
      </w:r>
      <w:r w:rsidRPr="00177F0B">
        <w:rPr>
          <w:rFonts w:ascii="Calibri" w:eastAsia="Times New Roman" w:hAnsi="Calibri" w:cs="Calibri"/>
          <w:color w:val="000000"/>
          <w:lang w:val="en-GB" w:eastAsia="cs-CZ"/>
        </w:rPr>
        <w:t xml:space="preserve"> indicative (non-binding) EU-wide target for renewable energy </w:t>
      </w:r>
      <w:r>
        <w:rPr>
          <w:rFonts w:ascii="Calibri" w:eastAsia="Times New Roman" w:hAnsi="Calibri" w:cs="Calibri"/>
          <w:color w:val="000000"/>
          <w:lang w:val="en-GB" w:eastAsia="cs-CZ"/>
        </w:rPr>
        <w:t>in the amount of</w:t>
      </w:r>
      <w:r w:rsidRPr="00177F0B">
        <w:rPr>
          <w:rFonts w:ascii="Calibri" w:eastAsia="Times New Roman" w:hAnsi="Calibri" w:cs="Calibri"/>
          <w:color w:val="000000"/>
          <w:lang w:val="en-GB" w:eastAsia="cs-CZ"/>
        </w:rPr>
        <w:t xml:space="preserve"> 24%, which must be accompanied by </w:t>
      </w:r>
      <w:r w:rsidRPr="00177F0B">
        <w:rPr>
          <w:rFonts w:ascii="Calibri" w:eastAsia="Times New Roman" w:hAnsi="Calibri" w:cs="Calibri"/>
          <w:color w:val="000000"/>
          <w:lang w:val="en-GB" w:eastAsia="cs-CZ"/>
        </w:rPr>
        <w:lastRenderedPageBreak/>
        <w:t>a guarantee of the so</w:t>
      </w:r>
      <w:r>
        <w:rPr>
          <w:rFonts w:ascii="Calibri" w:eastAsia="Times New Roman" w:hAnsi="Calibri" w:cs="Calibri"/>
          <w:color w:val="000000"/>
          <w:lang w:val="en-GB" w:eastAsia="cs-CZ"/>
        </w:rPr>
        <w:t>vereignty of the Member States regarding</w:t>
      </w:r>
      <w:r w:rsidRPr="00177F0B">
        <w:rPr>
          <w:rFonts w:ascii="Calibri" w:eastAsia="Times New Roman" w:hAnsi="Calibri" w:cs="Calibri"/>
          <w:color w:val="000000"/>
          <w:lang w:val="en-GB" w:eastAsia="cs-CZ"/>
        </w:rPr>
        <w:t xml:space="preserve"> the energy mix. In case of the enforcement of higher</w:t>
      </w:r>
      <w:r w:rsidRPr="004B0505">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conditional targets for emissions </w:t>
      </w:r>
      <w:r>
        <w:rPr>
          <w:rFonts w:ascii="Calibri" w:eastAsia="Times New Roman" w:hAnsi="Calibri" w:cs="Calibri"/>
          <w:color w:val="000000"/>
          <w:lang w:val="en-GB" w:eastAsia="cs-CZ"/>
        </w:rPr>
        <w:t xml:space="preserve">the Czech </w:t>
      </w:r>
      <w:r w:rsidRPr="00177F0B">
        <w:rPr>
          <w:rFonts w:ascii="Calibri" w:eastAsia="Times New Roman" w:hAnsi="Calibri" w:cs="Calibri"/>
          <w:color w:val="000000"/>
          <w:lang w:val="en-GB" w:eastAsia="cs-CZ"/>
        </w:rPr>
        <w:t xml:space="preserve">Republic may accept an EU-wide indicative target for renewable energy </w:t>
      </w:r>
      <w:r>
        <w:rPr>
          <w:rFonts w:ascii="Calibri" w:eastAsia="Times New Roman" w:hAnsi="Calibri" w:cs="Calibri"/>
          <w:color w:val="000000"/>
          <w:lang w:val="en-GB" w:eastAsia="cs-CZ"/>
        </w:rPr>
        <w:t>in the amount of</w:t>
      </w:r>
      <w:r w:rsidRPr="00177F0B">
        <w:rPr>
          <w:rFonts w:ascii="Calibri" w:eastAsia="Times New Roman" w:hAnsi="Calibri" w:cs="Calibri"/>
          <w:color w:val="000000"/>
          <w:lang w:val="en-GB" w:eastAsia="cs-CZ"/>
        </w:rPr>
        <w:t xml:space="preserve"> 27% together with the guarantee of the sovereignty of the Member States </w:t>
      </w:r>
      <w:r>
        <w:rPr>
          <w:rFonts w:ascii="Calibri" w:eastAsia="Times New Roman" w:hAnsi="Calibri" w:cs="Calibri"/>
          <w:color w:val="000000"/>
          <w:lang w:val="en-GB" w:eastAsia="cs-CZ"/>
        </w:rPr>
        <w:t xml:space="preserve">regarding the </w:t>
      </w:r>
      <w:r w:rsidRPr="00177F0B">
        <w:rPr>
          <w:rFonts w:ascii="Calibri" w:eastAsia="Times New Roman" w:hAnsi="Calibri" w:cs="Calibri"/>
          <w:color w:val="000000"/>
          <w:lang w:val="en-GB" w:eastAsia="cs-CZ"/>
        </w:rPr>
        <w:t xml:space="preserve">energy mix and the preparation of </w:t>
      </w:r>
      <w:r>
        <w:rPr>
          <w:rFonts w:ascii="Calibri" w:eastAsia="Times New Roman" w:hAnsi="Calibri" w:cs="Calibri"/>
          <w:color w:val="000000"/>
          <w:lang w:val="en-GB" w:eastAsia="cs-CZ"/>
        </w:rPr>
        <w:t>National P</w:t>
      </w:r>
      <w:r w:rsidRPr="00177F0B">
        <w:rPr>
          <w:rFonts w:ascii="Calibri" w:eastAsia="Times New Roman" w:hAnsi="Calibri" w:cs="Calibri"/>
          <w:color w:val="000000"/>
          <w:lang w:val="en-GB" w:eastAsia="cs-CZ"/>
        </w:rPr>
        <w:t>lans at the national level without an iterative process with the Commission, the mere notification to the Commission and submi</w:t>
      </w:r>
      <w:r>
        <w:rPr>
          <w:rFonts w:ascii="Calibri" w:eastAsia="Times New Roman" w:hAnsi="Calibri" w:cs="Calibri"/>
          <w:color w:val="000000"/>
          <w:lang w:val="en-GB" w:eastAsia="cs-CZ"/>
        </w:rPr>
        <w:t>ssion of</w:t>
      </w:r>
      <w:r w:rsidRPr="00177F0B">
        <w:rPr>
          <w:rFonts w:ascii="Calibri" w:eastAsia="Times New Roman" w:hAnsi="Calibri" w:cs="Calibri"/>
          <w:color w:val="000000"/>
          <w:lang w:val="en-GB" w:eastAsia="cs-CZ"/>
        </w:rPr>
        <w:t xml:space="preserve"> regular evaluation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Improvements in energy efficiency will be analysed in the summer of 2014 on the basis of the review of the implementation of the Directive on energy efficiency. </w:t>
      </w:r>
      <w:r>
        <w:rPr>
          <w:rFonts w:ascii="Calibri" w:eastAsia="Times New Roman" w:hAnsi="Calibri" w:cs="Calibri"/>
          <w:color w:val="000000"/>
          <w:lang w:val="en-GB" w:eastAsia="cs-CZ"/>
        </w:rPr>
        <w:t>The Czech Republic</w:t>
      </w:r>
      <w:r w:rsidRPr="00177F0B">
        <w:rPr>
          <w:rFonts w:ascii="Calibri" w:eastAsia="Times New Roman" w:hAnsi="Calibri" w:cs="Calibri"/>
          <w:color w:val="000000"/>
          <w:lang w:val="en-GB" w:eastAsia="cs-CZ"/>
        </w:rPr>
        <w:t xml:space="preserve"> does not support the adoption of new targets for energy efficiency.</w:t>
      </w:r>
    </w:p>
    <w:p w:rsidR="00D04D6E" w:rsidRPr="00177F0B" w:rsidRDefault="00D04D6E" w:rsidP="00D04D6E">
      <w:pPr>
        <w:rPr>
          <w:rFonts w:ascii="Calibri" w:eastAsia="Times New Roman" w:hAnsi="Calibri" w:cs="Calibri"/>
          <w:color w:val="000000"/>
          <w:lang w:val="en-GB" w:eastAsia="cs-CZ"/>
        </w:rPr>
      </w:pPr>
      <w:r>
        <w:rPr>
          <w:rFonts w:ascii="Calibri" w:eastAsia="Times New Roman" w:hAnsi="Calibri" w:cs="Calibri"/>
          <w:color w:val="000000"/>
          <w:lang w:val="en-GB" w:eastAsia="cs-CZ"/>
        </w:rPr>
        <w:t>The Czech Republic</w:t>
      </w:r>
      <w:r w:rsidRPr="00177F0B">
        <w:rPr>
          <w:rFonts w:ascii="Calibri" w:eastAsia="Times New Roman" w:hAnsi="Calibri" w:cs="Calibri"/>
          <w:color w:val="000000"/>
          <w:lang w:val="en-GB" w:eastAsia="cs-CZ"/>
        </w:rPr>
        <w:t xml:space="preserve"> is strongly committed to the elimination of market distortions and integration of the energy market by 2020 so that the objectives of European climate and energy policy</w:t>
      </w:r>
      <w:r>
        <w:rPr>
          <w:rFonts w:ascii="Calibri" w:eastAsia="Times New Roman" w:hAnsi="Calibri" w:cs="Calibri"/>
          <w:color w:val="000000"/>
          <w:lang w:val="en-GB" w:eastAsia="cs-CZ"/>
        </w:rPr>
        <w:t xml:space="preserve"> would</w:t>
      </w:r>
      <w:r w:rsidRPr="00177F0B">
        <w:rPr>
          <w:rFonts w:ascii="Calibri" w:eastAsia="Times New Roman" w:hAnsi="Calibri" w:cs="Calibri"/>
          <w:color w:val="000000"/>
          <w:lang w:val="en-GB" w:eastAsia="cs-CZ"/>
        </w:rPr>
        <w:t xml:space="preserve"> provoke </w:t>
      </w:r>
      <w:r>
        <w:rPr>
          <w:rFonts w:ascii="Calibri" w:eastAsia="Times New Roman" w:hAnsi="Calibri" w:cs="Calibri"/>
          <w:color w:val="000000"/>
          <w:lang w:val="en-GB" w:eastAsia="cs-CZ"/>
        </w:rPr>
        <w:t xml:space="preserve">necessary </w:t>
      </w:r>
      <w:r w:rsidRPr="00177F0B">
        <w:rPr>
          <w:rFonts w:ascii="Calibri" w:eastAsia="Times New Roman" w:hAnsi="Calibri" w:cs="Calibri"/>
          <w:color w:val="000000"/>
          <w:lang w:val="en-GB" w:eastAsia="cs-CZ"/>
        </w:rPr>
        <w:t xml:space="preserve">action </w:t>
      </w:r>
      <w:r>
        <w:rPr>
          <w:rFonts w:ascii="Calibri" w:eastAsia="Times New Roman" w:hAnsi="Calibri" w:cs="Calibri"/>
          <w:color w:val="000000"/>
          <w:lang w:val="en-GB" w:eastAsia="cs-CZ"/>
        </w:rPr>
        <w:t>by the Member States, be</w:t>
      </w:r>
      <w:r w:rsidRPr="00177F0B">
        <w:rPr>
          <w:rFonts w:ascii="Calibri" w:eastAsia="Times New Roman" w:hAnsi="Calibri" w:cs="Calibri"/>
          <w:color w:val="000000"/>
          <w:lang w:val="en-GB" w:eastAsia="cs-CZ"/>
        </w:rPr>
        <w:t xml:space="preserve"> in line with European targets for the re</w:t>
      </w:r>
      <w:r>
        <w:rPr>
          <w:rFonts w:ascii="Calibri" w:eastAsia="Times New Roman" w:hAnsi="Calibri" w:cs="Calibri"/>
          <w:color w:val="000000"/>
          <w:lang w:val="en-GB" w:eastAsia="cs-CZ"/>
        </w:rPr>
        <w:t>naissance</w:t>
      </w:r>
      <w:r w:rsidRPr="00177F0B">
        <w:rPr>
          <w:rFonts w:ascii="Calibri" w:eastAsia="Times New Roman" w:hAnsi="Calibri" w:cs="Calibri"/>
          <w:color w:val="000000"/>
          <w:lang w:val="en-GB" w:eastAsia="cs-CZ"/>
        </w:rPr>
        <w:t xml:space="preserve"> of the industrial base to support the growth of new industries, ensure market integration, cost efficiency and </w:t>
      </w:r>
      <w:r>
        <w:rPr>
          <w:rFonts w:ascii="Calibri" w:eastAsia="Times New Roman" w:hAnsi="Calibri" w:cs="Calibri"/>
          <w:color w:val="000000"/>
          <w:lang w:val="en-GB" w:eastAsia="cs-CZ"/>
        </w:rPr>
        <w:t>would not distort</w:t>
      </w:r>
      <w:r w:rsidRPr="00177F0B">
        <w:rPr>
          <w:rFonts w:ascii="Calibri" w:eastAsia="Times New Roman" w:hAnsi="Calibri" w:cs="Calibri"/>
          <w:color w:val="000000"/>
          <w:lang w:val="en-GB" w:eastAsia="cs-CZ"/>
        </w:rPr>
        <w:t xml:space="preserve"> competition.</w:t>
      </w:r>
      <w:r>
        <w:rPr>
          <w:rFonts w:ascii="Calibri" w:eastAsia="Times New Roman" w:hAnsi="Calibri" w:cs="Calibri"/>
          <w:color w:val="000000"/>
          <w:lang w:val="en-GB" w:eastAsia="cs-CZ"/>
        </w:rPr>
        <w:t xml:space="preserve"> </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Updating the State Energy </w:t>
      </w:r>
      <w:r>
        <w:rPr>
          <w:rFonts w:ascii="Cambria" w:eastAsia="Times New Roman" w:hAnsi="Cambria" w:cs="Times New Roman"/>
          <w:b/>
          <w:bCs/>
          <w:i/>
          <w:iCs/>
          <w:color w:val="D41616"/>
          <w:lang w:val="en-GB" w:eastAsia="cs-CZ"/>
        </w:rPr>
        <w:t>Concept</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Government policy in the field of energ</w:t>
      </w:r>
      <w:r>
        <w:rPr>
          <w:rFonts w:ascii="Calibri" w:eastAsia="Times New Roman" w:hAnsi="Calibri" w:cs="Calibri"/>
          <w:color w:val="000000"/>
          <w:lang w:val="en-GB" w:eastAsia="cs-CZ"/>
        </w:rPr>
        <w:t xml:space="preserve">etics is </w:t>
      </w:r>
      <w:r w:rsidRPr="00177F0B">
        <w:rPr>
          <w:rFonts w:ascii="Calibri" w:eastAsia="Times New Roman" w:hAnsi="Calibri" w:cs="Calibri"/>
          <w:color w:val="000000"/>
          <w:lang w:val="en-GB" w:eastAsia="cs-CZ"/>
        </w:rPr>
        <w:t xml:space="preserve">formulated </w:t>
      </w:r>
      <w:r>
        <w:rPr>
          <w:rFonts w:ascii="Calibri" w:eastAsia="Times New Roman" w:hAnsi="Calibri" w:cs="Calibri"/>
          <w:color w:val="000000"/>
          <w:lang w:val="en-GB" w:eastAsia="cs-CZ"/>
        </w:rPr>
        <w:t xml:space="preserve">by </w:t>
      </w:r>
      <w:r w:rsidRPr="00177F0B">
        <w:rPr>
          <w:rFonts w:ascii="Calibri" w:eastAsia="Times New Roman" w:hAnsi="Calibri" w:cs="Calibri"/>
          <w:color w:val="000000"/>
          <w:lang w:val="en-GB" w:eastAsia="cs-CZ"/>
        </w:rPr>
        <w:t xml:space="preserve">the </w:t>
      </w:r>
      <w:r w:rsidRPr="00C9242B">
        <w:rPr>
          <w:rFonts w:ascii="Calibri" w:eastAsia="Times New Roman" w:hAnsi="Calibri" w:cs="Calibri"/>
          <w:color w:val="000000"/>
          <w:lang w:val="en-GB" w:eastAsia="cs-CZ"/>
        </w:rPr>
        <w:t xml:space="preserve">State Energy Concept </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SEC</w:t>
      </w:r>
      <w:r w:rsidRPr="00177F0B">
        <w:rPr>
          <w:rFonts w:ascii="Calibri" w:eastAsia="Times New Roman" w:hAnsi="Calibri" w:cs="Calibri"/>
          <w:color w:val="000000"/>
          <w:lang w:val="en-GB" w:eastAsia="cs-CZ"/>
        </w:rPr>
        <w:t xml:space="preserve">). In the first half of 2014, an international discussion </w:t>
      </w:r>
      <w:r>
        <w:rPr>
          <w:rFonts w:ascii="Calibri" w:eastAsia="Times New Roman" w:hAnsi="Calibri" w:cs="Calibri"/>
          <w:color w:val="000000"/>
          <w:lang w:val="en-GB" w:eastAsia="cs-CZ"/>
        </w:rPr>
        <w:t>took place regarding the update of SEC</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 xml:space="preserve">after </w:t>
      </w: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 xml:space="preserve">publication of the </w:t>
      </w:r>
      <w:r w:rsidRPr="00177F0B">
        <w:rPr>
          <w:rFonts w:ascii="Calibri" w:eastAsia="Times New Roman" w:hAnsi="Calibri" w:cs="Calibri"/>
          <w:color w:val="000000"/>
          <w:lang w:val="en-GB" w:eastAsia="cs-CZ"/>
        </w:rPr>
        <w:t>opinion of the competent authority (Ministry of Environment), in accordance with Act No. 100/2001 Coll. </w:t>
      </w:r>
      <w:r>
        <w:rPr>
          <w:rFonts w:ascii="Calibri" w:eastAsia="Times New Roman" w:hAnsi="Calibri" w:cs="Calibri"/>
          <w:color w:val="000000"/>
          <w:lang w:val="en-GB" w:eastAsia="cs-CZ"/>
        </w:rPr>
        <w:t xml:space="preserve">on </w:t>
      </w:r>
      <w:r w:rsidRPr="00177F0B">
        <w:rPr>
          <w:rFonts w:ascii="Calibri" w:eastAsia="Times New Roman" w:hAnsi="Calibri" w:cs="Calibri"/>
          <w:color w:val="000000"/>
          <w:lang w:val="en-GB" w:eastAsia="cs-CZ"/>
        </w:rPr>
        <w:t xml:space="preserve">Assessment of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nvironmental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mpact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SE</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 xml:space="preserve"> update </w:t>
      </w:r>
      <w:r>
        <w:rPr>
          <w:rFonts w:ascii="Calibri" w:eastAsia="Times New Roman" w:hAnsi="Calibri" w:cs="Calibri"/>
          <w:color w:val="000000"/>
          <w:lang w:val="en-GB" w:eastAsia="cs-CZ"/>
        </w:rPr>
        <w:t xml:space="preserve">will be </w:t>
      </w:r>
      <w:r w:rsidRPr="00177F0B">
        <w:rPr>
          <w:rFonts w:ascii="Calibri" w:eastAsia="Times New Roman" w:hAnsi="Calibri" w:cs="Calibri"/>
          <w:color w:val="000000"/>
          <w:lang w:val="en-GB" w:eastAsia="cs-CZ"/>
        </w:rPr>
        <w:t xml:space="preserve">submitted to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for approval</w:t>
      </w:r>
      <w:r>
        <w:rPr>
          <w:rFonts w:ascii="Calibri" w:eastAsia="Times New Roman" w:hAnsi="Calibri" w:cs="Calibri"/>
          <w:color w:val="000000"/>
          <w:lang w:val="en-GB" w:eastAsia="cs-CZ"/>
        </w:rPr>
        <w:t xml:space="preserve"> along </w:t>
      </w:r>
      <w:r w:rsidRPr="00177F0B">
        <w:rPr>
          <w:rFonts w:ascii="Calibri" w:eastAsia="Times New Roman" w:hAnsi="Calibri" w:cs="Calibri"/>
          <w:color w:val="000000"/>
          <w:lang w:val="en-GB" w:eastAsia="cs-CZ"/>
        </w:rPr>
        <w:t xml:space="preserve">with this opinion and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socio-economic</w:t>
      </w:r>
      <w:r>
        <w:rPr>
          <w:rFonts w:ascii="Calibri" w:eastAsia="Times New Roman" w:hAnsi="Calibri" w:cs="Calibri"/>
          <w:color w:val="000000"/>
          <w:lang w:val="en-GB" w:eastAsia="cs-CZ"/>
        </w:rPr>
        <w:t xml:space="preserve"> analysis of</w:t>
      </w:r>
      <w:r w:rsidRPr="00177F0B">
        <w:rPr>
          <w:rFonts w:ascii="Calibri" w:eastAsia="Times New Roman" w:hAnsi="Calibri" w:cs="Calibri"/>
          <w:color w:val="000000"/>
          <w:lang w:val="en-GB" w:eastAsia="cs-CZ"/>
        </w:rPr>
        <w:t xml:space="preserve"> impacts.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development of energy infrastructure</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Support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development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capacity</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renewable energy sources (RES) must be accompanied by appropriate development of electricity infrastructure in order to avoid over</w:t>
      </w:r>
      <w:r>
        <w:rPr>
          <w:rFonts w:ascii="Calibri" w:eastAsia="Times New Roman" w:hAnsi="Calibri" w:cs="Calibri"/>
          <w:color w:val="000000"/>
          <w:lang w:val="en-GB" w:eastAsia="cs-CZ"/>
        </w:rPr>
        <w:t>loading the transmission system</w:t>
      </w:r>
      <w:r w:rsidRPr="00177F0B">
        <w:rPr>
          <w:rFonts w:ascii="Calibri" w:eastAsia="Times New Roman" w:hAnsi="Calibri" w:cs="Calibri"/>
          <w:color w:val="000000"/>
          <w:lang w:val="en-GB" w:eastAsia="cs-CZ"/>
        </w:rPr>
        <w:t xml:space="preserve"> and th</w:t>
      </w:r>
      <w:r>
        <w:rPr>
          <w:rFonts w:ascii="Calibri" w:eastAsia="Times New Roman" w:hAnsi="Calibri" w:cs="Calibri"/>
          <w:color w:val="000000"/>
          <w:lang w:val="en-GB" w:eastAsia="cs-CZ"/>
        </w:rPr>
        <w:t>us</w:t>
      </w:r>
      <w:r w:rsidRPr="00177F0B">
        <w:rPr>
          <w:rFonts w:ascii="Calibri" w:eastAsia="Times New Roman" w:hAnsi="Calibri" w:cs="Calibri"/>
          <w:color w:val="000000"/>
          <w:lang w:val="en-GB" w:eastAsia="cs-CZ"/>
        </w:rPr>
        <w:t xml:space="preserve"> potential threats to energy security. With regard to the repeated strain</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Czech transmission system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unscheduled flows of electricity from Germany</w:t>
      </w:r>
      <w:r>
        <w:rPr>
          <w:rFonts w:ascii="Calibri" w:eastAsia="Times New Roman" w:hAnsi="Calibri" w:cs="Calibri"/>
          <w:color w:val="000000"/>
          <w:lang w:val="en-GB" w:eastAsia="cs-CZ"/>
        </w:rPr>
        <w:t xml:space="preserve"> t</w:t>
      </w:r>
      <w:r w:rsidRPr="00177F0B">
        <w:rPr>
          <w:rFonts w:ascii="Calibri" w:eastAsia="Times New Roman" w:hAnsi="Calibri" w:cs="Calibri"/>
          <w:color w:val="000000"/>
          <w:lang w:val="en-GB" w:eastAsia="cs-CZ"/>
        </w:rPr>
        <w:t xml:space="preserve">he transmission system operator CEPS, </w:t>
      </w:r>
      <w:proofErr w:type="spellStart"/>
      <w:r w:rsidRPr="00177F0B">
        <w:rPr>
          <w:rFonts w:ascii="Calibri" w:eastAsia="Times New Roman" w:hAnsi="Calibri" w:cs="Calibri"/>
          <w:color w:val="000000"/>
          <w:lang w:val="en-GB" w:eastAsia="cs-CZ"/>
        </w:rPr>
        <w:t>a</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s</w:t>
      </w:r>
      <w:proofErr w:type="spellEnd"/>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is planning t</w:t>
      </w:r>
      <w:r>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install</w:t>
      </w:r>
      <w:r w:rsidRPr="00177F0B">
        <w:rPr>
          <w:rFonts w:ascii="Calibri" w:eastAsia="Times New Roman" w:hAnsi="Calibri" w:cs="Calibri"/>
          <w:color w:val="000000"/>
          <w:lang w:val="en-GB" w:eastAsia="cs-CZ"/>
        </w:rPr>
        <w:t xml:space="preserve"> new lines and transformers with controlled phase shift (PST) on the Czech-German profile, </w:t>
      </w:r>
      <w:r>
        <w:rPr>
          <w:rFonts w:ascii="Calibri" w:eastAsia="Times New Roman" w:hAnsi="Calibri" w:cs="Calibri"/>
          <w:color w:val="000000"/>
          <w:lang w:val="en-GB" w:eastAsia="cs-CZ"/>
        </w:rPr>
        <w:t>the launch of which</w:t>
      </w:r>
      <w:r w:rsidRPr="00177F0B">
        <w:rPr>
          <w:rFonts w:ascii="Calibri" w:eastAsia="Times New Roman" w:hAnsi="Calibri" w:cs="Calibri"/>
          <w:color w:val="000000"/>
          <w:lang w:val="en-GB" w:eastAsia="cs-CZ"/>
        </w:rPr>
        <w:t xml:space="preserve"> is expected in 2016.</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color w:val="000000"/>
          <w:lang w:val="en-GB" w:eastAsia="cs-CZ"/>
        </w:rPr>
        <w:t>Additional imp</w:t>
      </w:r>
      <w:r>
        <w:rPr>
          <w:rFonts w:ascii="Calibri" w:eastAsia="Times New Roman" w:hAnsi="Calibri" w:cs="Calibri"/>
          <w:color w:val="000000"/>
          <w:lang w:val="en-GB" w:eastAsia="cs-CZ"/>
        </w:rPr>
        <w:t>ulses</w:t>
      </w:r>
      <w:r w:rsidRPr="00177F0B">
        <w:rPr>
          <w:rFonts w:ascii="Calibri" w:eastAsia="Times New Roman" w:hAnsi="Calibri" w:cs="Calibri"/>
          <w:color w:val="000000"/>
          <w:lang w:val="en-GB" w:eastAsia="cs-CZ"/>
        </w:rPr>
        <w:t xml:space="preserve"> for the development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Czech power system are mainly the development of the resource base and the consequent need</w:t>
      </w:r>
      <w:r>
        <w:rPr>
          <w:rFonts w:ascii="Calibri" w:eastAsia="Times New Roman" w:hAnsi="Calibri" w:cs="Calibri"/>
          <w:color w:val="000000"/>
          <w:lang w:val="en-GB" w:eastAsia="cs-CZ"/>
        </w:rPr>
        <w:t xml:space="preserve"> to ensure new sources of power</w:t>
      </w:r>
      <w:r w:rsidRPr="00177F0B">
        <w:rPr>
          <w:rFonts w:ascii="Calibri" w:eastAsia="Times New Roman" w:hAnsi="Calibri" w:cs="Calibri"/>
          <w:color w:val="000000"/>
          <w:lang w:val="en-GB" w:eastAsia="cs-CZ"/>
        </w:rPr>
        <w:t xml:space="preserve">, possible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onsumption growth in light of the expected economic recovery in the Czech Republic and links to other transmission systems within the EU.</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Renewable energy</w:t>
      </w:r>
      <w:r>
        <w:rPr>
          <w:rFonts w:ascii="Cambria" w:eastAsia="Times New Roman" w:hAnsi="Cambria" w:cs="Times New Roman"/>
          <w:b/>
          <w:bCs/>
          <w:i/>
          <w:iCs/>
          <w:color w:val="D41616"/>
          <w:lang w:val="en-GB" w:eastAsia="cs-CZ"/>
        </w:rPr>
        <w:t xml:space="preserve"> sources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Long-term stable and sustainable conditions to support the production of energy from RES are set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 xml:space="preserve">the National Action Plan of the Czech Republic (NAP) for </w:t>
      </w:r>
      <w:r>
        <w:rPr>
          <w:rFonts w:ascii="Calibri" w:eastAsia="Times New Roman" w:hAnsi="Calibri" w:cs="Calibri"/>
          <w:b/>
          <w:bCs/>
          <w:color w:val="000000"/>
          <w:lang w:val="en-GB" w:eastAsia="cs-CZ"/>
        </w:rPr>
        <w:t>E</w:t>
      </w:r>
      <w:r w:rsidRPr="00177F0B">
        <w:rPr>
          <w:rFonts w:ascii="Calibri" w:eastAsia="Times New Roman" w:hAnsi="Calibri" w:cs="Calibri"/>
          <w:b/>
          <w:bCs/>
          <w:color w:val="000000"/>
          <w:lang w:val="en-GB" w:eastAsia="cs-CZ"/>
        </w:rPr>
        <w:t xml:space="preserve">nergy from </w:t>
      </w:r>
      <w:r>
        <w:rPr>
          <w:rFonts w:ascii="Calibri" w:eastAsia="Times New Roman" w:hAnsi="Calibri" w:cs="Calibri"/>
          <w:b/>
          <w:bCs/>
          <w:color w:val="000000"/>
          <w:lang w:val="en-GB" w:eastAsia="cs-CZ"/>
        </w:rPr>
        <w:t>R</w:t>
      </w:r>
      <w:r w:rsidRPr="00177F0B">
        <w:rPr>
          <w:rFonts w:ascii="Calibri" w:eastAsia="Times New Roman" w:hAnsi="Calibri" w:cs="Calibri"/>
          <w:b/>
          <w:bCs/>
          <w:color w:val="000000"/>
          <w:lang w:val="en-GB" w:eastAsia="cs-CZ"/>
        </w:rPr>
        <w:t xml:space="preserve">enewable </w:t>
      </w:r>
      <w:r>
        <w:rPr>
          <w:rFonts w:ascii="Calibri" w:eastAsia="Times New Roman" w:hAnsi="Calibri" w:cs="Calibri"/>
          <w:b/>
          <w:bCs/>
          <w:color w:val="000000"/>
          <w:lang w:val="en-GB" w:eastAsia="cs-CZ"/>
        </w:rPr>
        <w:t>S</w:t>
      </w:r>
      <w:r w:rsidRPr="00177F0B">
        <w:rPr>
          <w:rFonts w:ascii="Calibri" w:eastAsia="Times New Roman" w:hAnsi="Calibri" w:cs="Calibri"/>
          <w:b/>
          <w:bCs/>
          <w:color w:val="000000"/>
          <w:lang w:val="en-GB" w:eastAsia="cs-CZ"/>
        </w:rPr>
        <w:t>ources</w:t>
      </w:r>
      <w:r w:rsidRPr="00177F0B">
        <w:rPr>
          <w:rFonts w:ascii="Calibri" w:eastAsia="Times New Roman" w:hAnsi="Calibri" w:cs="Calibri"/>
          <w:color w:val="000000"/>
          <w:lang w:val="en-GB" w:eastAsia="cs-CZ"/>
        </w:rPr>
        <w:t>, which also serves as a regulatory tool to limit the operational support of RES. Other regulatory tools are introduced in the </w:t>
      </w:r>
      <w:r w:rsidRPr="00177F0B">
        <w:rPr>
          <w:rFonts w:ascii="Calibri" w:eastAsia="Times New Roman" w:hAnsi="Calibri" w:cs="Calibri"/>
          <w:b/>
          <w:bCs/>
          <w:color w:val="000000"/>
          <w:lang w:val="en-GB" w:eastAsia="cs-CZ"/>
        </w:rPr>
        <w:t>Act on Supported Energy Sources</w:t>
      </w:r>
      <w:r w:rsidRPr="00177F0B">
        <w:rPr>
          <w:rFonts w:ascii="Calibri" w:eastAsia="Times New Roman" w:hAnsi="Calibri" w:cs="Calibri"/>
          <w:color w:val="000000"/>
          <w:lang w:val="en-GB" w:eastAsia="cs-CZ"/>
        </w:rPr>
        <w:t>, which was approved in 2012 (with effect from 1</w:t>
      </w:r>
      <w:r w:rsidRPr="00B76D14">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January 2013) and amended in 2013 (with effect from 1</w:t>
      </w:r>
      <w:r w:rsidRPr="00B76D14">
        <w:rPr>
          <w:rFonts w:ascii="Calibri" w:eastAsia="Times New Roman" w:hAnsi="Calibri" w:cs="Calibri"/>
          <w:color w:val="000000"/>
          <w:vertAlign w:val="superscript"/>
          <w:lang w:val="en-GB" w:eastAsia="cs-CZ"/>
        </w:rPr>
        <w:t>st</w:t>
      </w:r>
      <w:r w:rsidRPr="00177F0B">
        <w:rPr>
          <w:rFonts w:ascii="Calibri" w:eastAsia="Times New Roman" w:hAnsi="Calibri" w:cs="Calibri"/>
          <w:color w:val="000000"/>
          <w:lang w:val="en-GB" w:eastAsia="cs-CZ"/>
        </w:rPr>
        <w:t xml:space="preserve"> January 2014) in connection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the cessation </w:t>
      </w:r>
      <w:r>
        <w:rPr>
          <w:rFonts w:ascii="Calibri" w:eastAsia="Times New Roman" w:hAnsi="Calibri" w:cs="Calibri"/>
          <w:color w:val="000000"/>
          <w:lang w:val="en-GB" w:eastAsia="cs-CZ"/>
        </w:rPr>
        <w:t>of operational support for new power plants</w:t>
      </w:r>
      <w:r w:rsidRPr="00177F0B">
        <w:rPr>
          <w:rFonts w:ascii="Calibri" w:eastAsia="Times New Roman" w:hAnsi="Calibri" w:cs="Calibri"/>
          <w:color w:val="000000"/>
          <w:lang w:val="en-GB" w:eastAsia="cs-CZ"/>
        </w:rPr>
        <w:t xml:space="preserve"> put into service after 1</w:t>
      </w:r>
      <w:r w:rsidRPr="00B76D14">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January 2014 and the introduction of a maximum fee to support renewable energy paid by customers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in the electricity price. In 2014,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prepare another proposal for legislative changes that will primarily address the expected completion of the Commission notification procedure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support system </w:t>
      </w:r>
      <w:r>
        <w:rPr>
          <w:rFonts w:ascii="Calibri" w:eastAsia="Times New Roman" w:hAnsi="Calibri" w:cs="Calibri"/>
          <w:color w:val="000000"/>
          <w:lang w:val="en-GB" w:eastAsia="cs-CZ"/>
        </w:rPr>
        <w:t>stipulated</w:t>
      </w:r>
      <w:r w:rsidRPr="00177F0B">
        <w:rPr>
          <w:rFonts w:ascii="Calibri" w:eastAsia="Times New Roman" w:hAnsi="Calibri" w:cs="Calibri"/>
          <w:color w:val="000000"/>
          <w:lang w:val="en-GB" w:eastAsia="cs-CZ"/>
        </w:rPr>
        <w:t xml:space="preserve"> in the </w:t>
      </w:r>
      <w:r>
        <w:rPr>
          <w:rFonts w:ascii="Calibri" w:eastAsia="Times New Roman" w:hAnsi="Calibri" w:cs="Calibri"/>
          <w:color w:val="000000"/>
          <w:lang w:val="en-GB" w:eastAsia="cs-CZ"/>
        </w:rPr>
        <w:t>Act</w:t>
      </w:r>
      <w:r w:rsidRPr="00177F0B">
        <w:rPr>
          <w:rFonts w:ascii="Calibri" w:eastAsia="Times New Roman" w:hAnsi="Calibri" w:cs="Calibri"/>
          <w:color w:val="000000"/>
          <w:lang w:val="en-GB" w:eastAsia="cs-CZ"/>
        </w:rPr>
        <w:t xml:space="preserve"> on Supported Energy Sources. In 2014 there will also be another update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NAP for RES, which is carried out every two years.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Measures in the field of raw materials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Government measures in the field of mineral concentrates </w:t>
      </w:r>
      <w:r>
        <w:rPr>
          <w:rFonts w:ascii="Calibri" w:eastAsia="Times New Roman" w:hAnsi="Calibri" w:cs="Calibri"/>
          <w:color w:val="000000"/>
          <w:lang w:val="en-GB" w:eastAsia="cs-CZ"/>
        </w:rPr>
        <w:t>on finalizing</w:t>
      </w:r>
      <w:r w:rsidRPr="00177F0B">
        <w:rPr>
          <w:rFonts w:ascii="Calibri" w:eastAsia="Times New Roman" w:hAnsi="Calibri" w:cs="Calibri"/>
          <w:color w:val="000000"/>
          <w:lang w:val="en-GB" w:eastAsia="cs-CZ"/>
        </w:rPr>
        <w:t xml:space="preserve"> the implementation of the principles of the European strategy on raw materials </w:t>
      </w:r>
      <w:r w:rsidRPr="0006629E">
        <w:rPr>
          <w:rFonts w:ascii="Calibri" w:eastAsia="Times New Roman" w:hAnsi="Calibri" w:cs="Calibri"/>
          <w:b/>
          <w:color w:val="000000"/>
          <w:lang w:val="en-GB" w:eastAsia="cs-CZ"/>
        </w:rPr>
        <w:t>Raw Materials Initiative</w:t>
      </w:r>
      <w:r w:rsidRPr="00177F0B">
        <w:rPr>
          <w:rFonts w:ascii="Calibri" w:eastAsia="Times New Roman" w:hAnsi="Calibri" w:cs="Calibri"/>
          <w:color w:val="000000"/>
          <w:lang w:val="en-GB" w:eastAsia="cs-CZ"/>
        </w:rPr>
        <w:t xml:space="preserve"> in</w:t>
      </w:r>
      <w:r>
        <w:rPr>
          <w:rFonts w:ascii="Calibri" w:eastAsia="Times New Roman" w:hAnsi="Calibri" w:cs="Calibri"/>
          <w:color w:val="000000"/>
          <w:lang w:val="en-GB" w:eastAsia="cs-CZ"/>
        </w:rPr>
        <w:t>to the</w:t>
      </w:r>
      <w:r w:rsidRPr="00177F0B">
        <w:rPr>
          <w:rFonts w:ascii="Calibri" w:eastAsia="Times New Roman" w:hAnsi="Calibri" w:cs="Calibri"/>
          <w:color w:val="000000"/>
          <w:lang w:val="en-GB" w:eastAsia="cs-CZ"/>
        </w:rPr>
        <w:t xml:space="preserve"> Czech national </w:t>
      </w:r>
      <w:r>
        <w:rPr>
          <w:rFonts w:ascii="Calibri" w:eastAsia="Times New Roman" w:hAnsi="Calibri" w:cs="Calibri"/>
          <w:color w:val="000000"/>
          <w:lang w:val="en-GB" w:eastAsia="cs-CZ"/>
        </w:rPr>
        <w:t>resource</w:t>
      </w:r>
      <w:r w:rsidRPr="00177F0B">
        <w:rPr>
          <w:rFonts w:ascii="Calibri" w:eastAsia="Times New Roman" w:hAnsi="Calibri" w:cs="Calibri"/>
          <w:color w:val="000000"/>
          <w:lang w:val="en-GB" w:eastAsia="cs-CZ"/>
        </w:rPr>
        <w:t xml:space="preserve"> policy in order to increase the competitiveness of the</w:t>
      </w:r>
      <w:r>
        <w:rPr>
          <w:rFonts w:ascii="Calibri" w:eastAsia="Times New Roman" w:hAnsi="Calibri" w:cs="Calibri"/>
          <w:color w:val="000000"/>
          <w:lang w:val="en-GB" w:eastAsia="cs-CZ"/>
        </w:rPr>
        <w:t xml:space="preserve"> utilization </w:t>
      </w:r>
      <w:r w:rsidRPr="00177F0B">
        <w:rPr>
          <w:rFonts w:ascii="Calibri" w:eastAsia="Times New Roman" w:hAnsi="Calibri" w:cs="Calibri"/>
          <w:color w:val="000000"/>
          <w:lang w:val="en-GB" w:eastAsia="cs-CZ"/>
        </w:rPr>
        <w:t xml:space="preserve">of mineral resources. The legal </w:t>
      </w:r>
      <w:r w:rsidRPr="00177F0B">
        <w:rPr>
          <w:rFonts w:ascii="Calibri" w:eastAsia="Times New Roman" w:hAnsi="Calibri" w:cs="Calibri"/>
          <w:color w:val="000000"/>
          <w:lang w:val="en-GB" w:eastAsia="cs-CZ"/>
        </w:rPr>
        <w:lastRenderedPageBreak/>
        <w:t xml:space="preserve">framework for the exploration and extraction of minerals will ensure a balanced status of citizens, </w:t>
      </w:r>
      <w:r>
        <w:rPr>
          <w:rFonts w:ascii="Calibri" w:eastAsia="Times New Roman" w:hAnsi="Calibri" w:cs="Calibri"/>
          <w:color w:val="000000"/>
          <w:lang w:val="en-GB" w:eastAsia="cs-CZ"/>
        </w:rPr>
        <w:t>self-</w:t>
      </w:r>
      <w:r w:rsidRPr="00177F0B">
        <w:rPr>
          <w:rFonts w:ascii="Calibri" w:eastAsia="Times New Roman" w:hAnsi="Calibri" w:cs="Calibri"/>
          <w:color w:val="000000"/>
          <w:lang w:val="en-GB" w:eastAsia="cs-CZ"/>
        </w:rPr>
        <w:t xml:space="preserve">governments and businesses with respect to mining interests of the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tate to ensure a reasonable level of </w:t>
      </w:r>
      <w:r>
        <w:rPr>
          <w:rFonts w:ascii="Calibri" w:eastAsia="Times New Roman" w:hAnsi="Calibri" w:cs="Calibri"/>
          <w:color w:val="000000"/>
          <w:lang w:val="en-GB" w:eastAsia="cs-CZ"/>
        </w:rPr>
        <w:t>resource</w:t>
      </w:r>
      <w:r w:rsidRPr="00177F0B">
        <w:rPr>
          <w:rFonts w:ascii="Calibri" w:eastAsia="Times New Roman" w:hAnsi="Calibri" w:cs="Calibri"/>
          <w:color w:val="000000"/>
          <w:lang w:val="en-GB" w:eastAsia="cs-CZ"/>
        </w:rPr>
        <w:t xml:space="preserve"> and energy security of the country and the interests of environmental protection.</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increase the use of material and energy resources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on 16</w:t>
      </w:r>
      <w:r w:rsidRPr="0006629E">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October 2013 discussed the </w:t>
      </w:r>
      <w:r>
        <w:rPr>
          <w:rFonts w:ascii="Calibri" w:eastAsia="Times New Roman" w:hAnsi="Calibri" w:cs="Calibri"/>
          <w:color w:val="000000"/>
          <w:lang w:val="en-GB" w:eastAsia="cs-CZ"/>
        </w:rPr>
        <w:t>document</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the </w:t>
      </w:r>
      <w:r w:rsidRPr="0006629E">
        <w:rPr>
          <w:rFonts w:ascii="Calibri" w:eastAsia="Times New Roman" w:hAnsi="Calibri" w:cs="Calibri"/>
          <w:b/>
          <w:color w:val="000000"/>
          <w:lang w:val="en-GB" w:eastAsia="cs-CZ"/>
        </w:rPr>
        <w:t xml:space="preserve">Czech Republic’s </w:t>
      </w:r>
      <w:r w:rsidRPr="0006629E">
        <w:rPr>
          <w:rFonts w:ascii="Calibri" w:eastAsia="Times New Roman" w:hAnsi="Calibri" w:cs="Calibri"/>
          <w:b/>
          <w:bCs/>
          <w:color w:val="000000"/>
          <w:lang w:val="en-GB" w:eastAsia="cs-CZ"/>
        </w:rPr>
        <w:t>Policy</w:t>
      </w:r>
      <w:r>
        <w:rPr>
          <w:rFonts w:ascii="Calibri" w:eastAsia="Times New Roman" w:hAnsi="Calibri" w:cs="Calibri"/>
          <w:b/>
          <w:bCs/>
          <w:color w:val="000000"/>
          <w:lang w:val="en-GB" w:eastAsia="cs-CZ"/>
        </w:rPr>
        <w:t xml:space="preserve"> of Secondary Resources</w:t>
      </w:r>
      <w:r w:rsidRPr="00177F0B">
        <w:rPr>
          <w:rFonts w:ascii="Calibri" w:eastAsia="Times New Roman" w:hAnsi="Calibri" w:cs="Calibri"/>
          <w:b/>
          <w:bCs/>
          <w:color w:val="000000"/>
          <w:lang w:val="en-GB" w:eastAsia="cs-CZ"/>
        </w:rPr>
        <w:t xml:space="preserve"> - Turning </w:t>
      </w:r>
      <w:r>
        <w:rPr>
          <w:rFonts w:ascii="Calibri" w:eastAsia="Times New Roman" w:hAnsi="Calibri" w:cs="Calibri"/>
          <w:b/>
          <w:bCs/>
          <w:color w:val="000000"/>
          <w:lang w:val="en-GB" w:eastAsia="cs-CZ"/>
        </w:rPr>
        <w:t>Waste into R</w:t>
      </w:r>
      <w:r w:rsidRPr="00177F0B">
        <w:rPr>
          <w:rFonts w:ascii="Calibri" w:eastAsia="Times New Roman" w:hAnsi="Calibri" w:cs="Calibri"/>
          <w:b/>
          <w:bCs/>
          <w:color w:val="000000"/>
          <w:lang w:val="en-GB" w:eastAsia="cs-CZ"/>
        </w:rPr>
        <w:t>esources</w:t>
      </w:r>
      <w:r w:rsidRPr="00177F0B">
        <w:rPr>
          <w:rFonts w:ascii="Calibri" w:eastAsia="Times New Roman" w:hAnsi="Calibri" w:cs="Calibri"/>
          <w:color w:val="000000"/>
          <w:lang w:val="en-GB" w:eastAsia="cs-CZ"/>
        </w:rPr>
        <w:t> and approved strategic goals and measures in the field of secondary raw materials. The</w:t>
      </w:r>
      <w:r>
        <w:rPr>
          <w:rFonts w:ascii="Calibri" w:eastAsia="Times New Roman" w:hAnsi="Calibri" w:cs="Calibri"/>
          <w:color w:val="000000"/>
          <w:lang w:val="en-GB" w:eastAsia="cs-CZ"/>
        </w:rPr>
        <w:t>se</w:t>
      </w:r>
      <w:r w:rsidRPr="00177F0B">
        <w:rPr>
          <w:rFonts w:ascii="Calibri" w:eastAsia="Times New Roman" w:hAnsi="Calibri" w:cs="Calibri"/>
          <w:color w:val="000000"/>
          <w:lang w:val="en-GB" w:eastAsia="cs-CZ"/>
        </w:rPr>
        <w:t xml:space="preserve"> focus primarily on supporting technologies for the efficient use of secondary raw materials, re-conversion of waste to resources and promot</w:t>
      </w:r>
      <w:r>
        <w:rPr>
          <w:rFonts w:ascii="Calibri" w:eastAsia="Times New Roman" w:hAnsi="Calibri" w:cs="Calibri"/>
          <w:color w:val="000000"/>
          <w:lang w:val="en-GB" w:eastAsia="cs-CZ"/>
        </w:rPr>
        <w:t>ion of</w:t>
      </w:r>
      <w:r w:rsidRPr="00177F0B">
        <w:rPr>
          <w:rFonts w:ascii="Calibri" w:eastAsia="Times New Roman" w:hAnsi="Calibri" w:cs="Calibri"/>
          <w:color w:val="000000"/>
          <w:lang w:val="en-GB" w:eastAsia="cs-CZ"/>
        </w:rPr>
        <w:t xml:space="preserve"> recycling. They will also contribute to</w:t>
      </w:r>
      <w:r>
        <w:rPr>
          <w:rFonts w:ascii="Calibri" w:eastAsia="Times New Roman" w:hAnsi="Calibri" w:cs="Calibri"/>
          <w:color w:val="000000"/>
          <w:lang w:val="en-GB" w:eastAsia="cs-CZ"/>
        </w:rPr>
        <w:t xml:space="preserve"> a</w:t>
      </w:r>
      <w:r w:rsidRPr="00177F0B">
        <w:rPr>
          <w:rFonts w:ascii="Calibri" w:eastAsia="Times New Roman" w:hAnsi="Calibri" w:cs="Calibri"/>
          <w:color w:val="000000"/>
          <w:lang w:val="en-GB" w:eastAsia="cs-CZ"/>
        </w:rPr>
        <w:t xml:space="preserve"> more effective life cycle of natural resources and to reduce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material and energy intensity of the Czech economy.</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use of biomass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sees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growing energy use of biomass as an important element not only for farming in the country in ensuring</w:t>
      </w:r>
      <w:r>
        <w:rPr>
          <w:rFonts w:ascii="Calibri" w:eastAsia="Times New Roman" w:hAnsi="Calibri" w:cs="Calibri"/>
          <w:color w:val="000000"/>
          <w:lang w:val="en-GB" w:eastAsia="cs-CZ"/>
        </w:rPr>
        <w:t xml:space="preserve"> soil and flood </w:t>
      </w:r>
      <w:r w:rsidRPr="00177F0B">
        <w:rPr>
          <w:rFonts w:ascii="Calibri" w:eastAsia="Times New Roman" w:hAnsi="Calibri" w:cs="Calibri"/>
          <w:color w:val="000000"/>
          <w:lang w:val="en-GB" w:eastAsia="cs-CZ"/>
        </w:rPr>
        <w:t xml:space="preserve">protection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proper technology selection </w:t>
      </w:r>
      <w:r>
        <w:rPr>
          <w:rFonts w:ascii="Calibri" w:eastAsia="Times New Roman" w:hAnsi="Calibri" w:cs="Calibri"/>
          <w:color w:val="000000"/>
          <w:lang w:val="en-GB" w:eastAsia="cs-CZ"/>
        </w:rPr>
        <w:t>and land choice</w:t>
      </w:r>
      <w:r w:rsidRPr="00177F0B">
        <w:rPr>
          <w:rFonts w:ascii="Calibri" w:eastAsia="Times New Roman" w:hAnsi="Calibri" w:cs="Calibri"/>
          <w:color w:val="000000"/>
          <w:lang w:val="en-GB" w:eastAsia="cs-CZ"/>
        </w:rPr>
        <w:t>, but its production may also contribute to the promotion of biodiversity</w:t>
      </w:r>
      <w:r>
        <w:rPr>
          <w:rFonts w:ascii="Calibri" w:eastAsia="Times New Roman" w:hAnsi="Calibri" w:cs="Calibri"/>
          <w:color w:val="000000"/>
          <w:lang w:val="en-GB" w:eastAsia="cs-CZ"/>
        </w:rPr>
        <w:t xml:space="preserve"> of the Czech countryside. ITs</w:t>
      </w:r>
      <w:r w:rsidRPr="00177F0B">
        <w:rPr>
          <w:rFonts w:ascii="Calibri" w:eastAsia="Times New Roman" w:hAnsi="Calibri" w:cs="Calibri"/>
          <w:color w:val="000000"/>
          <w:lang w:val="en-GB" w:eastAsia="cs-CZ"/>
        </w:rPr>
        <w:t xml:space="preserve"> contribution in the field of energ</w:t>
      </w:r>
      <w:r>
        <w:rPr>
          <w:rFonts w:ascii="Calibri" w:eastAsia="Times New Roman" w:hAnsi="Calibri" w:cs="Calibri"/>
          <w:color w:val="000000"/>
          <w:lang w:val="en-GB" w:eastAsia="cs-CZ"/>
        </w:rPr>
        <w:t>etics</w:t>
      </w:r>
      <w:r w:rsidRPr="00177F0B">
        <w:rPr>
          <w:rFonts w:ascii="Calibri" w:eastAsia="Times New Roman" w:hAnsi="Calibri" w:cs="Calibri"/>
          <w:color w:val="000000"/>
          <w:lang w:val="en-GB" w:eastAsia="cs-CZ"/>
        </w:rPr>
        <w:t xml:space="preserve"> can be seen in the diversification of the energy mix and security of the distribution system. In addition, the benefits of using </w:t>
      </w:r>
      <w:r>
        <w:rPr>
          <w:rFonts w:ascii="Calibri" w:eastAsia="Times New Roman" w:hAnsi="Calibri" w:cs="Calibri"/>
          <w:color w:val="000000"/>
          <w:lang w:val="en-GB" w:eastAsia="cs-CZ"/>
        </w:rPr>
        <w:t xml:space="preserve">can be </w:t>
      </w:r>
      <w:r w:rsidRPr="00177F0B">
        <w:rPr>
          <w:rFonts w:ascii="Calibri" w:eastAsia="Times New Roman" w:hAnsi="Calibri" w:cs="Calibri"/>
          <w:color w:val="000000"/>
          <w:lang w:val="en-GB" w:eastAsia="cs-CZ"/>
        </w:rPr>
        <w:t xml:space="preserve">seen mainly in the development of the local economy and </w:t>
      </w:r>
      <w:r>
        <w:rPr>
          <w:rFonts w:ascii="Calibri" w:eastAsia="Times New Roman" w:hAnsi="Calibri" w:cs="Calibri"/>
          <w:color w:val="000000"/>
          <w:lang w:val="en-GB" w:eastAsia="cs-CZ"/>
        </w:rPr>
        <w:t>the contribution</w:t>
      </w:r>
      <w:r w:rsidRPr="00177F0B">
        <w:rPr>
          <w:rFonts w:ascii="Calibri" w:eastAsia="Times New Roman" w:hAnsi="Calibri" w:cs="Calibri"/>
          <w:color w:val="000000"/>
          <w:lang w:val="en-GB" w:eastAsia="cs-CZ"/>
        </w:rPr>
        <w:t xml:space="preserve"> to the local energy self-sufficiency,</w:t>
      </w:r>
      <w:r>
        <w:rPr>
          <w:rFonts w:ascii="Calibri" w:eastAsia="Times New Roman" w:hAnsi="Calibri" w:cs="Calibri"/>
          <w:color w:val="000000"/>
          <w:lang w:val="en-GB" w:eastAsia="cs-CZ"/>
        </w:rPr>
        <w:t xml:space="preserve"> in the</w:t>
      </w:r>
      <w:r w:rsidRPr="00177F0B">
        <w:rPr>
          <w:rFonts w:ascii="Calibri" w:eastAsia="Times New Roman" w:hAnsi="Calibri" w:cs="Calibri"/>
          <w:color w:val="000000"/>
          <w:lang w:val="en-GB" w:eastAsia="cs-CZ"/>
        </w:rPr>
        <w:t xml:space="preserve"> positive impact on employment in the country</w:t>
      </w:r>
      <w:r>
        <w:rPr>
          <w:rFonts w:ascii="Calibri" w:eastAsia="Times New Roman" w:hAnsi="Calibri" w:cs="Calibri"/>
          <w:color w:val="000000"/>
          <w:lang w:val="en-GB" w:eastAsia="cs-CZ"/>
        </w:rPr>
        <w:t xml:space="preserve"> as well as </w:t>
      </w:r>
      <w:r w:rsidRPr="00177F0B">
        <w:rPr>
          <w:rFonts w:ascii="Calibri" w:eastAsia="Times New Roman" w:hAnsi="Calibri" w:cs="Calibri"/>
          <w:color w:val="000000"/>
          <w:lang w:val="en-GB" w:eastAsia="cs-CZ"/>
        </w:rPr>
        <w:t>from an environmental point of view.</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Government measures in this area are based mainly on </w:t>
      </w:r>
      <w:r w:rsidRPr="00177F0B">
        <w:rPr>
          <w:rFonts w:ascii="Calibri" w:eastAsia="Times New Roman" w:hAnsi="Calibri" w:cs="Calibri"/>
          <w:b/>
          <w:bCs/>
          <w:color w:val="000000"/>
          <w:lang w:val="en-GB" w:eastAsia="cs-CZ"/>
        </w:rPr>
        <w:t>the Czech Republic</w:t>
      </w:r>
      <w:r>
        <w:rPr>
          <w:rFonts w:ascii="Calibri" w:eastAsia="Times New Roman" w:hAnsi="Calibri" w:cs="Calibri"/>
          <w:b/>
          <w:bCs/>
          <w:color w:val="000000"/>
          <w:lang w:val="en-GB" w:eastAsia="cs-CZ"/>
        </w:rPr>
        <w:t>’s</w:t>
      </w:r>
      <w:r w:rsidRPr="00177F0B">
        <w:rPr>
          <w:rFonts w:ascii="Calibri" w:eastAsia="Times New Roman" w:hAnsi="Calibri" w:cs="Calibri"/>
          <w:b/>
          <w:bCs/>
          <w:color w:val="000000"/>
          <w:lang w:val="en-GB" w:eastAsia="cs-CZ"/>
        </w:rPr>
        <w:t xml:space="preserve"> Biomass Action Plan in for the period 2012 - 2020</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BAP</w:t>
      </w:r>
      <w:r w:rsidRPr="00177F0B">
        <w:rPr>
          <w:rFonts w:ascii="Calibri" w:eastAsia="Times New Roman" w:hAnsi="Calibri" w:cs="Calibri"/>
          <w:color w:val="000000"/>
          <w:lang w:val="en-GB" w:eastAsia="cs-CZ"/>
        </w:rPr>
        <w:t xml:space="preserve">), which was approved by the Government </w:t>
      </w:r>
      <w:r>
        <w:rPr>
          <w:rFonts w:ascii="Calibri" w:eastAsia="Times New Roman" w:hAnsi="Calibri" w:cs="Calibri"/>
          <w:color w:val="000000"/>
          <w:lang w:val="en-GB" w:eastAsia="cs-CZ"/>
        </w:rPr>
        <w:t xml:space="preserve"> on 12</w:t>
      </w:r>
      <w:r w:rsidRPr="005D67BF">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September 2012. The BAP’</w:t>
      </w:r>
      <w:r w:rsidRPr="00177F0B">
        <w:rPr>
          <w:rFonts w:ascii="Calibri" w:eastAsia="Times New Roman" w:hAnsi="Calibri" w:cs="Calibri"/>
          <w:color w:val="000000"/>
          <w:lang w:val="en-GB" w:eastAsia="cs-CZ"/>
        </w:rPr>
        <w:t xml:space="preserve">s main objectives include determination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quantified energy potential of agricultural and forest biomass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quantification of the amount of energy that can realistically be produced from biomass in the Cz</w:t>
      </w:r>
      <w:r>
        <w:rPr>
          <w:rFonts w:ascii="Calibri" w:eastAsia="Times New Roman" w:hAnsi="Calibri" w:cs="Calibri"/>
          <w:color w:val="000000"/>
          <w:lang w:val="en-GB" w:eastAsia="cs-CZ"/>
        </w:rPr>
        <w:t>ech Republic in the outlook to 2020</w:t>
      </w:r>
      <w:r w:rsidRPr="00177F0B">
        <w:rPr>
          <w:rFonts w:ascii="Calibri" w:eastAsia="Times New Roman" w:hAnsi="Calibri" w:cs="Calibri"/>
          <w:color w:val="000000"/>
          <w:lang w:val="en-GB" w:eastAsia="cs-CZ"/>
        </w:rPr>
        <w:t xml:space="preserve"> and also defines the principles and appropriate measures to ensure the effective and efficient use of the energy potential of biomass.</w:t>
      </w:r>
    </w:p>
    <w:p w:rsidR="00D04D6E" w:rsidRPr="00177F0B" w:rsidRDefault="00D04D6E" w:rsidP="00D04D6E">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Reducing greenhouse gas emissions</w:t>
      </w:r>
    </w:p>
    <w:p w:rsidR="00D04D6E" w:rsidRPr="00177F0B" w:rsidRDefault="00D04D6E" w:rsidP="00D04D6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For greenhouse gas</w:t>
      </w:r>
      <w:r>
        <w:rPr>
          <w:rFonts w:ascii="Calibri" w:eastAsia="Times New Roman" w:hAnsi="Calibri" w:cs="Calibri"/>
          <w:color w:val="000000"/>
          <w:lang w:val="en-GB" w:eastAsia="cs-CZ"/>
        </w:rPr>
        <w:t xml:space="preserve"> emissions</w:t>
      </w:r>
      <w:r w:rsidRPr="00177F0B">
        <w:rPr>
          <w:rFonts w:ascii="Calibri" w:eastAsia="Times New Roman" w:hAnsi="Calibri" w:cs="Calibri"/>
          <w:color w:val="000000"/>
          <w:lang w:val="en-GB" w:eastAsia="cs-CZ"/>
        </w:rPr>
        <w:t>, which are outside the</w:t>
      </w:r>
      <w:r w:rsidRPr="005D67BF">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EU trading system of emission allowances ETS (Emissions Trading System), the maximum allowable increase for the Czech Republic </w:t>
      </w:r>
      <w:r>
        <w:rPr>
          <w:rFonts w:ascii="Calibri" w:eastAsia="Times New Roman" w:hAnsi="Calibri" w:cs="Calibri"/>
          <w:color w:val="000000"/>
          <w:lang w:val="en-GB" w:eastAsia="cs-CZ"/>
        </w:rPr>
        <w:t>by the end of 2020 is set at 9%</w:t>
      </w:r>
      <w:r w:rsidRPr="00177F0B">
        <w:rPr>
          <w:rFonts w:ascii="Calibri" w:eastAsia="Times New Roman" w:hAnsi="Calibri" w:cs="Calibri"/>
          <w:color w:val="000000"/>
          <w:lang w:val="en-GB" w:eastAsia="cs-CZ"/>
        </w:rPr>
        <w:t xml:space="preserve"> compared to 2005. </w:t>
      </w:r>
      <w:r>
        <w:rPr>
          <w:rFonts w:ascii="Calibri" w:eastAsia="Times New Roman" w:hAnsi="Calibri" w:cs="Calibri"/>
          <w:color w:val="000000"/>
          <w:lang w:val="en-GB" w:eastAsia="cs-CZ"/>
        </w:rPr>
        <w:t xml:space="preserve">The Czech </w:t>
      </w:r>
      <w:r w:rsidRPr="00177F0B">
        <w:rPr>
          <w:rFonts w:ascii="Calibri" w:eastAsia="Times New Roman" w:hAnsi="Calibri" w:cs="Calibri"/>
          <w:color w:val="000000"/>
          <w:lang w:val="en-GB" w:eastAsia="cs-CZ"/>
        </w:rPr>
        <w:t xml:space="preserve">Republic contributes to the fulfilment of the agreed </w:t>
      </w:r>
      <w:r>
        <w:rPr>
          <w:rFonts w:ascii="Calibri" w:eastAsia="Times New Roman" w:hAnsi="Calibri" w:cs="Calibri"/>
          <w:color w:val="000000"/>
          <w:lang w:val="en-GB" w:eastAsia="cs-CZ"/>
        </w:rPr>
        <w:t xml:space="preserve">EU </w:t>
      </w:r>
      <w:r w:rsidRPr="00177F0B">
        <w:rPr>
          <w:rFonts w:ascii="Calibri" w:eastAsia="Times New Roman" w:hAnsi="Calibri" w:cs="Calibri"/>
          <w:color w:val="000000"/>
          <w:lang w:val="en-GB" w:eastAsia="cs-CZ"/>
        </w:rPr>
        <w:t>reduction target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particularly through the EU ETS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emission allowances</w:t>
      </w:r>
      <w:r>
        <w:rPr>
          <w:rFonts w:ascii="Calibri" w:eastAsia="Times New Roman" w:hAnsi="Calibri" w:cs="Calibri"/>
          <w:color w:val="000000"/>
          <w:lang w:val="en-GB" w:eastAsia="cs-CZ"/>
        </w:rPr>
        <w:t xml:space="preserve"> market</w:t>
      </w:r>
      <w:r w:rsidRPr="00177F0B">
        <w:rPr>
          <w:rFonts w:ascii="Calibri" w:eastAsia="Times New Roman" w:hAnsi="Calibri" w:cs="Calibri"/>
          <w:color w:val="000000"/>
          <w:lang w:val="en-GB" w:eastAsia="cs-CZ"/>
        </w:rPr>
        <w:t>, where there is a target to reduce emissions by 21% compared to the reference year 2005</w:t>
      </w:r>
      <w:r>
        <w:rPr>
          <w:rFonts w:ascii="Calibri" w:eastAsia="Times New Roman" w:hAnsi="Calibri" w:cs="Calibri"/>
          <w:color w:val="000000"/>
          <w:lang w:val="en-GB" w:eastAsia="cs-CZ"/>
        </w:rPr>
        <w:t>.</w:t>
      </w:r>
    </w:p>
    <w:p w:rsidR="0032082E" w:rsidRPr="00F700A9" w:rsidRDefault="00D04D6E" w:rsidP="0032082E">
      <w:pPr>
        <w:rPr>
          <w:rFonts w:ascii="Calibri" w:eastAsia="Times New Roman" w:hAnsi="Calibri" w:cs="Calibri"/>
          <w:color w:val="000000"/>
          <w:lang w:val="en-GB" w:eastAsia="cs-CZ"/>
        </w:rPr>
      </w:pPr>
      <w:r>
        <w:rPr>
          <w:rFonts w:ascii="Calibri" w:eastAsia="Times New Roman" w:hAnsi="Calibri" w:cs="Calibri"/>
          <w:color w:val="000000"/>
          <w:lang w:val="en-GB" w:eastAsia="cs-CZ"/>
        </w:rPr>
        <w:t>Regarding the protection of climate</w:t>
      </w:r>
      <w:r w:rsidRPr="00177F0B">
        <w:rPr>
          <w:rFonts w:ascii="Calibri" w:eastAsia="Times New Roman" w:hAnsi="Calibri" w:cs="Calibri"/>
          <w:color w:val="000000"/>
          <w:lang w:val="en-GB" w:eastAsia="cs-CZ"/>
        </w:rPr>
        <w:t xml:space="preserve"> the Czech Republic fulfils the objectives of the Europe 2020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trategy (i.e. 20-20-20). Based on projec</w:t>
      </w:r>
      <w:r>
        <w:rPr>
          <w:rFonts w:ascii="Calibri" w:eastAsia="Times New Roman" w:hAnsi="Calibri" w:cs="Calibri"/>
          <w:color w:val="000000"/>
          <w:lang w:val="en-GB" w:eastAsia="cs-CZ"/>
        </w:rPr>
        <w:t>tions</w:t>
      </w:r>
      <w:r w:rsidRPr="00177F0B">
        <w:rPr>
          <w:rFonts w:ascii="Calibri" w:eastAsia="Times New Roman" w:hAnsi="Calibri" w:cs="Calibri"/>
          <w:color w:val="000000"/>
          <w:lang w:val="en-GB" w:eastAsia="cs-CZ"/>
        </w:rPr>
        <w:t xml:space="preserve"> it is assumed that the Czech Republic will fulfil its obligations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2020 based on the effective implementation of existing measures without the need for new measures. In contrast, the expected surplus of emission rights </w:t>
      </w:r>
      <w:r>
        <w:rPr>
          <w:rFonts w:ascii="Calibri" w:eastAsia="Times New Roman" w:hAnsi="Calibri" w:cs="Calibri"/>
          <w:color w:val="000000"/>
          <w:lang w:val="en-GB" w:eastAsia="cs-CZ"/>
        </w:rPr>
        <w:t>within the fulfilment of</w:t>
      </w:r>
      <w:r w:rsidRPr="00177F0B">
        <w:rPr>
          <w:rFonts w:ascii="Calibri" w:eastAsia="Times New Roman" w:hAnsi="Calibri" w:cs="Calibri"/>
          <w:color w:val="000000"/>
          <w:lang w:val="en-GB" w:eastAsia="cs-CZ"/>
        </w:rPr>
        <w:t xml:space="preserve"> objectives for the area outside the EU ETS </w:t>
      </w:r>
      <w:r>
        <w:rPr>
          <w:rFonts w:ascii="Calibri" w:eastAsia="Times New Roman" w:hAnsi="Calibri" w:cs="Calibri"/>
          <w:color w:val="000000"/>
          <w:lang w:val="en-GB" w:eastAsia="cs-CZ"/>
        </w:rPr>
        <w:t xml:space="preserve">could be a </w:t>
      </w:r>
      <w:r w:rsidRPr="00177F0B">
        <w:rPr>
          <w:rFonts w:ascii="Calibri" w:eastAsia="Times New Roman" w:hAnsi="Calibri" w:cs="Calibri"/>
          <w:color w:val="000000"/>
          <w:lang w:val="en-GB" w:eastAsia="cs-CZ"/>
        </w:rPr>
        <w:t xml:space="preserve">source of extra income, </w:t>
      </w:r>
      <w:r>
        <w:rPr>
          <w:rFonts w:ascii="Calibri" w:eastAsia="Times New Roman" w:hAnsi="Calibri" w:cs="Calibri"/>
          <w:color w:val="000000"/>
          <w:lang w:val="en-GB" w:eastAsia="cs-CZ"/>
        </w:rPr>
        <w:t>as</w:t>
      </w:r>
      <w:r w:rsidRPr="00177F0B">
        <w:rPr>
          <w:rFonts w:ascii="Calibri" w:eastAsia="Times New Roman" w:hAnsi="Calibri" w:cs="Calibri"/>
          <w:color w:val="000000"/>
          <w:lang w:val="en-GB" w:eastAsia="cs-CZ"/>
        </w:rPr>
        <w:t xml:space="preserve"> it will be</w:t>
      </w:r>
      <w:r>
        <w:rPr>
          <w:rFonts w:ascii="Calibri" w:eastAsia="Times New Roman" w:hAnsi="Calibri" w:cs="Calibri"/>
          <w:color w:val="000000"/>
          <w:lang w:val="en-GB" w:eastAsia="cs-CZ"/>
        </w:rPr>
        <w:t xml:space="preserve"> possible to trade them</w:t>
      </w:r>
      <w:r w:rsidRPr="00177F0B">
        <w:rPr>
          <w:rFonts w:ascii="Calibri" w:eastAsia="Times New Roman" w:hAnsi="Calibri" w:cs="Calibri"/>
          <w:color w:val="000000"/>
          <w:lang w:val="en-GB" w:eastAsia="cs-CZ"/>
        </w:rPr>
        <w:t xml:space="preserve">. From the perspective of reducing greenhouse gas emissions by 2040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is crucial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update</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SE</w:t>
      </w:r>
      <w:r>
        <w:rPr>
          <w:rFonts w:ascii="Calibri" w:eastAsia="Times New Roman" w:hAnsi="Calibri" w:cs="Calibri"/>
          <w:color w:val="000000"/>
          <w:lang w:val="en-GB" w:eastAsia="cs-CZ"/>
        </w:rPr>
        <w:t>C</w:t>
      </w:r>
      <w:r w:rsidR="00F700A9">
        <w:rPr>
          <w:rFonts w:ascii="Calibri" w:eastAsia="Times New Roman" w:hAnsi="Calibri" w:cs="Calibri"/>
          <w:color w:val="000000"/>
          <w:lang w:val="en-GB" w:eastAsia="cs-CZ"/>
        </w:rPr>
        <w:t>.</w:t>
      </w:r>
    </w:p>
    <w:p w:rsidR="003237CF" w:rsidRPr="007A1B09" w:rsidRDefault="00F700A9" w:rsidP="003237CF">
      <w:pPr>
        <w:pStyle w:val="Nadpis3"/>
        <w:numPr>
          <w:ilvl w:val="2"/>
          <w:numId w:val="4"/>
        </w:numPr>
        <w:ind w:left="851" w:hanging="851"/>
        <w:rPr>
          <w:lang w:val="en-GB"/>
        </w:rPr>
      </w:pPr>
      <w:bookmarkStart w:id="54" w:name="_Toc385946028"/>
      <w:r w:rsidRPr="00F700A9">
        <w:rPr>
          <w:bCs/>
          <w:lang w:val="en-GB"/>
        </w:rPr>
        <w:t>Environmental policy</w:t>
      </w:r>
      <w:bookmarkEnd w:id="54"/>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Healthy and quality environment is an integral part of a good standard of living of the </w:t>
      </w:r>
      <w:r>
        <w:rPr>
          <w:rFonts w:ascii="Calibri" w:eastAsia="Times New Roman" w:hAnsi="Calibri" w:cs="Calibri"/>
          <w:color w:val="000000"/>
          <w:lang w:val="en-GB" w:eastAsia="cs-CZ"/>
        </w:rPr>
        <w:t xml:space="preserve">Czech Republic’s </w:t>
      </w:r>
      <w:r w:rsidRPr="00177F0B">
        <w:rPr>
          <w:rFonts w:ascii="Calibri" w:eastAsia="Times New Roman" w:hAnsi="Calibri" w:cs="Calibri"/>
          <w:color w:val="000000"/>
          <w:lang w:val="en-GB" w:eastAsia="cs-CZ"/>
        </w:rPr>
        <w:t>inhabitants. The priority of the government is to minimize the negative impact of human and industrial activities on the environment, not only at</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national but also at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international level.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government also considers </w:t>
      </w:r>
      <w:r>
        <w:rPr>
          <w:rFonts w:ascii="Calibri" w:eastAsia="Times New Roman" w:hAnsi="Calibri" w:cs="Calibri"/>
          <w:color w:val="000000"/>
          <w:lang w:val="en-GB" w:eastAsia="cs-CZ"/>
        </w:rPr>
        <w:t xml:space="preserve">as important </w:t>
      </w:r>
      <w:r w:rsidRPr="00177F0B">
        <w:rPr>
          <w:rFonts w:ascii="Calibri" w:eastAsia="Times New Roman" w:hAnsi="Calibri" w:cs="Calibri"/>
          <w:color w:val="000000"/>
          <w:lang w:val="en-GB" w:eastAsia="cs-CZ"/>
        </w:rPr>
        <w:t>the area</w:t>
      </w:r>
      <w:r>
        <w:rPr>
          <w:rFonts w:ascii="Calibri" w:eastAsia="Times New Roman" w:hAnsi="Calibri" w:cs="Calibri"/>
          <w:color w:val="000000"/>
          <w:lang w:val="en-GB" w:eastAsia="cs-CZ"/>
        </w:rPr>
        <w:t xml:space="preserve"> of ​​environmental innovations</w:t>
      </w:r>
      <w:r w:rsidRPr="00177F0B">
        <w:rPr>
          <w:rFonts w:ascii="Calibri" w:eastAsia="Times New Roman" w:hAnsi="Calibri" w:cs="Calibri"/>
          <w:color w:val="000000"/>
          <w:lang w:val="en-GB" w:eastAsia="cs-CZ"/>
        </w:rPr>
        <w:t xml:space="preserve"> as potential sources of support for economic growth and employme</w:t>
      </w:r>
      <w:r>
        <w:rPr>
          <w:rFonts w:ascii="Calibri" w:eastAsia="Times New Roman" w:hAnsi="Calibri" w:cs="Calibri"/>
          <w:color w:val="000000"/>
          <w:lang w:val="en-GB" w:eastAsia="cs-CZ"/>
        </w:rPr>
        <w:t xml:space="preserve">nt and environmental education </w:t>
      </w:r>
      <w:r w:rsidRPr="00177F0B">
        <w:rPr>
          <w:rFonts w:ascii="Calibri" w:eastAsia="Times New Roman" w:hAnsi="Calibri" w:cs="Calibri"/>
          <w:color w:val="000000"/>
          <w:lang w:val="en-GB" w:eastAsia="cs-CZ"/>
        </w:rPr>
        <w:t>and counselling.</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Air Protection</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By the end of July 2014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Medium Term Strategy (2020)</w:t>
      </w:r>
      <w:r>
        <w:rPr>
          <w:rFonts w:ascii="Calibri" w:eastAsia="Times New Roman" w:hAnsi="Calibri" w:cs="Calibri"/>
          <w:color w:val="000000"/>
          <w:lang w:val="en-GB" w:eastAsia="cs-CZ"/>
        </w:rPr>
        <w:t xml:space="preserve"> of Improving Air Q</w:t>
      </w:r>
      <w:r w:rsidRPr="00177F0B">
        <w:rPr>
          <w:rFonts w:ascii="Calibri" w:eastAsia="Times New Roman" w:hAnsi="Calibri" w:cs="Calibri"/>
          <w:color w:val="000000"/>
          <w:lang w:val="en-GB" w:eastAsia="cs-CZ"/>
        </w:rPr>
        <w:t>uality in the Czech Republic</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will be completed, which also </w:t>
      </w:r>
      <w:r>
        <w:rPr>
          <w:rFonts w:ascii="Calibri" w:eastAsia="Times New Roman" w:hAnsi="Calibri" w:cs="Calibri"/>
          <w:color w:val="000000"/>
          <w:lang w:val="en-GB" w:eastAsia="cs-CZ"/>
        </w:rPr>
        <w:t>contains the National P</w:t>
      </w:r>
      <w:r w:rsidRPr="00177F0B">
        <w:rPr>
          <w:rFonts w:ascii="Calibri" w:eastAsia="Times New Roman" w:hAnsi="Calibri" w:cs="Calibri"/>
          <w:color w:val="000000"/>
          <w:lang w:val="en-GB" w:eastAsia="cs-CZ"/>
        </w:rPr>
        <w:t>rogram</w:t>
      </w:r>
      <w:r>
        <w:rPr>
          <w:rFonts w:ascii="Calibri" w:eastAsia="Times New Roman" w:hAnsi="Calibri" w:cs="Calibri"/>
          <w:color w:val="000000"/>
          <w:lang w:val="en-GB" w:eastAsia="cs-CZ"/>
        </w:rPr>
        <w:t>me to Reduce E</w:t>
      </w:r>
      <w:r w:rsidRPr="00177F0B">
        <w:rPr>
          <w:rFonts w:ascii="Calibri" w:eastAsia="Times New Roman" w:hAnsi="Calibri" w:cs="Calibri"/>
          <w:color w:val="000000"/>
          <w:lang w:val="en-GB" w:eastAsia="cs-CZ"/>
        </w:rPr>
        <w:t xml:space="preserve">missions and </w:t>
      </w:r>
      <w:r>
        <w:rPr>
          <w:rFonts w:ascii="Calibri" w:eastAsia="Times New Roman" w:hAnsi="Calibri" w:cs="Calibri"/>
          <w:color w:val="000000"/>
          <w:lang w:val="en-GB" w:eastAsia="cs-CZ"/>
        </w:rPr>
        <w:t>programmes to improve air quality</w:t>
      </w:r>
      <w:r w:rsidRPr="00177F0B">
        <w:rPr>
          <w:rFonts w:ascii="Calibri" w:eastAsia="Times New Roman" w:hAnsi="Calibri" w:cs="Calibri"/>
          <w:color w:val="000000"/>
          <w:lang w:val="en-GB" w:eastAsia="cs-CZ"/>
        </w:rPr>
        <w:t xml:space="preserve"> for </w:t>
      </w:r>
      <w:r>
        <w:rPr>
          <w:rFonts w:ascii="Calibri" w:eastAsia="Times New Roman" w:hAnsi="Calibri" w:cs="Calibri"/>
          <w:color w:val="000000"/>
          <w:lang w:val="en-GB" w:eastAsia="cs-CZ"/>
        </w:rPr>
        <w:t>individual</w:t>
      </w:r>
      <w:r w:rsidRPr="00177F0B">
        <w:rPr>
          <w:rFonts w:ascii="Calibri" w:eastAsia="Times New Roman" w:hAnsi="Calibri" w:cs="Calibri"/>
          <w:color w:val="000000"/>
          <w:lang w:val="en-GB" w:eastAsia="cs-CZ"/>
        </w:rPr>
        <w:t xml:space="preserve"> zone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and agglomeration</w:t>
      </w:r>
      <w:r>
        <w:rPr>
          <w:rFonts w:ascii="Calibri" w:eastAsia="Times New Roman" w:hAnsi="Calibri" w:cs="Calibri"/>
          <w:color w:val="000000"/>
          <w:lang w:val="en-GB" w:eastAsia="cs-CZ"/>
        </w:rPr>
        <w:t>s. The aim of the S</w:t>
      </w:r>
      <w:r w:rsidRPr="00177F0B">
        <w:rPr>
          <w:rFonts w:ascii="Calibri" w:eastAsia="Times New Roman" w:hAnsi="Calibri" w:cs="Calibri"/>
          <w:color w:val="000000"/>
          <w:lang w:val="en-GB" w:eastAsia="cs-CZ"/>
        </w:rPr>
        <w:t>trategy is to improve air quality in the Czech Republic, at least to the extent that compl</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with applicable emission limits to protect human health, ecosystems and vegetation and to propose measures to meet the national emission </w:t>
      </w:r>
      <w:r w:rsidRPr="00177F0B">
        <w:rPr>
          <w:rFonts w:ascii="Calibri" w:eastAsia="Times New Roman" w:hAnsi="Calibri" w:cs="Calibri"/>
          <w:color w:val="000000"/>
          <w:lang w:val="en-GB" w:eastAsia="cs-CZ"/>
        </w:rPr>
        <w:lastRenderedPageBreak/>
        <w:t xml:space="preserve">ceilings </w:t>
      </w:r>
      <w:r>
        <w:rPr>
          <w:rFonts w:ascii="Calibri" w:eastAsia="Times New Roman" w:hAnsi="Calibri" w:cs="Calibri"/>
          <w:color w:val="000000"/>
          <w:lang w:val="en-GB" w:eastAsia="cs-CZ"/>
        </w:rPr>
        <w:t xml:space="preserve">that will come </w:t>
      </w:r>
      <w:r w:rsidRPr="00177F0B">
        <w:rPr>
          <w:rFonts w:ascii="Calibri" w:eastAsia="Times New Roman" w:hAnsi="Calibri" w:cs="Calibri"/>
          <w:color w:val="000000"/>
          <w:lang w:val="en-GB" w:eastAsia="cs-CZ"/>
        </w:rPr>
        <w:t>in</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force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2020, according to the revised </w:t>
      </w:r>
      <w:r w:rsidRPr="007D1FAA">
        <w:t>Götebor</w:t>
      </w:r>
      <w:r>
        <w:t>g</w:t>
      </w:r>
      <w:r w:rsidRPr="00177F0B">
        <w:rPr>
          <w:rFonts w:ascii="Calibri" w:eastAsia="Times New Roman" w:hAnsi="Calibri" w:cs="Calibri"/>
          <w:color w:val="000000"/>
          <w:lang w:val="en-GB" w:eastAsia="cs-CZ"/>
        </w:rPr>
        <w:t xml:space="preserve"> Protocol (CLRTAP) with </w:t>
      </w:r>
      <w:r>
        <w:rPr>
          <w:rFonts w:ascii="Calibri" w:eastAsia="Times New Roman" w:hAnsi="Calibri" w:cs="Calibri"/>
          <w:color w:val="000000"/>
          <w:lang w:val="en-GB" w:eastAsia="cs-CZ"/>
        </w:rPr>
        <w:t>an outlook</w:t>
      </w:r>
      <w:r w:rsidRPr="00177F0B">
        <w:rPr>
          <w:rFonts w:ascii="Calibri" w:eastAsia="Times New Roman" w:hAnsi="Calibri" w:cs="Calibri"/>
          <w:color w:val="000000"/>
          <w:lang w:val="en-GB" w:eastAsia="cs-CZ"/>
        </w:rPr>
        <w:t xml:space="preserve"> to 2030. Given that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18</w:t>
      </w:r>
      <w:r w:rsidRPr="0069616D">
        <w:rPr>
          <w:rFonts w:ascii="Calibri" w:eastAsia="Times New Roman" w:hAnsi="Calibri" w:cs="Calibri"/>
          <w:color w:val="000000"/>
          <w:vertAlign w:val="superscript"/>
          <w:lang w:val="en-GB" w:eastAsia="cs-CZ"/>
        </w:rPr>
        <w:t>th</w:t>
      </w:r>
      <w:r w:rsidRPr="00177F0B">
        <w:rPr>
          <w:rFonts w:ascii="Calibri" w:eastAsia="Times New Roman" w:hAnsi="Calibri" w:cs="Calibri"/>
          <w:color w:val="000000"/>
          <w:lang w:val="en-GB" w:eastAsia="cs-CZ"/>
        </w:rPr>
        <w:t xml:space="preserve"> December 2013 the European Commission published a package of measures to protect the environment, which include</w:t>
      </w:r>
      <w:r>
        <w:rPr>
          <w:rFonts w:ascii="Calibri" w:eastAsia="Times New Roman" w:hAnsi="Calibri" w:cs="Calibri"/>
          <w:color w:val="000000"/>
          <w:lang w:val="en-GB" w:eastAsia="cs-CZ"/>
        </w:rPr>
        <w:t>s proposals for new legislation,</w:t>
      </w:r>
      <w:r w:rsidRPr="00177F0B">
        <w:rPr>
          <w:rFonts w:ascii="Calibri" w:eastAsia="Times New Roman" w:hAnsi="Calibri" w:cs="Calibri"/>
          <w:color w:val="000000"/>
          <w:lang w:val="en-GB" w:eastAsia="cs-CZ"/>
        </w:rPr>
        <w:t xml:space="preserve"> these measures </w:t>
      </w:r>
      <w:r>
        <w:rPr>
          <w:rFonts w:ascii="Calibri" w:eastAsia="Times New Roman" w:hAnsi="Calibri" w:cs="Calibri"/>
          <w:color w:val="000000"/>
          <w:lang w:val="en-GB" w:eastAsia="cs-CZ"/>
        </w:rPr>
        <w:t xml:space="preserve">will be </w:t>
      </w:r>
      <w:r w:rsidRPr="00177F0B">
        <w:rPr>
          <w:rFonts w:ascii="Calibri" w:eastAsia="Times New Roman" w:hAnsi="Calibri" w:cs="Calibri"/>
          <w:color w:val="000000"/>
          <w:lang w:val="en-GB" w:eastAsia="cs-CZ"/>
        </w:rPr>
        <w:t xml:space="preserve">also taken into account in the Strategy (especially in the National Program to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 xml:space="preserve">educe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missions).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Waste Management</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government's </w:t>
      </w:r>
      <w:r>
        <w:rPr>
          <w:rFonts w:ascii="Calibri" w:eastAsia="Times New Roman" w:hAnsi="Calibri" w:cs="Calibri"/>
          <w:color w:val="000000"/>
          <w:lang w:val="en-GB" w:eastAsia="cs-CZ"/>
        </w:rPr>
        <w:t xml:space="preserve">primary </w:t>
      </w:r>
      <w:r w:rsidRPr="00177F0B">
        <w:rPr>
          <w:rFonts w:ascii="Calibri" w:eastAsia="Times New Roman" w:hAnsi="Calibri" w:cs="Calibri"/>
          <w:color w:val="000000"/>
          <w:lang w:val="en-GB" w:eastAsia="cs-CZ"/>
        </w:rPr>
        <w:t xml:space="preserve">aim is waste prevention and reduction of specific waste production, </w:t>
      </w:r>
      <w:r>
        <w:rPr>
          <w:rFonts w:ascii="Calibri" w:eastAsia="Times New Roman" w:hAnsi="Calibri" w:cs="Calibri"/>
          <w:color w:val="000000"/>
          <w:lang w:val="en-GB" w:eastAsia="cs-CZ"/>
        </w:rPr>
        <w:t>minimization of</w:t>
      </w:r>
      <w:r w:rsidRPr="00177F0B">
        <w:rPr>
          <w:rFonts w:ascii="Calibri" w:eastAsia="Times New Roman" w:hAnsi="Calibri" w:cs="Calibri"/>
          <w:color w:val="000000"/>
          <w:lang w:val="en-GB" w:eastAsia="cs-CZ"/>
        </w:rPr>
        <w:t xml:space="preserve"> the adverse effects of the generation and </w:t>
      </w:r>
      <w:r>
        <w:rPr>
          <w:rFonts w:ascii="Calibri" w:eastAsia="Times New Roman" w:hAnsi="Calibri" w:cs="Calibri"/>
          <w:color w:val="000000"/>
          <w:lang w:val="en-GB" w:eastAsia="cs-CZ"/>
        </w:rPr>
        <w:t>handling</w:t>
      </w:r>
      <w:r w:rsidRPr="00177F0B">
        <w:rPr>
          <w:rFonts w:ascii="Calibri" w:eastAsia="Times New Roman" w:hAnsi="Calibri" w:cs="Calibri"/>
          <w:color w:val="000000"/>
          <w:lang w:val="en-GB" w:eastAsia="cs-CZ"/>
        </w:rPr>
        <w:t xml:space="preserve"> of waste on human health and the environment, sustainable development of society and </w:t>
      </w:r>
      <w:r>
        <w:rPr>
          <w:rFonts w:ascii="Calibri" w:eastAsia="Times New Roman" w:hAnsi="Calibri" w:cs="Calibri"/>
          <w:color w:val="000000"/>
          <w:lang w:val="en-GB" w:eastAsia="cs-CZ"/>
        </w:rPr>
        <w:t>convergence</w:t>
      </w:r>
      <w:r w:rsidRPr="00177F0B">
        <w:rPr>
          <w:rFonts w:ascii="Calibri" w:eastAsia="Times New Roman" w:hAnsi="Calibri" w:cs="Calibri"/>
          <w:color w:val="000000"/>
          <w:lang w:val="en-GB" w:eastAsia="cs-CZ"/>
        </w:rPr>
        <w:t xml:space="preserve"> towards a European "recycling society" and finally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maximum use of waste as a substitute</w:t>
      </w:r>
      <w:r>
        <w:rPr>
          <w:rFonts w:ascii="Calibri" w:eastAsia="Times New Roman" w:hAnsi="Calibri" w:cs="Calibri"/>
          <w:color w:val="000000"/>
          <w:lang w:val="en-GB" w:eastAsia="cs-CZ"/>
        </w:rPr>
        <w:t xml:space="preserve"> to </w:t>
      </w:r>
      <w:r w:rsidRPr="00177F0B">
        <w:rPr>
          <w:rFonts w:ascii="Calibri" w:eastAsia="Times New Roman" w:hAnsi="Calibri" w:cs="Calibri"/>
          <w:color w:val="000000"/>
          <w:lang w:val="en-GB" w:eastAsia="cs-CZ"/>
        </w:rPr>
        <w:t xml:space="preserve">primary </w:t>
      </w:r>
      <w:r>
        <w:rPr>
          <w:rFonts w:ascii="Calibri" w:eastAsia="Times New Roman" w:hAnsi="Calibri" w:cs="Calibri"/>
          <w:color w:val="000000"/>
          <w:lang w:val="en-GB" w:eastAsia="cs-CZ"/>
        </w:rPr>
        <w:t>re</w:t>
      </w:r>
      <w:r w:rsidRPr="00177F0B">
        <w:rPr>
          <w:rFonts w:ascii="Calibri" w:eastAsia="Times New Roman" w:hAnsi="Calibri" w:cs="Calibri"/>
          <w:color w:val="000000"/>
          <w:lang w:val="en-GB" w:eastAsia="cs-CZ"/>
        </w:rPr>
        <w:t xml:space="preserve">sources. Quantified targets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the C</w:t>
      </w:r>
      <w:r>
        <w:rPr>
          <w:rFonts w:ascii="Calibri" w:eastAsia="Times New Roman" w:hAnsi="Calibri" w:cs="Calibri"/>
          <w:color w:val="000000"/>
          <w:lang w:val="en-GB" w:eastAsia="cs-CZ"/>
        </w:rPr>
        <w:t>zech Republic are</w:t>
      </w:r>
      <w:r w:rsidRPr="00177F0B">
        <w:rPr>
          <w:rFonts w:ascii="Calibri" w:eastAsia="Times New Roman" w:hAnsi="Calibri" w:cs="Calibri"/>
          <w:color w:val="000000"/>
          <w:lang w:val="en-GB" w:eastAsia="cs-CZ"/>
        </w:rPr>
        <w:t xml:space="preserve"> mainly based on the obligations specified in the relevant EU di</w:t>
      </w:r>
      <w:r>
        <w:rPr>
          <w:rFonts w:ascii="Calibri" w:eastAsia="Times New Roman" w:hAnsi="Calibri" w:cs="Calibri"/>
          <w:color w:val="000000"/>
          <w:lang w:val="en-GB" w:eastAsia="cs-CZ"/>
        </w:rPr>
        <w:t>rectives on waste management</w:t>
      </w:r>
      <w:r>
        <w:rPr>
          <w:rStyle w:val="Znakapoznpodarou"/>
          <w:rFonts w:ascii="Calibri" w:eastAsia="Times New Roman" w:hAnsi="Calibri" w:cs="Calibri"/>
          <w:color w:val="000000"/>
          <w:lang w:val="en-GB" w:eastAsia="cs-CZ"/>
        </w:rPr>
        <w:footnoteReference w:id="26"/>
      </w:r>
      <w:r w:rsidRPr="00177F0B">
        <w:rPr>
          <w:rFonts w:ascii="Calibri" w:eastAsia="Times New Roman" w:hAnsi="Calibri" w:cs="Calibri"/>
          <w:color w:val="000000"/>
          <w:lang w:val="en-GB" w:eastAsia="cs-CZ"/>
        </w:rPr>
        <w:t xml:space="preserve">. In order to fulfil the above mentioned objectives,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t>
      </w:r>
      <w:r>
        <w:rPr>
          <w:rFonts w:ascii="Calibri" w:eastAsia="Times New Roman" w:hAnsi="Calibri" w:cs="Calibri"/>
          <w:color w:val="000000"/>
          <w:lang w:val="en-GB" w:eastAsia="cs-CZ"/>
        </w:rPr>
        <w:t>shall ensure by the end of 2014</w:t>
      </w:r>
      <w:r w:rsidRPr="00177F0B">
        <w:rPr>
          <w:rFonts w:ascii="Calibri" w:eastAsia="Times New Roman" w:hAnsi="Calibri" w:cs="Calibri"/>
          <w:color w:val="000000"/>
          <w:lang w:val="en-GB" w:eastAsia="cs-CZ"/>
        </w:rPr>
        <w:t xml:space="preserve"> the preparation of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legislative intent of the new law on waste and </w:t>
      </w:r>
      <w:r>
        <w:rPr>
          <w:rFonts w:ascii="Calibri" w:eastAsia="Times New Roman" w:hAnsi="Calibri" w:cs="Calibri"/>
          <w:color w:val="000000"/>
          <w:lang w:val="en-GB" w:eastAsia="cs-CZ"/>
        </w:rPr>
        <w:t>legislative</w:t>
      </w:r>
      <w:r w:rsidRPr="00177F0B">
        <w:rPr>
          <w:rFonts w:ascii="Calibri" w:eastAsia="Times New Roman" w:hAnsi="Calibri" w:cs="Calibri"/>
          <w:color w:val="000000"/>
          <w:lang w:val="en-GB" w:eastAsia="cs-CZ"/>
        </w:rPr>
        <w:t xml:space="preserve"> intent of the </w:t>
      </w:r>
      <w:r>
        <w:rPr>
          <w:rFonts w:ascii="Calibri" w:eastAsia="Times New Roman" w:hAnsi="Calibri" w:cs="Calibri"/>
          <w:color w:val="000000"/>
          <w:lang w:val="en-GB" w:eastAsia="cs-CZ"/>
        </w:rPr>
        <w:t xml:space="preserve">law on </w:t>
      </w:r>
      <w:r w:rsidRPr="00177F0B">
        <w:rPr>
          <w:rFonts w:ascii="Calibri" w:eastAsia="Times New Roman" w:hAnsi="Calibri" w:cs="Calibri"/>
          <w:color w:val="000000"/>
          <w:lang w:val="en-GB" w:eastAsia="cs-CZ"/>
        </w:rPr>
        <w:t>product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 finished life cycle</w:t>
      </w:r>
      <w:r w:rsidRPr="00177F0B">
        <w:rPr>
          <w:rFonts w:ascii="Calibri" w:eastAsia="Times New Roman" w:hAnsi="Calibri" w:cs="Calibri"/>
          <w:color w:val="000000"/>
          <w:lang w:val="en-GB" w:eastAsia="cs-CZ"/>
        </w:rPr>
        <w:t xml:space="preserve">. The government will also promote </w:t>
      </w:r>
      <w:r>
        <w:rPr>
          <w:rFonts w:ascii="Calibri" w:eastAsia="Times New Roman" w:hAnsi="Calibri" w:cs="Calibri"/>
          <w:color w:val="000000"/>
          <w:lang w:val="en-GB" w:eastAsia="cs-CZ"/>
        </w:rPr>
        <w:t>the W</w:t>
      </w:r>
      <w:r w:rsidRPr="00177F0B">
        <w:rPr>
          <w:rFonts w:ascii="Calibri" w:eastAsia="Times New Roman" w:hAnsi="Calibri" w:cs="Calibri"/>
          <w:color w:val="000000"/>
          <w:lang w:val="en-GB" w:eastAsia="cs-CZ"/>
        </w:rPr>
        <w:t xml:space="preserve">aste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 xml:space="preserve">revention </w:t>
      </w:r>
      <w:r>
        <w:rPr>
          <w:rFonts w:ascii="Calibri" w:eastAsia="Times New Roman" w:hAnsi="Calibri" w:cs="Calibri"/>
          <w:color w:val="000000"/>
          <w:lang w:val="en-GB" w:eastAsia="cs-CZ"/>
        </w:rPr>
        <w:t>Pr</w:t>
      </w:r>
      <w:r w:rsidRPr="00177F0B">
        <w:rPr>
          <w:rFonts w:ascii="Calibri" w:eastAsia="Times New Roman" w:hAnsi="Calibri" w:cs="Calibri"/>
          <w:color w:val="000000"/>
          <w:lang w:val="en-GB" w:eastAsia="cs-CZ"/>
        </w:rPr>
        <w:t>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whose objectives and measures will be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also reflected in the newly prepared </w:t>
      </w:r>
      <w:r w:rsidRPr="00177F0B">
        <w:rPr>
          <w:rFonts w:ascii="Calibri" w:eastAsia="Times New Roman" w:hAnsi="Calibri" w:cs="Calibri"/>
          <w:b/>
          <w:bCs/>
          <w:color w:val="000000"/>
          <w:lang w:val="en-GB" w:eastAsia="cs-CZ"/>
        </w:rPr>
        <w:t>Waste Management Plan for the years 2015-2024</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government will support waste management, which aims to increase material and energy </w:t>
      </w:r>
      <w:r>
        <w:rPr>
          <w:rFonts w:ascii="Calibri" w:eastAsia="Times New Roman" w:hAnsi="Calibri" w:cs="Calibri"/>
          <w:color w:val="000000"/>
          <w:lang w:val="en-GB" w:eastAsia="cs-CZ"/>
        </w:rPr>
        <w:t>utilization</w:t>
      </w:r>
      <w:r w:rsidRPr="00177F0B">
        <w:rPr>
          <w:rFonts w:ascii="Calibri" w:eastAsia="Times New Roman" w:hAnsi="Calibri" w:cs="Calibri"/>
          <w:color w:val="000000"/>
          <w:lang w:val="en-GB" w:eastAsia="cs-CZ"/>
        </w:rPr>
        <w:t xml:space="preserve"> of waste and will also help to create a system of fees that will encourage citizens to sort waste.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Reducing the risk of flooding and drought impacts</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rucial</w:t>
      </w:r>
      <w:r w:rsidRPr="000B0169">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for the Czech Republic </w:t>
      </w:r>
      <w:r>
        <w:rPr>
          <w:rFonts w:ascii="Calibri" w:eastAsia="Times New Roman" w:hAnsi="Calibri" w:cs="Calibri"/>
          <w:color w:val="000000"/>
          <w:lang w:val="en-GB" w:eastAsia="cs-CZ"/>
        </w:rPr>
        <w:t>w</w:t>
      </w:r>
      <w:r w:rsidRPr="00177F0B">
        <w:rPr>
          <w:rFonts w:ascii="Calibri" w:eastAsia="Times New Roman" w:hAnsi="Calibri" w:cs="Calibri"/>
          <w:color w:val="000000"/>
          <w:lang w:val="en-GB" w:eastAsia="cs-CZ"/>
        </w:rPr>
        <w:t xml:space="preserve">ill be </w:t>
      </w:r>
      <w:r>
        <w:rPr>
          <w:rFonts w:ascii="Calibri" w:eastAsia="Times New Roman" w:hAnsi="Calibri" w:cs="Calibri"/>
          <w:color w:val="000000"/>
          <w:lang w:val="en-GB" w:eastAsia="cs-CZ"/>
        </w:rPr>
        <w:t>to further reduce</w:t>
      </w:r>
      <w:r w:rsidRPr="00177F0B">
        <w:rPr>
          <w:rFonts w:ascii="Calibri" w:eastAsia="Times New Roman" w:hAnsi="Calibri" w:cs="Calibri"/>
          <w:color w:val="000000"/>
          <w:lang w:val="en-GB" w:eastAsia="cs-CZ"/>
        </w:rPr>
        <w:t xml:space="preserve"> the risk of flooding especially in areas with significant flood risk. To this end, the Government will support the implementation of a technical </w:t>
      </w:r>
      <w:r>
        <w:rPr>
          <w:rFonts w:ascii="Calibri" w:eastAsia="Times New Roman" w:hAnsi="Calibri" w:cs="Calibri"/>
          <w:color w:val="000000"/>
          <w:lang w:val="en-GB" w:eastAsia="cs-CZ"/>
        </w:rPr>
        <w:t>and nature-sensitive</w:t>
      </w:r>
      <w:r w:rsidRPr="00177F0B">
        <w:rPr>
          <w:rFonts w:ascii="Calibri" w:eastAsia="Times New Roman" w:hAnsi="Calibri" w:cs="Calibri"/>
          <w:color w:val="000000"/>
          <w:lang w:val="en-GB" w:eastAsia="cs-CZ"/>
        </w:rPr>
        <w:t xml:space="preserve"> flood control measures, further improve</w:t>
      </w:r>
      <w:r>
        <w:rPr>
          <w:rFonts w:ascii="Calibri" w:eastAsia="Times New Roman" w:hAnsi="Calibri" w:cs="Calibri"/>
          <w:color w:val="000000"/>
          <w:lang w:val="en-GB" w:eastAsia="cs-CZ"/>
        </w:rPr>
        <w:t>ment of</w:t>
      </w:r>
      <w:r w:rsidRPr="00177F0B">
        <w:rPr>
          <w:rFonts w:ascii="Calibri" w:eastAsia="Times New Roman" w:hAnsi="Calibri" w:cs="Calibri"/>
          <w:color w:val="000000"/>
          <w:lang w:val="en-GB" w:eastAsia="cs-CZ"/>
        </w:rPr>
        <w:t xml:space="preserve"> the level of flood forecasting and warning services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general accessibility of information on flood hazard, risk and</w:t>
      </w:r>
      <w:r w:rsidRPr="000B0169">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preparedness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flood authorities.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Mapping of flood hazard and flood risk for all areas with significant flood risk was completed</w:t>
      </w:r>
      <w:r w:rsidRPr="004120CC">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at the end of 2013. Also completed</w:t>
      </w:r>
      <w:r>
        <w:rPr>
          <w:rFonts w:ascii="Calibri" w:eastAsia="Times New Roman" w:hAnsi="Calibri" w:cs="Calibri"/>
          <w:color w:val="000000"/>
          <w:lang w:val="en-GB" w:eastAsia="cs-CZ"/>
        </w:rPr>
        <w:t xml:space="preserve"> was</w:t>
      </w:r>
      <w:r w:rsidRPr="00177F0B">
        <w:rPr>
          <w:rFonts w:ascii="Calibri" w:eastAsia="Times New Roman" w:hAnsi="Calibri" w:cs="Calibri"/>
          <w:color w:val="000000"/>
          <w:lang w:val="en-GB" w:eastAsia="cs-CZ"/>
        </w:rPr>
        <w:t xml:space="preserve"> a large number of local warning systems and the flood </w:t>
      </w:r>
      <w:r>
        <w:rPr>
          <w:rFonts w:ascii="Calibri" w:eastAsia="Times New Roman" w:hAnsi="Calibri" w:cs="Calibri"/>
          <w:color w:val="000000"/>
          <w:lang w:val="en-GB" w:eastAsia="cs-CZ"/>
        </w:rPr>
        <w:t xml:space="preserve">watch </w:t>
      </w:r>
      <w:r w:rsidRPr="00177F0B">
        <w:rPr>
          <w:rFonts w:ascii="Calibri" w:eastAsia="Times New Roman" w:hAnsi="Calibri" w:cs="Calibri"/>
          <w:color w:val="000000"/>
          <w:lang w:val="en-GB" w:eastAsia="cs-CZ"/>
        </w:rPr>
        <w:t>system in the Od</w:t>
      </w:r>
      <w:r>
        <w:rPr>
          <w:rFonts w:ascii="Calibri" w:eastAsia="Times New Roman" w:hAnsi="Calibri" w:cs="Calibri"/>
          <w:color w:val="000000"/>
          <w:lang w:val="en-GB" w:eastAsia="cs-CZ"/>
        </w:rPr>
        <w:t>ra</w:t>
      </w:r>
      <w:r w:rsidRPr="00177F0B">
        <w:rPr>
          <w:rFonts w:ascii="Calibri" w:eastAsia="Times New Roman" w:hAnsi="Calibri" w:cs="Calibri"/>
          <w:color w:val="000000"/>
          <w:lang w:val="en-GB" w:eastAsia="cs-CZ"/>
        </w:rPr>
        <w:t xml:space="preserve"> Rive</w:t>
      </w:r>
      <w:r>
        <w:rPr>
          <w:rFonts w:ascii="Calibri" w:eastAsia="Times New Roman" w:hAnsi="Calibri" w:cs="Calibri"/>
          <w:color w:val="000000"/>
          <w:lang w:val="en-GB" w:eastAsia="cs-CZ"/>
        </w:rPr>
        <w:t xml:space="preserve"> was</w:t>
      </w:r>
      <w:r w:rsidRPr="00177F0B">
        <w:rPr>
          <w:rFonts w:ascii="Calibri" w:eastAsia="Times New Roman" w:hAnsi="Calibri" w:cs="Calibri"/>
          <w:color w:val="000000"/>
          <w:lang w:val="en-GB" w:eastAsia="cs-CZ"/>
        </w:rPr>
        <w:t xml:space="preserve"> modernize</w:t>
      </w:r>
      <w:r>
        <w:rPr>
          <w:rFonts w:ascii="Calibri" w:eastAsia="Times New Roman" w:hAnsi="Calibri" w:cs="Calibri"/>
          <w:color w:val="000000"/>
          <w:lang w:val="en-GB" w:eastAsia="cs-CZ"/>
        </w:rPr>
        <w:t>d. In 2014</w:t>
      </w:r>
      <w:r w:rsidRPr="00177F0B">
        <w:rPr>
          <w:rFonts w:ascii="Calibri" w:eastAsia="Times New Roman" w:hAnsi="Calibri" w:cs="Calibri"/>
          <w:color w:val="000000"/>
          <w:lang w:val="en-GB" w:eastAsia="cs-CZ"/>
        </w:rPr>
        <w:t xml:space="preserve"> a draft of possible flood control measures for areas with significant flood risk</w:t>
      </w:r>
      <w:r>
        <w:rPr>
          <w:rFonts w:ascii="Calibri" w:eastAsia="Times New Roman" w:hAnsi="Calibri" w:cs="Calibri"/>
          <w:color w:val="000000"/>
          <w:lang w:val="en-GB" w:eastAsia="cs-CZ"/>
        </w:rPr>
        <w:t xml:space="preserve"> shall be prepared</w:t>
      </w:r>
      <w:r w:rsidRPr="00177F0B">
        <w:rPr>
          <w:rFonts w:ascii="Calibri" w:eastAsia="Times New Roman" w:hAnsi="Calibri" w:cs="Calibri"/>
          <w:color w:val="000000"/>
          <w:lang w:val="en-GB" w:eastAsia="cs-CZ"/>
        </w:rPr>
        <w:t xml:space="preserve">, which should be implemented in the period 2016-2022. Proposals will be submitted to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for approval by the end of 2015.</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 key area for the Czech Republic </w:t>
      </w:r>
      <w:r>
        <w:rPr>
          <w:rFonts w:ascii="Calibri" w:eastAsia="Times New Roman" w:hAnsi="Calibri" w:cs="Calibri"/>
          <w:color w:val="000000"/>
          <w:lang w:val="en-GB" w:eastAsia="cs-CZ"/>
        </w:rPr>
        <w:t>is</w:t>
      </w:r>
      <w:r w:rsidRPr="00177F0B">
        <w:rPr>
          <w:rFonts w:ascii="Calibri" w:eastAsia="Times New Roman" w:hAnsi="Calibri" w:cs="Calibri"/>
          <w:color w:val="000000"/>
          <w:lang w:val="en-GB" w:eastAsia="cs-CZ"/>
        </w:rPr>
        <w:t xml:space="preserve"> the issue of drought and its impacts. In 2014</w:t>
      </w:r>
      <w:r>
        <w:rPr>
          <w:rFonts w:ascii="Calibri" w:eastAsia="Times New Roman" w:hAnsi="Calibri" w:cs="Calibri"/>
          <w:color w:val="000000"/>
          <w:lang w:val="en-GB" w:eastAsia="cs-CZ"/>
        </w:rPr>
        <w:t xml:space="preserve"> a </w:t>
      </w:r>
      <w:r w:rsidRPr="00177F0B">
        <w:rPr>
          <w:rFonts w:ascii="Calibri" w:eastAsia="Times New Roman" w:hAnsi="Calibri" w:cs="Calibri"/>
          <w:color w:val="000000"/>
          <w:lang w:val="en-GB" w:eastAsia="cs-CZ"/>
        </w:rPr>
        <w:t>government regulations will be prepared and submitted for approval on minimum residual flow</w:t>
      </w:r>
      <w:r>
        <w:rPr>
          <w:rFonts w:ascii="Calibri" w:eastAsia="Times New Roman" w:hAnsi="Calibri" w:cs="Calibri"/>
          <w:color w:val="000000"/>
          <w:lang w:val="en-GB" w:eastAsia="cs-CZ"/>
        </w:rPr>
        <w:t>. Also prepared will be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possible</w:t>
      </w:r>
      <w:r w:rsidRPr="00177F0B">
        <w:rPr>
          <w:rFonts w:ascii="Calibri" w:eastAsia="Times New Roman" w:hAnsi="Calibri" w:cs="Calibri"/>
          <w:color w:val="000000"/>
          <w:lang w:val="en-GB" w:eastAsia="cs-CZ"/>
        </w:rPr>
        <w:t xml:space="preserve"> proposals to mitigate drought</w:t>
      </w:r>
      <w:r>
        <w:rPr>
          <w:rFonts w:ascii="Calibri" w:eastAsia="Times New Roman" w:hAnsi="Calibri" w:cs="Calibri"/>
          <w:color w:val="000000"/>
          <w:lang w:val="en-GB" w:eastAsia="cs-CZ"/>
        </w:rPr>
        <w:t xml:space="preserve"> risks that</w:t>
      </w:r>
      <w:r w:rsidRPr="00177F0B">
        <w:rPr>
          <w:rFonts w:ascii="Calibri" w:eastAsia="Times New Roman" w:hAnsi="Calibri" w:cs="Calibri"/>
          <w:color w:val="000000"/>
          <w:lang w:val="en-GB" w:eastAsia="cs-CZ"/>
        </w:rPr>
        <w:t xml:space="preserve"> will be part of the updated </w:t>
      </w:r>
      <w:r>
        <w:rPr>
          <w:rFonts w:ascii="Calibri" w:eastAsia="Times New Roman" w:hAnsi="Calibri" w:cs="Calibri"/>
          <w:color w:val="000000"/>
          <w:lang w:val="en-GB" w:eastAsia="cs-CZ"/>
        </w:rPr>
        <w:t>River Plans</w:t>
      </w:r>
      <w:r w:rsidRPr="00177F0B">
        <w:rPr>
          <w:rFonts w:ascii="Calibri" w:eastAsia="Times New Roman" w:hAnsi="Calibri" w:cs="Calibri"/>
          <w:color w:val="000000"/>
          <w:lang w:val="en-GB" w:eastAsia="cs-CZ"/>
        </w:rPr>
        <w:t>. These measures should be implemented in the period 2016 -2022. Drought issues in the context of observed and projected impacts of climate change will also be the subject of</w:t>
      </w:r>
      <w:r>
        <w:rPr>
          <w:rFonts w:ascii="Calibri" w:eastAsia="Times New Roman" w:hAnsi="Calibri" w:cs="Calibri"/>
          <w:color w:val="000000"/>
          <w:lang w:val="en-GB" w:eastAsia="cs-CZ"/>
        </w:rPr>
        <w:t xml:space="preserve"> a </w:t>
      </w:r>
      <w:r w:rsidRPr="00D2697F">
        <w:rPr>
          <w:rFonts w:ascii="Calibri" w:eastAsia="Times New Roman" w:hAnsi="Calibri" w:cs="Calibri"/>
          <w:b/>
          <w:color w:val="000000"/>
          <w:lang w:val="en-GB" w:eastAsia="cs-CZ"/>
        </w:rPr>
        <w:t xml:space="preserve">Strategy of </w:t>
      </w:r>
      <w:r>
        <w:rPr>
          <w:rFonts w:ascii="Calibri" w:eastAsia="Times New Roman" w:hAnsi="Calibri" w:cs="Calibri"/>
          <w:b/>
          <w:bCs/>
          <w:color w:val="000000"/>
          <w:lang w:val="en-GB" w:eastAsia="cs-CZ"/>
        </w:rPr>
        <w:t>A</w:t>
      </w:r>
      <w:r w:rsidRPr="00177F0B">
        <w:rPr>
          <w:rFonts w:ascii="Calibri" w:eastAsia="Times New Roman" w:hAnsi="Calibri" w:cs="Calibri"/>
          <w:b/>
          <w:bCs/>
          <w:color w:val="000000"/>
          <w:lang w:val="en-GB" w:eastAsia="cs-CZ"/>
        </w:rPr>
        <w:t>daptation to Climate Change</w:t>
      </w:r>
      <w:r>
        <w:rPr>
          <w:rFonts w:ascii="Calibri" w:eastAsia="Times New Roman" w:hAnsi="Calibri" w:cs="Calibri"/>
          <w:b/>
          <w:bCs/>
          <w:color w:val="000000"/>
          <w:lang w:val="en-GB" w:eastAsia="cs-CZ"/>
        </w:rPr>
        <w:t xml:space="preserve"> in</w:t>
      </w:r>
      <w:r w:rsidRPr="00177F0B">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t</w:t>
      </w:r>
      <w:r w:rsidRPr="00177F0B">
        <w:rPr>
          <w:rFonts w:ascii="Calibri" w:eastAsia="Times New Roman" w:hAnsi="Calibri" w:cs="Calibri"/>
          <w:b/>
          <w:bCs/>
          <w:color w:val="000000"/>
          <w:lang w:val="en-GB" w:eastAsia="cs-CZ"/>
        </w:rPr>
        <w:t xml:space="preserve">he Conditions </w:t>
      </w:r>
      <w:r>
        <w:rPr>
          <w:rFonts w:ascii="Calibri" w:eastAsia="Times New Roman" w:hAnsi="Calibri" w:cs="Calibri"/>
          <w:b/>
          <w:bCs/>
          <w:color w:val="000000"/>
          <w:lang w:val="en-GB" w:eastAsia="cs-CZ"/>
        </w:rPr>
        <w:t>o</w:t>
      </w:r>
      <w:r w:rsidRPr="00177F0B">
        <w:rPr>
          <w:rFonts w:ascii="Calibri" w:eastAsia="Times New Roman" w:hAnsi="Calibri" w:cs="Calibri"/>
          <w:b/>
          <w:bCs/>
          <w:color w:val="000000"/>
          <w:lang w:val="en-GB" w:eastAsia="cs-CZ"/>
        </w:rPr>
        <w:t xml:space="preserve">f </w:t>
      </w:r>
      <w:r>
        <w:rPr>
          <w:rFonts w:ascii="Calibri" w:eastAsia="Times New Roman" w:hAnsi="Calibri" w:cs="Calibri"/>
          <w:b/>
          <w:bCs/>
          <w:color w:val="000000"/>
          <w:lang w:val="en-GB" w:eastAsia="cs-CZ"/>
        </w:rPr>
        <w:t>t</w:t>
      </w:r>
      <w:r w:rsidRPr="00177F0B">
        <w:rPr>
          <w:rFonts w:ascii="Calibri" w:eastAsia="Times New Roman" w:hAnsi="Calibri" w:cs="Calibri"/>
          <w:b/>
          <w:bCs/>
          <w:color w:val="000000"/>
          <w:lang w:val="en-GB" w:eastAsia="cs-CZ"/>
        </w:rPr>
        <w:t>he Czech Republic</w:t>
      </w:r>
      <w:r>
        <w:rPr>
          <w:rFonts w:ascii="Calibri" w:eastAsia="Times New Roman" w:hAnsi="Calibri" w:cs="Calibri"/>
          <w:bCs/>
          <w:color w:val="000000"/>
          <w:lang w:val="en-GB" w:eastAsia="cs-CZ"/>
        </w:rPr>
        <w:t>, which is being prepared</w:t>
      </w:r>
      <w:r w:rsidRPr="00177F0B">
        <w:rPr>
          <w:rFonts w:ascii="Calibri" w:eastAsia="Times New Roman" w:hAnsi="Calibri" w:cs="Calibri"/>
          <w:b/>
          <w:bCs/>
          <w:color w:val="000000"/>
          <w:lang w:val="en-GB" w:eastAsia="cs-CZ"/>
        </w:rPr>
        <w:t>.</w:t>
      </w:r>
    </w:p>
    <w:p w:rsidR="005F2D7A" w:rsidRPr="007A1B09" w:rsidRDefault="005F2D7A" w:rsidP="007A2731">
      <w:pPr>
        <w:rPr>
          <w:lang w:val="en-GB"/>
        </w:rPr>
      </w:pPr>
    </w:p>
    <w:p w:rsidR="003237CF" w:rsidRPr="007A1B09" w:rsidRDefault="00F700A9" w:rsidP="003237CF">
      <w:pPr>
        <w:pStyle w:val="Nadpis3"/>
        <w:numPr>
          <w:ilvl w:val="2"/>
          <w:numId w:val="4"/>
        </w:numPr>
        <w:ind w:left="851" w:hanging="851"/>
        <w:rPr>
          <w:lang w:val="en-GB"/>
        </w:rPr>
      </w:pPr>
      <w:bookmarkStart w:id="55" w:name="_Toc385946029"/>
      <w:r w:rsidRPr="00F700A9">
        <w:rPr>
          <w:bCs/>
          <w:lang w:val="en-GB"/>
        </w:rPr>
        <w:t>Agricultural policy</w:t>
      </w:r>
      <w:bookmarkEnd w:id="55"/>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The d</w:t>
      </w:r>
      <w:r w:rsidRPr="00177F0B">
        <w:rPr>
          <w:rFonts w:ascii="Calibri" w:eastAsia="Times New Roman" w:hAnsi="Calibri" w:cs="Calibri"/>
          <w:color w:val="000000"/>
          <w:lang w:val="en-GB" w:eastAsia="cs-CZ"/>
        </w:rPr>
        <w:t xml:space="preserve">irection of </w:t>
      </w:r>
      <w:r>
        <w:rPr>
          <w:rFonts w:ascii="Calibri" w:eastAsia="Times New Roman" w:hAnsi="Calibri" w:cs="Calibri"/>
          <w:color w:val="000000"/>
          <w:lang w:val="en-GB" w:eastAsia="cs-CZ"/>
        </w:rPr>
        <w:t>the Czech Republic’s a</w:t>
      </w:r>
      <w:r w:rsidRPr="00177F0B">
        <w:rPr>
          <w:rFonts w:ascii="Calibri" w:eastAsia="Times New Roman" w:hAnsi="Calibri" w:cs="Calibri"/>
          <w:color w:val="000000"/>
          <w:lang w:val="en-GB" w:eastAsia="cs-CZ"/>
        </w:rPr>
        <w:t xml:space="preserve">gricultural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 xml:space="preserve">olicy </w:t>
      </w:r>
      <w:r>
        <w:rPr>
          <w:rFonts w:ascii="Calibri" w:eastAsia="Times New Roman" w:hAnsi="Calibri" w:cs="Calibri"/>
          <w:color w:val="000000"/>
          <w:lang w:val="en-GB" w:eastAsia="cs-CZ"/>
        </w:rPr>
        <w:t xml:space="preserve">is mainly influenced by the </w:t>
      </w:r>
      <w:r w:rsidRPr="00177F0B">
        <w:rPr>
          <w:rFonts w:ascii="Calibri" w:eastAsia="Times New Roman" w:hAnsi="Calibri" w:cs="Calibri"/>
          <w:color w:val="000000"/>
          <w:lang w:val="en-GB" w:eastAsia="cs-CZ"/>
        </w:rPr>
        <w:t>adopted form of the new </w:t>
      </w:r>
      <w:r w:rsidRPr="00177F0B">
        <w:rPr>
          <w:rFonts w:ascii="Calibri" w:eastAsia="Times New Roman" w:hAnsi="Calibri" w:cs="Calibri"/>
          <w:b/>
          <w:bCs/>
          <w:color w:val="000000"/>
          <w:lang w:val="en-GB" w:eastAsia="cs-CZ"/>
        </w:rPr>
        <w:t>EU Common Agricultural Policy</w:t>
      </w:r>
      <w:r w:rsidRPr="00177F0B">
        <w:rPr>
          <w:rFonts w:ascii="Calibri" w:eastAsia="Times New Roman" w:hAnsi="Calibri" w:cs="Calibri"/>
          <w:color w:val="000000"/>
          <w:lang w:val="en-GB" w:eastAsia="cs-CZ"/>
        </w:rPr>
        <w:t> (CAP) for 201</w:t>
      </w:r>
      <w:r>
        <w:rPr>
          <w:rFonts w:ascii="Calibri" w:eastAsia="Times New Roman" w:hAnsi="Calibri" w:cs="Calibri"/>
          <w:color w:val="000000"/>
          <w:lang w:val="en-GB" w:eastAsia="cs-CZ"/>
        </w:rPr>
        <w:t>4-2020 and the national strategy</w:t>
      </w:r>
      <w:r w:rsidRPr="00177F0B">
        <w:rPr>
          <w:rFonts w:ascii="Calibri" w:eastAsia="Times New Roman" w:hAnsi="Calibri" w:cs="Calibri"/>
          <w:color w:val="000000"/>
          <w:lang w:val="en-GB" w:eastAsia="cs-CZ"/>
        </w:rPr>
        <w:t xml:space="preserve"> developed for the further development of Czech agriculture. The main strategic goal of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of the Czech Republic is to contribute to ensuring food </w:t>
      </w:r>
      <w:r>
        <w:rPr>
          <w:rFonts w:ascii="Calibri" w:eastAsia="Times New Roman" w:hAnsi="Calibri" w:cs="Calibri"/>
          <w:color w:val="000000"/>
          <w:lang w:val="en-GB" w:eastAsia="cs-CZ"/>
        </w:rPr>
        <w:t>security, food self-sufficiency and</w:t>
      </w:r>
      <w:r w:rsidRPr="00177F0B">
        <w:rPr>
          <w:rFonts w:ascii="Calibri" w:eastAsia="Times New Roman" w:hAnsi="Calibri" w:cs="Calibri"/>
          <w:color w:val="000000"/>
          <w:lang w:val="en-GB" w:eastAsia="cs-CZ"/>
        </w:rPr>
        <w:t xml:space="preserve"> increasing the compe</w:t>
      </w:r>
      <w:r>
        <w:rPr>
          <w:rFonts w:ascii="Calibri" w:eastAsia="Times New Roman" w:hAnsi="Calibri" w:cs="Calibri"/>
          <w:color w:val="000000"/>
          <w:lang w:val="en-GB" w:eastAsia="cs-CZ"/>
        </w:rPr>
        <w:t>titiv</w:t>
      </w:r>
      <w:r>
        <w:rPr>
          <w:rFonts w:ascii="Calibri" w:eastAsia="Times New Roman" w:hAnsi="Calibri" w:cs="Calibri"/>
          <w:color w:val="000000"/>
          <w:lang w:val="en-GB" w:eastAsia="cs-CZ"/>
        </w:rPr>
        <w:t>e</w:t>
      </w:r>
      <w:r>
        <w:rPr>
          <w:rFonts w:ascii="Calibri" w:eastAsia="Times New Roman" w:hAnsi="Calibri" w:cs="Calibri"/>
          <w:color w:val="000000"/>
          <w:lang w:val="en-GB" w:eastAsia="cs-CZ"/>
        </w:rPr>
        <w:t>ness of Czech agriculture</w:t>
      </w:r>
      <w:r w:rsidRPr="00177F0B">
        <w:rPr>
          <w:rFonts w:ascii="Calibri" w:eastAsia="Times New Roman" w:hAnsi="Calibri" w:cs="Calibri"/>
          <w:color w:val="000000"/>
          <w:lang w:val="en-GB" w:eastAsia="cs-CZ"/>
        </w:rPr>
        <w:t xml:space="preserve"> in line with the objectives of the planned concept of Climate </w:t>
      </w:r>
      <w:r>
        <w:rPr>
          <w:rFonts w:ascii="Calibri" w:eastAsia="Times New Roman" w:hAnsi="Calibri" w:cs="Calibri"/>
          <w:color w:val="000000"/>
          <w:lang w:val="en-GB" w:eastAsia="cs-CZ"/>
        </w:rPr>
        <w:t xml:space="preserve">Protection </w:t>
      </w:r>
      <w:r w:rsidRPr="00177F0B">
        <w:rPr>
          <w:rFonts w:ascii="Calibri" w:eastAsia="Times New Roman" w:hAnsi="Calibri" w:cs="Calibri"/>
          <w:color w:val="000000"/>
          <w:lang w:val="en-GB" w:eastAsia="cs-CZ"/>
        </w:rPr>
        <w:t>Policy in the Czech Republic and its links with the sustainable handling of natural resources, with particular emphasis on preventing degradation</w:t>
      </w:r>
      <w:r>
        <w:rPr>
          <w:rFonts w:ascii="Calibri" w:eastAsia="Times New Roman" w:hAnsi="Calibri" w:cs="Calibri"/>
          <w:color w:val="000000"/>
          <w:lang w:val="en-GB" w:eastAsia="cs-CZ"/>
        </w:rPr>
        <w:t xml:space="preserve"> of land</w:t>
      </w:r>
      <w:r w:rsidRPr="00177F0B">
        <w:rPr>
          <w:rFonts w:ascii="Calibri" w:eastAsia="Times New Roman" w:hAnsi="Calibri" w:cs="Calibri"/>
          <w:color w:val="000000"/>
          <w:lang w:val="en-GB" w:eastAsia="cs-CZ"/>
        </w:rPr>
        <w:t xml:space="preserve">, reduction of water pollution from agricultural sources and </w:t>
      </w:r>
      <w:r>
        <w:rPr>
          <w:rFonts w:ascii="Calibri" w:eastAsia="Times New Roman" w:hAnsi="Calibri" w:cs="Calibri"/>
          <w:color w:val="000000"/>
          <w:lang w:val="en-GB" w:eastAsia="cs-CZ"/>
        </w:rPr>
        <w:lastRenderedPageBreak/>
        <w:t xml:space="preserve">the </w:t>
      </w:r>
      <w:r w:rsidRPr="00177F0B">
        <w:rPr>
          <w:rFonts w:ascii="Calibri" w:eastAsia="Times New Roman" w:hAnsi="Calibri" w:cs="Calibri"/>
          <w:color w:val="000000"/>
          <w:lang w:val="en-GB" w:eastAsia="cs-CZ"/>
        </w:rPr>
        <w:t xml:space="preserve">increase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water retention in the landscape</w:t>
      </w:r>
      <w:r>
        <w:rPr>
          <w:rFonts w:ascii="Calibri" w:eastAsia="Times New Roman" w:hAnsi="Calibri" w:cs="Calibri"/>
          <w:color w:val="000000"/>
          <w:lang w:val="en-GB" w:eastAsia="cs-CZ"/>
        </w:rPr>
        <w:t xml:space="preserve"> with an </w:t>
      </w:r>
      <w:r w:rsidRPr="00177F0B">
        <w:rPr>
          <w:rFonts w:ascii="Calibri" w:eastAsia="Times New Roman" w:hAnsi="Calibri" w:cs="Calibri"/>
          <w:color w:val="000000"/>
          <w:lang w:val="en-GB" w:eastAsia="cs-CZ"/>
        </w:rPr>
        <w:t>emphasis on non-productive functions, including 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rural development and improving the overall quality of life in rural areas.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Rural development and employment aid</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One of the priorities of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of the Czech Republic in the framework of rural development </w:t>
      </w:r>
      <w:r>
        <w:rPr>
          <w:rFonts w:ascii="Calibri" w:eastAsia="Times New Roman" w:hAnsi="Calibri" w:cs="Calibri"/>
          <w:color w:val="000000"/>
          <w:lang w:val="en-GB" w:eastAsia="cs-CZ"/>
        </w:rPr>
        <w:t xml:space="preserve">is to </w:t>
      </w:r>
      <w:r w:rsidRPr="00177F0B">
        <w:rPr>
          <w:rFonts w:ascii="Calibri" w:eastAsia="Times New Roman" w:hAnsi="Calibri" w:cs="Calibri"/>
          <w:color w:val="000000"/>
          <w:lang w:val="en-GB" w:eastAsia="cs-CZ"/>
        </w:rPr>
        <w:t xml:space="preserve">support sectors with higher demands on the </w:t>
      </w:r>
      <w:r>
        <w:rPr>
          <w:rFonts w:ascii="Calibri" w:eastAsia="Times New Roman" w:hAnsi="Calibri" w:cs="Calibri"/>
          <w:color w:val="000000"/>
          <w:lang w:val="en-GB" w:eastAsia="cs-CZ"/>
        </w:rPr>
        <w:t xml:space="preserve">volume of human labour with high added value so that </w:t>
      </w:r>
      <w:r w:rsidRPr="00177F0B">
        <w:rPr>
          <w:rFonts w:ascii="Calibri" w:eastAsia="Times New Roman" w:hAnsi="Calibri" w:cs="Calibri"/>
          <w:color w:val="000000"/>
          <w:lang w:val="en-GB" w:eastAsia="cs-CZ"/>
        </w:rPr>
        <w:t xml:space="preserve">new jobs </w:t>
      </w:r>
      <w:r>
        <w:rPr>
          <w:rFonts w:ascii="Calibri" w:eastAsia="Times New Roman" w:hAnsi="Calibri" w:cs="Calibri"/>
          <w:color w:val="000000"/>
          <w:lang w:val="en-GB" w:eastAsia="cs-CZ"/>
        </w:rPr>
        <w:t xml:space="preserve">would be created in </w:t>
      </w:r>
      <w:r w:rsidRPr="00177F0B">
        <w:rPr>
          <w:rFonts w:ascii="Calibri" w:eastAsia="Times New Roman" w:hAnsi="Calibri" w:cs="Calibri"/>
          <w:color w:val="000000"/>
          <w:lang w:val="en-GB" w:eastAsia="cs-CZ"/>
        </w:rPr>
        <w:t xml:space="preserve">the country </w:t>
      </w:r>
      <w:r>
        <w:rPr>
          <w:rFonts w:ascii="Calibri" w:eastAsia="Times New Roman" w:hAnsi="Calibri" w:cs="Calibri"/>
          <w:color w:val="000000"/>
          <w:lang w:val="en-GB" w:eastAsia="cs-CZ"/>
        </w:rPr>
        <w:t>which would result in the improvement of the</w:t>
      </w:r>
      <w:r w:rsidRPr="00177F0B">
        <w:rPr>
          <w:rFonts w:ascii="Calibri" w:eastAsia="Times New Roman" w:hAnsi="Calibri" w:cs="Calibri"/>
          <w:color w:val="000000"/>
          <w:lang w:val="en-GB" w:eastAsia="cs-CZ"/>
        </w:rPr>
        <w:t xml:space="preserve"> living standards. The priority sectors are therefore animal production, specialized crop production including c</w:t>
      </w:r>
      <w:r>
        <w:rPr>
          <w:rFonts w:ascii="Calibri" w:eastAsia="Times New Roman" w:hAnsi="Calibri" w:cs="Calibri"/>
          <w:color w:val="000000"/>
          <w:lang w:val="en-GB" w:eastAsia="cs-CZ"/>
        </w:rPr>
        <w:t>ultivation of some energy crops</w:t>
      </w:r>
      <w:r w:rsidRPr="00177F0B">
        <w:rPr>
          <w:rFonts w:ascii="Calibri" w:eastAsia="Times New Roman" w:hAnsi="Calibri" w:cs="Calibri"/>
          <w:color w:val="000000"/>
          <w:lang w:val="en-GB" w:eastAsia="cs-CZ"/>
        </w:rPr>
        <w:t xml:space="preserve"> taking into account the improvement of the functional properties of the landscape and increase biodiversity, the manufacturing sector and </w:t>
      </w:r>
      <w:r>
        <w:rPr>
          <w:rFonts w:ascii="Calibri" w:eastAsia="Times New Roman" w:hAnsi="Calibri" w:cs="Calibri"/>
          <w:color w:val="000000"/>
          <w:lang w:val="en-GB" w:eastAsia="cs-CZ"/>
        </w:rPr>
        <w:t>environment-</w:t>
      </w:r>
      <w:r w:rsidRPr="00177F0B">
        <w:rPr>
          <w:rFonts w:ascii="Calibri" w:eastAsia="Times New Roman" w:hAnsi="Calibri" w:cs="Calibri"/>
          <w:color w:val="000000"/>
          <w:lang w:val="en-GB" w:eastAsia="cs-CZ"/>
        </w:rPr>
        <w:t xml:space="preserve">friendly technologies in the </w:t>
      </w:r>
      <w:r>
        <w:rPr>
          <w:rFonts w:ascii="Calibri" w:eastAsia="Times New Roman" w:hAnsi="Calibri" w:cs="Calibri"/>
          <w:color w:val="000000"/>
          <w:lang w:val="en-GB" w:eastAsia="cs-CZ"/>
        </w:rPr>
        <w:t>forests</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w:t>
      </w:r>
      <w:r>
        <w:rPr>
          <w:rFonts w:ascii="Calibri" w:eastAsia="Times New Roman" w:hAnsi="Calibri" w:cs="Calibri"/>
          <w:color w:val="000000"/>
          <w:lang w:val="en-GB" w:eastAsia="cs-CZ"/>
        </w:rPr>
        <w:t>improve</w:t>
      </w:r>
      <w:r w:rsidRPr="00177F0B">
        <w:rPr>
          <w:rFonts w:ascii="Calibri" w:eastAsia="Times New Roman" w:hAnsi="Calibri" w:cs="Calibri"/>
          <w:color w:val="000000"/>
          <w:lang w:val="en-GB" w:eastAsia="cs-CZ"/>
        </w:rPr>
        <w:t xml:space="preserve"> the importance of small and medium-sized forestry and wood processing industry to increase employment in mountain and foothill areas. The government will restore the</w:t>
      </w:r>
      <w:r>
        <w:rPr>
          <w:rFonts w:ascii="Calibri" w:eastAsia="Times New Roman" w:hAnsi="Calibri" w:cs="Calibri"/>
          <w:color w:val="000000"/>
          <w:lang w:val="en-GB" w:eastAsia="cs-CZ"/>
        </w:rPr>
        <w:t xml:space="preserve"> so-called</w:t>
      </w:r>
      <w:r w:rsidRPr="00177F0B">
        <w:rPr>
          <w:rFonts w:ascii="Calibri" w:eastAsia="Times New Roman" w:hAnsi="Calibri" w:cs="Calibri"/>
          <w:color w:val="000000"/>
          <w:lang w:val="en-GB" w:eastAsia="cs-CZ"/>
        </w:rPr>
        <w:t xml:space="preserve"> green</w:t>
      </w:r>
      <w:r>
        <w:rPr>
          <w:rFonts w:ascii="Calibri" w:eastAsia="Times New Roman" w:hAnsi="Calibri" w:cs="Calibri"/>
          <w:color w:val="000000"/>
          <w:lang w:val="en-GB" w:eastAsia="cs-CZ"/>
        </w:rPr>
        <w:t xml:space="preserve"> diesel</w:t>
      </w:r>
      <w:r w:rsidRPr="00177F0B">
        <w:rPr>
          <w:rFonts w:ascii="Calibri" w:eastAsia="Times New Roman" w:hAnsi="Calibri" w:cs="Calibri"/>
          <w:color w:val="000000"/>
          <w:lang w:val="en-GB" w:eastAsia="cs-CZ"/>
        </w:rPr>
        <w:t xml:space="preserve"> fuel for active farmers and </w:t>
      </w:r>
      <w:r>
        <w:rPr>
          <w:rFonts w:ascii="Calibri" w:eastAsia="Times New Roman" w:hAnsi="Calibri" w:cs="Calibri"/>
          <w:color w:val="000000"/>
          <w:lang w:val="en-GB" w:eastAsia="cs-CZ"/>
        </w:rPr>
        <w:t xml:space="preserve">will </w:t>
      </w:r>
      <w:r w:rsidRPr="00177F0B">
        <w:rPr>
          <w:rFonts w:ascii="Calibri" w:eastAsia="Times New Roman" w:hAnsi="Calibri" w:cs="Calibri"/>
          <w:color w:val="000000"/>
          <w:lang w:val="en-GB" w:eastAsia="cs-CZ"/>
        </w:rPr>
        <w:t>preserve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zero </w:t>
      </w:r>
      <w:r>
        <w:rPr>
          <w:rFonts w:ascii="Calibri" w:eastAsia="Times New Roman" w:hAnsi="Calibri" w:cs="Calibri"/>
          <w:color w:val="000000"/>
          <w:lang w:val="en-GB" w:eastAsia="cs-CZ"/>
        </w:rPr>
        <w:t>consumer tax</w:t>
      </w:r>
      <w:r w:rsidRPr="00177F0B">
        <w:rPr>
          <w:rFonts w:ascii="Calibri" w:eastAsia="Times New Roman" w:hAnsi="Calibri" w:cs="Calibri"/>
          <w:color w:val="000000"/>
          <w:lang w:val="en-GB" w:eastAsia="cs-CZ"/>
        </w:rPr>
        <w:t xml:space="preserve"> on still wine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 development and modernization of agricultural, food and forestry enterprises</w:t>
      </w:r>
      <w:r>
        <w:rPr>
          <w:rFonts w:ascii="Calibri" w:eastAsia="Times New Roman" w:hAnsi="Calibri" w:cs="Calibri"/>
          <w:color w:val="000000"/>
          <w:lang w:val="en-GB" w:eastAsia="cs-CZ"/>
        </w:rPr>
        <w:t xml:space="preserve"> will be promoted</w:t>
      </w:r>
      <w:r w:rsidRPr="00177F0B">
        <w:rPr>
          <w:rFonts w:ascii="Calibri" w:eastAsia="Times New Roman" w:hAnsi="Calibri" w:cs="Calibri"/>
          <w:color w:val="000000"/>
          <w:lang w:val="en-GB" w:eastAsia="cs-CZ"/>
        </w:rPr>
        <w:t xml:space="preserve"> as well as small and medium-sized enterprises, including social economy entities, especially in economically sensitive regions.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supports</w:t>
      </w:r>
      <w:r>
        <w:rPr>
          <w:rFonts w:ascii="Calibri" w:eastAsia="Times New Roman" w:hAnsi="Calibri" w:cs="Calibri"/>
          <w:color w:val="000000"/>
          <w:lang w:val="en-GB" w:eastAsia="cs-CZ"/>
        </w:rPr>
        <w:t xml:space="preserve"> the development of processing forms of short chains </w:t>
      </w:r>
      <w:r w:rsidRPr="00177F0B">
        <w:rPr>
          <w:rFonts w:ascii="Calibri" w:eastAsia="Times New Roman" w:hAnsi="Calibri" w:cs="Calibri"/>
          <w:color w:val="000000"/>
          <w:lang w:val="en-GB" w:eastAsia="cs-CZ"/>
        </w:rPr>
        <w:t>including further development of regional and local markets. Given the need to stabilize the economic sector, the government also supports diversification of farmers' income, for example by promoting biogas plants.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Consumer </w:t>
      </w:r>
      <w:r>
        <w:rPr>
          <w:rFonts w:ascii="Cambria" w:eastAsia="Times New Roman" w:hAnsi="Cambria" w:cs="Times New Roman"/>
          <w:b/>
          <w:bCs/>
          <w:i/>
          <w:iCs/>
          <w:color w:val="D41616"/>
          <w:lang w:val="en-GB" w:eastAsia="cs-CZ"/>
        </w:rPr>
        <w:t>p</w:t>
      </w:r>
      <w:r w:rsidRPr="00177F0B">
        <w:rPr>
          <w:rFonts w:ascii="Cambria" w:eastAsia="Times New Roman" w:hAnsi="Cambria" w:cs="Times New Roman"/>
          <w:b/>
          <w:bCs/>
          <w:i/>
          <w:iCs/>
          <w:color w:val="D41616"/>
          <w:lang w:val="en-GB" w:eastAsia="cs-CZ"/>
        </w:rPr>
        <w:t xml:space="preserve">rotection and </w:t>
      </w:r>
      <w:r>
        <w:rPr>
          <w:rFonts w:ascii="Cambria" w:eastAsia="Times New Roman" w:hAnsi="Cambria" w:cs="Times New Roman"/>
          <w:b/>
          <w:bCs/>
          <w:i/>
          <w:iCs/>
          <w:color w:val="D41616"/>
          <w:lang w:val="en-GB" w:eastAsia="cs-CZ"/>
        </w:rPr>
        <w:t>f</w:t>
      </w:r>
      <w:r w:rsidRPr="00177F0B">
        <w:rPr>
          <w:rFonts w:ascii="Cambria" w:eastAsia="Times New Roman" w:hAnsi="Cambria" w:cs="Times New Roman"/>
          <w:b/>
          <w:bCs/>
          <w:i/>
          <w:iCs/>
          <w:color w:val="D41616"/>
          <w:lang w:val="en-GB" w:eastAsia="cs-CZ"/>
        </w:rPr>
        <w:t xml:space="preserve">ood </w:t>
      </w:r>
      <w:r>
        <w:rPr>
          <w:rFonts w:ascii="Cambria" w:eastAsia="Times New Roman" w:hAnsi="Cambria" w:cs="Times New Roman"/>
          <w:b/>
          <w:bCs/>
          <w:i/>
          <w:iCs/>
          <w:color w:val="D41616"/>
          <w:lang w:val="en-GB" w:eastAsia="cs-CZ"/>
        </w:rPr>
        <w:t>s</w:t>
      </w:r>
      <w:r w:rsidRPr="00177F0B">
        <w:rPr>
          <w:rFonts w:ascii="Cambria" w:eastAsia="Times New Roman" w:hAnsi="Cambria" w:cs="Times New Roman"/>
          <w:b/>
          <w:bCs/>
          <w:i/>
          <w:iCs/>
          <w:color w:val="D41616"/>
          <w:lang w:val="en-GB" w:eastAsia="cs-CZ"/>
        </w:rPr>
        <w:t>afety</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order to enhance cons</w:t>
      </w:r>
      <w:r>
        <w:rPr>
          <w:rFonts w:ascii="Calibri" w:eastAsia="Times New Roman" w:hAnsi="Calibri" w:cs="Calibri"/>
          <w:color w:val="000000"/>
          <w:lang w:val="en-GB" w:eastAsia="cs-CZ"/>
        </w:rPr>
        <w:t>umer protection and food safety</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support produc</w:t>
      </w:r>
      <w:r>
        <w:rPr>
          <w:rFonts w:ascii="Calibri" w:eastAsia="Times New Roman" w:hAnsi="Calibri" w:cs="Calibri"/>
          <w:color w:val="000000"/>
          <w:lang w:val="en-GB" w:eastAsia="cs-CZ"/>
        </w:rPr>
        <w:t xml:space="preserve">ers of quality local food and established </w:t>
      </w:r>
      <w:r w:rsidRPr="00177F0B">
        <w:rPr>
          <w:rFonts w:ascii="Calibri" w:eastAsia="Times New Roman" w:hAnsi="Calibri" w:cs="Calibri"/>
          <w:color w:val="000000"/>
          <w:lang w:val="en-GB" w:eastAsia="cs-CZ"/>
        </w:rPr>
        <w:t>system</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 xml:space="preserve">of food quality evaluation and </w:t>
      </w:r>
      <w:r>
        <w:rPr>
          <w:rFonts w:ascii="Calibri" w:eastAsia="Times New Roman" w:hAnsi="Calibri" w:cs="Calibri"/>
          <w:color w:val="000000"/>
          <w:lang w:val="en-GB" w:eastAsia="cs-CZ"/>
        </w:rPr>
        <w:t xml:space="preserve">will </w:t>
      </w:r>
      <w:r w:rsidRPr="00177F0B">
        <w:rPr>
          <w:rFonts w:ascii="Calibri" w:eastAsia="Times New Roman" w:hAnsi="Calibri" w:cs="Calibri"/>
          <w:color w:val="000000"/>
          <w:lang w:val="en-GB" w:eastAsia="cs-CZ"/>
        </w:rPr>
        <w:t xml:space="preserve">adopt </w:t>
      </w:r>
      <w:r>
        <w:rPr>
          <w:rFonts w:ascii="Calibri" w:eastAsia="Times New Roman" w:hAnsi="Calibri" w:cs="Calibri"/>
          <w:color w:val="000000"/>
          <w:lang w:val="en-GB" w:eastAsia="cs-CZ"/>
        </w:rPr>
        <w:t xml:space="preserve">stricter </w:t>
      </w:r>
      <w:r w:rsidRPr="00177F0B">
        <w:rPr>
          <w:rFonts w:ascii="Calibri" w:eastAsia="Times New Roman" w:hAnsi="Calibri" w:cs="Calibri"/>
          <w:color w:val="000000"/>
          <w:lang w:val="en-GB" w:eastAsia="cs-CZ"/>
        </w:rPr>
        <w:t>rules not only for the production and distribution of food and beverages (alcoholic and non-alcoholic), but also for retail chains, including transparent labelling of food origin </w:t>
      </w:r>
      <w:r>
        <w:rPr>
          <w:rFonts w:ascii="Calibri" w:eastAsia="Times New Roman" w:hAnsi="Calibri" w:cs="Calibri"/>
          <w:color w:val="000000"/>
          <w:lang w:val="en-GB" w:eastAsia="cs-CZ"/>
        </w:rPr>
        <w:t>so as</w:t>
      </w:r>
      <w:r w:rsidRPr="00177F0B">
        <w:rPr>
          <w:rFonts w:ascii="Calibri" w:eastAsia="Times New Roman" w:hAnsi="Calibri" w:cs="Calibri"/>
          <w:color w:val="000000"/>
          <w:lang w:val="en-GB" w:eastAsia="cs-CZ"/>
        </w:rPr>
        <w:t xml:space="preserve"> to minimize any risk of health hazards.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increase the penalties for misleading information on the composition of products, the awarded</w:t>
      </w:r>
      <w:r w:rsidRPr="006C4321">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fine will be taking into account the turnover of companies. In order to achieve effective market surveillance the number of inspectors in the field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will</w:t>
      </w:r>
      <w:r>
        <w:rPr>
          <w:rFonts w:ascii="Calibri" w:eastAsia="Times New Roman" w:hAnsi="Calibri" w:cs="Calibri"/>
          <w:color w:val="000000"/>
          <w:lang w:val="en-GB" w:eastAsia="cs-CZ"/>
        </w:rPr>
        <w:t xml:space="preserve"> be</w:t>
      </w:r>
      <w:r w:rsidRPr="00177F0B">
        <w:rPr>
          <w:rFonts w:ascii="Calibri" w:eastAsia="Times New Roman" w:hAnsi="Calibri" w:cs="Calibri"/>
          <w:color w:val="000000"/>
          <w:lang w:val="en-GB" w:eastAsia="cs-CZ"/>
        </w:rPr>
        <w:t xml:space="preserve"> increase</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Supervisory bodies overseeing the quality of food will now come under the Ministry of Agriculture, which will ensure an integrated p</w:t>
      </w:r>
      <w:r>
        <w:rPr>
          <w:rFonts w:ascii="Calibri" w:eastAsia="Times New Roman" w:hAnsi="Calibri" w:cs="Calibri"/>
          <w:color w:val="000000"/>
          <w:lang w:val="en-GB" w:eastAsia="cs-CZ"/>
        </w:rPr>
        <w:t>erformance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supervision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 the participation of other</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state administration bodies</w:t>
      </w:r>
      <w:r w:rsidRPr="00177F0B">
        <w:rPr>
          <w:rFonts w:ascii="Calibri" w:eastAsia="Times New Roman" w:hAnsi="Calibri" w:cs="Calibri"/>
          <w:color w:val="000000"/>
          <w:lang w:val="en-GB" w:eastAsia="cs-CZ"/>
        </w:rPr>
        <w:t xml:space="preserve">, including cooperation with the Customs </w:t>
      </w:r>
      <w:r>
        <w:rPr>
          <w:rFonts w:ascii="Calibri" w:eastAsia="Times New Roman" w:hAnsi="Calibri" w:cs="Calibri"/>
          <w:color w:val="000000"/>
          <w:lang w:val="en-GB" w:eastAsia="cs-CZ"/>
        </w:rPr>
        <w:t>Service</w:t>
      </w:r>
      <w:r w:rsidRPr="00177F0B">
        <w:rPr>
          <w:rFonts w:ascii="Calibri" w:eastAsia="Times New Roman" w:hAnsi="Calibri" w:cs="Calibri"/>
          <w:color w:val="000000"/>
          <w:lang w:val="en-GB" w:eastAsia="cs-CZ"/>
        </w:rPr>
        <w:t xml:space="preserve"> and the Police. The government will </w:t>
      </w:r>
      <w:r>
        <w:rPr>
          <w:rFonts w:ascii="Calibri" w:eastAsia="Times New Roman" w:hAnsi="Calibri" w:cs="Calibri"/>
          <w:color w:val="000000"/>
          <w:lang w:val="en-GB" w:eastAsia="cs-CZ"/>
        </w:rPr>
        <w:t>also adopt</w:t>
      </w:r>
      <w:r w:rsidRPr="00177F0B">
        <w:rPr>
          <w:rFonts w:ascii="Calibri" w:eastAsia="Times New Roman" w:hAnsi="Calibri" w:cs="Calibri"/>
          <w:color w:val="000000"/>
          <w:lang w:val="en-GB" w:eastAsia="cs-CZ"/>
        </w:rPr>
        <w:t xml:space="preserve"> measures to increase consumer awareness.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Strengthening export</w:t>
      </w:r>
    </w:p>
    <w:p w:rsidR="00D842FD" w:rsidRPr="00F700A9" w:rsidRDefault="00F700A9" w:rsidP="00D842FD">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w:t>
      </w:r>
      <w:r>
        <w:rPr>
          <w:rFonts w:ascii="Calibri" w:eastAsia="Times New Roman" w:hAnsi="Calibri" w:cs="Calibri"/>
          <w:color w:val="000000"/>
          <w:lang w:val="en-GB" w:eastAsia="cs-CZ"/>
        </w:rPr>
        <w:t>improve the</w:t>
      </w:r>
      <w:r w:rsidRPr="00177F0B">
        <w:rPr>
          <w:rFonts w:ascii="Calibri" w:eastAsia="Times New Roman" w:hAnsi="Calibri" w:cs="Calibri"/>
          <w:color w:val="000000"/>
          <w:lang w:val="en-GB" w:eastAsia="cs-CZ"/>
        </w:rPr>
        <w:t xml:space="preserve"> performance and diversification of </w:t>
      </w:r>
      <w:proofErr w:type="spellStart"/>
      <w:r w:rsidRPr="00177F0B">
        <w:rPr>
          <w:rFonts w:ascii="Calibri" w:eastAsia="Times New Roman" w:hAnsi="Calibri" w:cs="Calibri"/>
          <w:color w:val="000000"/>
          <w:lang w:val="en-GB" w:eastAsia="cs-CZ"/>
        </w:rPr>
        <w:t>agri</w:t>
      </w:r>
      <w:proofErr w:type="spellEnd"/>
      <w:r w:rsidRPr="00177F0B">
        <w:rPr>
          <w:rFonts w:ascii="Calibri" w:eastAsia="Times New Roman" w:hAnsi="Calibri" w:cs="Calibri"/>
          <w:color w:val="000000"/>
          <w:lang w:val="en-GB" w:eastAsia="cs-CZ"/>
        </w:rPr>
        <w:t xml:space="preserve">-food exports </w:t>
      </w:r>
      <w:r>
        <w:rPr>
          <w:rFonts w:ascii="Calibri" w:eastAsia="Times New Roman" w:hAnsi="Calibri" w:cs="Calibri"/>
          <w:color w:val="000000"/>
          <w:lang w:val="en-GB" w:eastAsia="cs-CZ"/>
        </w:rPr>
        <w:t>the government shall</w:t>
      </w:r>
      <w:r w:rsidRPr="00177F0B">
        <w:rPr>
          <w:rFonts w:ascii="Calibri" w:eastAsia="Times New Roman" w:hAnsi="Calibri" w:cs="Calibri"/>
          <w:color w:val="000000"/>
          <w:lang w:val="en-GB" w:eastAsia="cs-CZ"/>
        </w:rPr>
        <w:t xml:space="preserve"> unify and streamline the implementation of </w:t>
      </w:r>
      <w:r>
        <w:rPr>
          <w:rFonts w:ascii="Calibri" w:eastAsia="Times New Roman" w:hAnsi="Calibri" w:cs="Calibri"/>
          <w:color w:val="000000"/>
          <w:lang w:val="en-GB" w:eastAsia="cs-CZ"/>
        </w:rPr>
        <w:t>pro-export</w:t>
      </w:r>
      <w:r w:rsidRPr="00177F0B">
        <w:rPr>
          <w:rFonts w:ascii="Calibri" w:eastAsia="Times New Roman" w:hAnsi="Calibri" w:cs="Calibri"/>
          <w:color w:val="000000"/>
          <w:lang w:val="en-GB" w:eastAsia="cs-CZ"/>
        </w:rPr>
        <w:t xml:space="preserve"> measures in the field of exporting agricultural products and foodstuffs to countries outside the EU, with a particular focus on products with higher added value and the markets </w:t>
      </w:r>
      <w:r>
        <w:rPr>
          <w:rFonts w:ascii="Calibri" w:eastAsia="Times New Roman" w:hAnsi="Calibri" w:cs="Calibri"/>
          <w:color w:val="000000"/>
          <w:lang w:val="en-GB" w:eastAsia="cs-CZ"/>
        </w:rPr>
        <w:t>with identified export potential.</w:t>
      </w:r>
    </w:p>
    <w:p w:rsidR="00E775E6" w:rsidRPr="007A1B09" w:rsidRDefault="00F700A9" w:rsidP="00DF0228">
      <w:pPr>
        <w:pStyle w:val="Nadpis2"/>
        <w:keepNext/>
        <w:keepLines/>
        <w:numPr>
          <w:ilvl w:val="1"/>
          <w:numId w:val="4"/>
        </w:numPr>
        <w:ind w:left="851" w:hanging="851"/>
        <w:rPr>
          <w:lang w:val="en-GB"/>
        </w:rPr>
      </w:pPr>
      <w:bookmarkStart w:id="56" w:name="_Toc385946030"/>
      <w:r w:rsidRPr="00F700A9">
        <w:rPr>
          <w:bCs/>
          <w:lang w:val="en-GB"/>
        </w:rPr>
        <w:t>Functioning labour market, education system and social inclusion</w:t>
      </w:r>
      <w:bookmarkEnd w:id="56"/>
    </w:p>
    <w:p w:rsidR="00E504FB" w:rsidRPr="007A1B09" w:rsidRDefault="00F700A9" w:rsidP="00DF0228">
      <w:pPr>
        <w:pStyle w:val="Nadpis3"/>
        <w:keepNext/>
        <w:keepLines/>
        <w:numPr>
          <w:ilvl w:val="2"/>
          <w:numId w:val="4"/>
        </w:numPr>
        <w:ind w:left="851" w:hanging="851"/>
        <w:rPr>
          <w:lang w:val="en-GB"/>
        </w:rPr>
      </w:pPr>
      <w:bookmarkStart w:id="57" w:name="_Toc385946031"/>
      <w:r w:rsidRPr="00F700A9">
        <w:rPr>
          <w:bCs/>
          <w:lang w:val="en-GB"/>
        </w:rPr>
        <w:t>The development of the active employment policy; increasing labour productivity</w:t>
      </w:r>
      <w:bookmarkEnd w:id="57"/>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aim of the Government is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actively develop the functioning of the labour market to allow efficient use of resources for economic and social development. In recent years, a number of structural problems remain</w:t>
      </w:r>
      <w:r>
        <w:rPr>
          <w:rFonts w:ascii="Calibri" w:eastAsia="Times New Roman" w:hAnsi="Calibri" w:cs="Calibri"/>
          <w:color w:val="000000"/>
          <w:lang w:val="en-GB" w:eastAsia="cs-CZ"/>
        </w:rPr>
        <w:t xml:space="preserve"> in</w:t>
      </w:r>
      <w:r w:rsidRPr="00E83C2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the labour market, </w:t>
      </w:r>
      <w:r>
        <w:rPr>
          <w:rFonts w:ascii="Calibri" w:eastAsia="Times New Roman" w:hAnsi="Calibri" w:cs="Calibri"/>
          <w:color w:val="000000"/>
          <w:lang w:val="en-GB" w:eastAsia="cs-CZ"/>
        </w:rPr>
        <w:t>among which is</w:t>
      </w:r>
      <w:r w:rsidRPr="00177F0B">
        <w:rPr>
          <w:rFonts w:ascii="Calibri" w:eastAsia="Times New Roman" w:hAnsi="Calibri" w:cs="Calibri"/>
          <w:color w:val="000000"/>
          <w:lang w:val="en-GB" w:eastAsia="cs-CZ"/>
        </w:rPr>
        <w:t xml:space="preserve"> the low employment of certain groups of the population, especially young people, women with small children or people approaching retirement age. </w:t>
      </w:r>
      <w:r>
        <w:rPr>
          <w:rFonts w:ascii="Calibri" w:eastAsia="Times New Roman" w:hAnsi="Calibri" w:cs="Calibri"/>
          <w:color w:val="000000"/>
          <w:lang w:val="en-GB" w:eastAsia="cs-CZ"/>
        </w:rPr>
        <w:t>In 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labour</w:t>
      </w:r>
      <w:r w:rsidRPr="00177F0B">
        <w:rPr>
          <w:rFonts w:ascii="Calibri" w:eastAsia="Times New Roman" w:hAnsi="Calibri" w:cs="Calibri"/>
          <w:color w:val="000000"/>
          <w:lang w:val="en-GB" w:eastAsia="cs-CZ"/>
        </w:rPr>
        <w:t xml:space="preserve"> market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is</w:t>
      </w:r>
      <w:r>
        <w:rPr>
          <w:rFonts w:ascii="Calibri" w:eastAsia="Times New Roman" w:hAnsi="Calibri" w:cs="Calibri"/>
          <w:color w:val="000000"/>
          <w:lang w:val="en-GB" w:eastAsia="cs-CZ"/>
        </w:rPr>
        <w:t xml:space="preserve"> also</w:t>
      </w:r>
      <w:r w:rsidRPr="00177F0B">
        <w:rPr>
          <w:rFonts w:ascii="Calibri" w:eastAsia="Times New Roman" w:hAnsi="Calibri" w:cs="Calibri"/>
          <w:color w:val="000000"/>
          <w:lang w:val="en-GB" w:eastAsia="cs-CZ"/>
        </w:rPr>
        <w:t xml:space="preserve"> difficult to find </w:t>
      </w:r>
      <w:r>
        <w:rPr>
          <w:rFonts w:ascii="Calibri" w:eastAsia="Times New Roman" w:hAnsi="Calibri" w:cs="Calibri"/>
          <w:color w:val="000000"/>
          <w:lang w:val="en-GB" w:eastAsia="cs-CZ"/>
        </w:rPr>
        <w:t>employment for</w:t>
      </w:r>
      <w:r w:rsidRPr="00177F0B">
        <w:rPr>
          <w:rFonts w:ascii="Calibri" w:eastAsia="Times New Roman" w:hAnsi="Calibri" w:cs="Calibri"/>
          <w:color w:val="000000"/>
          <w:lang w:val="en-GB" w:eastAsia="cs-CZ"/>
        </w:rPr>
        <w:t xml:space="preserve"> applicants with low qualification or </w:t>
      </w:r>
      <w:r>
        <w:rPr>
          <w:rFonts w:ascii="Calibri" w:eastAsia="Times New Roman" w:hAnsi="Calibri" w:cs="Calibri"/>
          <w:color w:val="000000"/>
          <w:lang w:val="en-GB" w:eastAsia="cs-CZ"/>
        </w:rPr>
        <w:t>specialization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that does not match</w:t>
      </w:r>
      <w:r w:rsidRPr="00177F0B">
        <w:rPr>
          <w:rFonts w:ascii="Calibri" w:eastAsia="Times New Roman" w:hAnsi="Calibri" w:cs="Calibri"/>
          <w:color w:val="000000"/>
          <w:lang w:val="en-GB" w:eastAsia="cs-CZ"/>
        </w:rPr>
        <w:t xml:space="preserve"> to the needs of the economy. </w:t>
      </w:r>
      <w:r>
        <w:rPr>
          <w:rFonts w:ascii="Calibri" w:eastAsia="Times New Roman" w:hAnsi="Calibri" w:cs="Calibri"/>
          <w:color w:val="000000"/>
          <w:lang w:val="en-GB" w:eastAsia="cs-CZ"/>
        </w:rPr>
        <w:t xml:space="preserve"> 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intends to create conditions for </w:t>
      </w:r>
      <w:r w:rsidRPr="00177F0B">
        <w:rPr>
          <w:rFonts w:ascii="Calibri" w:eastAsia="Times New Roman" w:hAnsi="Calibri" w:cs="Calibri"/>
          <w:color w:val="000000"/>
          <w:lang w:val="en-GB" w:eastAsia="cs-CZ"/>
        </w:rPr>
        <w:lastRenderedPageBreak/>
        <w:t>sustainable employment, which will be based on a co</w:t>
      </w:r>
      <w:r>
        <w:rPr>
          <w:rFonts w:ascii="Calibri" w:eastAsia="Times New Roman" w:hAnsi="Calibri" w:cs="Calibri"/>
          <w:color w:val="000000"/>
          <w:lang w:val="en-GB" w:eastAsia="cs-CZ"/>
        </w:rPr>
        <w:t xml:space="preserve">ordinated approach by the state, </w:t>
      </w:r>
      <w:r w:rsidRPr="00177F0B">
        <w:rPr>
          <w:rFonts w:ascii="Calibri" w:eastAsia="Times New Roman" w:hAnsi="Calibri" w:cs="Calibri"/>
          <w:color w:val="000000"/>
          <w:lang w:val="en-GB" w:eastAsia="cs-CZ"/>
        </w:rPr>
        <w:t>territorial public administration</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employers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non-profit sector, targeted active </w:t>
      </w:r>
      <w:r>
        <w:rPr>
          <w:rFonts w:ascii="Calibri" w:eastAsia="Times New Roman" w:hAnsi="Calibri" w:cs="Calibri"/>
          <w:color w:val="000000"/>
          <w:lang w:val="en-GB" w:eastAsia="cs-CZ"/>
        </w:rPr>
        <w:t>employment policy</w:t>
      </w:r>
      <w:r w:rsidRPr="00177F0B">
        <w:rPr>
          <w:rFonts w:ascii="Calibri" w:eastAsia="Times New Roman" w:hAnsi="Calibri" w:cs="Calibri"/>
          <w:color w:val="000000"/>
          <w:lang w:val="en-GB" w:eastAsia="cs-CZ"/>
        </w:rPr>
        <w:t xml:space="preserve"> and effective and meaningful development of citizens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skills. Beyond the response to Recommendation </w:t>
      </w:r>
      <w:r>
        <w:rPr>
          <w:rFonts w:ascii="Calibri" w:eastAsia="Times New Roman" w:hAnsi="Calibri" w:cs="Calibri"/>
          <w:color w:val="000000"/>
          <w:lang w:val="en-GB" w:eastAsia="cs-CZ"/>
        </w:rPr>
        <w:t xml:space="preserve">No. </w:t>
      </w:r>
      <w:r w:rsidRPr="00177F0B">
        <w:rPr>
          <w:rFonts w:ascii="Calibri" w:eastAsia="Times New Roman" w:hAnsi="Calibri" w:cs="Calibri"/>
          <w:color w:val="000000"/>
          <w:lang w:val="en-GB" w:eastAsia="cs-CZ"/>
        </w:rPr>
        <w:t xml:space="preserve">4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government </w:t>
      </w:r>
      <w:r>
        <w:rPr>
          <w:rFonts w:ascii="Calibri" w:eastAsia="Times New Roman" w:hAnsi="Calibri" w:cs="Calibri"/>
          <w:color w:val="000000"/>
          <w:lang w:val="en-GB" w:eastAsia="cs-CZ"/>
        </w:rPr>
        <w:t>expects to</w:t>
      </w:r>
      <w:r w:rsidRPr="00177F0B">
        <w:rPr>
          <w:rFonts w:ascii="Calibri" w:eastAsia="Times New Roman" w:hAnsi="Calibri" w:cs="Calibri"/>
          <w:color w:val="000000"/>
          <w:lang w:val="en-GB" w:eastAsia="cs-CZ"/>
        </w:rPr>
        <w:t xml:space="preserve"> adopt a number of other measures </w:t>
      </w:r>
      <w:r>
        <w:rPr>
          <w:rFonts w:ascii="Calibri" w:eastAsia="Times New Roman" w:hAnsi="Calibri" w:cs="Calibri"/>
          <w:color w:val="000000"/>
          <w:lang w:val="en-GB" w:eastAsia="cs-CZ"/>
        </w:rPr>
        <w:t xml:space="preserve">in this area </w:t>
      </w:r>
      <w:r w:rsidRPr="00177F0B">
        <w:rPr>
          <w:rFonts w:ascii="Calibri" w:eastAsia="Times New Roman" w:hAnsi="Calibri" w:cs="Calibri"/>
          <w:color w:val="000000"/>
          <w:lang w:val="en-GB" w:eastAsia="cs-CZ"/>
        </w:rPr>
        <w:t xml:space="preserve">for meeting long-term goals, including restoration </w:t>
      </w:r>
      <w:r>
        <w:rPr>
          <w:rFonts w:ascii="Calibri" w:eastAsia="Times New Roman" w:hAnsi="Calibri" w:cs="Calibri"/>
          <w:color w:val="000000"/>
          <w:lang w:val="en-GB" w:eastAsia="cs-CZ"/>
        </w:rPr>
        <w:t>of the work</w:t>
      </w:r>
      <w:r w:rsidRPr="00177F0B">
        <w:rPr>
          <w:rFonts w:ascii="Calibri" w:eastAsia="Times New Roman" w:hAnsi="Calibri" w:cs="Calibri"/>
          <w:color w:val="000000"/>
          <w:lang w:val="en-GB" w:eastAsia="cs-CZ"/>
        </w:rPr>
        <w:t xml:space="preserve">load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numerically strengthened labour </w:t>
      </w:r>
      <w:r>
        <w:rPr>
          <w:rFonts w:ascii="Calibri" w:eastAsia="Times New Roman" w:hAnsi="Calibri" w:cs="Calibri"/>
          <w:color w:val="000000"/>
          <w:lang w:val="en-GB" w:eastAsia="cs-CZ"/>
        </w:rPr>
        <w:t>authorities.</w:t>
      </w:r>
    </w:p>
    <w:p w:rsidR="00F700A9" w:rsidRDefault="00F700A9">
      <w:pPr>
        <w:spacing w:after="0"/>
        <w:ind w:firstLine="360"/>
        <w:jc w:val="left"/>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br w:type="page"/>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lastRenderedPageBreak/>
        <w:t>Modif</w:t>
      </w:r>
      <w:r>
        <w:rPr>
          <w:rFonts w:ascii="Cambria" w:eastAsia="Times New Roman" w:hAnsi="Cambria" w:cs="Times New Roman"/>
          <w:b/>
          <w:bCs/>
          <w:i/>
          <w:iCs/>
          <w:color w:val="D41616"/>
          <w:lang w:val="en-GB" w:eastAsia="cs-CZ"/>
        </w:rPr>
        <w:t>ication of</w:t>
      </w:r>
      <w:r w:rsidRPr="00177F0B">
        <w:rPr>
          <w:rFonts w:ascii="Cambria" w:eastAsia="Times New Roman" w:hAnsi="Cambria" w:cs="Times New Roman"/>
          <w:b/>
          <w:bCs/>
          <w:i/>
          <w:iCs/>
          <w:color w:val="D41616"/>
          <w:lang w:val="en-GB" w:eastAsia="cs-CZ"/>
        </w:rPr>
        <w:t xml:space="preserve"> the system of investment incentives</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By amending the</w:t>
      </w:r>
      <w:r w:rsidRPr="00177F0B">
        <w:rPr>
          <w:rFonts w:ascii="Calibri" w:eastAsia="Times New Roman" w:hAnsi="Calibri" w:cs="Calibri"/>
          <w:color w:val="000000"/>
          <w:lang w:val="en-GB" w:eastAsia="cs-CZ"/>
        </w:rPr>
        <w:t xml:space="preserve"> Act No. 72/2000 Coll., The Investment Incentives </w:t>
      </w:r>
      <w:r>
        <w:rPr>
          <w:rFonts w:ascii="Calibri" w:eastAsia="Times New Roman" w:hAnsi="Calibri" w:cs="Calibri"/>
          <w:color w:val="000000"/>
          <w:lang w:val="en-GB" w:eastAsia="cs-CZ"/>
        </w:rPr>
        <w:t xml:space="preserve">and </w:t>
      </w:r>
      <w:r w:rsidRPr="00177F0B">
        <w:rPr>
          <w:rFonts w:ascii="Calibri" w:eastAsia="Times New Roman" w:hAnsi="Calibri" w:cs="Calibri"/>
          <w:color w:val="000000"/>
          <w:lang w:val="en-GB" w:eastAsia="cs-CZ"/>
        </w:rPr>
        <w:t xml:space="preserve">Act No. 435/2004 Coll., </w:t>
      </w:r>
      <w:r>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n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mployment, the government will increase the incentive for employers to invest in regions with an unemployment rate above the national average and the </w:t>
      </w:r>
      <w:r>
        <w:rPr>
          <w:rFonts w:ascii="Calibri" w:eastAsia="Times New Roman" w:hAnsi="Calibri" w:cs="Calibri"/>
          <w:color w:val="000000"/>
          <w:lang w:val="en-GB" w:eastAsia="cs-CZ"/>
        </w:rPr>
        <w:t>preferential</w:t>
      </w:r>
      <w:r w:rsidRPr="00177F0B">
        <w:rPr>
          <w:rFonts w:ascii="Calibri" w:eastAsia="Times New Roman" w:hAnsi="Calibri" w:cs="Calibri"/>
          <w:color w:val="000000"/>
          <w:lang w:val="en-GB" w:eastAsia="cs-CZ"/>
        </w:rPr>
        <w:t xml:space="preserve"> industrial zones. The amount of financial support for the creation of new jobs and training (retraining) will be graded according to the level of unemployment in </w:t>
      </w:r>
      <w:r>
        <w:rPr>
          <w:rFonts w:ascii="Calibri" w:eastAsia="Times New Roman" w:hAnsi="Calibri" w:cs="Calibri"/>
          <w:color w:val="000000"/>
          <w:lang w:val="en-GB" w:eastAsia="cs-CZ"/>
        </w:rPr>
        <w:t>supported</w:t>
      </w:r>
      <w:r w:rsidRPr="00177F0B">
        <w:rPr>
          <w:rFonts w:ascii="Calibri" w:eastAsia="Times New Roman" w:hAnsi="Calibri" w:cs="Calibri"/>
          <w:color w:val="000000"/>
          <w:lang w:val="en-GB" w:eastAsia="cs-CZ"/>
        </w:rPr>
        <w:t xml:space="preserve"> regions. </w:t>
      </w:r>
      <w:r>
        <w:rPr>
          <w:rFonts w:ascii="Calibri" w:eastAsia="Times New Roman" w:hAnsi="Calibri" w:cs="Calibri"/>
          <w:color w:val="000000"/>
          <w:lang w:val="en-GB" w:eastAsia="cs-CZ"/>
        </w:rPr>
        <w:t>The improved</w:t>
      </w:r>
      <w:r w:rsidRPr="00177F0B">
        <w:rPr>
          <w:rFonts w:ascii="Calibri" w:eastAsia="Times New Roman" w:hAnsi="Calibri" w:cs="Calibri"/>
          <w:color w:val="000000"/>
          <w:lang w:val="en-GB" w:eastAsia="cs-CZ"/>
        </w:rPr>
        <w:t xml:space="preserve"> support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the creation of new jobs and training will also apply to the</w:t>
      </w:r>
      <w:r>
        <w:rPr>
          <w:rFonts w:ascii="Calibri" w:eastAsia="Times New Roman" w:hAnsi="Calibri" w:cs="Calibri"/>
          <w:color w:val="000000"/>
          <w:lang w:val="en-GB" w:eastAsia="cs-CZ"/>
        </w:rPr>
        <w:t xml:space="preserve"> state-supported regions</w:t>
      </w:r>
      <w:r>
        <w:rPr>
          <w:rStyle w:val="Znakapoznpodarou"/>
          <w:rFonts w:ascii="Calibri" w:eastAsia="Times New Roman" w:hAnsi="Calibri" w:cs="Calibri"/>
          <w:color w:val="000000"/>
          <w:lang w:val="en-GB" w:eastAsia="cs-CZ"/>
        </w:rPr>
        <w:footnoteReference w:id="27"/>
      </w:r>
      <w:r w:rsidRPr="00177F0B">
        <w:rPr>
          <w:rFonts w:ascii="Calibri" w:eastAsia="Times New Roman" w:hAnsi="Calibri" w:cs="Calibri"/>
          <w:color w:val="000000"/>
          <w:lang w:val="en-GB" w:eastAsia="cs-CZ"/>
        </w:rPr>
        <w:t xml:space="preserve">. In line with the </w:t>
      </w:r>
      <w:r>
        <w:rPr>
          <w:rFonts w:ascii="Calibri" w:eastAsia="Times New Roman" w:hAnsi="Calibri" w:cs="Calibri"/>
          <w:color w:val="000000"/>
          <w:lang w:val="en-GB" w:eastAsia="cs-CZ"/>
        </w:rPr>
        <w:t>government's Plan of Legislative W</w:t>
      </w:r>
      <w:r w:rsidRPr="00177F0B">
        <w:rPr>
          <w:rFonts w:ascii="Calibri" w:eastAsia="Times New Roman" w:hAnsi="Calibri" w:cs="Calibri"/>
          <w:color w:val="000000"/>
          <w:lang w:val="en-GB" w:eastAsia="cs-CZ"/>
        </w:rPr>
        <w:t xml:space="preserve">ork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draft </w:t>
      </w:r>
      <w:r>
        <w:rPr>
          <w:rFonts w:ascii="Calibri" w:eastAsia="Times New Roman" w:hAnsi="Calibri" w:cs="Calibri"/>
          <w:color w:val="000000"/>
          <w:lang w:val="en-GB" w:eastAsia="cs-CZ"/>
        </w:rPr>
        <w:t>of a</w:t>
      </w:r>
      <w:r w:rsidRPr="00177F0B">
        <w:rPr>
          <w:rFonts w:ascii="Calibri" w:eastAsia="Times New Roman" w:hAnsi="Calibri" w:cs="Calibri"/>
          <w:color w:val="000000"/>
          <w:lang w:val="en-GB" w:eastAsia="cs-CZ"/>
        </w:rPr>
        <w:t xml:space="preserve"> comprehensive amendment to the </w:t>
      </w:r>
      <w:r>
        <w:rPr>
          <w:rFonts w:ascii="Calibri" w:eastAsia="Times New Roman" w:hAnsi="Calibri" w:cs="Calibri"/>
          <w:color w:val="000000"/>
          <w:lang w:val="en-GB" w:eastAsia="cs-CZ"/>
        </w:rPr>
        <w:t>Act</w:t>
      </w:r>
      <w:r w:rsidRPr="00177F0B">
        <w:rPr>
          <w:rFonts w:ascii="Calibri" w:eastAsia="Times New Roman" w:hAnsi="Calibri" w:cs="Calibri"/>
          <w:color w:val="000000"/>
          <w:lang w:val="en-GB" w:eastAsia="cs-CZ"/>
        </w:rPr>
        <w:t xml:space="preserve"> on Investment Incentives, including the amendment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the Employment Act, </w:t>
      </w:r>
      <w:r>
        <w:rPr>
          <w:rFonts w:ascii="Calibri" w:eastAsia="Times New Roman" w:hAnsi="Calibri" w:cs="Calibri"/>
          <w:color w:val="000000"/>
          <w:lang w:val="en-GB" w:eastAsia="cs-CZ"/>
        </w:rPr>
        <w:t xml:space="preserve">will </w:t>
      </w:r>
      <w:r w:rsidRPr="00177F0B">
        <w:rPr>
          <w:rFonts w:ascii="Calibri" w:eastAsia="Times New Roman" w:hAnsi="Calibri" w:cs="Calibri"/>
          <w:color w:val="000000"/>
          <w:lang w:val="en-GB" w:eastAsia="cs-CZ"/>
        </w:rPr>
        <w:t xml:space="preserve">submitted to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by the end of June 2014.</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Warranty Program for Youth</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Czech Republic has adopted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program</w:t>
      </w:r>
      <w:r>
        <w:rPr>
          <w:rFonts w:ascii="Calibri" w:eastAsia="Times New Roman" w:hAnsi="Calibri" w:cs="Calibri"/>
          <w:color w:val="000000"/>
          <w:lang w:val="en-GB" w:eastAsia="cs-CZ"/>
        </w:rPr>
        <w:t>me Guarantees for Youth</w:t>
      </w:r>
      <w:r w:rsidRPr="00177F0B">
        <w:rPr>
          <w:rFonts w:ascii="Calibri" w:eastAsia="Times New Roman" w:hAnsi="Calibri" w:cs="Calibri"/>
          <w:color w:val="000000"/>
          <w:lang w:val="en-GB" w:eastAsia="cs-CZ"/>
        </w:rPr>
        <w:t>, which aims to offer employment, further education, training or internship</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every young person under 25 within four months after becoming unemployed, completed formal education or dropped out of the for</w:t>
      </w:r>
      <w:r>
        <w:rPr>
          <w:rFonts w:ascii="Calibri" w:eastAsia="Times New Roman" w:hAnsi="Calibri" w:cs="Calibri"/>
          <w:color w:val="000000"/>
          <w:lang w:val="en-GB" w:eastAsia="cs-CZ"/>
        </w:rPr>
        <w:t>mal education system. Currently the programme is being</w:t>
      </w:r>
      <w:r w:rsidRPr="00177F0B">
        <w:rPr>
          <w:rFonts w:ascii="Calibri" w:eastAsia="Times New Roman" w:hAnsi="Calibri" w:cs="Calibri"/>
          <w:color w:val="000000"/>
          <w:lang w:val="en-GB" w:eastAsia="cs-CZ"/>
        </w:rPr>
        <w:t xml:space="preserve"> implemented through the existing 31 projects for youth within the OP Human Resources and Empl</w:t>
      </w:r>
      <w:r>
        <w:rPr>
          <w:rFonts w:ascii="Calibri" w:eastAsia="Times New Roman" w:hAnsi="Calibri" w:cs="Calibri"/>
          <w:color w:val="000000"/>
          <w:lang w:val="en-GB" w:eastAsia="cs-CZ"/>
        </w:rPr>
        <w:t>oyment, the largest proportion and</w:t>
      </w:r>
      <w:r w:rsidRPr="00177F0B">
        <w:rPr>
          <w:rFonts w:ascii="Calibri" w:eastAsia="Times New Roman" w:hAnsi="Calibri" w:cs="Calibri"/>
          <w:color w:val="000000"/>
          <w:lang w:val="en-GB" w:eastAsia="cs-CZ"/>
        </w:rPr>
        <w:t xml:space="preserve"> activation </w:t>
      </w:r>
      <w:r>
        <w:rPr>
          <w:rFonts w:ascii="Calibri" w:eastAsia="Times New Roman" w:hAnsi="Calibri" w:cs="Calibri"/>
          <w:color w:val="000000"/>
          <w:lang w:val="en-GB" w:eastAsia="cs-CZ"/>
        </w:rPr>
        <w:t>is represented by 14 regional projects</w:t>
      </w:r>
      <w:r w:rsidRPr="00177F0B">
        <w:rPr>
          <w:rFonts w:ascii="Calibri" w:eastAsia="Times New Roman" w:hAnsi="Calibri" w:cs="Calibri"/>
          <w:color w:val="000000"/>
          <w:lang w:val="en-GB" w:eastAsia="cs-CZ"/>
        </w:rPr>
        <w:t xml:space="preserve"> Professional Experience for Young People up to 30 </w:t>
      </w:r>
      <w:r>
        <w:rPr>
          <w:rFonts w:ascii="Calibri" w:eastAsia="Times New Roman" w:hAnsi="Calibri" w:cs="Calibri"/>
          <w:color w:val="000000"/>
          <w:lang w:val="en-GB" w:eastAsia="cs-CZ"/>
        </w:rPr>
        <w:t xml:space="preserve">Years. </w:t>
      </w:r>
      <w:r w:rsidRPr="00177F0B">
        <w:rPr>
          <w:rFonts w:ascii="Calibri" w:eastAsia="Times New Roman" w:hAnsi="Calibri" w:cs="Calibri"/>
          <w:color w:val="000000"/>
          <w:lang w:val="en-GB" w:eastAsia="cs-CZ"/>
        </w:rPr>
        <w:t xml:space="preserve">These projects are designed for young people without work experience or minimal experience, who are registered at the Labour </w:t>
      </w:r>
      <w:r>
        <w:rPr>
          <w:rFonts w:ascii="Calibri" w:eastAsia="Times New Roman" w:hAnsi="Calibri" w:cs="Calibri"/>
          <w:color w:val="000000"/>
          <w:lang w:val="en-GB" w:eastAsia="cs-CZ"/>
        </w:rPr>
        <w:t>Authority</w:t>
      </w:r>
      <w:r w:rsidRPr="00177F0B">
        <w:rPr>
          <w:rFonts w:ascii="Calibri" w:eastAsia="Times New Roman" w:hAnsi="Calibri" w:cs="Calibri"/>
          <w:color w:val="000000"/>
          <w:lang w:val="en-GB" w:eastAsia="cs-CZ"/>
        </w:rPr>
        <w:t xml:space="preserve"> of the Czech Republic. </w:t>
      </w:r>
      <w:r>
        <w:rPr>
          <w:rFonts w:ascii="Calibri" w:eastAsia="Times New Roman" w:hAnsi="Calibri" w:cs="Calibri"/>
          <w:color w:val="000000"/>
          <w:lang w:val="en-GB" w:eastAsia="cs-CZ"/>
        </w:rPr>
        <w:t>M</w:t>
      </w:r>
      <w:r w:rsidRPr="00177F0B">
        <w:rPr>
          <w:rFonts w:ascii="Calibri" w:eastAsia="Times New Roman" w:hAnsi="Calibri" w:cs="Calibri"/>
          <w:color w:val="000000"/>
          <w:lang w:val="en-GB" w:eastAsia="cs-CZ"/>
        </w:rPr>
        <w:t>easures and projects funded under the investment priorities of the new OP 1.1 Employment</w:t>
      </w:r>
      <w:r>
        <w:rPr>
          <w:rFonts w:ascii="Calibri" w:eastAsia="Times New Roman" w:hAnsi="Calibri" w:cs="Calibri"/>
          <w:color w:val="000000"/>
          <w:lang w:val="en-GB" w:eastAsia="cs-CZ"/>
        </w:rPr>
        <w:t xml:space="preserve"> will be involved in the implementation of the programme f</w:t>
      </w:r>
      <w:r w:rsidRPr="00177F0B">
        <w:rPr>
          <w:rFonts w:ascii="Calibri" w:eastAsia="Times New Roman" w:hAnsi="Calibri" w:cs="Calibri"/>
          <w:color w:val="000000"/>
          <w:lang w:val="en-GB" w:eastAsia="cs-CZ"/>
        </w:rPr>
        <w:t>rom 2015. The intention of the government is to prevent youth unemployment</w:t>
      </w:r>
      <w:r>
        <w:rPr>
          <w:rFonts w:ascii="Calibri" w:eastAsia="Times New Roman" w:hAnsi="Calibri" w:cs="Calibri"/>
          <w:color w:val="000000"/>
          <w:lang w:val="en-GB" w:eastAsia="cs-CZ"/>
        </w:rPr>
        <w:t xml:space="preserve"> by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interconnecting </w:t>
      </w:r>
      <w:r w:rsidRPr="00177F0B">
        <w:rPr>
          <w:rFonts w:ascii="Calibri" w:eastAsia="Times New Roman" w:hAnsi="Calibri" w:cs="Calibri"/>
          <w:color w:val="000000"/>
          <w:lang w:val="en-GB" w:eastAsia="cs-CZ"/>
        </w:rPr>
        <w:t>better education offer</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with long-term needs of the labour market.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Reducing unemployment among young people in the region NUTS II Northwest</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EU initiative to promote youth employment is </w:t>
      </w:r>
      <w:r>
        <w:rPr>
          <w:rFonts w:ascii="Calibri" w:eastAsia="Times New Roman" w:hAnsi="Calibri" w:cs="Calibri"/>
          <w:color w:val="000000"/>
          <w:lang w:val="en-GB" w:eastAsia="cs-CZ"/>
        </w:rPr>
        <w:t>implemented</w:t>
      </w:r>
      <w:r w:rsidRPr="00177F0B">
        <w:rPr>
          <w:rFonts w:ascii="Calibri" w:eastAsia="Times New Roman" w:hAnsi="Calibri" w:cs="Calibri"/>
          <w:color w:val="000000"/>
          <w:lang w:val="en-GB" w:eastAsia="cs-CZ"/>
        </w:rPr>
        <w:t xml:space="preserve"> in the region NUTS 2 Northwest, the only</w:t>
      </w:r>
      <w:r>
        <w:rPr>
          <w:rFonts w:ascii="Calibri" w:eastAsia="Times New Roman" w:hAnsi="Calibri" w:cs="Calibri"/>
          <w:color w:val="000000"/>
          <w:lang w:val="en-GB" w:eastAsia="cs-CZ"/>
        </w:rPr>
        <w:t xml:space="preserve"> one to</w:t>
      </w:r>
      <w:r w:rsidRPr="00177F0B">
        <w:rPr>
          <w:rFonts w:ascii="Calibri" w:eastAsia="Times New Roman" w:hAnsi="Calibri" w:cs="Calibri"/>
          <w:color w:val="000000"/>
          <w:lang w:val="en-GB" w:eastAsia="cs-CZ"/>
        </w:rPr>
        <w:t xml:space="preserve"> fulfil the initiative</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condition, i.e. that in 2012 the </w:t>
      </w:r>
      <w:r>
        <w:rPr>
          <w:rFonts w:ascii="Calibri" w:eastAsia="Times New Roman" w:hAnsi="Calibri" w:cs="Calibri"/>
          <w:color w:val="000000"/>
          <w:lang w:val="en-GB" w:eastAsia="cs-CZ"/>
        </w:rPr>
        <w:t xml:space="preserve">unemployment rate of </w:t>
      </w:r>
      <w:r w:rsidRPr="00177F0B">
        <w:rPr>
          <w:rFonts w:ascii="Calibri" w:eastAsia="Times New Roman" w:hAnsi="Calibri" w:cs="Calibri"/>
          <w:color w:val="000000"/>
          <w:lang w:val="en-GB" w:eastAsia="cs-CZ"/>
        </w:rPr>
        <w:t>youth</w:t>
      </w:r>
      <w:r>
        <w:rPr>
          <w:rFonts w:ascii="Calibri" w:eastAsia="Times New Roman" w:hAnsi="Calibri" w:cs="Calibri"/>
          <w:color w:val="000000"/>
          <w:lang w:val="en-GB" w:eastAsia="cs-CZ"/>
        </w:rPr>
        <w:t xml:space="preserve"> up to</w:t>
      </w:r>
      <w:r w:rsidRPr="00177F0B">
        <w:rPr>
          <w:rFonts w:ascii="Calibri" w:eastAsia="Times New Roman" w:hAnsi="Calibri" w:cs="Calibri"/>
          <w:color w:val="000000"/>
          <w:lang w:val="en-GB" w:eastAsia="cs-CZ"/>
        </w:rPr>
        <w:t xml:space="preserve"> 25 years</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higher than 25% (namely 28.2%).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Czech Republic agrees to offer employment, further education, training or internship</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every young person under 25 in Karlovy Vary and </w:t>
      </w:r>
      <w:proofErr w:type="spellStart"/>
      <w:r w:rsidRPr="00177F0B">
        <w:rPr>
          <w:rFonts w:ascii="Calibri" w:eastAsia="Times New Roman" w:hAnsi="Calibri" w:cs="Calibri"/>
          <w:color w:val="000000"/>
          <w:lang w:val="en-GB" w:eastAsia="cs-CZ"/>
        </w:rPr>
        <w:t>Ústí</w:t>
      </w:r>
      <w:proofErr w:type="spellEnd"/>
      <w:r w:rsidRPr="00177F0B">
        <w:rPr>
          <w:rFonts w:ascii="Calibri" w:eastAsia="Times New Roman" w:hAnsi="Calibri" w:cs="Calibri"/>
          <w:color w:val="000000"/>
          <w:lang w:val="en-GB" w:eastAsia="cs-CZ"/>
        </w:rPr>
        <w:t xml:space="preserve"> </w:t>
      </w:r>
      <w:proofErr w:type="spellStart"/>
      <w:r w:rsidRPr="00177F0B">
        <w:rPr>
          <w:rFonts w:ascii="Calibri" w:eastAsia="Times New Roman" w:hAnsi="Calibri" w:cs="Calibri"/>
          <w:color w:val="000000"/>
          <w:lang w:val="en-GB" w:eastAsia="cs-CZ"/>
        </w:rPr>
        <w:t>nad</w:t>
      </w:r>
      <w:proofErr w:type="spellEnd"/>
      <w:r w:rsidRPr="00177F0B">
        <w:rPr>
          <w:rFonts w:ascii="Calibri" w:eastAsia="Times New Roman" w:hAnsi="Calibri" w:cs="Calibri"/>
          <w:color w:val="000000"/>
          <w:lang w:val="en-GB" w:eastAsia="cs-CZ"/>
        </w:rPr>
        <w:t xml:space="preserve"> Labem, wh</w:t>
      </w:r>
      <w:r>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 is not employed and is not included in the system of further education or training (the so-called N</w:t>
      </w:r>
      <w:r>
        <w:rPr>
          <w:rFonts w:ascii="Calibri" w:eastAsia="Times New Roman" w:hAnsi="Calibri" w:cs="Calibri"/>
          <w:color w:val="000000"/>
          <w:lang w:val="en-GB" w:eastAsia="cs-CZ"/>
        </w:rPr>
        <w:t>EETs). In 2014, the I</w:t>
      </w:r>
      <w:r w:rsidRPr="00177F0B">
        <w:rPr>
          <w:rFonts w:ascii="Calibri" w:eastAsia="Times New Roman" w:hAnsi="Calibri" w:cs="Calibri"/>
          <w:color w:val="000000"/>
          <w:lang w:val="en-GB" w:eastAsia="cs-CZ"/>
        </w:rPr>
        <w:t>nitiative</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s </w:t>
      </w:r>
      <w:r>
        <w:rPr>
          <w:rFonts w:ascii="Calibri" w:eastAsia="Times New Roman" w:hAnsi="Calibri" w:cs="Calibri"/>
          <w:color w:val="000000"/>
          <w:lang w:val="en-GB" w:eastAsia="cs-CZ"/>
        </w:rPr>
        <w:t xml:space="preserve">measures are </w:t>
      </w:r>
      <w:r w:rsidRPr="00177F0B">
        <w:rPr>
          <w:rFonts w:ascii="Calibri" w:eastAsia="Times New Roman" w:hAnsi="Calibri" w:cs="Calibri"/>
          <w:color w:val="000000"/>
          <w:lang w:val="en-GB" w:eastAsia="cs-CZ"/>
        </w:rPr>
        <w:t xml:space="preserve">implemented within the active employment policy projects financed from the state budget or project OP Human Resources and Employment. From 2015, funds </w:t>
      </w:r>
      <w:r>
        <w:rPr>
          <w:rFonts w:ascii="Calibri" w:eastAsia="Times New Roman" w:hAnsi="Calibri" w:cs="Calibri"/>
          <w:color w:val="000000"/>
          <w:lang w:val="en-GB" w:eastAsia="cs-CZ"/>
        </w:rPr>
        <w:t xml:space="preserve">will be </w:t>
      </w:r>
      <w:r w:rsidRPr="00177F0B">
        <w:rPr>
          <w:rFonts w:ascii="Calibri" w:eastAsia="Times New Roman" w:hAnsi="Calibri" w:cs="Calibri"/>
          <w:color w:val="000000"/>
          <w:lang w:val="en-GB" w:eastAsia="cs-CZ"/>
        </w:rPr>
        <w:t xml:space="preserve">available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in the investment priorities of the new 1.5 Operational Programme Employment for the years 2014-20.</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Promoting regional cooperation in the labour market</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Creating a functioning system of cooperation in the labour market is an essential prerequisite for the prevention of unemployment and</w:t>
      </w:r>
      <w:r>
        <w:rPr>
          <w:rFonts w:ascii="Calibri" w:eastAsia="Times New Roman" w:hAnsi="Calibri" w:cs="Calibri"/>
          <w:color w:val="000000"/>
          <w:lang w:val="en-GB" w:eastAsia="cs-CZ"/>
        </w:rPr>
        <w:t xml:space="preserve"> improving</w:t>
      </w:r>
      <w:r w:rsidRPr="00177F0B">
        <w:rPr>
          <w:rFonts w:ascii="Calibri" w:eastAsia="Times New Roman" w:hAnsi="Calibri" w:cs="Calibri"/>
          <w:color w:val="000000"/>
          <w:lang w:val="en-GB" w:eastAsia="cs-CZ"/>
        </w:rPr>
        <w:t xml:space="preserve"> the competitiveness of the Czech economy. A good starting point for cooperation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L</w:t>
      </w:r>
      <w:r>
        <w:rPr>
          <w:rFonts w:ascii="Calibri" w:eastAsia="Times New Roman" w:hAnsi="Calibri" w:cs="Calibri"/>
          <w:color w:val="000000"/>
          <w:lang w:val="en-GB" w:eastAsia="cs-CZ"/>
        </w:rPr>
        <w:t xml:space="preserve">abour Activity </w:t>
      </w:r>
      <w:r w:rsidRPr="00177F0B">
        <w:rPr>
          <w:rFonts w:ascii="Calibri" w:eastAsia="Times New Roman" w:hAnsi="Calibri" w:cs="Calibri"/>
          <w:color w:val="000000"/>
          <w:lang w:val="en-GB" w:eastAsia="cs-CZ"/>
        </w:rPr>
        <w:t>and other partners in the labour market</w:t>
      </w:r>
      <w:r>
        <w:rPr>
          <w:rFonts w:ascii="Calibri" w:eastAsia="Times New Roman" w:hAnsi="Calibri" w:cs="Calibri"/>
          <w:color w:val="000000"/>
          <w:lang w:val="en-GB" w:eastAsia="cs-CZ"/>
        </w:rPr>
        <w:t xml:space="preserve"> are the </w:t>
      </w:r>
      <w:r w:rsidRPr="00177F0B">
        <w:rPr>
          <w:rFonts w:ascii="Calibri" w:eastAsia="Times New Roman" w:hAnsi="Calibri" w:cs="Calibri"/>
          <w:color w:val="000000"/>
          <w:lang w:val="en-GB" w:eastAsia="cs-CZ"/>
        </w:rPr>
        <w:t>existing advisory councils, work monitoring teams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etc.</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Providing more targeted active </w:t>
      </w:r>
      <w:r>
        <w:rPr>
          <w:rFonts w:ascii="Cambria" w:eastAsia="Times New Roman" w:hAnsi="Cambria" w:cs="Times New Roman"/>
          <w:b/>
          <w:bCs/>
          <w:i/>
          <w:iCs/>
          <w:color w:val="D41616"/>
          <w:lang w:val="en-GB" w:eastAsia="cs-CZ"/>
        </w:rPr>
        <w:t>employment</w:t>
      </w:r>
      <w:r w:rsidRPr="00177F0B">
        <w:rPr>
          <w:rFonts w:ascii="Cambria" w:eastAsia="Times New Roman" w:hAnsi="Cambria" w:cs="Times New Roman"/>
          <w:b/>
          <w:bCs/>
          <w:i/>
          <w:iCs/>
          <w:color w:val="D41616"/>
          <w:lang w:val="en-GB" w:eastAsia="cs-CZ"/>
        </w:rPr>
        <w:t xml:space="preserve"> policy</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Active employment policy instruments, in particular </w:t>
      </w:r>
      <w:r>
        <w:rPr>
          <w:rFonts w:ascii="Calibri" w:eastAsia="Times New Roman" w:hAnsi="Calibri" w:cs="Calibri"/>
          <w:color w:val="000000"/>
          <w:lang w:val="en-GB" w:eastAsia="cs-CZ"/>
        </w:rPr>
        <w:t>the promotion of job creation,</w:t>
      </w:r>
      <w:r w:rsidRPr="00177F0B">
        <w:rPr>
          <w:rFonts w:ascii="Calibri" w:eastAsia="Times New Roman" w:hAnsi="Calibri" w:cs="Calibri"/>
          <w:color w:val="000000"/>
          <w:lang w:val="en-GB" w:eastAsia="cs-CZ"/>
        </w:rPr>
        <w:t xml:space="preserve"> will take into account the length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job</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seeker</w:t>
      </w:r>
      <w:r>
        <w:rPr>
          <w:rFonts w:ascii="Calibri" w:eastAsia="Times New Roman" w:hAnsi="Calibri" w:cs="Calibri"/>
          <w:color w:val="000000"/>
          <w:lang w:val="en-GB" w:eastAsia="cs-CZ"/>
        </w:rPr>
        <w:t>’s registration at</w:t>
      </w:r>
      <w:r w:rsidRPr="00177F0B">
        <w:rPr>
          <w:rFonts w:ascii="Calibri" w:eastAsia="Times New Roman" w:hAnsi="Calibri" w:cs="Calibri"/>
          <w:color w:val="000000"/>
          <w:lang w:val="en-GB" w:eastAsia="cs-CZ"/>
        </w:rPr>
        <w:t xml:space="preserve"> L</w:t>
      </w:r>
      <w:r>
        <w:rPr>
          <w:rFonts w:ascii="Calibri" w:eastAsia="Times New Roman" w:hAnsi="Calibri" w:cs="Calibri"/>
          <w:color w:val="000000"/>
          <w:lang w:val="en-GB" w:eastAsia="cs-CZ"/>
        </w:rPr>
        <w:t>abour Activity and the level of</w:t>
      </w:r>
      <w:r w:rsidRPr="00177F0B">
        <w:rPr>
          <w:rFonts w:ascii="Calibri" w:eastAsia="Times New Roman" w:hAnsi="Calibri" w:cs="Calibri"/>
          <w:color w:val="000000"/>
          <w:lang w:val="en-GB" w:eastAsia="cs-CZ"/>
        </w:rPr>
        <w:t xml:space="preserve"> disadvantage of assisted persons in the labour market, in particular the accumulation of individual handicaps, so that the contributions </w:t>
      </w:r>
      <w:r>
        <w:rPr>
          <w:rFonts w:ascii="Calibri" w:eastAsia="Times New Roman" w:hAnsi="Calibri" w:cs="Calibri"/>
          <w:color w:val="000000"/>
          <w:lang w:val="en-GB" w:eastAsia="cs-CZ"/>
        </w:rPr>
        <w:t xml:space="preserve">would motivate </w:t>
      </w:r>
      <w:r w:rsidRPr="00177F0B">
        <w:rPr>
          <w:rFonts w:ascii="Calibri" w:eastAsia="Times New Roman" w:hAnsi="Calibri" w:cs="Calibri"/>
          <w:color w:val="000000"/>
          <w:lang w:val="en-GB" w:eastAsia="cs-CZ"/>
        </w:rPr>
        <w:t xml:space="preserve">employers to </w:t>
      </w:r>
      <w:r>
        <w:rPr>
          <w:rFonts w:ascii="Calibri" w:eastAsia="Times New Roman" w:hAnsi="Calibri" w:cs="Calibri"/>
          <w:color w:val="000000"/>
          <w:lang w:val="en-GB" w:eastAsia="cs-CZ"/>
        </w:rPr>
        <w:t>employ</w:t>
      </w:r>
      <w:r w:rsidRPr="00177F0B">
        <w:rPr>
          <w:rFonts w:ascii="Calibri" w:eastAsia="Times New Roman" w:hAnsi="Calibri" w:cs="Calibri"/>
          <w:color w:val="000000"/>
          <w:lang w:val="en-GB" w:eastAsia="cs-CZ"/>
        </w:rPr>
        <w:t xml:space="preserve"> truly disadvantaged</w:t>
      </w:r>
      <w:r>
        <w:rPr>
          <w:rFonts w:ascii="Calibri" w:eastAsia="Times New Roman" w:hAnsi="Calibri" w:cs="Calibri"/>
          <w:color w:val="000000"/>
          <w:lang w:val="en-GB" w:eastAsia="cs-CZ"/>
        </w:rPr>
        <w:t xml:space="preserve"> persons</w:t>
      </w:r>
      <w:r w:rsidRPr="00177F0B">
        <w:rPr>
          <w:rFonts w:ascii="Calibri" w:eastAsia="Times New Roman" w:hAnsi="Calibri" w:cs="Calibri"/>
          <w:color w:val="000000"/>
          <w:lang w:val="en-GB" w:eastAsia="cs-CZ"/>
        </w:rPr>
        <w: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National System and the National Qualifications Framework</w:t>
      </w:r>
    </w:p>
    <w:p w:rsidR="00D80B15" w:rsidRPr="00F700A9" w:rsidRDefault="00F700A9" w:rsidP="007E5C6D">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will support the further development of </w:t>
      </w:r>
      <w:r w:rsidRPr="00177F0B">
        <w:rPr>
          <w:rFonts w:ascii="Calibri" w:eastAsia="Times New Roman" w:hAnsi="Calibri" w:cs="Calibri"/>
          <w:b/>
          <w:bCs/>
          <w:color w:val="000000"/>
          <w:lang w:val="en-GB" w:eastAsia="cs-CZ"/>
        </w:rPr>
        <w:t>the National System</w:t>
      </w:r>
      <w:r>
        <w:rPr>
          <w:rFonts w:ascii="Calibri" w:eastAsia="Times New Roman" w:hAnsi="Calibri" w:cs="Calibri"/>
          <w:b/>
          <w:bCs/>
          <w:color w:val="000000"/>
          <w:lang w:val="en-GB" w:eastAsia="cs-CZ"/>
        </w:rPr>
        <w:t xml:space="preserve"> of Professions</w:t>
      </w:r>
      <w:r w:rsidRPr="00177F0B">
        <w:rPr>
          <w:rFonts w:ascii="Calibri" w:eastAsia="Times New Roman" w:hAnsi="Calibri" w:cs="Calibri"/>
          <w:b/>
          <w:bCs/>
          <w:color w:val="000000"/>
          <w:lang w:val="en-GB" w:eastAsia="cs-CZ"/>
        </w:rPr>
        <w:t xml:space="preserve"> and the National Qualifications Framework</w:t>
      </w:r>
      <w:r w:rsidRPr="00177F0B">
        <w:rPr>
          <w:rFonts w:ascii="Calibri" w:eastAsia="Times New Roman" w:hAnsi="Calibri" w:cs="Calibri"/>
          <w:color w:val="000000"/>
          <w:lang w:val="en-GB" w:eastAsia="cs-CZ"/>
        </w:rPr>
        <w:t xml:space="preserve">, which, through the involvement of the relevant stakeholders in the labour market very significantly contribute to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reduc</w:t>
      </w:r>
      <w:r>
        <w:rPr>
          <w:rFonts w:ascii="Calibri" w:eastAsia="Times New Roman" w:hAnsi="Calibri" w:cs="Calibri"/>
          <w:color w:val="000000"/>
          <w:lang w:val="en-GB" w:eastAsia="cs-CZ"/>
        </w:rPr>
        <w:t>tion of</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discord</w:t>
      </w:r>
      <w:r w:rsidRPr="00177F0B">
        <w:rPr>
          <w:rFonts w:ascii="Calibri" w:eastAsia="Times New Roman" w:hAnsi="Calibri" w:cs="Calibri"/>
          <w:color w:val="000000"/>
          <w:lang w:val="en-GB" w:eastAsia="cs-CZ"/>
        </w:rPr>
        <w:t xml:space="preserve"> between supply and demand in </w:t>
      </w:r>
      <w:r w:rsidRPr="00177F0B">
        <w:rPr>
          <w:rFonts w:ascii="Calibri" w:eastAsia="Times New Roman" w:hAnsi="Calibri" w:cs="Calibri"/>
          <w:color w:val="000000"/>
          <w:lang w:val="en-GB" w:eastAsia="cs-CZ"/>
        </w:rPr>
        <w:lastRenderedPageBreak/>
        <w:t>the labour market. </w:t>
      </w:r>
      <w:r>
        <w:rPr>
          <w:rFonts w:ascii="Calibri" w:eastAsia="Times New Roman" w:hAnsi="Calibri" w:cs="Calibri"/>
          <w:color w:val="000000"/>
          <w:lang w:val="en-GB" w:eastAsia="cs-CZ"/>
        </w:rPr>
        <w:t>They Contain</w:t>
      </w:r>
      <w:r w:rsidRPr="00177F0B">
        <w:rPr>
          <w:rFonts w:ascii="Calibri" w:eastAsia="Times New Roman" w:hAnsi="Calibri" w:cs="Calibri"/>
          <w:color w:val="000000"/>
          <w:lang w:val="en-GB" w:eastAsia="cs-CZ"/>
        </w:rPr>
        <w:t xml:space="preserve"> information about occupations employable in the labour market and the required competencies that are subsequently refle</w:t>
      </w:r>
      <w:r>
        <w:rPr>
          <w:rFonts w:ascii="Calibri" w:eastAsia="Times New Roman" w:hAnsi="Calibri" w:cs="Calibri"/>
          <w:color w:val="000000"/>
          <w:lang w:val="en-GB" w:eastAsia="cs-CZ"/>
        </w:rPr>
        <w:t xml:space="preserve">cted in all levels of education, </w:t>
      </w:r>
      <w:r w:rsidRPr="00177F0B">
        <w:rPr>
          <w:rFonts w:ascii="Calibri" w:eastAsia="Times New Roman" w:hAnsi="Calibri" w:cs="Calibri"/>
          <w:color w:val="000000"/>
          <w:lang w:val="en-GB" w:eastAsia="cs-CZ"/>
        </w:rPr>
        <w:t>human resources and professional education</w:t>
      </w:r>
      <w:r>
        <w:rPr>
          <w:rFonts w:ascii="Calibri" w:eastAsia="Times New Roman" w:hAnsi="Calibri" w:cs="Calibri"/>
          <w:color w:val="000000"/>
          <w:lang w:val="en-GB" w:eastAsia="cs-CZ"/>
        </w:rPr>
        <w:t xml:space="preserve"> in all its stages.</w:t>
      </w:r>
    </w:p>
    <w:p w:rsidR="002739C4" w:rsidRPr="007A1B09" w:rsidRDefault="00F700A9" w:rsidP="003237CF">
      <w:pPr>
        <w:pStyle w:val="Nadpis3"/>
        <w:numPr>
          <w:ilvl w:val="2"/>
          <w:numId w:val="4"/>
        </w:numPr>
        <w:ind w:left="851" w:hanging="851"/>
        <w:rPr>
          <w:lang w:val="en-GB"/>
        </w:rPr>
      </w:pPr>
      <w:bookmarkStart w:id="58" w:name="_Toc385946032"/>
      <w:r w:rsidRPr="00F700A9">
        <w:rPr>
          <w:bCs/>
          <w:lang w:val="en-GB"/>
        </w:rPr>
        <w:t>Quality, affordable health care</w:t>
      </w:r>
      <w:bookmarkEnd w:id="58"/>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sees health care as a public service, which is based on the principle of solidarity, non-profit, equality and universal access. The priority </w:t>
      </w:r>
      <w:r>
        <w:rPr>
          <w:rFonts w:ascii="Calibri" w:eastAsia="Times New Roman" w:hAnsi="Calibri" w:cs="Calibri"/>
          <w:color w:val="000000"/>
          <w:lang w:val="en-GB" w:eastAsia="cs-CZ"/>
        </w:rPr>
        <w:t>is</w:t>
      </w:r>
      <w:r w:rsidRPr="00177F0B">
        <w:rPr>
          <w:rFonts w:ascii="Calibri" w:eastAsia="Times New Roman" w:hAnsi="Calibri" w:cs="Calibri"/>
          <w:color w:val="000000"/>
          <w:lang w:val="en-GB" w:eastAsia="cs-CZ"/>
        </w:rPr>
        <w:t xml:space="preserve"> to ensure quality and efficient care to all citizens, including children and seniors. Government policy in the field of health care is based, inter alia,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the priorities defined by the National Strategy </w:t>
      </w:r>
      <w:r w:rsidRPr="00177F0B">
        <w:rPr>
          <w:rFonts w:ascii="Calibri" w:eastAsia="Times New Roman" w:hAnsi="Calibri" w:cs="Calibri"/>
          <w:b/>
          <w:bCs/>
          <w:color w:val="000000"/>
          <w:lang w:val="en-GB" w:eastAsia="cs-CZ"/>
        </w:rPr>
        <w:t>Health 2020</w:t>
      </w:r>
      <w:r w:rsidRPr="00177F0B">
        <w:rPr>
          <w:rFonts w:ascii="Calibri" w:eastAsia="Times New Roman" w:hAnsi="Calibri" w:cs="Calibri"/>
          <w:color w:val="000000"/>
          <w:lang w:val="en-GB" w:eastAsia="cs-CZ"/>
        </w:rPr>
        <w:t>, which represents a general package of measures to improve the health status of</w:t>
      </w:r>
      <w:r>
        <w:rPr>
          <w:rFonts w:ascii="Calibri" w:eastAsia="Times New Roman" w:hAnsi="Calibri" w:cs="Calibri"/>
          <w:color w:val="000000"/>
          <w:lang w:val="en-GB" w:eastAsia="cs-CZ"/>
        </w:rPr>
        <w:t xml:space="preserve"> the Czech population and reduce</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occurrence</w:t>
      </w:r>
      <w:r w:rsidRPr="00177F0B">
        <w:rPr>
          <w:rFonts w:ascii="Calibri" w:eastAsia="Times New Roman" w:hAnsi="Calibri" w:cs="Calibri"/>
          <w:color w:val="000000"/>
          <w:lang w:val="en-GB" w:eastAsia="cs-CZ"/>
        </w:rPr>
        <w:t xml:space="preserve"> of illness and premature deaths</w:t>
      </w:r>
      <w:r>
        <w:rPr>
          <w:rFonts w:ascii="Calibri" w:eastAsia="Times New Roman" w:hAnsi="Calibri" w:cs="Calibri"/>
          <w:color w:val="000000"/>
          <w:lang w:val="en-GB" w:eastAsia="cs-CZ"/>
        </w:rPr>
        <w:t>, which</w:t>
      </w:r>
      <w:r w:rsidRPr="00177F0B">
        <w:rPr>
          <w:rFonts w:ascii="Calibri" w:eastAsia="Times New Roman" w:hAnsi="Calibri" w:cs="Calibri"/>
          <w:color w:val="000000"/>
          <w:lang w:val="en-GB" w:eastAsia="cs-CZ"/>
        </w:rPr>
        <w:t xml:space="preserve"> can be prevented. Beyond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response to the Council Recommendation </w:t>
      </w:r>
      <w:r>
        <w:rPr>
          <w:rFonts w:ascii="Calibri" w:eastAsia="Times New Roman" w:hAnsi="Calibri" w:cs="Calibri"/>
          <w:color w:val="000000"/>
          <w:lang w:val="en-GB" w:eastAsia="cs-CZ"/>
        </w:rPr>
        <w:t>No.</w:t>
      </w:r>
      <w:r w:rsidRPr="00177F0B">
        <w:rPr>
          <w:rFonts w:ascii="Calibri" w:eastAsia="Times New Roman" w:hAnsi="Calibri" w:cs="Calibri"/>
          <w:color w:val="000000"/>
          <w:lang w:val="en-GB" w:eastAsia="cs-CZ"/>
        </w:rPr>
        <w:t xml:space="preserve">3,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intends to implement further measures to improve the quality and availability of health care in the country.</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Prevention as a prerequisite for a healthy population</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Prevention </w:t>
      </w:r>
      <w:r>
        <w:rPr>
          <w:rFonts w:ascii="Calibri" w:eastAsia="Times New Roman" w:hAnsi="Calibri" w:cs="Calibri"/>
          <w:color w:val="000000"/>
          <w:lang w:val="en-GB" w:eastAsia="cs-CZ"/>
        </w:rPr>
        <w:t>not only represents</w:t>
      </w:r>
      <w:r w:rsidRPr="00177F0B">
        <w:rPr>
          <w:rFonts w:ascii="Calibri" w:eastAsia="Times New Roman" w:hAnsi="Calibri" w:cs="Calibri"/>
          <w:color w:val="000000"/>
          <w:lang w:val="en-GB" w:eastAsia="cs-CZ"/>
        </w:rPr>
        <w:t xml:space="preserve"> one of the foundations of improving the health status of the population, but also brings significant cost savings to the health service and other economic benefits.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intends to support the implementation of health promotion projects aimed at promoting and optimization of physical activity among the general public and </w:t>
      </w:r>
      <w:r>
        <w:rPr>
          <w:rFonts w:ascii="Calibri" w:eastAsia="Times New Roman" w:hAnsi="Calibri" w:cs="Calibri"/>
          <w:color w:val="000000"/>
          <w:lang w:val="en-GB" w:eastAsia="cs-CZ"/>
        </w:rPr>
        <w:t>specific</w:t>
      </w:r>
      <w:r w:rsidRPr="00177F0B">
        <w:rPr>
          <w:rFonts w:ascii="Calibri" w:eastAsia="Times New Roman" w:hAnsi="Calibri" w:cs="Calibri"/>
          <w:color w:val="000000"/>
          <w:lang w:val="en-GB" w:eastAsia="cs-CZ"/>
        </w:rPr>
        <w:t xml:space="preserve"> target groups. It will also support health promotion projects aimed at achieving changes in eating habits and increasing health literacy, especially among children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youth. It will also focus on reducing the health risks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living and working environment and reducing health risk behaviour, in particular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protection against addictive substances. The government will also promote the prevention of infectious diseases, particularly through measures </w:t>
      </w:r>
      <w:r>
        <w:rPr>
          <w:rFonts w:ascii="Calibri" w:eastAsia="Times New Roman" w:hAnsi="Calibri" w:cs="Calibri"/>
          <w:color w:val="000000"/>
          <w:lang w:val="en-GB" w:eastAsia="cs-CZ"/>
        </w:rPr>
        <w:t>aimed at</w:t>
      </w:r>
      <w:r w:rsidRPr="00177F0B">
        <w:rPr>
          <w:rFonts w:ascii="Calibri" w:eastAsia="Times New Roman" w:hAnsi="Calibri" w:cs="Calibri"/>
          <w:color w:val="000000"/>
          <w:lang w:val="en-GB" w:eastAsia="cs-CZ"/>
        </w:rPr>
        <w:t xml:space="preserve"> antimicrobial resistance and vaccin</w:t>
      </w:r>
      <w:r>
        <w:rPr>
          <w:rFonts w:ascii="Calibri" w:eastAsia="Times New Roman" w:hAnsi="Calibri" w:cs="Calibri"/>
          <w:color w:val="000000"/>
          <w:lang w:val="en-GB" w:eastAsia="cs-CZ"/>
        </w:rPr>
        <w:t>ation</w:t>
      </w:r>
      <w:r w:rsidRPr="00177F0B">
        <w:rPr>
          <w:rFonts w:ascii="Calibri" w:eastAsia="Times New Roman" w:hAnsi="Calibri" w:cs="Calibri"/>
          <w:color w:val="000000"/>
          <w:lang w:val="en-GB" w:eastAsia="cs-CZ"/>
        </w:rPr>
        <w:t xml:space="preserve"> programs.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Computerization of Health (</w:t>
      </w:r>
      <w:proofErr w:type="spellStart"/>
      <w:r w:rsidRPr="00177F0B">
        <w:rPr>
          <w:rFonts w:ascii="Cambria" w:eastAsia="Times New Roman" w:hAnsi="Cambria" w:cs="Times New Roman"/>
          <w:b/>
          <w:bCs/>
          <w:i/>
          <w:iCs/>
          <w:color w:val="D41616"/>
          <w:lang w:val="en-GB" w:eastAsia="cs-CZ"/>
        </w:rPr>
        <w:t>eHealth</w:t>
      </w:r>
      <w:proofErr w:type="spellEnd"/>
      <w:r w:rsidRPr="00177F0B">
        <w:rPr>
          <w:rFonts w:ascii="Cambria" w:eastAsia="Times New Roman" w:hAnsi="Cambria" w:cs="Times New Roman"/>
          <w:b/>
          <w:bCs/>
          <w:i/>
          <w:iCs/>
          <w:color w:val="D41616"/>
          <w:lang w:val="en-GB" w:eastAsia="cs-CZ"/>
        </w:rPr>
        <w:t>)</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aims to ensure secure sharing of important health and economic information, thereby achieving improved quality, comfort, security and transparency of the health care sy</w:t>
      </w:r>
      <w:r w:rsidRPr="00177F0B">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tem. Computerization allows professionals and patients to make the right decisions based on correct information. Full use of modern communication technologies will contribute to a better and more cost-effective care. In this context, the aim is to create a working government strateg</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to ensure standards necessary for the development and sust</w:t>
      </w:r>
      <w:r>
        <w:rPr>
          <w:rFonts w:ascii="Calibri" w:eastAsia="Times New Roman" w:hAnsi="Calibri" w:cs="Calibri"/>
          <w:color w:val="000000"/>
          <w:lang w:val="en-GB" w:eastAsia="cs-CZ"/>
        </w:rPr>
        <w:t>ainability of e-health</w:t>
      </w:r>
      <w:r w:rsidRPr="00177F0B">
        <w:rPr>
          <w:rFonts w:ascii="Calibri" w:eastAsia="Times New Roman" w:hAnsi="Calibri" w:cs="Calibri"/>
          <w:color w:val="000000"/>
          <w:lang w:val="en-GB" w:eastAsia="cs-CZ"/>
        </w:rPr>
        <w:t xml:space="preserve"> and to </w:t>
      </w:r>
      <w:r>
        <w:rPr>
          <w:rFonts w:ascii="Calibri" w:eastAsia="Times New Roman" w:hAnsi="Calibri" w:cs="Calibri"/>
          <w:color w:val="000000"/>
          <w:lang w:val="en-GB" w:eastAsia="cs-CZ"/>
        </w:rPr>
        <w:t>oversee</w:t>
      </w:r>
      <w:r w:rsidRPr="00177F0B">
        <w:rPr>
          <w:rFonts w:ascii="Calibri" w:eastAsia="Times New Roman" w:hAnsi="Calibri" w:cs="Calibri"/>
          <w:color w:val="000000"/>
          <w:lang w:val="en-GB" w:eastAsia="cs-CZ"/>
        </w:rPr>
        <w:t xml:space="preserve"> their implementation.</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Implementation of health technology assessment (HTA)</w:t>
      </w:r>
    </w:p>
    <w:p w:rsidR="006F5768" w:rsidRPr="00F700A9" w:rsidRDefault="00F700A9" w:rsidP="006F5768">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commitment to effectively define the process of </w:t>
      </w:r>
      <w:r>
        <w:rPr>
          <w:rFonts w:ascii="Calibri" w:eastAsia="Times New Roman" w:hAnsi="Calibri" w:cs="Calibri"/>
          <w:color w:val="000000"/>
          <w:lang w:val="en-GB" w:eastAsia="cs-CZ"/>
        </w:rPr>
        <w:t>entry</w:t>
      </w:r>
      <w:r w:rsidRPr="00177F0B">
        <w:rPr>
          <w:rFonts w:ascii="Calibri" w:eastAsia="Times New Roman" w:hAnsi="Calibri" w:cs="Calibri"/>
          <w:color w:val="000000"/>
          <w:lang w:val="en-GB" w:eastAsia="cs-CZ"/>
        </w:rPr>
        <w:t xml:space="preserve"> of new technologies into the health system</w:t>
      </w:r>
      <w:r>
        <w:rPr>
          <w:rFonts w:ascii="Calibri" w:eastAsia="Times New Roman" w:hAnsi="Calibri" w:cs="Calibri"/>
          <w:color w:val="000000"/>
          <w:lang w:val="en-GB" w:eastAsia="cs-CZ"/>
        </w:rPr>
        <w:t xml:space="preserve"> still continues</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methodology</w:t>
      </w:r>
      <w:r>
        <w:rPr>
          <w:rFonts w:ascii="Calibri" w:eastAsia="Times New Roman" w:hAnsi="Calibri" w:cs="Calibri"/>
          <w:color w:val="000000"/>
          <w:lang w:val="en-GB" w:eastAsia="cs-CZ"/>
        </w:rPr>
        <w:t xml:space="preserve"> has been</w:t>
      </w:r>
      <w:r w:rsidRPr="00177F0B">
        <w:rPr>
          <w:rFonts w:ascii="Calibri" w:eastAsia="Times New Roman" w:hAnsi="Calibri" w:cs="Calibri"/>
          <w:color w:val="000000"/>
          <w:lang w:val="en-GB" w:eastAsia="cs-CZ"/>
        </w:rPr>
        <w:t xml:space="preserve"> established </w:t>
      </w:r>
      <w:r>
        <w:rPr>
          <w:rFonts w:ascii="Calibri" w:eastAsia="Times New Roman" w:hAnsi="Calibri" w:cs="Calibri"/>
          <w:color w:val="000000"/>
          <w:lang w:val="en-GB" w:eastAsia="cs-CZ"/>
        </w:rPr>
        <w:t>within t</w:t>
      </w:r>
      <w:r w:rsidRPr="00177F0B">
        <w:rPr>
          <w:rFonts w:ascii="Calibri" w:eastAsia="Times New Roman" w:hAnsi="Calibri" w:cs="Calibri"/>
          <w:color w:val="000000"/>
          <w:lang w:val="en-GB" w:eastAsia="cs-CZ"/>
        </w:rPr>
        <w:t>he project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implementation of health technology assessment (HTA), which should ensure that new technologies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which </w:t>
      </w:r>
      <w:r w:rsidRPr="00177F0B">
        <w:rPr>
          <w:rFonts w:ascii="Calibri" w:eastAsia="Times New Roman" w:hAnsi="Calibri" w:cs="Calibri"/>
          <w:color w:val="000000"/>
          <w:lang w:val="en-GB" w:eastAsia="cs-CZ"/>
        </w:rPr>
        <w:t xml:space="preserve">are to be </w:t>
      </w:r>
      <w:r>
        <w:rPr>
          <w:rFonts w:ascii="Calibri" w:eastAsia="Times New Roman" w:hAnsi="Calibri" w:cs="Calibri"/>
          <w:color w:val="000000"/>
          <w:lang w:val="en-GB" w:eastAsia="cs-CZ"/>
        </w:rPr>
        <w:t>covered</w:t>
      </w:r>
      <w:r w:rsidRPr="00177F0B">
        <w:rPr>
          <w:rFonts w:ascii="Calibri" w:eastAsia="Times New Roman" w:hAnsi="Calibri" w:cs="Calibri"/>
          <w:color w:val="000000"/>
          <w:lang w:val="en-GB" w:eastAsia="cs-CZ"/>
        </w:rPr>
        <w:t xml:space="preserve"> by the p</w:t>
      </w:r>
      <w:r>
        <w:rPr>
          <w:rFonts w:ascii="Calibri" w:eastAsia="Times New Roman" w:hAnsi="Calibri" w:cs="Calibri"/>
          <w:color w:val="000000"/>
          <w:lang w:val="en-GB" w:eastAsia="cs-CZ"/>
        </w:rPr>
        <w:t>ublic health insurance system, bring</w:t>
      </w:r>
      <w:r w:rsidRPr="00177F0B">
        <w:rPr>
          <w:rFonts w:ascii="Calibri" w:eastAsia="Times New Roman" w:hAnsi="Calibri" w:cs="Calibri"/>
          <w:color w:val="000000"/>
          <w:lang w:val="en-GB" w:eastAsia="cs-CZ"/>
        </w:rPr>
        <w:t xml:space="preserve"> adequate and documented </w:t>
      </w:r>
      <w:r>
        <w:rPr>
          <w:rFonts w:ascii="Calibri" w:eastAsia="Times New Roman" w:hAnsi="Calibri" w:cs="Calibri"/>
          <w:color w:val="000000"/>
          <w:lang w:val="en-GB" w:eastAsia="cs-CZ"/>
        </w:rPr>
        <w:t>counter value</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It is necessary</w:t>
      </w:r>
      <w:r w:rsidRPr="00177F0B">
        <w:rPr>
          <w:rFonts w:ascii="Calibri" w:eastAsia="Times New Roman" w:hAnsi="Calibri" w:cs="Calibri"/>
          <w:color w:val="000000"/>
          <w:lang w:val="en-GB" w:eastAsia="cs-CZ"/>
        </w:rPr>
        <w:t xml:space="preserve"> to decide on the form of the institutional arrangements for HTA and the manner of its inclusion in the process of determining the extent of medical care covered by public health insurance. In 2014,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usability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 xml:space="preserve">methodology </w:t>
      </w:r>
      <w:r>
        <w:rPr>
          <w:rFonts w:ascii="Calibri" w:eastAsia="Times New Roman" w:hAnsi="Calibri" w:cs="Calibri"/>
          <w:color w:val="000000"/>
          <w:lang w:val="en-GB" w:eastAsia="cs-CZ"/>
        </w:rPr>
        <w:t xml:space="preserve">will be tested </w:t>
      </w:r>
      <w:r w:rsidRPr="00177F0B">
        <w:rPr>
          <w:rFonts w:ascii="Calibri" w:eastAsia="Times New Roman" w:hAnsi="Calibri" w:cs="Calibri"/>
          <w:color w:val="000000"/>
          <w:lang w:val="en-GB" w:eastAsia="cs-CZ"/>
        </w:rPr>
        <w:t xml:space="preserve">further </w:t>
      </w:r>
      <w:r>
        <w:rPr>
          <w:rFonts w:ascii="Calibri" w:eastAsia="Times New Roman" w:hAnsi="Calibri" w:cs="Calibri"/>
          <w:color w:val="000000"/>
          <w:lang w:val="en-GB" w:eastAsia="cs-CZ"/>
        </w:rPr>
        <w:t>as well as</w:t>
      </w:r>
      <w:r w:rsidRPr="00177F0B">
        <w:rPr>
          <w:rFonts w:ascii="Calibri" w:eastAsia="Times New Roman" w:hAnsi="Calibri" w:cs="Calibri"/>
          <w:color w:val="000000"/>
          <w:lang w:val="en-GB" w:eastAsia="cs-CZ"/>
        </w:rPr>
        <w:t xml:space="preserve"> its eventual deployment </w:t>
      </w:r>
      <w:r>
        <w:rPr>
          <w:rFonts w:ascii="Calibri" w:eastAsia="Times New Roman" w:hAnsi="Calibri" w:cs="Calibri"/>
          <w:color w:val="000000"/>
          <w:lang w:val="en-GB" w:eastAsia="cs-CZ"/>
        </w:rPr>
        <w:t>via a</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law.</w:t>
      </w:r>
    </w:p>
    <w:p w:rsidR="003237CF" w:rsidRPr="007A1B09" w:rsidRDefault="00F700A9" w:rsidP="003237CF">
      <w:pPr>
        <w:pStyle w:val="Nadpis3"/>
        <w:numPr>
          <w:ilvl w:val="2"/>
          <w:numId w:val="4"/>
        </w:numPr>
        <w:ind w:left="851" w:hanging="851"/>
        <w:rPr>
          <w:lang w:val="en-GB"/>
        </w:rPr>
      </w:pPr>
      <w:bookmarkStart w:id="59" w:name="_Toc385946033"/>
      <w:r w:rsidRPr="00F700A9">
        <w:rPr>
          <w:bCs/>
          <w:lang w:val="en-GB"/>
        </w:rPr>
        <w:t>Social inclusion and combating poverty</w:t>
      </w:r>
      <w:bookmarkEnd w:id="59"/>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in accordance with the European concept of active inclusion</w:t>
      </w:r>
      <w:r>
        <w:rPr>
          <w:rFonts w:ascii="Calibri" w:eastAsia="Times New Roman" w:hAnsi="Calibri" w:cs="Calibri"/>
          <w:color w:val="000000"/>
          <w:lang w:val="en-GB" w:eastAsia="cs-CZ"/>
        </w:rPr>
        <w:t>, will</w:t>
      </w:r>
      <w:r w:rsidRPr="00177F0B">
        <w:rPr>
          <w:rFonts w:ascii="Calibri" w:eastAsia="Times New Roman" w:hAnsi="Calibri" w:cs="Calibri"/>
          <w:color w:val="000000"/>
          <w:lang w:val="en-GB" w:eastAsia="cs-CZ"/>
        </w:rPr>
        <w:t xml:space="preserve"> support measures to contribute to the integration of people at risk of social exclusion or socially excluded in</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society, both through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inclusive labour market and by increasing the availability, quality and sustainability of basic resources and services, including decent income, hou</w:t>
      </w:r>
      <w:r>
        <w:rPr>
          <w:rFonts w:ascii="Calibri" w:eastAsia="Times New Roman" w:hAnsi="Calibri" w:cs="Calibri"/>
          <w:color w:val="000000"/>
          <w:lang w:val="en-GB" w:eastAsia="cs-CZ"/>
        </w:rPr>
        <w:t>sing and education. As a result it should</w:t>
      </w:r>
      <w:r w:rsidRPr="00177F0B">
        <w:rPr>
          <w:rFonts w:ascii="Calibri" w:eastAsia="Times New Roman" w:hAnsi="Calibri" w:cs="Calibri"/>
          <w:color w:val="000000"/>
          <w:lang w:val="en-GB" w:eastAsia="cs-CZ"/>
        </w:rPr>
        <w:t xml:space="preserve"> bring the people </w:t>
      </w:r>
      <w:r>
        <w:rPr>
          <w:rFonts w:ascii="Calibri" w:eastAsia="Times New Roman" w:hAnsi="Calibri" w:cs="Calibri"/>
          <w:color w:val="000000"/>
          <w:lang w:val="en-GB" w:eastAsia="cs-CZ"/>
        </w:rPr>
        <w:t xml:space="preserve">who are </w:t>
      </w:r>
      <w:r w:rsidRPr="00177F0B">
        <w:rPr>
          <w:rFonts w:ascii="Calibri" w:eastAsia="Times New Roman" w:hAnsi="Calibri" w:cs="Calibri"/>
          <w:color w:val="000000"/>
          <w:lang w:val="en-GB" w:eastAsia="cs-CZ"/>
        </w:rPr>
        <w:t>socially excluded</w:t>
      </w:r>
      <w:r>
        <w:rPr>
          <w:rFonts w:ascii="Calibri" w:eastAsia="Times New Roman" w:hAnsi="Calibri" w:cs="Calibri"/>
          <w:color w:val="000000"/>
          <w:lang w:val="en-GB" w:eastAsia="cs-CZ"/>
        </w:rPr>
        <w:t xml:space="preserve"> or at risk of social exclusion </w:t>
      </w:r>
      <w:r w:rsidRPr="00177F0B">
        <w:rPr>
          <w:rFonts w:ascii="Calibri" w:eastAsia="Times New Roman" w:hAnsi="Calibri" w:cs="Calibri"/>
          <w:color w:val="000000"/>
          <w:lang w:val="en-GB" w:eastAsia="cs-CZ"/>
        </w:rPr>
        <w:t>the opportunity to pa</w:t>
      </w:r>
      <w:r>
        <w:rPr>
          <w:rFonts w:ascii="Calibri" w:eastAsia="Times New Roman" w:hAnsi="Calibri" w:cs="Calibri"/>
          <w:color w:val="000000"/>
          <w:lang w:val="en-GB" w:eastAsia="cs-CZ"/>
        </w:rPr>
        <w:t>rticipate in the open market of</w:t>
      </w:r>
      <w:r w:rsidRPr="00177F0B">
        <w:rPr>
          <w:rFonts w:ascii="Calibri" w:eastAsia="Times New Roman" w:hAnsi="Calibri" w:cs="Calibri"/>
          <w:color w:val="000000"/>
          <w:lang w:val="en-GB" w:eastAsia="cs-CZ"/>
        </w:rPr>
        <w:t xml:space="preserve"> goods and services, contribute to the reduction of social tensions and prevent its negative social and economic impacts and to reduce spending to address the adverse social consequences of exclusion.</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lastRenderedPageBreak/>
        <w:t xml:space="preserve">The overarching document for the main </w:t>
      </w:r>
      <w:r>
        <w:rPr>
          <w:rFonts w:ascii="Calibri" w:eastAsia="Times New Roman" w:hAnsi="Calibri" w:cs="Calibri"/>
          <w:color w:val="000000"/>
          <w:lang w:val="en-GB" w:eastAsia="cs-CZ"/>
        </w:rPr>
        <w:t xml:space="preserve">areas of </w:t>
      </w:r>
      <w:r w:rsidRPr="00177F0B">
        <w:rPr>
          <w:rFonts w:ascii="Calibri" w:eastAsia="Times New Roman" w:hAnsi="Calibri" w:cs="Calibri"/>
          <w:color w:val="000000"/>
          <w:lang w:val="en-GB" w:eastAsia="cs-CZ"/>
        </w:rPr>
        <w:t xml:space="preserve">social inclusion of </w:t>
      </w:r>
      <w:r>
        <w:rPr>
          <w:rFonts w:ascii="Calibri" w:eastAsia="Times New Roman" w:hAnsi="Calibri" w:cs="Calibri"/>
          <w:color w:val="000000"/>
          <w:lang w:val="en-GB" w:eastAsia="cs-CZ"/>
        </w:rPr>
        <w:t xml:space="preserve">persons </w:t>
      </w:r>
      <w:r w:rsidRPr="00177F0B">
        <w:rPr>
          <w:rFonts w:ascii="Calibri" w:eastAsia="Times New Roman" w:hAnsi="Calibri" w:cs="Calibri"/>
          <w:color w:val="000000"/>
          <w:lang w:val="en-GB" w:eastAsia="cs-CZ"/>
        </w:rPr>
        <w:t>socially excluded or at risk of social exclusion is </w:t>
      </w:r>
      <w:r>
        <w:rPr>
          <w:rFonts w:ascii="Calibri" w:eastAsia="Times New Roman" w:hAnsi="Calibri" w:cs="Calibri"/>
          <w:color w:val="000000"/>
          <w:lang w:val="en-GB" w:eastAsia="cs-CZ"/>
        </w:rPr>
        <w:t xml:space="preserve">the </w:t>
      </w:r>
      <w:r w:rsidRPr="00177F0B">
        <w:rPr>
          <w:rFonts w:ascii="Calibri" w:eastAsia="Times New Roman" w:hAnsi="Calibri" w:cs="Calibri"/>
          <w:b/>
          <w:bCs/>
          <w:color w:val="000000"/>
          <w:lang w:val="en-GB" w:eastAsia="cs-CZ"/>
        </w:rPr>
        <w:t>Social Inclusion Strategy 2014 - 2020</w:t>
      </w:r>
      <w:r>
        <w:rPr>
          <w:rFonts w:ascii="Calibri" w:eastAsia="Times New Roman" w:hAnsi="Calibri" w:cs="Calibri"/>
          <w:color w:val="000000"/>
          <w:lang w:val="en-GB" w:eastAsia="cs-CZ"/>
        </w:rPr>
        <w:t>, which sets the priority topic</w:t>
      </w:r>
      <w:r w:rsidRPr="00177F0B">
        <w:rPr>
          <w:rFonts w:ascii="Calibri" w:eastAsia="Times New Roman" w:hAnsi="Calibri" w:cs="Calibri"/>
          <w:color w:val="000000"/>
          <w:lang w:val="en-GB" w:eastAsia="cs-CZ"/>
        </w:rPr>
        <w:t xml:space="preserve">s of the Czech Republic in areas important for social inclusion for the period 2014-2020 and provides an overview of measures affecting social inclusion and combating poverty. It also shows the direction in which </w:t>
      </w:r>
      <w:r>
        <w:rPr>
          <w:rFonts w:ascii="Calibri" w:eastAsia="Times New Roman" w:hAnsi="Calibri" w:cs="Calibri"/>
          <w:color w:val="000000"/>
          <w:lang w:val="en-GB" w:eastAsia="cs-CZ"/>
        </w:rPr>
        <w:t>the solutions of</w:t>
      </w:r>
      <w:r w:rsidRPr="00177F0B">
        <w:rPr>
          <w:rFonts w:ascii="Calibri" w:eastAsia="Times New Roman" w:hAnsi="Calibri" w:cs="Calibri"/>
          <w:color w:val="000000"/>
          <w:lang w:val="en-GB" w:eastAsia="cs-CZ"/>
        </w:rPr>
        <w:t xml:space="preserve"> social exclusion have to go, promotes socia</w:t>
      </w:r>
      <w:r>
        <w:rPr>
          <w:rFonts w:ascii="Calibri" w:eastAsia="Times New Roman" w:hAnsi="Calibri" w:cs="Calibri"/>
          <w:color w:val="000000"/>
          <w:lang w:val="en-GB" w:eastAsia="cs-CZ"/>
        </w:rPr>
        <w:t>lly responsible values ​​related</w:t>
      </w:r>
      <w:r w:rsidRPr="00177F0B">
        <w:rPr>
          <w:rFonts w:ascii="Calibri" w:eastAsia="Times New Roman" w:hAnsi="Calibri" w:cs="Calibri"/>
          <w:color w:val="000000"/>
          <w:lang w:val="en-GB" w:eastAsia="cs-CZ"/>
        </w:rPr>
        <w:t xml:space="preserve"> to social exclusion</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highlights the shortcomings in the search for solutions to social exclusion and encourage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the spread of the principle of social inclusion</w:t>
      </w:r>
      <w:r w:rsidRPr="00D41FA0">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mainstreaming at all levels of government.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Affordable and Professional Social Work</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basic tool for social inclusion of</w:t>
      </w:r>
      <w:r>
        <w:rPr>
          <w:rFonts w:ascii="Calibri" w:eastAsia="Times New Roman" w:hAnsi="Calibri" w:cs="Calibri"/>
          <w:color w:val="000000"/>
          <w:lang w:val="en-GB" w:eastAsia="cs-CZ"/>
        </w:rPr>
        <w:t xml:space="preserve"> those</w:t>
      </w:r>
      <w:r w:rsidRPr="00177F0B">
        <w:rPr>
          <w:rFonts w:ascii="Calibri" w:eastAsia="Times New Roman" w:hAnsi="Calibri" w:cs="Calibri"/>
          <w:color w:val="000000"/>
          <w:lang w:val="en-GB" w:eastAsia="cs-CZ"/>
        </w:rPr>
        <w:t xml:space="preserve"> socially excluded or at risk of social exclusion </w:t>
      </w:r>
      <w:r>
        <w:rPr>
          <w:rFonts w:ascii="Calibri" w:eastAsia="Times New Roman" w:hAnsi="Calibri" w:cs="Calibri"/>
          <w:color w:val="000000"/>
          <w:lang w:val="en-GB" w:eastAsia="cs-CZ"/>
        </w:rPr>
        <w:t>is</w:t>
      </w:r>
      <w:r w:rsidRPr="00177F0B">
        <w:rPr>
          <w:rFonts w:ascii="Calibri" w:eastAsia="Times New Roman" w:hAnsi="Calibri" w:cs="Calibri"/>
          <w:color w:val="000000"/>
          <w:lang w:val="en-GB" w:eastAsia="cs-CZ"/>
        </w:rPr>
        <w:t xml:space="preserve"> social work. </w:t>
      </w:r>
      <w:r>
        <w:rPr>
          <w:rFonts w:ascii="Calibri" w:eastAsia="Times New Roman" w:hAnsi="Calibri" w:cs="Calibri"/>
          <w:color w:val="000000"/>
          <w:lang w:val="en-GB" w:eastAsia="cs-CZ"/>
        </w:rPr>
        <w:t>In order to strengthen its</w:t>
      </w:r>
      <w:r w:rsidRPr="00177F0B">
        <w:rPr>
          <w:rFonts w:ascii="Calibri" w:eastAsia="Times New Roman" w:hAnsi="Calibri" w:cs="Calibri"/>
          <w:color w:val="000000"/>
          <w:lang w:val="en-GB" w:eastAsia="cs-CZ"/>
        </w:rPr>
        <w:t xml:space="preserve"> role</w:t>
      </w:r>
      <w:r w:rsidRPr="00BD02B9">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the number of social workers in municipalities with extended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will gradually increase so as to ensure their optimal state.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t>
      </w:r>
      <w:r>
        <w:rPr>
          <w:rFonts w:ascii="Calibri" w:eastAsia="Times New Roman" w:hAnsi="Calibri" w:cs="Calibri"/>
          <w:color w:val="000000"/>
          <w:lang w:val="en-GB" w:eastAsia="cs-CZ"/>
        </w:rPr>
        <w:t>shall also prepare a legislative</w:t>
      </w:r>
      <w:r w:rsidRPr="00177F0B">
        <w:rPr>
          <w:rFonts w:ascii="Calibri" w:eastAsia="Times New Roman" w:hAnsi="Calibri" w:cs="Calibri"/>
          <w:color w:val="000000"/>
          <w:lang w:val="en-GB" w:eastAsia="cs-CZ"/>
        </w:rPr>
        <w:t xml:space="preserve"> intent of the Act on Social Workers, which will anchor social work, including the strengthening of</w:t>
      </w:r>
      <w:r>
        <w:rPr>
          <w:rFonts w:ascii="Calibri" w:eastAsia="Times New Roman" w:hAnsi="Calibri" w:cs="Calibri"/>
          <w:color w:val="000000"/>
          <w:lang w:val="en-GB" w:eastAsia="cs-CZ"/>
        </w:rPr>
        <w:t xml:space="preserve"> the competencies of</w:t>
      </w:r>
      <w:r w:rsidRPr="00177F0B">
        <w:rPr>
          <w:rFonts w:ascii="Calibri" w:eastAsia="Times New Roman" w:hAnsi="Calibri" w:cs="Calibri"/>
          <w:color w:val="000000"/>
          <w:lang w:val="en-GB" w:eastAsia="cs-CZ"/>
        </w:rPr>
        <w:t xml:space="preserve"> social workers</w:t>
      </w:r>
      <w:r>
        <w:rPr>
          <w:rFonts w:ascii="Calibri" w:eastAsia="Times New Roman" w:hAnsi="Calibri" w:cs="Calibri"/>
          <w:color w:val="000000"/>
          <w:lang w:val="en-GB" w:eastAsia="cs-CZ"/>
        </w:rPr>
        <w:t xml:space="preserve">. The </w:t>
      </w:r>
      <w:r w:rsidRPr="00177F0B">
        <w:rPr>
          <w:rFonts w:ascii="Calibri" w:eastAsia="Times New Roman" w:hAnsi="Calibri" w:cs="Calibri"/>
          <w:color w:val="000000"/>
          <w:lang w:val="en-GB" w:eastAsia="cs-CZ"/>
        </w:rPr>
        <w:t>Act on Social Services</w:t>
      </w:r>
      <w:r>
        <w:rPr>
          <w:rFonts w:ascii="Calibri" w:eastAsia="Times New Roman" w:hAnsi="Calibri" w:cs="Calibri"/>
          <w:color w:val="000000"/>
          <w:lang w:val="en-GB" w:eastAsia="cs-CZ"/>
        </w:rPr>
        <w:t xml:space="preserve"> shall also be amended</w:t>
      </w:r>
      <w:r w:rsidRPr="00177F0B">
        <w:rPr>
          <w:rFonts w:ascii="Calibri" w:eastAsia="Times New Roman" w:hAnsi="Calibri" w:cs="Calibri"/>
          <w:color w:val="000000"/>
          <w:lang w:val="en-GB" w:eastAsia="cs-CZ"/>
        </w:rPr>
        <w: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Adjustments to the social services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intends to modify the system of social services in order to link funding to its network,</w:t>
      </w:r>
      <w:r>
        <w:rPr>
          <w:rFonts w:ascii="Calibri" w:eastAsia="Times New Roman" w:hAnsi="Calibri" w:cs="Calibri"/>
          <w:color w:val="000000"/>
          <w:lang w:val="en-GB" w:eastAsia="cs-CZ"/>
        </w:rPr>
        <w:t xml:space="preserve"> so as</w:t>
      </w:r>
      <w:r w:rsidRPr="00177F0B">
        <w:rPr>
          <w:rFonts w:ascii="Calibri" w:eastAsia="Times New Roman" w:hAnsi="Calibri" w:cs="Calibri"/>
          <w:color w:val="000000"/>
          <w:lang w:val="en-GB" w:eastAsia="cs-CZ"/>
        </w:rPr>
        <w:t xml:space="preserve"> to match the principle of subsidiarity. </w:t>
      </w:r>
      <w:r>
        <w:rPr>
          <w:rFonts w:ascii="Calibri" w:eastAsia="Times New Roman" w:hAnsi="Calibri" w:cs="Calibri"/>
          <w:color w:val="000000"/>
          <w:lang w:val="en-GB" w:eastAsia="cs-CZ"/>
        </w:rPr>
        <w:t>Further specified i</w:t>
      </w:r>
      <w:r w:rsidRPr="00177F0B">
        <w:rPr>
          <w:rFonts w:ascii="Calibri" w:eastAsia="Times New Roman" w:hAnsi="Calibri" w:cs="Calibri"/>
          <w:color w:val="000000"/>
          <w:lang w:val="en-GB" w:eastAsia="cs-CZ"/>
        </w:rPr>
        <w:t>n 2014</w:t>
      </w:r>
      <w:r>
        <w:rPr>
          <w:rFonts w:ascii="Calibri" w:eastAsia="Times New Roman" w:hAnsi="Calibri" w:cs="Calibri"/>
          <w:color w:val="000000"/>
          <w:lang w:val="en-GB" w:eastAsia="cs-CZ"/>
        </w:rPr>
        <w:t xml:space="preserve"> will be the</w:t>
      </w:r>
      <w:r w:rsidRPr="00177F0B">
        <w:rPr>
          <w:rFonts w:ascii="Calibri" w:eastAsia="Times New Roman" w:hAnsi="Calibri" w:cs="Calibri"/>
          <w:color w:val="000000"/>
          <w:lang w:val="en-GB" w:eastAsia="cs-CZ"/>
        </w:rPr>
        <w:t xml:space="preserve"> methods of preparation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content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the medium-term plans for the development of social services and the parameters under which the network</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financially supported social services will </w:t>
      </w:r>
      <w:r>
        <w:rPr>
          <w:rFonts w:ascii="Calibri" w:eastAsia="Times New Roman" w:hAnsi="Calibri" w:cs="Calibri"/>
          <w:color w:val="000000"/>
          <w:lang w:val="en-GB" w:eastAsia="cs-CZ"/>
        </w:rPr>
        <w:t>be created</w:t>
      </w:r>
      <w:r w:rsidRPr="00177F0B">
        <w:rPr>
          <w:rFonts w:ascii="Calibri" w:eastAsia="Times New Roman" w:hAnsi="Calibri" w:cs="Calibri"/>
          <w:color w:val="000000"/>
          <w:lang w:val="en-GB" w:eastAsia="cs-CZ"/>
        </w:rPr>
        <w: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The social benefits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continue to stabilize and ensure the smooth administration of non-insurance social benefits which support families with children, individuals and households with low incomes</w:t>
      </w:r>
      <w:r>
        <w:rPr>
          <w:rFonts w:ascii="Calibri" w:eastAsia="Times New Roman" w:hAnsi="Calibri" w:cs="Calibri"/>
          <w:color w:val="000000"/>
          <w:lang w:val="en-GB" w:eastAsia="cs-CZ"/>
        </w:rPr>
        <w:t xml:space="preserve"> and people with disabilities. T</w:t>
      </w:r>
      <w:r w:rsidRPr="00177F0B">
        <w:rPr>
          <w:rFonts w:ascii="Calibri" w:eastAsia="Times New Roman" w:hAnsi="Calibri" w:cs="Calibri"/>
          <w:color w:val="000000"/>
          <w:lang w:val="en-GB" w:eastAsia="cs-CZ"/>
        </w:rPr>
        <w:t xml:space="preserve">he system of state social support benefits </w:t>
      </w:r>
      <w:r>
        <w:rPr>
          <w:rFonts w:ascii="Calibri" w:eastAsia="Times New Roman" w:hAnsi="Calibri" w:cs="Calibri"/>
          <w:color w:val="000000"/>
          <w:lang w:val="en-GB" w:eastAsia="cs-CZ"/>
        </w:rPr>
        <w:t>will</w:t>
      </w:r>
      <w:r w:rsidRPr="00177F0B">
        <w:rPr>
          <w:rFonts w:ascii="Calibri" w:eastAsia="Times New Roman" w:hAnsi="Calibri" w:cs="Calibri"/>
          <w:color w:val="000000"/>
          <w:lang w:val="en-GB" w:eastAsia="cs-CZ"/>
        </w:rPr>
        <w:t xml:space="preserve"> newly</w:t>
      </w:r>
      <w:r>
        <w:rPr>
          <w:rFonts w:ascii="Calibri" w:eastAsia="Times New Roman" w:hAnsi="Calibri" w:cs="Calibri"/>
          <w:color w:val="000000"/>
          <w:lang w:val="en-GB" w:eastAsia="cs-CZ"/>
        </w:rPr>
        <w:t xml:space="preserve"> contain benefits</w:t>
      </w:r>
      <w:r w:rsidRPr="00177F0B">
        <w:rPr>
          <w:rFonts w:ascii="Calibri" w:eastAsia="Times New Roman" w:hAnsi="Calibri" w:cs="Calibri"/>
          <w:color w:val="000000"/>
          <w:lang w:val="en-GB" w:eastAsia="cs-CZ"/>
        </w:rPr>
        <w:t xml:space="preserve"> primarily focused on family behaviour (</w:t>
      </w:r>
      <w:r>
        <w:rPr>
          <w:rFonts w:ascii="Calibri" w:eastAsia="Times New Roman" w:hAnsi="Calibri" w:cs="Calibri"/>
          <w:color w:val="000000"/>
          <w:lang w:val="en-GB" w:eastAsia="cs-CZ"/>
        </w:rPr>
        <w:t>birth allowance</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also </w:t>
      </w:r>
      <w:r w:rsidRPr="00177F0B">
        <w:rPr>
          <w:rFonts w:ascii="Calibri" w:eastAsia="Times New Roman" w:hAnsi="Calibri" w:cs="Calibri"/>
          <w:color w:val="000000"/>
          <w:lang w:val="en-GB" w:eastAsia="cs-CZ"/>
        </w:rPr>
        <w:t xml:space="preserve">possibilities of </w:t>
      </w:r>
      <w:r>
        <w:rPr>
          <w:rFonts w:ascii="Calibri" w:eastAsia="Times New Roman" w:hAnsi="Calibri" w:cs="Calibri"/>
          <w:color w:val="000000"/>
          <w:lang w:val="en-GB" w:eastAsia="cs-CZ"/>
        </w:rPr>
        <w:t xml:space="preserve">application of </w:t>
      </w:r>
      <w:r w:rsidRPr="00177F0B">
        <w:rPr>
          <w:rFonts w:ascii="Calibri" w:eastAsia="Times New Roman" w:hAnsi="Calibri" w:cs="Calibri"/>
          <w:color w:val="000000"/>
          <w:lang w:val="en-GB" w:eastAsia="cs-CZ"/>
        </w:rPr>
        <w:t>elements t</w:t>
      </w:r>
      <w:r>
        <w:rPr>
          <w:rFonts w:ascii="Calibri" w:eastAsia="Times New Roman" w:hAnsi="Calibri" w:cs="Calibri"/>
          <w:color w:val="000000"/>
          <w:lang w:val="en-GB" w:eastAsia="cs-CZ"/>
        </w:rPr>
        <w:t>hat stimulate higher employment of female parents will be explored</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The conditions of eligibility for benefits in</w:t>
      </w:r>
      <w:r w:rsidRPr="00177F0B">
        <w:rPr>
          <w:rFonts w:ascii="Calibri" w:eastAsia="Times New Roman" w:hAnsi="Calibri" w:cs="Calibri"/>
          <w:color w:val="000000"/>
          <w:lang w:val="en-GB" w:eastAsia="cs-CZ"/>
        </w:rPr>
        <w:t xml:space="preserve"> material need will be refined (for the </w:t>
      </w:r>
      <w:r>
        <w:rPr>
          <w:rFonts w:ascii="Calibri" w:eastAsia="Times New Roman" w:hAnsi="Calibri" w:cs="Calibri"/>
          <w:color w:val="000000"/>
          <w:lang w:val="en-GB" w:eastAsia="cs-CZ"/>
        </w:rPr>
        <w:t xml:space="preserve">housing </w:t>
      </w:r>
      <w:r w:rsidRPr="00177F0B">
        <w:rPr>
          <w:rFonts w:ascii="Calibri" w:eastAsia="Times New Roman" w:hAnsi="Calibri" w:cs="Calibri"/>
          <w:color w:val="000000"/>
          <w:lang w:val="en-GB" w:eastAsia="cs-CZ"/>
        </w:rPr>
        <w:t>supplement) and ways</w:t>
      </w:r>
      <w:r>
        <w:rPr>
          <w:rFonts w:ascii="Calibri" w:eastAsia="Times New Roman" w:hAnsi="Calibri" w:cs="Calibri"/>
          <w:color w:val="000000"/>
          <w:lang w:val="en-GB" w:eastAsia="cs-CZ"/>
        </w:rPr>
        <w:t xml:space="preserve"> will be discussed</w:t>
      </w:r>
      <w:r w:rsidRPr="00177F0B">
        <w:rPr>
          <w:rFonts w:ascii="Calibri" w:eastAsia="Times New Roman" w:hAnsi="Calibri" w:cs="Calibri"/>
          <w:color w:val="000000"/>
          <w:lang w:val="en-GB" w:eastAsia="cs-CZ"/>
        </w:rPr>
        <w:t xml:space="preserve"> to deepen the effect of activation elements and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contribute to the integration of people at risk of poverty and social exclusion in the labour market. </w:t>
      </w:r>
      <w:r>
        <w:rPr>
          <w:rFonts w:ascii="Calibri" w:eastAsia="Times New Roman" w:hAnsi="Calibri" w:cs="Calibri"/>
          <w:color w:val="000000"/>
          <w:lang w:val="en-GB" w:eastAsia="cs-CZ"/>
        </w:rPr>
        <w:t>As for benefits that take</w:t>
      </w:r>
      <w:r w:rsidRPr="00177F0B">
        <w:rPr>
          <w:rFonts w:ascii="Calibri" w:eastAsia="Times New Roman" w:hAnsi="Calibri" w:cs="Calibri"/>
          <w:color w:val="000000"/>
          <w:lang w:val="en-GB" w:eastAsia="cs-CZ"/>
        </w:rPr>
        <w:t xml:space="preserve"> into account the health status the attention will be focus</w:t>
      </w:r>
      <w:r>
        <w:rPr>
          <w:rFonts w:ascii="Calibri" w:eastAsia="Times New Roman" w:hAnsi="Calibri" w:cs="Calibri"/>
          <w:color w:val="000000"/>
          <w:lang w:val="en-GB" w:eastAsia="cs-CZ"/>
        </w:rPr>
        <w:t>ed primarily on rules for awarding care</w:t>
      </w:r>
      <w:r w:rsidRPr="00177F0B">
        <w:rPr>
          <w:rFonts w:ascii="Calibri" w:eastAsia="Times New Roman" w:hAnsi="Calibri" w:cs="Calibri"/>
          <w:color w:val="000000"/>
          <w:lang w:val="en-GB" w:eastAsia="cs-CZ"/>
        </w:rPr>
        <w:t xml:space="preserve"> allowance.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Caring for vulnerable children</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will support further </w:t>
      </w:r>
      <w:r>
        <w:rPr>
          <w:rFonts w:ascii="Calibri" w:eastAsia="Times New Roman" w:hAnsi="Calibri" w:cs="Calibri"/>
          <w:color w:val="000000"/>
          <w:lang w:val="en-GB" w:eastAsia="cs-CZ"/>
        </w:rPr>
        <w:t>improvement of</w:t>
      </w:r>
      <w:r w:rsidRPr="00177F0B">
        <w:rPr>
          <w:rFonts w:ascii="Calibri" w:eastAsia="Times New Roman" w:hAnsi="Calibri" w:cs="Calibri"/>
          <w:color w:val="000000"/>
          <w:lang w:val="en-GB" w:eastAsia="cs-CZ"/>
        </w:rPr>
        <w:t xml:space="preserve"> the quality of the activities of social</w:t>
      </w:r>
      <w:r>
        <w:rPr>
          <w:rFonts w:ascii="Calibri" w:eastAsia="Times New Roman" w:hAnsi="Calibri" w:cs="Calibri"/>
          <w:color w:val="000000"/>
          <w:lang w:val="en-GB" w:eastAsia="cs-CZ"/>
        </w:rPr>
        <w:t xml:space="preserve"> and </w:t>
      </w:r>
      <w:r w:rsidRPr="00177F0B">
        <w:rPr>
          <w:rFonts w:ascii="Calibri" w:eastAsia="Times New Roman" w:hAnsi="Calibri" w:cs="Calibri"/>
          <w:color w:val="000000"/>
          <w:lang w:val="en-GB" w:eastAsia="cs-CZ"/>
        </w:rPr>
        <w:t>legal protection of children in relation to vulnerable children and families, as enshrined in the National Strategy for the Protection of Children's Rights. </w:t>
      </w:r>
      <w:r>
        <w:rPr>
          <w:rFonts w:ascii="Calibri" w:eastAsia="Times New Roman" w:hAnsi="Calibri" w:cs="Calibri"/>
          <w:color w:val="000000"/>
          <w:lang w:val="en-GB" w:eastAsia="cs-CZ"/>
        </w:rPr>
        <w:t>A legislative intent will be prepared</w:t>
      </w:r>
      <w:r w:rsidRPr="00177F0B">
        <w:rPr>
          <w:rFonts w:ascii="Calibri" w:eastAsia="Times New Roman" w:hAnsi="Calibri" w:cs="Calibri"/>
          <w:color w:val="000000"/>
          <w:lang w:val="en-GB" w:eastAsia="cs-CZ"/>
        </w:rPr>
        <w:t xml:space="preserve"> on family support, foster care and protection of children's rights, which </w:t>
      </w:r>
      <w:r>
        <w:rPr>
          <w:rFonts w:ascii="Calibri" w:eastAsia="Times New Roman" w:hAnsi="Calibri" w:cs="Calibri"/>
          <w:color w:val="000000"/>
          <w:lang w:val="en-GB" w:eastAsia="cs-CZ"/>
        </w:rPr>
        <w:t xml:space="preserve">will </w:t>
      </w:r>
      <w:r w:rsidRPr="00177F0B">
        <w:rPr>
          <w:rFonts w:ascii="Calibri" w:eastAsia="Times New Roman" w:hAnsi="Calibri" w:cs="Calibri"/>
          <w:color w:val="000000"/>
          <w:lang w:val="en-GB" w:eastAsia="cs-CZ"/>
        </w:rPr>
        <w:t>unif</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the care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vulnerable children. </w:t>
      </w:r>
      <w:r>
        <w:rPr>
          <w:rFonts w:ascii="Calibri" w:eastAsia="Times New Roman" w:hAnsi="Calibri" w:cs="Calibri"/>
          <w:color w:val="000000"/>
          <w:lang w:val="en-GB" w:eastAsia="cs-CZ"/>
        </w:rPr>
        <w:t>Support shall continue to be given to the</w:t>
      </w:r>
      <w:r w:rsidRPr="00177F0B">
        <w:rPr>
          <w:rFonts w:ascii="Calibri" w:eastAsia="Times New Roman" w:hAnsi="Calibri" w:cs="Calibri"/>
          <w:color w:val="000000"/>
          <w:lang w:val="en-GB" w:eastAsia="cs-CZ"/>
        </w:rPr>
        <w:t xml:space="preserve"> professionalization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foster care, children's participation in the processes that affect them</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and de-institutionalization of care.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activities of social-legal protection of children</w:t>
      </w:r>
      <w:r>
        <w:rPr>
          <w:rFonts w:ascii="Calibri" w:eastAsia="Times New Roman" w:hAnsi="Calibri" w:cs="Calibri"/>
          <w:color w:val="000000"/>
          <w:lang w:val="en-GB" w:eastAsia="cs-CZ"/>
        </w:rPr>
        <w:t xml:space="preserve"> will be </w:t>
      </w:r>
      <w:r w:rsidRPr="00177F0B">
        <w:rPr>
          <w:rFonts w:ascii="Calibri" w:eastAsia="Times New Roman" w:hAnsi="Calibri" w:cs="Calibri"/>
          <w:color w:val="000000"/>
          <w:lang w:val="en-GB" w:eastAsia="cs-CZ"/>
        </w:rPr>
        <w:t>standardiz</w:t>
      </w:r>
      <w:r>
        <w:rPr>
          <w:rFonts w:ascii="Calibri" w:eastAsia="Times New Roman" w:hAnsi="Calibri" w:cs="Calibri"/>
          <w:color w:val="000000"/>
          <w:lang w:val="en-GB" w:eastAsia="cs-CZ"/>
        </w:rPr>
        <w:t>ed in 2014</w:t>
      </w:r>
      <w:r w:rsidRPr="00177F0B">
        <w:rPr>
          <w:rFonts w:ascii="Calibri" w:eastAsia="Times New Roman" w:hAnsi="Calibri" w:cs="Calibri"/>
          <w:color w:val="000000"/>
          <w:lang w:val="en-GB" w:eastAsia="cs-CZ"/>
        </w:rPr>
        <w:t>.</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Socially excluded localities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continue to take measures aimed at engaging socially disadvantaged children into mainstream education, prevention of family breakdown and removal of children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institutional care, employment support and security in and around the socially excluded localities. Given the rise in unemployment and a growing </w:t>
      </w:r>
      <w:r>
        <w:rPr>
          <w:rFonts w:ascii="Calibri" w:eastAsia="Times New Roman" w:hAnsi="Calibri" w:cs="Calibri"/>
          <w:color w:val="000000"/>
          <w:lang w:val="en-GB" w:eastAsia="cs-CZ"/>
        </w:rPr>
        <w:t>number of people</w:t>
      </w:r>
      <w:r w:rsidRPr="00177F0B">
        <w:rPr>
          <w:rFonts w:ascii="Calibri" w:eastAsia="Times New Roman" w:hAnsi="Calibri" w:cs="Calibri"/>
          <w:color w:val="000000"/>
          <w:lang w:val="en-GB" w:eastAsia="cs-CZ"/>
        </w:rPr>
        <w:t xml:space="preserve"> at risk of poverty, emphasis will be on promoting social inclusion and social cohesion in structurally underdeveloped regions with high unemployment and </w:t>
      </w:r>
      <w:r>
        <w:rPr>
          <w:rFonts w:ascii="Calibri" w:eastAsia="Times New Roman" w:hAnsi="Calibri" w:cs="Calibri"/>
          <w:color w:val="000000"/>
          <w:lang w:val="en-GB" w:eastAsia="cs-CZ"/>
        </w:rPr>
        <w:t>occurrence</w:t>
      </w:r>
      <w:r w:rsidRPr="00177F0B">
        <w:rPr>
          <w:rFonts w:ascii="Calibri" w:eastAsia="Times New Roman" w:hAnsi="Calibri" w:cs="Calibri"/>
          <w:color w:val="000000"/>
          <w:lang w:val="en-GB" w:eastAsia="cs-CZ"/>
        </w:rPr>
        <w:t xml:space="preserve"> of socially excluded localities.</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Pr>
          <w:rFonts w:ascii="Calibri" w:eastAsia="Times New Roman" w:hAnsi="Calibri" w:cs="Calibri"/>
          <w:b/>
          <w:bCs/>
          <w:i/>
          <w:iCs/>
          <w:color w:val="D41616"/>
          <w:lang w:val="en-GB" w:eastAsia="cs-CZ"/>
        </w:rPr>
        <w:t>Regulation</w:t>
      </w:r>
      <w:r w:rsidRPr="00177F0B">
        <w:rPr>
          <w:rFonts w:ascii="Calibri" w:eastAsia="Times New Roman" w:hAnsi="Calibri" w:cs="Calibri"/>
          <w:b/>
          <w:bCs/>
          <w:i/>
          <w:iCs/>
          <w:color w:val="D41616"/>
          <w:lang w:val="en-GB" w:eastAsia="cs-CZ"/>
        </w:rPr>
        <w:t xml:space="preserve"> of long-term care</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The goal of the regulation of long-term care </w:t>
      </w:r>
      <w:r w:rsidRPr="00177F0B">
        <w:rPr>
          <w:rFonts w:ascii="Calibri" w:eastAsia="Times New Roman" w:hAnsi="Calibri" w:cs="Calibri"/>
          <w:color w:val="000000"/>
          <w:lang w:val="en-GB" w:eastAsia="cs-CZ"/>
        </w:rPr>
        <w:t xml:space="preserve">is to address long-term social care for people who also need to </w:t>
      </w:r>
      <w:r>
        <w:rPr>
          <w:rFonts w:ascii="Calibri" w:eastAsia="Times New Roman" w:hAnsi="Calibri" w:cs="Calibri"/>
          <w:color w:val="000000"/>
          <w:lang w:val="en-GB" w:eastAsia="cs-CZ"/>
        </w:rPr>
        <w:t xml:space="preserve">be </w:t>
      </w:r>
      <w:r w:rsidRPr="00177F0B">
        <w:rPr>
          <w:rFonts w:ascii="Calibri" w:eastAsia="Times New Roman" w:hAnsi="Calibri" w:cs="Calibri"/>
          <w:color w:val="000000"/>
          <w:lang w:val="en-GB" w:eastAsia="cs-CZ"/>
        </w:rPr>
        <w:t>provide</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 xml:space="preserve">long-term nursing care.  An interdepartmental working group </w:t>
      </w:r>
      <w:r>
        <w:rPr>
          <w:rFonts w:ascii="Calibri" w:eastAsia="Times New Roman" w:hAnsi="Calibri" w:cs="Calibri"/>
          <w:color w:val="000000"/>
          <w:lang w:val="en-GB" w:eastAsia="cs-CZ"/>
        </w:rPr>
        <w:t xml:space="preserve">was </w:t>
      </w:r>
      <w:r w:rsidRPr="00177F0B">
        <w:rPr>
          <w:rFonts w:ascii="Calibri" w:eastAsia="Times New Roman" w:hAnsi="Calibri" w:cs="Calibri"/>
          <w:color w:val="000000"/>
          <w:lang w:val="en-GB" w:eastAsia="cs-CZ"/>
        </w:rPr>
        <w:t>created, which aims to find solutions to the problems of social and health</w:t>
      </w:r>
      <w:r>
        <w:rPr>
          <w:rFonts w:ascii="Calibri" w:eastAsia="Times New Roman" w:hAnsi="Calibri" w:cs="Calibri"/>
          <w:color w:val="000000"/>
          <w:lang w:val="en-GB" w:eastAsia="cs-CZ"/>
        </w:rPr>
        <w:t>care</w:t>
      </w:r>
      <w:r w:rsidRPr="00177F0B">
        <w:rPr>
          <w:rFonts w:ascii="Calibri" w:eastAsia="Times New Roman" w:hAnsi="Calibri" w:cs="Calibri"/>
          <w:color w:val="000000"/>
          <w:lang w:val="en-GB" w:eastAsia="cs-CZ"/>
        </w:rPr>
        <w:t xml:space="preserve"> border. Following the results of the </w:t>
      </w:r>
      <w:r>
        <w:rPr>
          <w:rFonts w:ascii="Calibri" w:eastAsia="Times New Roman" w:hAnsi="Calibri" w:cs="Calibri"/>
          <w:color w:val="000000"/>
          <w:lang w:val="en-GB" w:eastAsia="cs-CZ"/>
        </w:rPr>
        <w:t>survey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lastRenderedPageBreak/>
        <w:t>an</w:t>
      </w:r>
      <w:r w:rsidRPr="00177F0B">
        <w:rPr>
          <w:rFonts w:ascii="Calibri" w:eastAsia="Times New Roman" w:hAnsi="Calibri" w:cs="Calibri"/>
          <w:color w:val="000000"/>
          <w:lang w:val="en-GB" w:eastAsia="cs-CZ"/>
        </w:rPr>
        <w:t xml:space="preserve"> amend</w:t>
      </w:r>
      <w:r>
        <w:rPr>
          <w:rFonts w:ascii="Calibri" w:eastAsia="Times New Roman" w:hAnsi="Calibri" w:cs="Calibri"/>
          <w:color w:val="000000"/>
          <w:lang w:val="en-GB" w:eastAsia="cs-CZ"/>
        </w:rPr>
        <w:t>ment will be made to</w:t>
      </w:r>
      <w:r w:rsidRPr="00177F0B">
        <w:rPr>
          <w:rFonts w:ascii="Calibri" w:eastAsia="Times New Roman" w:hAnsi="Calibri" w:cs="Calibri"/>
          <w:color w:val="000000"/>
          <w:lang w:val="en-GB" w:eastAsia="cs-CZ"/>
        </w:rPr>
        <w:t xml:space="preserve"> existing legislation </w:t>
      </w:r>
      <w:r>
        <w:rPr>
          <w:rFonts w:ascii="Calibri" w:eastAsia="Times New Roman" w:hAnsi="Calibri" w:cs="Calibri"/>
          <w:color w:val="000000"/>
          <w:lang w:val="en-GB" w:eastAsia="cs-CZ"/>
        </w:rPr>
        <w:t xml:space="preserve">on the system of social services, </w:t>
      </w:r>
      <w:r w:rsidRPr="00177F0B">
        <w:rPr>
          <w:rFonts w:ascii="Calibri" w:eastAsia="Times New Roman" w:hAnsi="Calibri" w:cs="Calibri"/>
          <w:color w:val="000000"/>
          <w:lang w:val="en-GB" w:eastAsia="cs-CZ"/>
        </w:rPr>
        <w:t>health services and health insurance.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Pr>
          <w:rFonts w:ascii="Calibri" w:eastAsia="Times New Roman" w:hAnsi="Calibri" w:cs="Calibri"/>
          <w:b/>
          <w:bCs/>
          <w:i/>
          <w:iCs/>
          <w:color w:val="D41616"/>
          <w:lang w:val="en-GB" w:eastAsia="cs-CZ"/>
        </w:rPr>
        <w:t xml:space="preserve">Regulation of </w:t>
      </w:r>
      <w:r w:rsidRPr="00177F0B">
        <w:rPr>
          <w:rFonts w:ascii="Calibri" w:eastAsia="Times New Roman" w:hAnsi="Calibri" w:cs="Calibri"/>
          <w:b/>
          <w:bCs/>
          <w:i/>
          <w:iCs/>
          <w:color w:val="D41616"/>
          <w:lang w:val="en-GB" w:eastAsia="cs-CZ"/>
        </w:rPr>
        <w:t>the rehabilitation of persons with disabilities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2014</w:t>
      </w:r>
      <w:r>
        <w:rPr>
          <w:rFonts w:ascii="Calibri" w:eastAsia="Times New Roman" w:hAnsi="Calibri" w:cs="Calibri"/>
          <w:color w:val="000000"/>
          <w:lang w:val="en-GB" w:eastAsia="cs-CZ"/>
        </w:rPr>
        <w:t xml:space="preserve"> will continue the preparation of</w:t>
      </w:r>
      <w:r w:rsidRPr="00177F0B">
        <w:rPr>
          <w:rFonts w:ascii="Calibri" w:eastAsia="Times New Roman" w:hAnsi="Calibri" w:cs="Calibri"/>
          <w:color w:val="000000"/>
          <w:lang w:val="en-GB" w:eastAsia="cs-CZ"/>
        </w:rPr>
        <w:t xml:space="preserve"> proposals to address the coordination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rehabilitation</w:t>
      </w:r>
      <w:r>
        <w:rPr>
          <w:rFonts w:ascii="Calibri" w:eastAsia="Times New Roman" w:hAnsi="Calibri" w:cs="Calibri"/>
          <w:color w:val="000000"/>
          <w:lang w:val="en-GB" w:eastAsia="cs-CZ"/>
        </w:rPr>
        <w:t xml:space="preserve"> system</w:t>
      </w:r>
      <w:r w:rsidRPr="00177F0B">
        <w:rPr>
          <w:rFonts w:ascii="Calibri" w:eastAsia="Times New Roman" w:hAnsi="Calibri" w:cs="Calibri"/>
          <w:color w:val="000000"/>
          <w:lang w:val="en-GB" w:eastAsia="cs-CZ"/>
        </w:rPr>
        <w:t>, which define the rights of persons authorized to use all means of rehabilitation, the advi</w:t>
      </w:r>
      <w:r>
        <w:rPr>
          <w:rFonts w:ascii="Calibri" w:eastAsia="Times New Roman" w:hAnsi="Calibri" w:cs="Calibri"/>
          <w:color w:val="000000"/>
          <w:lang w:val="en-GB" w:eastAsia="cs-CZ"/>
        </w:rPr>
        <w:t>sory</w:t>
      </w:r>
      <w:r w:rsidRPr="00177F0B">
        <w:rPr>
          <w:rFonts w:ascii="Calibri" w:eastAsia="Times New Roman" w:hAnsi="Calibri" w:cs="Calibri"/>
          <w:color w:val="000000"/>
          <w:lang w:val="en-GB" w:eastAsia="cs-CZ"/>
        </w:rPr>
        <w:t xml:space="preserve"> in this area and the cooperation with institutions </w:t>
      </w:r>
      <w:r>
        <w:rPr>
          <w:rFonts w:ascii="Calibri" w:eastAsia="Times New Roman" w:hAnsi="Calibri" w:cs="Calibri"/>
          <w:color w:val="000000"/>
          <w:lang w:val="en-GB" w:eastAsia="cs-CZ"/>
        </w:rPr>
        <w:t>that provide</w:t>
      </w:r>
      <w:r w:rsidRPr="00177F0B">
        <w:rPr>
          <w:rFonts w:ascii="Calibri" w:eastAsia="Times New Roman" w:hAnsi="Calibri" w:cs="Calibri"/>
          <w:color w:val="000000"/>
          <w:lang w:val="en-GB" w:eastAsia="cs-CZ"/>
        </w:rPr>
        <w:t xml:space="preserve"> support. Proposed solutions will be prepared within the framework of an inter-ministerial working group (see paragraph </w:t>
      </w:r>
      <w:r>
        <w:rPr>
          <w:rFonts w:ascii="Calibri" w:eastAsia="Times New Roman" w:hAnsi="Calibri" w:cs="Calibri"/>
          <w:color w:val="000000"/>
          <w:lang w:val="en-GB" w:eastAsia="cs-CZ"/>
        </w:rPr>
        <w:t>Regulation of</w:t>
      </w:r>
      <w:r w:rsidRPr="00177F0B">
        <w:rPr>
          <w:rFonts w:ascii="Calibri" w:eastAsia="Times New Roman" w:hAnsi="Calibri" w:cs="Calibri"/>
          <w:color w:val="000000"/>
          <w:lang w:val="en-GB" w:eastAsia="cs-CZ"/>
        </w:rPr>
        <w:t xml:space="preserve"> long-term care).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Social housing</w:t>
      </w:r>
    </w:p>
    <w:p w:rsidR="00F700A9" w:rsidRPr="00177F0B" w:rsidRDefault="00F700A9" w:rsidP="00F700A9">
      <w:pPr>
        <w:rPr>
          <w:rFonts w:ascii="Calibri" w:eastAsia="Times New Roman" w:hAnsi="Calibri" w:cs="Calibri"/>
          <w:color w:val="000000"/>
          <w:lang w:val="en-GB" w:eastAsia="cs-CZ"/>
        </w:rPr>
      </w:pP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 preparation of the draft of</w:t>
      </w:r>
      <w:r>
        <w:rPr>
          <w:rFonts w:ascii="Calibri" w:eastAsia="Times New Roman" w:hAnsi="Calibri" w:cs="Calibri"/>
          <w:color w:val="000000"/>
          <w:lang w:val="en-GB" w:eastAsia="cs-CZ"/>
        </w:rPr>
        <w:t xml:space="preserve"> a conceptual solution of</w:t>
      </w:r>
      <w:r w:rsidRPr="00177F0B">
        <w:rPr>
          <w:rFonts w:ascii="Calibri" w:eastAsia="Times New Roman" w:hAnsi="Calibri" w:cs="Calibri"/>
          <w:color w:val="000000"/>
          <w:lang w:val="en-GB" w:eastAsia="cs-CZ"/>
        </w:rPr>
        <w:t xml:space="preserve"> social housing will continue</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which will be submitted to the </w:t>
      </w:r>
      <w:r>
        <w:rPr>
          <w:rFonts w:ascii="Calibri" w:eastAsia="Times New Roman" w:hAnsi="Calibri" w:cs="Calibri"/>
          <w:color w:val="000000"/>
          <w:lang w:val="en-GB" w:eastAsia="cs-CZ"/>
        </w:rPr>
        <w:t>government in September 2014. The g</w:t>
      </w:r>
      <w:r w:rsidRPr="00177F0B">
        <w:rPr>
          <w:rFonts w:ascii="Calibri" w:eastAsia="Times New Roman" w:hAnsi="Calibri" w:cs="Calibri"/>
          <w:color w:val="000000"/>
          <w:lang w:val="en-GB" w:eastAsia="cs-CZ"/>
        </w:rPr>
        <w:t>overnment</w:t>
      </w:r>
      <w:r>
        <w:rPr>
          <w:rFonts w:ascii="Calibri" w:eastAsia="Times New Roman" w:hAnsi="Calibri" w:cs="Calibri"/>
          <w:color w:val="000000"/>
          <w:lang w:val="en-GB" w:eastAsia="cs-CZ"/>
        </w:rPr>
        <w:t xml:space="preserve"> shall</w:t>
      </w:r>
      <w:r w:rsidRPr="00177F0B">
        <w:rPr>
          <w:rFonts w:ascii="Calibri" w:eastAsia="Times New Roman" w:hAnsi="Calibri" w:cs="Calibri"/>
          <w:color w:val="000000"/>
          <w:lang w:val="en-GB" w:eastAsia="cs-CZ"/>
        </w:rPr>
        <w:t xml:space="preserve"> also begin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preparation of the legislative intent o</w:t>
      </w:r>
      <w:r>
        <w:rPr>
          <w:rFonts w:ascii="Calibri" w:eastAsia="Times New Roman" w:hAnsi="Calibri" w:cs="Calibri"/>
          <w:color w:val="000000"/>
          <w:lang w:val="en-GB" w:eastAsia="cs-CZ"/>
        </w:rPr>
        <w:t>n</w:t>
      </w:r>
      <w:r w:rsidRPr="00177F0B">
        <w:rPr>
          <w:rFonts w:ascii="Calibri" w:eastAsia="Times New Roman" w:hAnsi="Calibri" w:cs="Calibri"/>
          <w:color w:val="000000"/>
          <w:lang w:val="en-GB" w:eastAsia="cs-CZ"/>
        </w:rPr>
        <w:t xml:space="preserve"> social housing, which will contain the identification, definition and </w:t>
      </w:r>
      <w:r>
        <w:rPr>
          <w:rFonts w:ascii="Calibri" w:eastAsia="Times New Roman" w:hAnsi="Calibri" w:cs="Calibri"/>
          <w:color w:val="000000"/>
          <w:lang w:val="en-GB" w:eastAsia="cs-CZ"/>
        </w:rPr>
        <w:t>the embedment of the</w:t>
      </w:r>
      <w:r w:rsidRPr="00177F0B">
        <w:rPr>
          <w:rFonts w:ascii="Calibri" w:eastAsia="Times New Roman" w:hAnsi="Calibri" w:cs="Calibri"/>
          <w:color w:val="000000"/>
          <w:lang w:val="en-GB" w:eastAsia="cs-CZ"/>
        </w:rPr>
        <w:t xml:space="preserve"> synergy </w:t>
      </w:r>
      <w:r>
        <w:rPr>
          <w:rFonts w:ascii="Calibri" w:eastAsia="Times New Roman" w:hAnsi="Calibri" w:cs="Calibri"/>
          <w:color w:val="000000"/>
          <w:lang w:val="en-GB" w:eastAsia="cs-CZ"/>
        </w:rPr>
        <w:t xml:space="preserve">effect </w:t>
      </w:r>
      <w:r w:rsidRPr="00177F0B">
        <w:rPr>
          <w:rFonts w:ascii="Calibri" w:eastAsia="Times New Roman" w:hAnsi="Calibri" w:cs="Calibri"/>
          <w:color w:val="000000"/>
          <w:lang w:val="en-GB" w:eastAsia="cs-CZ"/>
        </w:rPr>
        <w:t xml:space="preserve">of the various segments of public policies and </w:t>
      </w:r>
      <w:r>
        <w:rPr>
          <w:rFonts w:ascii="Calibri" w:eastAsia="Times New Roman" w:hAnsi="Calibri" w:cs="Calibri"/>
          <w:color w:val="000000"/>
          <w:lang w:val="en-GB" w:eastAsia="cs-CZ"/>
        </w:rPr>
        <w:t>the definition of</w:t>
      </w:r>
      <w:r w:rsidRPr="00177F0B">
        <w:rPr>
          <w:rFonts w:ascii="Calibri" w:eastAsia="Times New Roman" w:hAnsi="Calibri" w:cs="Calibri"/>
          <w:color w:val="000000"/>
          <w:lang w:val="en-GB" w:eastAsia="cs-CZ"/>
        </w:rPr>
        <w:t xml:space="preserve"> the conditions of their functioning.</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Availability of rental housing and increased mobility of the workforce</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accordance with the objectives of </w:t>
      </w:r>
      <w:r w:rsidRPr="00177F0B">
        <w:rPr>
          <w:rFonts w:ascii="Calibri" w:eastAsia="Times New Roman" w:hAnsi="Calibri" w:cs="Calibri"/>
          <w:b/>
          <w:bCs/>
          <w:color w:val="000000"/>
          <w:lang w:val="en-GB" w:eastAsia="cs-CZ"/>
        </w:rPr>
        <w:t xml:space="preserve">the Concept of </w:t>
      </w:r>
      <w:r>
        <w:rPr>
          <w:rFonts w:ascii="Calibri" w:eastAsia="Times New Roman" w:hAnsi="Calibri" w:cs="Calibri"/>
          <w:b/>
          <w:bCs/>
          <w:color w:val="000000"/>
          <w:lang w:val="en-GB" w:eastAsia="cs-CZ"/>
        </w:rPr>
        <w:t>H</w:t>
      </w:r>
      <w:r w:rsidRPr="00177F0B">
        <w:rPr>
          <w:rFonts w:ascii="Calibri" w:eastAsia="Times New Roman" w:hAnsi="Calibri" w:cs="Calibri"/>
          <w:b/>
          <w:bCs/>
          <w:color w:val="000000"/>
          <w:lang w:val="en-GB" w:eastAsia="cs-CZ"/>
        </w:rPr>
        <w:t>ousing</w:t>
      </w:r>
      <w:r>
        <w:rPr>
          <w:rFonts w:ascii="Calibri" w:eastAsia="Times New Roman" w:hAnsi="Calibri" w:cs="Calibri"/>
          <w:b/>
          <w:bCs/>
          <w:color w:val="000000"/>
          <w:lang w:val="en-GB" w:eastAsia="cs-CZ"/>
        </w:rPr>
        <w:t xml:space="preserve"> of the Czech Republic until</w:t>
      </w:r>
      <w:r w:rsidRPr="00177F0B">
        <w:rPr>
          <w:rFonts w:ascii="Calibri" w:eastAsia="Times New Roman" w:hAnsi="Calibri" w:cs="Calibri"/>
          <w:b/>
          <w:bCs/>
          <w:color w:val="000000"/>
          <w:lang w:val="en-GB" w:eastAsia="cs-CZ"/>
        </w:rPr>
        <w:t xml:space="preserve"> 2020</w:t>
      </w:r>
      <w:r w:rsidRPr="00177F0B">
        <w:rPr>
          <w:rFonts w:ascii="Calibri" w:eastAsia="Times New Roman" w:hAnsi="Calibri" w:cs="Calibri"/>
          <w:color w:val="000000"/>
          <w:lang w:val="en-GB" w:eastAsia="cs-CZ"/>
        </w:rPr>
        <w:t xml:space="preserve"> , the government will continue to subsidize the creation of rental </w:t>
      </w:r>
      <w:r>
        <w:rPr>
          <w:rFonts w:ascii="Calibri" w:eastAsia="Times New Roman" w:hAnsi="Calibri" w:cs="Calibri"/>
          <w:color w:val="000000"/>
          <w:lang w:val="en-GB" w:eastAsia="cs-CZ"/>
        </w:rPr>
        <w:t>housing in order to provide</w:t>
      </w:r>
      <w:r w:rsidRPr="00177F0B">
        <w:rPr>
          <w:rFonts w:ascii="Calibri" w:eastAsia="Times New Roman" w:hAnsi="Calibri" w:cs="Calibri"/>
          <w:color w:val="000000"/>
          <w:lang w:val="en-GB" w:eastAsia="cs-CZ"/>
        </w:rPr>
        <w:t xml:space="preserve"> social housing for people who have difficult</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access</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housing due to special needs resulting from their unfavourable</w:t>
      </w:r>
      <w:r>
        <w:rPr>
          <w:rFonts w:ascii="Calibri" w:eastAsia="Times New Roman" w:hAnsi="Calibri" w:cs="Calibri"/>
          <w:color w:val="000000"/>
          <w:lang w:val="en-GB" w:eastAsia="cs-CZ"/>
        </w:rPr>
        <w:t xml:space="preserve"> social situation. In 2014</w:t>
      </w:r>
      <w:r w:rsidRPr="00177F0B">
        <w:rPr>
          <w:rFonts w:ascii="Calibri" w:eastAsia="Times New Roman" w:hAnsi="Calibri" w:cs="Calibri"/>
          <w:color w:val="000000"/>
          <w:lang w:val="en-GB" w:eastAsia="cs-CZ"/>
        </w:rPr>
        <w:t xml:space="preserve"> will be implemented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Government Regulation No. 284/2011 Coll., </w:t>
      </w:r>
      <w:r>
        <w:rPr>
          <w:rFonts w:ascii="Calibri" w:eastAsia="Times New Roman" w:hAnsi="Calibri" w:cs="Calibri"/>
          <w:color w:val="000000"/>
          <w:lang w:val="en-GB" w:eastAsia="cs-CZ"/>
        </w:rPr>
        <w:t>on 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 xml:space="preserve">onditions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ranting and </w:t>
      </w:r>
      <w:r>
        <w:rPr>
          <w:rFonts w:ascii="Calibri" w:eastAsia="Times New Roman" w:hAnsi="Calibri" w:cs="Calibri"/>
          <w:color w:val="000000"/>
          <w:lang w:val="en-GB" w:eastAsia="cs-CZ"/>
        </w:rPr>
        <w:t>U</w:t>
      </w:r>
      <w:r w:rsidRPr="00177F0B">
        <w:rPr>
          <w:rFonts w:ascii="Calibri" w:eastAsia="Times New Roman" w:hAnsi="Calibri" w:cs="Calibri"/>
          <w:color w:val="000000"/>
          <w:lang w:val="en-GB" w:eastAsia="cs-CZ"/>
        </w:rPr>
        <w:t xml:space="preserve">se of </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 xml:space="preserve">inancial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 xml:space="preserve">esources from the State Housing Development Fund </w:t>
      </w:r>
      <w:r>
        <w:rPr>
          <w:rFonts w:ascii="Calibri" w:eastAsia="Times New Roman" w:hAnsi="Calibri" w:cs="Calibri"/>
          <w:color w:val="000000"/>
          <w:lang w:val="en-GB" w:eastAsia="cs-CZ"/>
        </w:rPr>
        <w:t xml:space="preserve">in the form of a </w:t>
      </w:r>
      <w:r w:rsidRPr="00177F0B">
        <w:rPr>
          <w:rFonts w:ascii="Calibri" w:eastAsia="Times New Roman" w:hAnsi="Calibri" w:cs="Calibri"/>
          <w:color w:val="000000"/>
          <w:lang w:val="en-GB" w:eastAsia="cs-CZ"/>
        </w:rPr>
        <w:t xml:space="preserve">loan to support the construction of rental </w:t>
      </w:r>
      <w:r>
        <w:rPr>
          <w:rFonts w:ascii="Calibri" w:eastAsia="Times New Roman" w:hAnsi="Calibri" w:cs="Calibri"/>
          <w:color w:val="000000"/>
          <w:lang w:val="en-GB" w:eastAsia="cs-CZ"/>
        </w:rPr>
        <w:t>housing</w:t>
      </w:r>
      <w:r w:rsidRPr="00177F0B">
        <w:rPr>
          <w:rFonts w:ascii="Calibri" w:eastAsia="Times New Roman" w:hAnsi="Calibri" w:cs="Calibri"/>
          <w:color w:val="000000"/>
          <w:lang w:val="en-GB" w:eastAsia="cs-CZ"/>
        </w:rPr>
        <w:t xml:space="preserve"> in the Czech Republic.</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 xml:space="preserve">Preventing and </w:t>
      </w:r>
      <w:r>
        <w:rPr>
          <w:rFonts w:ascii="Calibri" w:eastAsia="Times New Roman" w:hAnsi="Calibri" w:cs="Calibri"/>
          <w:b/>
          <w:bCs/>
          <w:i/>
          <w:iCs/>
          <w:color w:val="D41616"/>
          <w:lang w:val="en-GB" w:eastAsia="cs-CZ"/>
        </w:rPr>
        <w:t>addressing</w:t>
      </w:r>
      <w:r w:rsidRPr="00177F0B">
        <w:rPr>
          <w:rFonts w:ascii="Calibri" w:eastAsia="Times New Roman" w:hAnsi="Calibri" w:cs="Calibri"/>
          <w:b/>
          <w:bCs/>
          <w:i/>
          <w:iCs/>
          <w:color w:val="D41616"/>
          <w:lang w:val="en-GB" w:eastAsia="cs-CZ"/>
        </w:rPr>
        <w:t xml:space="preserve"> homelessness</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August 2013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 government approved the </w:t>
      </w:r>
      <w:r w:rsidRPr="00177F0B">
        <w:rPr>
          <w:rFonts w:ascii="Calibri" w:eastAsia="Times New Roman" w:hAnsi="Calibri" w:cs="Calibri"/>
          <w:b/>
          <w:bCs/>
          <w:color w:val="000000"/>
          <w:lang w:val="en-GB" w:eastAsia="cs-CZ"/>
        </w:rPr>
        <w:t xml:space="preserve">Concept </w:t>
      </w:r>
      <w:r>
        <w:rPr>
          <w:rFonts w:ascii="Calibri" w:eastAsia="Times New Roman" w:hAnsi="Calibri" w:cs="Calibri"/>
          <w:b/>
          <w:bCs/>
          <w:color w:val="000000"/>
          <w:lang w:val="en-GB" w:eastAsia="cs-CZ"/>
        </w:rPr>
        <w:t>of</w:t>
      </w:r>
      <w:r w:rsidRPr="00177F0B">
        <w:rPr>
          <w:rFonts w:ascii="Calibri" w:eastAsia="Times New Roman" w:hAnsi="Calibri" w:cs="Calibri"/>
          <w:b/>
          <w:bCs/>
          <w:color w:val="000000"/>
          <w:lang w:val="en-GB" w:eastAsia="cs-CZ"/>
        </w:rPr>
        <w:t xml:space="preserve"> Prevention </w:t>
      </w:r>
      <w:r>
        <w:rPr>
          <w:rFonts w:ascii="Calibri" w:eastAsia="Times New Roman" w:hAnsi="Calibri" w:cs="Calibri"/>
          <w:b/>
          <w:bCs/>
          <w:color w:val="000000"/>
          <w:lang w:val="en-GB" w:eastAsia="cs-CZ"/>
        </w:rPr>
        <w:t>a</w:t>
      </w:r>
      <w:r w:rsidRPr="00177F0B">
        <w:rPr>
          <w:rFonts w:ascii="Calibri" w:eastAsia="Times New Roman" w:hAnsi="Calibri" w:cs="Calibri"/>
          <w:b/>
          <w:bCs/>
          <w:color w:val="000000"/>
          <w:lang w:val="en-GB" w:eastAsia="cs-CZ"/>
        </w:rPr>
        <w:t xml:space="preserve">nd </w:t>
      </w:r>
      <w:r>
        <w:rPr>
          <w:rFonts w:ascii="Calibri" w:eastAsia="Times New Roman" w:hAnsi="Calibri" w:cs="Calibri"/>
          <w:b/>
          <w:bCs/>
          <w:color w:val="000000"/>
          <w:lang w:val="en-GB" w:eastAsia="cs-CZ"/>
        </w:rPr>
        <w:t>Addressing</w:t>
      </w:r>
      <w:r w:rsidRPr="00177F0B">
        <w:rPr>
          <w:rFonts w:ascii="Calibri" w:eastAsia="Times New Roman" w:hAnsi="Calibri" w:cs="Calibri"/>
          <w:b/>
          <w:bCs/>
          <w:color w:val="000000"/>
          <w:lang w:val="en-GB" w:eastAsia="cs-CZ"/>
        </w:rPr>
        <w:t xml:space="preserve"> Homelessness in the Czech Republic </w:t>
      </w:r>
      <w:r>
        <w:rPr>
          <w:rFonts w:ascii="Calibri" w:eastAsia="Times New Roman" w:hAnsi="Calibri" w:cs="Calibri"/>
          <w:b/>
          <w:bCs/>
          <w:color w:val="000000"/>
          <w:lang w:val="en-GB" w:eastAsia="cs-CZ"/>
        </w:rPr>
        <w:t>until</w:t>
      </w:r>
      <w:r w:rsidRPr="00177F0B">
        <w:rPr>
          <w:rFonts w:ascii="Calibri" w:eastAsia="Times New Roman" w:hAnsi="Calibri" w:cs="Calibri"/>
          <w:b/>
          <w:bCs/>
          <w:color w:val="000000"/>
          <w:lang w:val="en-GB" w:eastAsia="cs-CZ"/>
        </w:rPr>
        <w:t xml:space="preserve"> 2020</w:t>
      </w:r>
      <w:r w:rsidRPr="00177F0B">
        <w:rPr>
          <w:rFonts w:ascii="Calibri" w:eastAsia="Times New Roman" w:hAnsi="Calibri" w:cs="Calibri"/>
          <w:color w:val="000000"/>
          <w:lang w:val="en-GB" w:eastAsia="cs-CZ"/>
        </w:rPr>
        <w:t xml:space="preserve">, which covers topics from </w:t>
      </w:r>
      <w:r>
        <w:rPr>
          <w:rFonts w:ascii="Calibri" w:eastAsia="Times New Roman" w:hAnsi="Calibri" w:cs="Calibri"/>
          <w:color w:val="000000"/>
          <w:lang w:val="en-GB" w:eastAsia="cs-CZ"/>
        </w:rPr>
        <w:t>supporting</w:t>
      </w:r>
      <w:r w:rsidRPr="00177F0B">
        <w:rPr>
          <w:rFonts w:ascii="Calibri" w:eastAsia="Times New Roman" w:hAnsi="Calibri" w:cs="Calibri"/>
          <w:color w:val="000000"/>
          <w:lang w:val="en-GB" w:eastAsia="cs-CZ"/>
        </w:rPr>
        <w:t xml:space="preserve"> access to housing and health care to promote awareness and cooperation of all stakeholders. One of the measures i</w:t>
      </w:r>
      <w:r>
        <w:rPr>
          <w:rFonts w:ascii="Calibri" w:eastAsia="Times New Roman" w:hAnsi="Calibri" w:cs="Calibri"/>
          <w:color w:val="000000"/>
          <w:lang w:val="en-GB" w:eastAsia="cs-CZ"/>
        </w:rPr>
        <w:t>n</w:t>
      </w:r>
      <w:r w:rsidRPr="00177F0B">
        <w:rPr>
          <w:rFonts w:ascii="Calibri" w:eastAsia="Times New Roman" w:hAnsi="Calibri" w:cs="Calibri"/>
          <w:color w:val="000000"/>
          <w:lang w:val="en-GB" w:eastAsia="cs-CZ"/>
        </w:rPr>
        <w:t xml:space="preserve"> the concept</w:t>
      </w:r>
      <w:r>
        <w:rPr>
          <w:rFonts w:ascii="Calibri" w:eastAsia="Times New Roman" w:hAnsi="Calibri" w:cs="Calibri"/>
          <w:color w:val="000000"/>
          <w:lang w:val="en-GB" w:eastAsia="cs-CZ"/>
        </w:rPr>
        <w:t xml:space="preserve"> is the</w:t>
      </w:r>
      <w:r w:rsidRPr="00177F0B">
        <w:rPr>
          <w:rFonts w:ascii="Calibri" w:eastAsia="Times New Roman" w:hAnsi="Calibri" w:cs="Calibri"/>
          <w:color w:val="000000"/>
          <w:lang w:val="en-GB" w:eastAsia="cs-CZ"/>
        </w:rPr>
        <w:t xml:space="preserve"> organization of the national consensus conference on homelessness in order to find a consensus </w:t>
      </w:r>
      <w:r>
        <w:rPr>
          <w:rFonts w:ascii="Calibri" w:eastAsia="Times New Roman" w:hAnsi="Calibri" w:cs="Calibri"/>
          <w:color w:val="000000"/>
          <w:lang w:val="en-GB" w:eastAsia="cs-CZ"/>
        </w:rPr>
        <w:t>and</w:t>
      </w:r>
      <w:r w:rsidRPr="00177F0B">
        <w:rPr>
          <w:rFonts w:ascii="Calibri" w:eastAsia="Times New Roman" w:hAnsi="Calibri" w:cs="Calibri"/>
          <w:color w:val="000000"/>
          <w:lang w:val="en-GB" w:eastAsia="cs-CZ"/>
        </w:rPr>
        <w:t xml:space="preserve"> popular support for the future direction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policy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homelessness. Building on this concept, the government</w:t>
      </w:r>
      <w:r>
        <w:rPr>
          <w:rFonts w:ascii="Calibri" w:eastAsia="Times New Roman" w:hAnsi="Calibri" w:cs="Calibri"/>
          <w:color w:val="000000"/>
          <w:lang w:val="en-GB" w:eastAsia="cs-CZ"/>
        </w:rPr>
        <w:t xml:space="preserve"> will </w:t>
      </w:r>
      <w:r w:rsidRPr="00177F0B">
        <w:rPr>
          <w:rFonts w:ascii="Calibri" w:eastAsia="Times New Roman" w:hAnsi="Calibri" w:cs="Calibri"/>
          <w:color w:val="000000"/>
          <w:lang w:val="en-GB" w:eastAsia="cs-CZ"/>
        </w:rPr>
        <w:t>discuss in May 2014 the proposal of concrete actions that meet the objectives of the Concept and</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schedule</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their implementation.</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Fight against debt</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will pay special atte</w:t>
      </w:r>
      <w:r>
        <w:rPr>
          <w:rFonts w:ascii="Calibri" w:eastAsia="Times New Roman" w:hAnsi="Calibri" w:cs="Calibri"/>
          <w:color w:val="000000"/>
          <w:lang w:val="en-GB" w:eastAsia="cs-CZ"/>
        </w:rPr>
        <w:t>ntion to the rapidly expanding</w:t>
      </w:r>
      <w:r w:rsidRPr="00177F0B">
        <w:rPr>
          <w:rFonts w:ascii="Calibri" w:eastAsia="Times New Roman" w:hAnsi="Calibri" w:cs="Calibri"/>
          <w:color w:val="000000"/>
          <w:lang w:val="en-GB" w:eastAsia="cs-CZ"/>
        </w:rPr>
        <w:t xml:space="preserve"> poverty</w:t>
      </w:r>
      <w:r>
        <w:rPr>
          <w:rFonts w:ascii="Calibri" w:eastAsia="Times New Roman" w:hAnsi="Calibri" w:cs="Calibri"/>
          <w:color w:val="000000"/>
          <w:lang w:val="en-GB" w:eastAsia="cs-CZ"/>
        </w:rPr>
        <w:t xml:space="preserve"> industry</w:t>
      </w:r>
      <w:r>
        <w:rPr>
          <w:rStyle w:val="Znakapoznpodarou"/>
          <w:rFonts w:ascii="Calibri" w:eastAsia="Times New Roman" w:hAnsi="Calibri" w:cs="Calibri"/>
          <w:color w:val="000000"/>
          <w:lang w:val="en-GB" w:eastAsia="cs-CZ"/>
        </w:rPr>
        <w:footnoteReference w:id="28"/>
      </w:r>
      <w:r w:rsidRPr="00177F0B">
        <w:rPr>
          <w:rFonts w:ascii="Calibri" w:eastAsia="Times New Roman" w:hAnsi="Calibri" w:cs="Calibri"/>
          <w:color w:val="000000"/>
          <w:lang w:val="en-GB" w:eastAsia="cs-CZ"/>
        </w:rPr>
        <w:t>. Th</w:t>
      </w:r>
      <w:r>
        <w:rPr>
          <w:rFonts w:ascii="Calibri" w:eastAsia="Times New Roman" w:hAnsi="Calibri" w:cs="Calibri"/>
          <w:color w:val="000000"/>
          <w:lang w:val="en-GB" w:eastAsia="cs-CZ"/>
        </w:rPr>
        <w:t>e reason for</w:t>
      </w:r>
      <w:r w:rsidRPr="00177F0B">
        <w:rPr>
          <w:rFonts w:ascii="Calibri" w:eastAsia="Times New Roman" w:hAnsi="Calibri" w:cs="Calibri"/>
          <w:color w:val="000000"/>
          <w:lang w:val="en-GB" w:eastAsia="cs-CZ"/>
        </w:rPr>
        <w:t xml:space="preserve"> concern is particularly the rapidly growing number of households that get into the poverty trap and varying degrees of social exclusion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with significant regional differences.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t>
      </w:r>
      <w:r>
        <w:rPr>
          <w:rFonts w:ascii="Calibri" w:eastAsia="Times New Roman" w:hAnsi="Calibri" w:cs="Calibri"/>
          <w:color w:val="000000"/>
          <w:lang w:val="en-GB" w:eastAsia="cs-CZ"/>
        </w:rPr>
        <w:t xml:space="preserve">shall </w:t>
      </w:r>
      <w:r w:rsidRPr="00177F0B">
        <w:rPr>
          <w:rFonts w:ascii="Calibri" w:eastAsia="Times New Roman" w:hAnsi="Calibri" w:cs="Calibri"/>
          <w:color w:val="000000"/>
          <w:lang w:val="en-GB" w:eastAsia="cs-CZ"/>
        </w:rPr>
        <w:t xml:space="preserve">further evaluate the changes of the new legislation on consumer protection </w:t>
      </w:r>
      <w:r>
        <w:rPr>
          <w:rFonts w:ascii="Calibri" w:eastAsia="Times New Roman" w:hAnsi="Calibri" w:cs="Calibri"/>
          <w:color w:val="000000"/>
          <w:lang w:val="en-GB" w:eastAsia="cs-CZ"/>
        </w:rPr>
        <w:t>and debt relief created after 1</w:t>
      </w:r>
      <w:r w:rsidRPr="008C1B67">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January 2014 and on debt enforcement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created </w:t>
      </w:r>
      <w:r w:rsidRPr="00177F0B">
        <w:rPr>
          <w:rFonts w:ascii="Calibri" w:eastAsia="Times New Roman" w:hAnsi="Calibri" w:cs="Calibri"/>
          <w:color w:val="000000"/>
          <w:lang w:val="en-GB" w:eastAsia="cs-CZ"/>
        </w:rPr>
        <w:t xml:space="preserve">after </w:t>
      </w:r>
      <w:r>
        <w:rPr>
          <w:rFonts w:ascii="Calibri" w:eastAsia="Times New Roman" w:hAnsi="Calibri" w:cs="Calibri"/>
          <w:color w:val="000000"/>
          <w:lang w:val="en-GB" w:eastAsia="cs-CZ"/>
        </w:rPr>
        <w:t>1</w:t>
      </w:r>
      <w:r w:rsidRPr="008C1B67">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January 2014</w:t>
      </w:r>
      <w:r w:rsidRPr="00177F0B">
        <w:rPr>
          <w:rFonts w:ascii="Calibri" w:eastAsia="Times New Roman" w:hAnsi="Calibri" w:cs="Calibri"/>
          <w:color w:val="000000"/>
          <w:lang w:val="en-GB" w:eastAsia="cs-CZ"/>
        </w:rPr>
        <w:t xml:space="preserve">, will analyse their effectiveness and propose measures to eliminate the deficiencies or </w:t>
      </w:r>
      <w:r>
        <w:rPr>
          <w:rFonts w:ascii="Calibri" w:eastAsia="Times New Roman" w:hAnsi="Calibri" w:cs="Calibri"/>
          <w:color w:val="000000"/>
          <w:lang w:val="en-GB" w:eastAsia="cs-CZ"/>
        </w:rPr>
        <w:t xml:space="preserve">to improve </w:t>
      </w:r>
      <w:r w:rsidRPr="00177F0B">
        <w:rPr>
          <w:rFonts w:ascii="Calibri" w:eastAsia="Times New Roman" w:hAnsi="Calibri" w:cs="Calibri"/>
          <w:color w:val="000000"/>
          <w:lang w:val="en-GB" w:eastAsia="cs-CZ"/>
        </w:rPr>
        <w:t>the effectiveness of measures already in place.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Active aging</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February 2013 the Government approved the document </w:t>
      </w:r>
      <w:r w:rsidRPr="00177F0B">
        <w:rPr>
          <w:rFonts w:ascii="Calibri" w:eastAsia="Times New Roman" w:hAnsi="Calibri" w:cs="Calibri"/>
          <w:b/>
          <w:bCs/>
          <w:color w:val="000000"/>
          <w:lang w:val="en-GB" w:eastAsia="cs-CZ"/>
        </w:rPr>
        <w:t>National Action Plan to Support Positive Aging for the period 2013-2017</w:t>
      </w:r>
      <w:r w:rsidRPr="00177F0B">
        <w:rPr>
          <w:rFonts w:ascii="Calibri" w:eastAsia="Times New Roman" w:hAnsi="Calibri" w:cs="Calibri"/>
          <w:color w:val="000000"/>
          <w:lang w:val="en-GB" w:eastAsia="cs-CZ"/>
        </w:rPr>
        <w:t> (NAP), which provides priorities and measures for the upcoming term in areas important to the quality of life of seniors and population</w:t>
      </w:r>
      <w:r w:rsidRPr="00081BB6">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aging. The main priorities are to ensure and protect the rights of older persons, lifelong learning, employment of older workers, volunteerism and intergenerational cooperation, quality living environment for seniors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healthy aging and care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the frailest elderly</w:t>
      </w:r>
      <w:r>
        <w:rPr>
          <w:rFonts w:ascii="Calibri" w:eastAsia="Times New Roman" w:hAnsi="Calibri" w:cs="Calibri"/>
          <w:color w:val="000000"/>
          <w:lang w:val="en-GB" w:eastAsia="cs-CZ"/>
        </w:rPr>
        <w:t xml:space="preserve"> citizens</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NAP is an inter-</w:t>
      </w:r>
      <w:r>
        <w:rPr>
          <w:rFonts w:ascii="Calibri" w:eastAsia="Times New Roman" w:hAnsi="Calibri" w:cs="Calibri"/>
          <w:color w:val="000000"/>
          <w:lang w:val="en-GB" w:eastAsia="cs-CZ"/>
        </w:rPr>
        <w:t>departmental document and the</w:t>
      </w:r>
      <w:r w:rsidRPr="00177F0B">
        <w:rPr>
          <w:rFonts w:ascii="Calibri" w:eastAsia="Times New Roman" w:hAnsi="Calibri" w:cs="Calibri"/>
          <w:color w:val="000000"/>
          <w:lang w:val="en-GB" w:eastAsia="cs-CZ"/>
        </w:rPr>
        <w:t xml:space="preserve"> responsibility for the implementation of measures in the field of aging population </w:t>
      </w:r>
      <w:r>
        <w:rPr>
          <w:rFonts w:ascii="Calibri" w:eastAsia="Times New Roman" w:hAnsi="Calibri" w:cs="Calibri"/>
          <w:color w:val="000000"/>
          <w:lang w:val="en-GB" w:eastAsia="cs-CZ"/>
        </w:rPr>
        <w:t>falls to</w:t>
      </w:r>
      <w:r w:rsidRPr="00177F0B">
        <w:rPr>
          <w:rFonts w:ascii="Calibri" w:eastAsia="Times New Roman" w:hAnsi="Calibri" w:cs="Calibri"/>
          <w:color w:val="000000"/>
          <w:lang w:val="en-GB" w:eastAsia="cs-CZ"/>
        </w:rPr>
        <w:t xml:space="preserve"> all ministries and other bodies.</w:t>
      </w:r>
      <w:r>
        <w:rPr>
          <w:rFonts w:ascii="Calibri" w:eastAsia="Times New Roman" w:hAnsi="Calibri" w:cs="Calibri"/>
          <w:color w:val="000000"/>
          <w:lang w:val="en-GB" w:eastAsia="cs-CZ"/>
        </w:rPr>
        <w:t> The document is to be complemented</w:t>
      </w:r>
      <w:r w:rsidRPr="00177F0B">
        <w:rPr>
          <w:rFonts w:ascii="Calibri" w:eastAsia="Times New Roman" w:hAnsi="Calibri" w:cs="Calibri"/>
          <w:color w:val="000000"/>
          <w:lang w:val="en-GB" w:eastAsia="cs-CZ"/>
        </w:rPr>
        <w:t xml:space="preserve"> in 2014 </w:t>
      </w:r>
      <w:r>
        <w:rPr>
          <w:rFonts w:ascii="Calibri" w:eastAsia="Times New Roman" w:hAnsi="Calibri" w:cs="Calibri"/>
          <w:color w:val="000000"/>
          <w:lang w:val="en-GB" w:eastAsia="cs-CZ"/>
        </w:rPr>
        <w:t xml:space="preserve">with an </w:t>
      </w:r>
      <w:r w:rsidRPr="00177F0B">
        <w:rPr>
          <w:rFonts w:ascii="Calibri" w:eastAsia="Times New Roman" w:hAnsi="Calibri" w:cs="Calibri"/>
          <w:color w:val="000000"/>
          <w:lang w:val="en-GB" w:eastAsia="cs-CZ"/>
        </w:rPr>
        <w:t xml:space="preserve">evaluation mechanism including measurable indicators </w:t>
      </w:r>
      <w:r w:rsidRPr="00177F0B">
        <w:rPr>
          <w:rFonts w:ascii="Calibri" w:eastAsia="Times New Roman" w:hAnsi="Calibri" w:cs="Calibri"/>
          <w:color w:val="000000"/>
          <w:lang w:val="en-GB" w:eastAsia="cs-CZ"/>
        </w:rPr>
        <w:lastRenderedPageBreak/>
        <w:t>that will enable effective assessment of progress. In connection with the change of polic</w:t>
      </w:r>
      <w:r>
        <w:rPr>
          <w:rFonts w:ascii="Calibri" w:eastAsia="Times New Roman" w:hAnsi="Calibri" w:cs="Calibri"/>
          <w:color w:val="000000"/>
          <w:lang w:val="en-GB" w:eastAsia="cs-CZ"/>
        </w:rPr>
        <w:t>ies</w:t>
      </w:r>
      <w:r w:rsidRPr="00177F0B">
        <w:rPr>
          <w:rFonts w:ascii="Calibri" w:eastAsia="Times New Roman" w:hAnsi="Calibri" w:cs="Calibri"/>
          <w:color w:val="000000"/>
          <w:lang w:val="en-GB" w:eastAsia="cs-CZ"/>
        </w:rPr>
        <w:t xml:space="preserve"> in the context of demographic aging its updates</w:t>
      </w:r>
      <w:r>
        <w:rPr>
          <w:rFonts w:ascii="Calibri" w:eastAsia="Times New Roman" w:hAnsi="Calibri" w:cs="Calibri"/>
          <w:color w:val="000000"/>
          <w:lang w:val="en-GB" w:eastAsia="cs-CZ"/>
        </w:rPr>
        <w:t xml:space="preserve"> are also expected</w:t>
      </w:r>
      <w:r w:rsidRPr="00177F0B">
        <w:rPr>
          <w:rFonts w:ascii="Calibri" w:eastAsia="Times New Roman" w:hAnsi="Calibri" w:cs="Calibri"/>
          <w:color w:val="000000"/>
          <w:lang w:val="en-GB" w:eastAsia="cs-CZ"/>
        </w:rPr>
        <w:t>.</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To address the challenge of an aging population, the government will support activities and projects that are aimed at </w:t>
      </w:r>
      <w:r>
        <w:rPr>
          <w:rFonts w:ascii="Calibri" w:eastAsia="Times New Roman" w:hAnsi="Calibri" w:cs="Calibri"/>
          <w:color w:val="000000"/>
          <w:lang w:val="en-GB" w:eastAsia="cs-CZ"/>
        </w:rPr>
        <w:t>improving</w:t>
      </w:r>
      <w:r w:rsidRPr="00177F0B">
        <w:rPr>
          <w:rFonts w:ascii="Calibri" w:eastAsia="Times New Roman" w:hAnsi="Calibri" w:cs="Calibri"/>
          <w:color w:val="000000"/>
          <w:lang w:val="en-GB" w:eastAsia="cs-CZ"/>
        </w:rPr>
        <w:t xml:space="preserve"> the application of the elderly in society, th</w:t>
      </w:r>
      <w:r>
        <w:rPr>
          <w:rFonts w:ascii="Calibri" w:eastAsia="Times New Roman" w:hAnsi="Calibri" w:cs="Calibri"/>
          <w:color w:val="000000"/>
          <w:lang w:val="en-GB" w:eastAsia="cs-CZ"/>
        </w:rPr>
        <w:t>e promotion of Age Management, improvement of</w:t>
      </w:r>
      <w:r w:rsidRPr="00177F0B">
        <w:rPr>
          <w:rFonts w:ascii="Calibri" w:eastAsia="Times New Roman" w:hAnsi="Calibri" w:cs="Calibri"/>
          <w:color w:val="000000"/>
          <w:lang w:val="en-GB" w:eastAsia="cs-CZ"/>
        </w:rPr>
        <w:t xml:space="preserve"> the employment of older people, support intergenerational solidarity and participation of older people in volunt</w:t>
      </w:r>
      <w:r>
        <w:rPr>
          <w:rFonts w:ascii="Calibri" w:eastAsia="Times New Roman" w:hAnsi="Calibri" w:cs="Calibri"/>
          <w:color w:val="000000"/>
          <w:lang w:val="en-GB" w:eastAsia="cs-CZ"/>
        </w:rPr>
        <w:t>ary</w:t>
      </w:r>
      <w:r w:rsidRPr="00177F0B">
        <w:rPr>
          <w:rFonts w:ascii="Calibri" w:eastAsia="Times New Roman" w:hAnsi="Calibri" w:cs="Calibri"/>
          <w:color w:val="000000"/>
          <w:lang w:val="en-GB" w:eastAsia="cs-CZ"/>
        </w:rPr>
        <w:t xml:space="preserve"> activities. An important part should be </w:t>
      </w:r>
      <w:r>
        <w:rPr>
          <w:rFonts w:ascii="Calibri" w:eastAsia="Times New Roman" w:hAnsi="Calibri" w:cs="Calibri"/>
          <w:color w:val="000000"/>
          <w:lang w:val="en-GB" w:eastAsia="cs-CZ"/>
        </w:rPr>
        <w:t>the promotion of a healthy lifestyle</w:t>
      </w:r>
      <w:r w:rsidRPr="00177F0B">
        <w:rPr>
          <w:rFonts w:ascii="Calibri" w:eastAsia="Times New Roman" w:hAnsi="Calibri" w:cs="Calibri"/>
          <w:color w:val="000000"/>
          <w:lang w:val="en-GB" w:eastAsia="cs-CZ"/>
        </w:rPr>
        <w:t xml:space="preserve"> and disease prevention as an essential prerequisite for improving the quality and extension of active life in old age.</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the area of ​​professional care, the government will seek to </w:t>
      </w:r>
      <w:r>
        <w:rPr>
          <w:rFonts w:ascii="Calibri" w:eastAsia="Times New Roman" w:hAnsi="Calibri" w:cs="Calibri"/>
          <w:color w:val="000000"/>
          <w:lang w:val="en-GB" w:eastAsia="cs-CZ"/>
        </w:rPr>
        <w:t>interconnect</w:t>
      </w:r>
      <w:r w:rsidRPr="00177F0B">
        <w:rPr>
          <w:rFonts w:ascii="Calibri" w:eastAsia="Times New Roman" w:hAnsi="Calibri" w:cs="Calibri"/>
          <w:color w:val="000000"/>
          <w:lang w:val="en-GB" w:eastAsia="cs-CZ"/>
        </w:rPr>
        <w:t xml:space="preserve"> the medical, social and other services provi</w:t>
      </w:r>
      <w:r>
        <w:rPr>
          <w:rFonts w:ascii="Calibri" w:eastAsia="Times New Roman" w:hAnsi="Calibri" w:cs="Calibri"/>
          <w:color w:val="000000"/>
          <w:lang w:val="en-GB" w:eastAsia="cs-CZ"/>
        </w:rPr>
        <w:t>ded in the home environment. Particular will be put 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compatibility or comparability of</w:t>
      </w:r>
      <w:r w:rsidRPr="00177F0B">
        <w:rPr>
          <w:rFonts w:ascii="Calibri" w:eastAsia="Times New Roman" w:hAnsi="Calibri" w:cs="Calibri"/>
          <w:color w:val="000000"/>
          <w:lang w:val="en-GB" w:eastAsia="cs-CZ"/>
        </w:rPr>
        <w:t xml:space="preserve"> systems</w:t>
      </w:r>
      <w:r>
        <w:rPr>
          <w:rFonts w:ascii="Calibri" w:eastAsia="Times New Roman" w:hAnsi="Calibri" w:cs="Calibri"/>
          <w:color w:val="000000"/>
          <w:lang w:val="en-GB" w:eastAsia="cs-CZ"/>
        </w:rPr>
        <w:t xml:space="preserve"> of funding</w:t>
      </w:r>
      <w:r w:rsidRPr="00177F0B">
        <w:rPr>
          <w:rFonts w:ascii="Calibri" w:eastAsia="Times New Roman" w:hAnsi="Calibri" w:cs="Calibri"/>
          <w:color w:val="000000"/>
          <w:lang w:val="en-GB" w:eastAsia="cs-CZ"/>
        </w:rPr>
        <w:t xml:space="preserve"> of social and health services as a major barrier</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conceptualization of long-term care.</w:t>
      </w:r>
    </w:p>
    <w:p w:rsidR="00F700A9" w:rsidRPr="00177F0B" w:rsidRDefault="00F700A9" w:rsidP="00F700A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seek to </w:t>
      </w:r>
      <w:r>
        <w:rPr>
          <w:rFonts w:ascii="Calibri" w:eastAsia="Times New Roman" w:hAnsi="Calibri" w:cs="Calibri"/>
          <w:color w:val="000000"/>
          <w:lang w:val="en-GB" w:eastAsia="cs-CZ"/>
        </w:rPr>
        <w:t xml:space="preserve">provide </w:t>
      </w:r>
      <w:r w:rsidRPr="00177F0B">
        <w:rPr>
          <w:rFonts w:ascii="Calibri" w:eastAsia="Times New Roman" w:hAnsi="Calibri" w:cs="Calibri"/>
          <w:color w:val="000000"/>
          <w:lang w:val="en-GB" w:eastAsia="cs-CZ"/>
        </w:rPr>
        <w:t xml:space="preserve">systemic </w:t>
      </w:r>
      <w:r>
        <w:rPr>
          <w:rFonts w:ascii="Calibri" w:eastAsia="Times New Roman" w:hAnsi="Calibri" w:cs="Calibri"/>
          <w:color w:val="000000"/>
          <w:lang w:val="en-GB" w:eastAsia="cs-CZ"/>
        </w:rPr>
        <w:t>support</w:t>
      </w:r>
      <w:r w:rsidRPr="00177F0B">
        <w:rPr>
          <w:rFonts w:ascii="Calibri" w:eastAsia="Times New Roman" w:hAnsi="Calibri" w:cs="Calibri"/>
          <w:color w:val="000000"/>
          <w:lang w:val="en-GB" w:eastAsia="cs-CZ"/>
        </w:rPr>
        <w:t xml:space="preserve"> of </w:t>
      </w:r>
      <w:r>
        <w:rPr>
          <w:rFonts w:ascii="Calibri" w:eastAsia="Times New Roman" w:hAnsi="Calibri" w:cs="Calibri"/>
          <w:color w:val="000000"/>
          <w:lang w:val="en-GB" w:eastAsia="cs-CZ"/>
        </w:rPr>
        <w:t xml:space="preserve">field </w:t>
      </w:r>
      <w:r w:rsidRPr="00177F0B">
        <w:rPr>
          <w:rFonts w:ascii="Calibri" w:eastAsia="Times New Roman" w:hAnsi="Calibri" w:cs="Calibri"/>
          <w:color w:val="000000"/>
          <w:lang w:val="en-GB" w:eastAsia="cs-CZ"/>
        </w:rPr>
        <w:t xml:space="preserve">social and health services, including community inclusion.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promote the development and use of assistive technologies that can improve the quality of life and independence of older people.</w:t>
      </w:r>
    </w:p>
    <w:p w:rsidR="00F700A9" w:rsidRPr="00177F0B" w:rsidRDefault="00F700A9" w:rsidP="00F700A9">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development of assisted living services</w:t>
      </w:r>
    </w:p>
    <w:p w:rsidR="0024721C" w:rsidRPr="00F700A9" w:rsidRDefault="00F700A9" w:rsidP="00384669">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One of the goals of the government is </w:t>
      </w:r>
      <w:r>
        <w:rPr>
          <w:rFonts w:ascii="Calibri" w:eastAsia="Times New Roman" w:hAnsi="Calibri" w:cs="Calibri"/>
          <w:color w:val="000000"/>
          <w:lang w:val="en-GB" w:eastAsia="cs-CZ"/>
        </w:rPr>
        <w:t xml:space="preserve">to implement the </w:t>
      </w:r>
      <w:r w:rsidRPr="00177F0B">
        <w:rPr>
          <w:rFonts w:ascii="Calibri" w:eastAsia="Times New Roman" w:hAnsi="Calibri" w:cs="Calibri"/>
          <w:color w:val="000000"/>
          <w:lang w:val="en-GB" w:eastAsia="cs-CZ"/>
        </w:rPr>
        <w:t xml:space="preserve">Concept of </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evelopment of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echnologies and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ervices</w:t>
      </w:r>
      <w:r>
        <w:rPr>
          <w:rFonts w:ascii="Calibri" w:eastAsia="Times New Roman" w:hAnsi="Calibri" w:cs="Calibri"/>
          <w:color w:val="000000"/>
          <w:lang w:val="en-GB" w:eastAsia="cs-CZ"/>
        </w:rPr>
        <w:t xml:space="preserve"> of A</w:t>
      </w:r>
      <w:r w:rsidRPr="00177F0B">
        <w:rPr>
          <w:rFonts w:ascii="Calibri" w:eastAsia="Times New Roman" w:hAnsi="Calibri" w:cs="Calibri"/>
          <w:color w:val="000000"/>
          <w:lang w:val="en-GB" w:eastAsia="cs-CZ"/>
        </w:rPr>
        <w:t xml:space="preserve">ssisted </w:t>
      </w:r>
      <w:r>
        <w:rPr>
          <w:rFonts w:ascii="Calibri" w:eastAsia="Times New Roman" w:hAnsi="Calibri" w:cs="Calibri"/>
          <w:color w:val="000000"/>
          <w:lang w:val="en-GB" w:eastAsia="cs-CZ"/>
        </w:rPr>
        <w:t>Living for the Elderly</w:t>
      </w:r>
      <w:r w:rsidRPr="00177F0B">
        <w:rPr>
          <w:rFonts w:ascii="Calibri" w:eastAsia="Times New Roman" w:hAnsi="Calibri" w:cs="Calibri"/>
          <w:color w:val="000000"/>
          <w:lang w:val="en-GB" w:eastAsia="cs-CZ"/>
        </w:rPr>
        <w:t>, which will contribute significantly to</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networking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social services, system streamlining, creati</w:t>
      </w:r>
      <w:r>
        <w:rPr>
          <w:rFonts w:ascii="Calibri" w:eastAsia="Times New Roman" w:hAnsi="Calibri" w:cs="Calibri"/>
          <w:color w:val="000000"/>
          <w:lang w:val="en-GB" w:eastAsia="cs-CZ"/>
        </w:rPr>
        <w:t>on of</w:t>
      </w:r>
      <w:r w:rsidRPr="00177F0B">
        <w:rPr>
          <w:rFonts w:ascii="Calibri" w:eastAsia="Times New Roman" w:hAnsi="Calibri" w:cs="Calibri"/>
          <w:color w:val="000000"/>
          <w:lang w:val="en-GB" w:eastAsia="cs-CZ"/>
        </w:rPr>
        <w:t xml:space="preserve"> new jobs and savings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social services system. The c</w:t>
      </w:r>
      <w:r>
        <w:rPr>
          <w:rFonts w:ascii="Calibri" w:eastAsia="Times New Roman" w:hAnsi="Calibri" w:cs="Calibri"/>
          <w:color w:val="000000"/>
          <w:lang w:val="en-GB" w:eastAsia="cs-CZ"/>
        </w:rPr>
        <w:t>oncept includes, among others,</w:t>
      </w:r>
      <w:r w:rsidRPr="00177F0B">
        <w:rPr>
          <w:rFonts w:ascii="Calibri" w:eastAsia="Times New Roman" w:hAnsi="Calibri" w:cs="Calibri"/>
          <w:color w:val="000000"/>
          <w:lang w:val="en-GB" w:eastAsia="cs-CZ"/>
        </w:rPr>
        <w:t xml:space="preserve"> the analysis of information and communication technologies and services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assisted living for seniors, based on which it will be possible to submit a proposal </w:t>
      </w:r>
      <w:r>
        <w:rPr>
          <w:rFonts w:ascii="Calibri" w:eastAsia="Times New Roman" w:hAnsi="Calibri" w:cs="Calibri"/>
          <w:color w:val="000000"/>
          <w:lang w:val="en-GB" w:eastAsia="cs-CZ"/>
        </w:rPr>
        <w:t>of solution of the services in this area</w:t>
      </w:r>
      <w:r w:rsidRPr="00177F0B">
        <w:rPr>
          <w:rFonts w:ascii="Calibri" w:eastAsia="Times New Roman" w:hAnsi="Calibri" w:cs="Calibri"/>
          <w:color w:val="000000"/>
          <w:lang w:val="en-GB" w:eastAsia="cs-CZ"/>
        </w:rPr>
        <w:t>, the establishment of standards and interfaces ne</w:t>
      </w:r>
      <w:r>
        <w:rPr>
          <w:rFonts w:ascii="Calibri" w:eastAsia="Times New Roman" w:hAnsi="Calibri" w:cs="Calibri"/>
          <w:color w:val="000000"/>
          <w:lang w:val="en-GB" w:eastAsia="cs-CZ"/>
        </w:rPr>
        <w:t>cessary</w:t>
      </w:r>
      <w:r w:rsidRPr="00177F0B">
        <w:rPr>
          <w:rFonts w:ascii="Calibri" w:eastAsia="Times New Roman" w:hAnsi="Calibri" w:cs="Calibri"/>
          <w:color w:val="000000"/>
          <w:lang w:val="en-GB" w:eastAsia="cs-CZ"/>
        </w:rPr>
        <w:t xml:space="preserve"> for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more effective development and use of information technology and services for the elderly </w:t>
      </w:r>
      <w:r>
        <w:rPr>
          <w:rFonts w:ascii="Calibri" w:eastAsia="Times New Roman" w:hAnsi="Calibri" w:cs="Calibri"/>
          <w:color w:val="000000"/>
          <w:lang w:val="en-GB" w:eastAsia="cs-CZ"/>
        </w:rPr>
        <w:t>and the services of assisted life for seniors.</w:t>
      </w:r>
    </w:p>
    <w:p w:rsidR="00C95EE8" w:rsidRPr="007A1B09" w:rsidRDefault="0005706A" w:rsidP="00C95EE8">
      <w:pPr>
        <w:pStyle w:val="Nadpis3"/>
        <w:numPr>
          <w:ilvl w:val="2"/>
          <w:numId w:val="4"/>
        </w:numPr>
        <w:ind w:left="851" w:hanging="851"/>
        <w:rPr>
          <w:lang w:val="en-GB"/>
        </w:rPr>
      </w:pPr>
      <w:bookmarkStart w:id="60" w:name="_Toc385946034"/>
      <w:r w:rsidRPr="0005706A">
        <w:rPr>
          <w:bCs/>
          <w:lang w:val="en-GB"/>
        </w:rPr>
        <w:t>The compatibility of work and family life and the issue of gender equality</w:t>
      </w:r>
      <w:bookmarkEnd w:id="60"/>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Affordable and quality child care services are an important to</w:t>
      </w:r>
      <w:r>
        <w:rPr>
          <w:rFonts w:ascii="Calibri" w:eastAsia="Times New Roman" w:hAnsi="Calibri" w:cs="Calibri"/>
          <w:color w:val="000000"/>
          <w:lang w:val="en-GB" w:eastAsia="cs-CZ"/>
        </w:rPr>
        <w:t xml:space="preserve">ol in maintaining contact with </w:t>
      </w:r>
      <w:r w:rsidRPr="00177F0B">
        <w:rPr>
          <w:rFonts w:ascii="Calibri" w:eastAsia="Times New Roman" w:hAnsi="Calibri" w:cs="Calibri"/>
          <w:color w:val="000000"/>
          <w:lang w:val="en-GB" w:eastAsia="cs-CZ"/>
        </w:rPr>
        <w:t xml:space="preserve">employment during maternity and parental leave and parental </w:t>
      </w:r>
      <w:r>
        <w:rPr>
          <w:rFonts w:ascii="Calibri" w:eastAsia="Times New Roman" w:hAnsi="Calibri" w:cs="Calibri"/>
          <w:color w:val="000000"/>
          <w:lang w:val="en-GB" w:eastAsia="cs-CZ"/>
        </w:rPr>
        <w:t>participation</w:t>
      </w:r>
      <w:r w:rsidRPr="00177F0B">
        <w:rPr>
          <w:rFonts w:ascii="Calibri" w:eastAsia="Times New Roman" w:hAnsi="Calibri" w:cs="Calibri"/>
          <w:color w:val="000000"/>
          <w:lang w:val="en-GB" w:eastAsia="cs-CZ"/>
        </w:rPr>
        <w:t xml:space="preserve"> into the labour market. Employment of women with children under the age of 12 is very low in the Czech Republic, which has an impact on the loss of professional qualifications, employment, and therefore the negative impact o</w:t>
      </w:r>
      <w:r>
        <w:rPr>
          <w:rFonts w:ascii="Calibri" w:eastAsia="Times New Roman" w:hAnsi="Calibri" w:cs="Calibri"/>
          <w:color w:val="000000"/>
          <w:lang w:val="en-GB" w:eastAsia="cs-CZ"/>
        </w:rPr>
        <w:t>n</w:t>
      </w:r>
      <w:r w:rsidRPr="00177F0B">
        <w:rPr>
          <w:rFonts w:ascii="Calibri" w:eastAsia="Times New Roman" w:hAnsi="Calibri" w:cs="Calibri"/>
          <w:color w:val="000000"/>
          <w:lang w:val="en-GB" w:eastAsia="cs-CZ"/>
        </w:rPr>
        <w:t xml:space="preserve"> gender equality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 the labour market and the threat of poverty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families with children. In connection with the Council Recommendation No. 4 measures will be supported </w:t>
      </w:r>
      <w:r>
        <w:rPr>
          <w:rFonts w:ascii="Calibri" w:eastAsia="Times New Roman" w:hAnsi="Calibri" w:cs="Calibri"/>
          <w:color w:val="000000"/>
          <w:lang w:val="en-GB" w:eastAsia="cs-CZ"/>
        </w:rPr>
        <w:t xml:space="preserve">that are </w:t>
      </w:r>
      <w:r w:rsidRPr="00177F0B">
        <w:rPr>
          <w:rFonts w:ascii="Calibri" w:eastAsia="Times New Roman" w:hAnsi="Calibri" w:cs="Calibri"/>
          <w:color w:val="000000"/>
          <w:lang w:val="en-GB" w:eastAsia="cs-CZ"/>
        </w:rPr>
        <w:t xml:space="preserve">designed to promote the </w:t>
      </w:r>
      <w:r>
        <w:rPr>
          <w:rFonts w:ascii="Calibri" w:eastAsia="Times New Roman" w:hAnsi="Calibri" w:cs="Calibri"/>
          <w:color w:val="000000"/>
          <w:lang w:val="en-GB" w:eastAsia="cs-CZ"/>
        </w:rPr>
        <w:t>balancing</w:t>
      </w:r>
      <w:r w:rsidRPr="00177F0B">
        <w:rPr>
          <w:rFonts w:ascii="Calibri" w:eastAsia="Times New Roman" w:hAnsi="Calibri" w:cs="Calibri"/>
          <w:color w:val="000000"/>
          <w:lang w:val="en-GB" w:eastAsia="cs-CZ"/>
        </w:rPr>
        <w:t xml:space="preserve"> of work, private and family life and keeping parents in touch with employment during child care and a gradual return or ent</w:t>
      </w:r>
      <w:r>
        <w:rPr>
          <w:rFonts w:ascii="Calibri" w:eastAsia="Times New Roman" w:hAnsi="Calibri" w:cs="Calibri"/>
          <w:color w:val="000000"/>
          <w:lang w:val="en-GB" w:eastAsia="cs-CZ"/>
        </w:rPr>
        <w:t>ry to</w:t>
      </w:r>
      <w:r w:rsidRPr="00177F0B">
        <w:rPr>
          <w:rFonts w:ascii="Calibri" w:eastAsia="Times New Roman" w:hAnsi="Calibri" w:cs="Calibri"/>
          <w:color w:val="000000"/>
          <w:lang w:val="en-GB" w:eastAsia="cs-CZ"/>
        </w:rPr>
        <w:t xml:space="preserve"> the labour market. In view of the above, the Government has prepared a draft law on the provision of childcare services in the children's group, which is currently being discussed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Parliament. It is assumed that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could help increase the availability of child care in particular </w:t>
      </w:r>
      <w:r>
        <w:rPr>
          <w:rFonts w:ascii="Calibri" w:eastAsia="Times New Roman" w:hAnsi="Calibri" w:cs="Calibri"/>
          <w:color w:val="000000"/>
          <w:lang w:val="en-GB" w:eastAsia="cs-CZ"/>
        </w:rPr>
        <w:t xml:space="preserve">for children up to </w:t>
      </w:r>
      <w:r w:rsidRPr="00177F0B">
        <w:rPr>
          <w:rFonts w:ascii="Calibri" w:eastAsia="Times New Roman" w:hAnsi="Calibri" w:cs="Calibri"/>
          <w:color w:val="000000"/>
          <w:lang w:val="en-GB" w:eastAsia="cs-CZ"/>
        </w:rPr>
        <w:t xml:space="preserve">4 years of age. In order to increase employment and social inclusion of carers (mainly women),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encourage and support effective shared care for children and seniors.</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b/>
          <w:bCs/>
          <w:i/>
          <w:iCs/>
          <w:color w:val="D41616"/>
          <w:lang w:val="en-GB" w:eastAsia="cs-CZ"/>
        </w:rPr>
        <w:t xml:space="preserve">Methodology to support the </w:t>
      </w:r>
      <w:r>
        <w:rPr>
          <w:rFonts w:ascii="Calibri" w:eastAsia="Times New Roman" w:hAnsi="Calibri" w:cs="Calibri"/>
          <w:b/>
          <w:bCs/>
          <w:i/>
          <w:iCs/>
          <w:color w:val="D41616"/>
          <w:lang w:val="en-GB" w:eastAsia="cs-CZ"/>
        </w:rPr>
        <w:t>balancing</w:t>
      </w:r>
      <w:r w:rsidRPr="00177F0B">
        <w:rPr>
          <w:rFonts w:ascii="Calibri" w:eastAsia="Times New Roman" w:hAnsi="Calibri" w:cs="Calibri"/>
          <w:b/>
          <w:bCs/>
          <w:i/>
          <w:iCs/>
          <w:color w:val="D41616"/>
          <w:lang w:val="en-GB" w:eastAsia="cs-CZ"/>
        </w:rPr>
        <w:t xml:space="preserve"> of work and family life</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enhance the ability of public authorities to provide its employees with measures to </w:t>
      </w:r>
      <w:r>
        <w:rPr>
          <w:rFonts w:ascii="Calibri" w:eastAsia="Times New Roman" w:hAnsi="Calibri" w:cs="Calibri"/>
          <w:color w:val="000000"/>
          <w:lang w:val="en-GB" w:eastAsia="cs-CZ"/>
        </w:rPr>
        <w:t>balance</w:t>
      </w:r>
      <w:r w:rsidRPr="00177F0B">
        <w:rPr>
          <w:rFonts w:ascii="Calibri" w:eastAsia="Times New Roman" w:hAnsi="Calibri" w:cs="Calibri"/>
          <w:color w:val="000000"/>
          <w:lang w:val="en-GB" w:eastAsia="cs-CZ"/>
        </w:rPr>
        <w:t xml:space="preserve"> work and private life </w:t>
      </w:r>
      <w:r>
        <w:rPr>
          <w:rFonts w:ascii="Calibri" w:eastAsia="Times New Roman" w:hAnsi="Calibri" w:cs="Calibri"/>
          <w:color w:val="000000"/>
          <w:lang w:val="en-GB" w:eastAsia="cs-CZ"/>
        </w:rPr>
        <w:t>a m</w:t>
      </w:r>
      <w:r w:rsidRPr="00177F0B">
        <w:rPr>
          <w:rFonts w:ascii="Calibri" w:eastAsia="Times New Roman" w:hAnsi="Calibri" w:cs="Calibri"/>
          <w:color w:val="000000"/>
          <w:lang w:val="en-GB" w:eastAsia="cs-CZ"/>
        </w:rPr>
        <w:t>ethodological manual</w:t>
      </w:r>
      <w:r>
        <w:rPr>
          <w:rFonts w:ascii="Calibri" w:eastAsia="Times New Roman" w:hAnsi="Calibri" w:cs="Calibri"/>
          <w:color w:val="000000"/>
          <w:lang w:val="en-GB" w:eastAsia="cs-CZ"/>
        </w:rPr>
        <w:t xml:space="preserve"> shall be prepared </w:t>
      </w:r>
      <w:r w:rsidRPr="00177F0B">
        <w:rPr>
          <w:rFonts w:ascii="Calibri" w:eastAsia="Times New Roman" w:hAnsi="Calibri" w:cs="Calibri"/>
          <w:color w:val="000000"/>
          <w:lang w:val="en-GB" w:eastAsia="cs-CZ"/>
        </w:rPr>
        <w:t>by the end of 2014 based on examples of good practice and experience sharing with the private sector.</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elimination of discrimination in access to employment</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increase the effectiveness of employment services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train</w:t>
      </w:r>
      <w:r>
        <w:rPr>
          <w:rFonts w:ascii="Calibri" w:eastAsia="Times New Roman" w:hAnsi="Calibri" w:cs="Calibri"/>
          <w:color w:val="000000"/>
          <w:lang w:val="en-GB" w:eastAsia="cs-CZ"/>
        </w:rPr>
        <w:t>ing of employees of 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Labour Authority</w:t>
      </w:r>
      <w:r w:rsidRPr="00177F0B">
        <w:rPr>
          <w:rFonts w:ascii="Calibri" w:eastAsia="Times New Roman" w:hAnsi="Calibri" w:cs="Calibri"/>
          <w:color w:val="000000"/>
          <w:lang w:val="en-GB" w:eastAsia="cs-CZ"/>
        </w:rPr>
        <w:t xml:space="preserve"> and the State Labour Inspection </w:t>
      </w:r>
      <w:r>
        <w:rPr>
          <w:rFonts w:ascii="Calibri" w:eastAsia="Times New Roman" w:hAnsi="Calibri" w:cs="Calibri"/>
          <w:color w:val="000000"/>
          <w:lang w:val="en-GB" w:eastAsia="cs-CZ"/>
        </w:rPr>
        <w:t>Authority will continue</w:t>
      </w:r>
      <w:r w:rsidRPr="00177F0B">
        <w:rPr>
          <w:rFonts w:ascii="Calibri" w:eastAsia="Times New Roman" w:hAnsi="Calibri" w:cs="Calibri"/>
          <w:color w:val="000000"/>
          <w:lang w:val="en-GB" w:eastAsia="cs-CZ"/>
        </w:rPr>
        <w:t xml:space="preserve"> in the area of ​​equal opportunities for women and men. This will also support the capacity of these institutions to </w:t>
      </w:r>
      <w:r>
        <w:rPr>
          <w:rFonts w:ascii="Calibri" w:eastAsia="Times New Roman" w:hAnsi="Calibri" w:cs="Calibri"/>
          <w:color w:val="000000"/>
          <w:lang w:val="en-GB" w:eastAsia="cs-CZ"/>
        </w:rPr>
        <w:t xml:space="preserve">perform </w:t>
      </w:r>
      <w:r w:rsidRPr="00177F0B">
        <w:rPr>
          <w:rFonts w:ascii="Calibri" w:eastAsia="Times New Roman" w:hAnsi="Calibri" w:cs="Calibri"/>
          <w:color w:val="000000"/>
          <w:lang w:val="en-GB" w:eastAsia="cs-CZ"/>
        </w:rPr>
        <w:t xml:space="preserve">within their activities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perspective of gender equality and combat discrimination in access to employment.</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Strategy for equality between women and men in the years 2014 - 2020</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lastRenderedPageBreak/>
        <w:t xml:space="preserve">In order to promote equal opportunities for women and men, the government </w:t>
      </w:r>
      <w:r>
        <w:rPr>
          <w:rFonts w:ascii="Calibri" w:eastAsia="Times New Roman" w:hAnsi="Calibri" w:cs="Calibri"/>
          <w:color w:val="000000"/>
          <w:lang w:val="en-GB" w:eastAsia="cs-CZ"/>
        </w:rPr>
        <w:t>shall</w:t>
      </w:r>
      <w:r w:rsidRPr="00177F0B">
        <w:rPr>
          <w:rFonts w:ascii="Calibri" w:eastAsia="Times New Roman" w:hAnsi="Calibri" w:cs="Calibri"/>
          <w:color w:val="000000"/>
          <w:lang w:val="en-GB" w:eastAsia="cs-CZ"/>
        </w:rPr>
        <w:t xml:space="preserve"> adopt a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trategy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Gender Equality for the period 2014 - 2020, which will lead to a comprehensive </w:t>
      </w:r>
      <w:r>
        <w:rPr>
          <w:rFonts w:ascii="Calibri" w:eastAsia="Times New Roman" w:hAnsi="Calibri" w:cs="Calibri"/>
          <w:color w:val="000000"/>
          <w:lang w:val="en-GB" w:eastAsia="cs-CZ"/>
        </w:rPr>
        <w:t>support</w:t>
      </w:r>
      <w:r w:rsidRPr="00177F0B">
        <w:rPr>
          <w:rFonts w:ascii="Calibri" w:eastAsia="Times New Roman" w:hAnsi="Calibri" w:cs="Calibri"/>
          <w:color w:val="000000"/>
          <w:lang w:val="en-GB" w:eastAsia="cs-CZ"/>
        </w:rPr>
        <w:t xml:space="preserve"> of gender equality, including support for a higher rate of female employment and 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measures to </w:t>
      </w:r>
      <w:r>
        <w:rPr>
          <w:rFonts w:ascii="Calibri" w:eastAsia="Times New Roman" w:hAnsi="Calibri" w:cs="Calibri"/>
          <w:color w:val="000000"/>
          <w:lang w:val="en-GB" w:eastAsia="cs-CZ"/>
        </w:rPr>
        <w:t>balance</w:t>
      </w:r>
      <w:r w:rsidRPr="00177F0B">
        <w:rPr>
          <w:rFonts w:ascii="Calibri" w:eastAsia="Times New Roman" w:hAnsi="Calibri" w:cs="Calibri"/>
          <w:color w:val="000000"/>
          <w:lang w:val="en-GB" w:eastAsia="cs-CZ"/>
        </w:rPr>
        <w:t xml:space="preserve"> work and private life.</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Gender aspects of poverty risk</w:t>
      </w:r>
    </w:p>
    <w:p w:rsidR="001276A8" w:rsidRPr="0005706A" w:rsidRDefault="0005706A" w:rsidP="00C95EE8">
      <w:pPr>
        <w:rPr>
          <w:rFonts w:ascii="Calibri" w:eastAsia="Times New Roman" w:hAnsi="Calibri" w:cs="Calibri"/>
          <w:color w:val="000000"/>
          <w:lang w:val="en-GB" w:eastAsia="cs-CZ"/>
        </w:rPr>
      </w:pPr>
      <w:r>
        <w:rPr>
          <w:rFonts w:ascii="Calibri" w:eastAsia="Times New Roman" w:hAnsi="Calibri" w:cs="Calibri"/>
          <w:color w:val="000000"/>
          <w:lang w:val="en-GB" w:eastAsia="cs-CZ"/>
        </w:rPr>
        <w:t>The g</w:t>
      </w:r>
      <w:r w:rsidRPr="00177F0B">
        <w:rPr>
          <w:rFonts w:ascii="Calibri" w:eastAsia="Times New Roman" w:hAnsi="Calibri" w:cs="Calibri"/>
          <w:color w:val="000000"/>
          <w:lang w:val="en-GB" w:eastAsia="cs-CZ"/>
        </w:rPr>
        <w:t xml:space="preserve">overnment will also analyse the impact of divorce on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income </w:t>
      </w:r>
      <w:r>
        <w:rPr>
          <w:rFonts w:ascii="Calibri" w:eastAsia="Times New Roman" w:hAnsi="Calibri" w:cs="Calibri"/>
          <w:color w:val="000000"/>
          <w:lang w:val="en-GB" w:eastAsia="cs-CZ"/>
        </w:rPr>
        <w:t xml:space="preserve">of the persons </w:t>
      </w:r>
      <w:r w:rsidRPr="00177F0B">
        <w:rPr>
          <w:rFonts w:ascii="Calibri" w:eastAsia="Times New Roman" w:hAnsi="Calibri" w:cs="Calibri"/>
          <w:color w:val="000000"/>
          <w:lang w:val="en-GB" w:eastAsia="cs-CZ"/>
        </w:rPr>
        <w:t xml:space="preserve">in productive and post-productive age with the formulation of possible measures to reduce the risk </w:t>
      </w:r>
      <w:r>
        <w:rPr>
          <w:rFonts w:ascii="Calibri" w:eastAsia="Times New Roman" w:hAnsi="Calibri" w:cs="Calibri"/>
          <w:color w:val="000000"/>
          <w:lang w:val="en-GB" w:eastAsia="cs-CZ"/>
        </w:rPr>
        <w:t>of poverty, as women (especially</w:t>
      </w:r>
      <w:r w:rsidRPr="00177F0B">
        <w:rPr>
          <w:rFonts w:ascii="Calibri" w:eastAsia="Times New Roman" w:hAnsi="Calibri" w:cs="Calibri"/>
          <w:color w:val="000000"/>
          <w:lang w:val="en-GB" w:eastAsia="cs-CZ"/>
        </w:rPr>
        <w:t xml:space="preserve"> the elderly) are at risk of poverty </w:t>
      </w:r>
      <w:r>
        <w:rPr>
          <w:rFonts w:ascii="Calibri" w:eastAsia="Times New Roman" w:hAnsi="Calibri" w:cs="Calibri"/>
          <w:color w:val="000000"/>
          <w:lang w:val="en-GB" w:eastAsia="cs-CZ"/>
        </w:rPr>
        <w:t>at</w:t>
      </w:r>
      <w:r w:rsidRPr="00177F0B">
        <w:rPr>
          <w:rFonts w:ascii="Calibri" w:eastAsia="Times New Roman" w:hAnsi="Calibri" w:cs="Calibri"/>
          <w:color w:val="000000"/>
          <w:lang w:val="en-GB" w:eastAsia="cs-CZ"/>
        </w:rPr>
        <w:t xml:space="preserve"> a sign</w:t>
      </w:r>
      <w:r>
        <w:rPr>
          <w:rFonts w:ascii="Calibri" w:eastAsia="Times New Roman" w:hAnsi="Calibri" w:cs="Calibri"/>
          <w:color w:val="000000"/>
          <w:lang w:val="en-GB" w:eastAsia="cs-CZ"/>
        </w:rPr>
        <w:t>ificantly higher rate than men.</w:t>
      </w:r>
    </w:p>
    <w:p w:rsidR="003237CF" w:rsidRPr="007A1B09" w:rsidRDefault="0005706A" w:rsidP="003237CF">
      <w:pPr>
        <w:pStyle w:val="Nadpis3"/>
        <w:numPr>
          <w:ilvl w:val="2"/>
          <w:numId w:val="4"/>
        </w:numPr>
        <w:ind w:left="851" w:hanging="851"/>
        <w:rPr>
          <w:lang w:val="en-GB"/>
        </w:rPr>
      </w:pPr>
      <w:bookmarkStart w:id="61" w:name="_Toc385946035"/>
      <w:r w:rsidRPr="0005706A">
        <w:rPr>
          <w:bCs/>
          <w:lang w:val="en-GB"/>
        </w:rPr>
        <w:t>High quality and inclusive education</w:t>
      </w:r>
      <w:bookmarkEnd w:id="61"/>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basic prerequisite for the success of the Czech economy is a skilled and flexible workforce able to withstand global competition.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considers </w:t>
      </w:r>
      <w:r>
        <w:rPr>
          <w:rFonts w:ascii="Calibri" w:eastAsia="Times New Roman" w:hAnsi="Calibri" w:cs="Calibri"/>
          <w:color w:val="000000"/>
          <w:lang w:val="en-GB" w:eastAsia="cs-CZ"/>
        </w:rPr>
        <w:t>education to be</w:t>
      </w:r>
      <w:r w:rsidRPr="00177F0B">
        <w:rPr>
          <w:rFonts w:ascii="Calibri" w:eastAsia="Times New Roman" w:hAnsi="Calibri" w:cs="Calibri"/>
          <w:color w:val="000000"/>
          <w:lang w:val="en-GB" w:eastAsia="cs-CZ"/>
        </w:rPr>
        <w:t xml:space="preserve"> a fundamental pillar of its policy. It will also seek to develop the skills and human potential through lifelong learning. The aim is to enhance access to quality education in key competencies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to support and encourage schools to </w:t>
      </w:r>
      <w:r>
        <w:rPr>
          <w:rFonts w:ascii="Calibri" w:eastAsia="Times New Roman" w:hAnsi="Calibri" w:cs="Calibri"/>
          <w:color w:val="000000"/>
          <w:lang w:val="en-GB" w:eastAsia="cs-CZ"/>
        </w:rPr>
        <w:t>improve 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results</w:t>
      </w:r>
      <w:r w:rsidRPr="00177F0B">
        <w:rPr>
          <w:rFonts w:ascii="Calibri" w:eastAsia="Times New Roman" w:hAnsi="Calibri" w:cs="Calibri"/>
          <w:color w:val="000000"/>
          <w:lang w:val="en-GB" w:eastAsia="cs-CZ"/>
        </w:rPr>
        <w:t xml:space="preserve"> of</w:t>
      </w:r>
      <w:r>
        <w:rPr>
          <w:rFonts w:ascii="Calibri" w:eastAsia="Times New Roman" w:hAnsi="Calibri" w:cs="Calibri"/>
          <w:color w:val="000000"/>
          <w:lang w:val="en-GB" w:eastAsia="cs-CZ"/>
        </w:rPr>
        <w:t xml:space="preserve"> their</w:t>
      </w:r>
      <w:r w:rsidRPr="00177F0B">
        <w:rPr>
          <w:rFonts w:ascii="Calibri" w:eastAsia="Times New Roman" w:hAnsi="Calibri" w:cs="Calibri"/>
          <w:color w:val="000000"/>
          <w:lang w:val="en-GB" w:eastAsia="cs-CZ"/>
        </w:rPr>
        <w:t xml:space="preserve"> students, improve career guidance and increase the relevance of secondary education to labour market requirements, reinforce the importance of education in relation to the overall development of the individual, his civic responsibility, ability to orient in a rapidly changing world and critical thinking skills. Higher </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ducation and accredited study</w:t>
      </w:r>
      <w:r>
        <w:rPr>
          <w:rFonts w:ascii="Calibri" w:eastAsia="Times New Roman" w:hAnsi="Calibri" w:cs="Calibri"/>
          <w:color w:val="000000"/>
          <w:lang w:val="en-GB" w:eastAsia="cs-CZ"/>
        </w:rPr>
        <w:t xml:space="preserve"> programmes</w:t>
      </w:r>
      <w:r w:rsidRPr="00177F0B">
        <w:rPr>
          <w:rFonts w:ascii="Calibri" w:eastAsia="Times New Roman" w:hAnsi="Calibri" w:cs="Calibri"/>
          <w:color w:val="000000"/>
          <w:lang w:val="en-GB" w:eastAsia="cs-CZ"/>
        </w:rPr>
        <w:t xml:space="preserve"> must be set to reflect the needs of the labour market and employers. It is essential that in the course of their studies students </w:t>
      </w:r>
      <w:r>
        <w:rPr>
          <w:rFonts w:ascii="Calibri" w:eastAsia="Times New Roman" w:hAnsi="Calibri" w:cs="Calibri"/>
          <w:color w:val="000000"/>
          <w:lang w:val="en-GB" w:eastAsia="cs-CZ"/>
        </w:rPr>
        <w:t>have</w:t>
      </w:r>
      <w:r w:rsidRPr="00177F0B">
        <w:rPr>
          <w:rFonts w:ascii="Calibri" w:eastAsia="Times New Roman" w:hAnsi="Calibri" w:cs="Calibri"/>
          <w:color w:val="000000"/>
          <w:lang w:val="en-GB" w:eastAsia="cs-CZ"/>
        </w:rPr>
        <w:t xml:space="preserve"> the opportunity to gain practical experience and skills.</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Strategy </w:t>
      </w:r>
      <w:r>
        <w:rPr>
          <w:rFonts w:ascii="Cambria" w:eastAsia="Times New Roman" w:hAnsi="Cambria" w:cs="Times New Roman"/>
          <w:b/>
          <w:bCs/>
          <w:i/>
          <w:iCs/>
          <w:color w:val="D41616"/>
          <w:lang w:val="en-GB" w:eastAsia="cs-CZ"/>
        </w:rPr>
        <w:t xml:space="preserve">of </w:t>
      </w:r>
      <w:r w:rsidRPr="00177F0B">
        <w:rPr>
          <w:rFonts w:ascii="Cambria" w:eastAsia="Times New Roman" w:hAnsi="Cambria" w:cs="Times New Roman"/>
          <w:b/>
          <w:bCs/>
          <w:i/>
          <w:iCs/>
          <w:color w:val="D41616"/>
          <w:lang w:val="en-GB" w:eastAsia="cs-CZ"/>
        </w:rPr>
        <w:t xml:space="preserve">Educational Policy of the Czech Republic </w:t>
      </w:r>
      <w:r>
        <w:rPr>
          <w:rFonts w:ascii="Cambria" w:eastAsia="Times New Roman" w:hAnsi="Cambria" w:cs="Times New Roman"/>
          <w:b/>
          <w:bCs/>
          <w:i/>
          <w:iCs/>
          <w:color w:val="D41616"/>
          <w:lang w:val="en-GB" w:eastAsia="cs-CZ"/>
        </w:rPr>
        <w:t>until</w:t>
      </w:r>
      <w:r w:rsidRPr="00177F0B">
        <w:rPr>
          <w:rFonts w:ascii="Cambria" w:eastAsia="Times New Roman" w:hAnsi="Cambria" w:cs="Times New Roman"/>
          <w:b/>
          <w:bCs/>
          <w:i/>
          <w:iCs/>
          <w:color w:val="D41616"/>
          <w:lang w:val="en-GB" w:eastAsia="cs-CZ"/>
        </w:rPr>
        <w:t xml:space="preserve"> 2020</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2014 the government </w:t>
      </w:r>
      <w:r>
        <w:rPr>
          <w:rFonts w:ascii="Calibri" w:eastAsia="Times New Roman" w:hAnsi="Calibri" w:cs="Calibri"/>
          <w:color w:val="000000"/>
          <w:lang w:val="en-GB" w:eastAsia="cs-CZ"/>
        </w:rPr>
        <w:t xml:space="preserve">shall </w:t>
      </w:r>
      <w:r w:rsidRPr="00177F0B">
        <w:rPr>
          <w:rFonts w:ascii="Calibri" w:eastAsia="Times New Roman" w:hAnsi="Calibri" w:cs="Calibri"/>
          <w:color w:val="000000"/>
          <w:lang w:val="en-GB" w:eastAsia="cs-CZ"/>
        </w:rPr>
        <w:t xml:space="preserve">prepare </w:t>
      </w:r>
      <w:r>
        <w:rPr>
          <w:rFonts w:ascii="Calibri" w:eastAsia="Times New Roman" w:hAnsi="Calibri" w:cs="Calibri"/>
          <w:color w:val="000000"/>
          <w:lang w:val="en-GB" w:eastAsia="cs-CZ"/>
        </w:rPr>
        <w:t xml:space="preserve">the </w:t>
      </w:r>
      <w:r w:rsidRPr="003B1D9B">
        <w:rPr>
          <w:rFonts w:ascii="Calibri" w:eastAsia="Times New Roman" w:hAnsi="Calibri" w:cs="Calibri"/>
          <w:color w:val="000000"/>
          <w:lang w:val="en-GB" w:eastAsia="cs-CZ"/>
        </w:rPr>
        <w:t xml:space="preserve">Strategy of Educational Policy of the Czech Republic </w:t>
      </w:r>
      <w:r>
        <w:rPr>
          <w:rFonts w:ascii="Calibri" w:eastAsia="Times New Roman" w:hAnsi="Calibri" w:cs="Calibri"/>
          <w:color w:val="000000"/>
          <w:lang w:val="en-GB" w:eastAsia="cs-CZ"/>
        </w:rPr>
        <w:t>until</w:t>
      </w:r>
      <w:r w:rsidRPr="003B1D9B">
        <w:rPr>
          <w:rFonts w:ascii="Calibri" w:eastAsia="Times New Roman" w:hAnsi="Calibri" w:cs="Calibri"/>
          <w:color w:val="000000"/>
          <w:lang w:val="en-GB" w:eastAsia="cs-CZ"/>
        </w:rPr>
        <w:t xml:space="preserve"> 2020</w:t>
      </w:r>
      <w:r w:rsidRPr="00177F0B">
        <w:rPr>
          <w:rFonts w:ascii="Calibri" w:eastAsia="Times New Roman" w:hAnsi="Calibri" w:cs="Calibri"/>
          <w:color w:val="000000"/>
          <w:lang w:val="en-GB" w:eastAsia="cs-CZ"/>
        </w:rPr>
        <w:t>, which defines the fundamental priorit</w:t>
      </w:r>
      <w:r>
        <w:rPr>
          <w:rFonts w:ascii="Calibri" w:eastAsia="Times New Roman" w:hAnsi="Calibri" w:cs="Calibri"/>
          <w:color w:val="000000"/>
          <w:lang w:val="en-GB" w:eastAsia="cs-CZ"/>
        </w:rPr>
        <w:t>ies</w:t>
      </w:r>
      <w:r w:rsidRPr="00177F0B">
        <w:rPr>
          <w:rFonts w:ascii="Calibri" w:eastAsia="Times New Roman" w:hAnsi="Calibri" w:cs="Calibri"/>
          <w:color w:val="000000"/>
          <w:lang w:val="en-GB" w:eastAsia="cs-CZ"/>
        </w:rPr>
        <w:t xml:space="preserve"> of the system</w:t>
      </w:r>
      <w:r>
        <w:rPr>
          <w:rFonts w:ascii="Calibri" w:eastAsia="Times New Roman" w:hAnsi="Calibri" w:cs="Calibri"/>
          <w:color w:val="000000"/>
          <w:lang w:val="en-GB" w:eastAsia="cs-CZ"/>
        </w:rPr>
        <w:t>’s development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fulfilment of </w:t>
      </w:r>
      <w:r w:rsidRPr="00177F0B">
        <w:rPr>
          <w:rFonts w:ascii="Calibri" w:eastAsia="Times New Roman" w:hAnsi="Calibri" w:cs="Calibri"/>
          <w:color w:val="000000"/>
          <w:lang w:val="en-GB" w:eastAsia="cs-CZ"/>
        </w:rPr>
        <w:t xml:space="preserve">which </w:t>
      </w:r>
      <w:r>
        <w:rPr>
          <w:rFonts w:ascii="Calibri" w:eastAsia="Times New Roman" w:hAnsi="Calibri" w:cs="Calibri"/>
          <w:color w:val="000000"/>
          <w:lang w:val="en-GB" w:eastAsia="cs-CZ"/>
        </w:rPr>
        <w:t>the state and other</w:t>
      </w:r>
      <w:r w:rsidRPr="00177F0B">
        <w:rPr>
          <w:rFonts w:ascii="Calibri" w:eastAsia="Times New Roman" w:hAnsi="Calibri" w:cs="Calibri"/>
          <w:color w:val="000000"/>
          <w:lang w:val="en-GB" w:eastAsia="cs-CZ"/>
        </w:rPr>
        <w:t xml:space="preserve"> makers</w:t>
      </w:r>
      <w:r>
        <w:rPr>
          <w:rFonts w:ascii="Calibri" w:eastAsia="Times New Roman" w:hAnsi="Calibri" w:cs="Calibri"/>
          <w:color w:val="000000"/>
          <w:lang w:val="en-GB" w:eastAsia="cs-CZ"/>
        </w:rPr>
        <w:t xml:space="preserve"> of the educational policy will systematically</w:t>
      </w:r>
      <w:r w:rsidRPr="00177F0B">
        <w:rPr>
          <w:rFonts w:ascii="Calibri" w:eastAsia="Times New Roman" w:hAnsi="Calibri" w:cs="Calibri"/>
          <w:color w:val="000000"/>
          <w:lang w:val="en-GB" w:eastAsia="cs-CZ"/>
        </w:rPr>
        <w:t xml:space="preserve"> seek. The strategy will be based on the concept of lifelong learning in order to contribute to the </w:t>
      </w:r>
      <w:r>
        <w:rPr>
          <w:rFonts w:ascii="Calibri" w:eastAsia="Times New Roman" w:hAnsi="Calibri" w:cs="Calibri"/>
          <w:color w:val="000000"/>
          <w:lang w:val="en-GB" w:eastAsia="cs-CZ"/>
        </w:rPr>
        <w:t>fulfilment</w:t>
      </w:r>
      <w:r w:rsidRPr="00177F0B">
        <w:rPr>
          <w:rFonts w:ascii="Calibri" w:eastAsia="Times New Roman" w:hAnsi="Calibri" w:cs="Calibri"/>
          <w:color w:val="000000"/>
          <w:lang w:val="en-GB" w:eastAsia="cs-CZ"/>
        </w:rPr>
        <w:t xml:space="preserve"> of the main goals of education, which include personal development, contributing to</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improv</w:t>
      </w:r>
      <w:r>
        <w:rPr>
          <w:rFonts w:ascii="Calibri" w:eastAsia="Times New Roman" w:hAnsi="Calibri" w:cs="Calibri"/>
          <w:color w:val="000000"/>
          <w:lang w:val="en-GB" w:eastAsia="cs-CZ"/>
        </w:rPr>
        <w:t xml:space="preserve">ement of </w:t>
      </w:r>
      <w:r w:rsidRPr="00177F0B">
        <w:rPr>
          <w:rFonts w:ascii="Calibri" w:eastAsia="Times New Roman" w:hAnsi="Calibri" w:cs="Calibri"/>
          <w:color w:val="000000"/>
          <w:lang w:val="en-GB" w:eastAsia="cs-CZ"/>
        </w:rPr>
        <w:t xml:space="preserve">the quality of human life, maintenance and development of culture as a system of shared values, the development of active citizenship creating conditions for a socially cohesive society and democratic governance and preparation for employment. Interventions will focus primarily on the support of teachers and quality of teaching, improving the throughput of the </w:t>
      </w:r>
      <w:r>
        <w:rPr>
          <w:rFonts w:ascii="Calibri" w:eastAsia="Times New Roman" w:hAnsi="Calibri" w:cs="Calibri"/>
          <w:color w:val="000000"/>
          <w:lang w:val="en-GB" w:eastAsia="cs-CZ"/>
        </w:rPr>
        <w:t>education</w:t>
      </w:r>
      <w:r w:rsidRPr="00177F0B">
        <w:rPr>
          <w:rFonts w:ascii="Calibri" w:eastAsia="Times New Roman" w:hAnsi="Calibri" w:cs="Calibri"/>
          <w:color w:val="000000"/>
          <w:lang w:val="en-GB" w:eastAsia="cs-CZ"/>
        </w:rPr>
        <w:t xml:space="preserve"> system, the completion of a comprehensive framework for the assessment and the modernization of evaluation procedures</w:t>
      </w:r>
      <w:r>
        <w:rPr>
          <w:rFonts w:ascii="Calibri" w:eastAsia="Times New Roman" w:hAnsi="Calibri" w:cs="Calibri"/>
          <w:color w:val="000000"/>
          <w:lang w:val="en-GB" w:eastAsia="cs-CZ"/>
        </w:rPr>
        <w:t xml:space="preserve"> in</w:t>
      </w:r>
      <w:r w:rsidRPr="00177F0B">
        <w:rPr>
          <w:rFonts w:ascii="Calibri" w:eastAsia="Times New Roman" w:hAnsi="Calibri" w:cs="Calibri"/>
          <w:color w:val="000000"/>
          <w:lang w:val="en-GB" w:eastAsia="cs-CZ"/>
        </w:rPr>
        <w:t xml:space="preserve"> education and </w:t>
      </w:r>
      <w:r>
        <w:rPr>
          <w:rFonts w:ascii="Calibri" w:eastAsia="Times New Roman" w:hAnsi="Calibri" w:cs="Calibri"/>
          <w:color w:val="000000"/>
          <w:lang w:val="en-GB" w:eastAsia="cs-CZ"/>
        </w:rPr>
        <w:t>the creation of</w:t>
      </w:r>
      <w:r w:rsidRPr="00177F0B">
        <w:rPr>
          <w:rFonts w:ascii="Calibri" w:eastAsia="Times New Roman" w:hAnsi="Calibri" w:cs="Calibri"/>
          <w:color w:val="000000"/>
          <w:lang w:val="en-GB" w:eastAsia="cs-CZ"/>
        </w:rPr>
        <w:t xml:space="preserve"> conditions for responsible and effective management of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decentralized education system.</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Equal access to education</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is implementing projects to promote equal access and quality in education that are supported by, among others, </w:t>
      </w:r>
      <w:r>
        <w:rPr>
          <w:rFonts w:ascii="Calibri" w:eastAsia="Times New Roman" w:hAnsi="Calibri" w:cs="Calibri"/>
          <w:color w:val="000000"/>
          <w:lang w:val="en-GB" w:eastAsia="cs-CZ"/>
        </w:rPr>
        <w:t>from cohesion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resources. P</w:t>
      </w:r>
      <w:r w:rsidRPr="00177F0B">
        <w:rPr>
          <w:rFonts w:ascii="Calibri" w:eastAsia="Times New Roman" w:hAnsi="Calibri" w:cs="Calibri"/>
          <w:color w:val="000000"/>
          <w:lang w:val="en-GB" w:eastAsia="cs-CZ"/>
        </w:rPr>
        <w:t>rojects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are also implemented to develop and test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design</w:t>
      </w:r>
      <w:r>
        <w:rPr>
          <w:rFonts w:ascii="Calibri" w:eastAsia="Times New Roman" w:hAnsi="Calibri" w:cs="Calibri"/>
          <w:color w:val="000000"/>
          <w:lang w:val="en-GB" w:eastAsia="cs-CZ"/>
        </w:rPr>
        <w:t xml:space="preserve"> of a</w:t>
      </w:r>
      <w:r w:rsidRPr="00177F0B">
        <w:rPr>
          <w:rFonts w:ascii="Calibri" w:eastAsia="Times New Roman" w:hAnsi="Calibri" w:cs="Calibri"/>
          <w:color w:val="000000"/>
          <w:lang w:val="en-GB" w:eastAsia="cs-CZ"/>
        </w:rPr>
        <w:t xml:space="preserve"> system</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support and compensatory measures</w:t>
      </w:r>
      <w:r>
        <w:rPr>
          <w:rFonts w:ascii="Calibri" w:eastAsia="Times New Roman" w:hAnsi="Calibri" w:cs="Calibri"/>
          <w:color w:val="000000"/>
          <w:lang w:val="en-GB" w:eastAsia="cs-CZ"/>
        </w:rPr>
        <w:t>, which will</w:t>
      </w:r>
      <w:r w:rsidRPr="00177F0B">
        <w:rPr>
          <w:rFonts w:ascii="Calibri" w:eastAsia="Times New Roman" w:hAnsi="Calibri" w:cs="Calibri"/>
          <w:color w:val="000000"/>
          <w:lang w:val="en-GB" w:eastAsia="cs-CZ"/>
        </w:rPr>
        <w:t xml:space="preserve"> support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parallel amendment to Act No. 561/2004 Coll., </w:t>
      </w:r>
      <w:r>
        <w:rPr>
          <w:rFonts w:ascii="Calibri" w:eastAsia="Times New Roman" w:hAnsi="Calibri" w:cs="Calibri"/>
          <w:color w:val="000000"/>
          <w:lang w:val="en-GB" w:eastAsia="cs-CZ"/>
        </w:rPr>
        <w:t xml:space="preserve">on </w:t>
      </w:r>
      <w:r w:rsidRPr="00177F0B">
        <w:rPr>
          <w:rFonts w:ascii="Calibri" w:eastAsia="Times New Roman" w:hAnsi="Calibri" w:cs="Calibri"/>
          <w:color w:val="000000"/>
          <w:lang w:val="en-GB" w:eastAsia="cs-CZ"/>
        </w:rPr>
        <w:t xml:space="preserve">Preschool, Primary, Secondary, Vocational and Other </w:t>
      </w:r>
      <w:r>
        <w:rPr>
          <w:rFonts w:ascii="Calibri" w:eastAsia="Times New Roman" w:hAnsi="Calibri" w:cs="Calibri"/>
          <w:color w:val="000000"/>
          <w:lang w:val="en-GB" w:eastAsia="cs-CZ"/>
        </w:rPr>
        <w:t>Education</w:t>
      </w:r>
      <w:r w:rsidRPr="00177F0B">
        <w:rPr>
          <w:rFonts w:ascii="Calibri" w:eastAsia="Times New Roman" w:hAnsi="Calibri" w:cs="Calibri"/>
          <w:color w:val="000000"/>
          <w:lang w:val="en-GB" w:eastAsia="cs-CZ"/>
        </w:rPr>
        <w:t>, particularly with regard to special educational needs and education of gifted students. </w:t>
      </w:r>
      <w:r>
        <w:rPr>
          <w:rFonts w:ascii="Calibri" w:eastAsia="Times New Roman" w:hAnsi="Calibri" w:cs="Calibri"/>
          <w:color w:val="000000"/>
          <w:lang w:val="en-GB" w:eastAsia="cs-CZ"/>
        </w:rPr>
        <w:t>At the same time the possibilities are explored</w:t>
      </w:r>
      <w:r w:rsidRPr="00177F0B">
        <w:rPr>
          <w:rFonts w:ascii="Calibri" w:eastAsia="Times New Roman" w:hAnsi="Calibri" w:cs="Calibri"/>
          <w:color w:val="000000"/>
          <w:lang w:val="en-GB" w:eastAsia="cs-CZ"/>
        </w:rPr>
        <w:t xml:space="preserve"> of the implementation of development strategies of local educational systems in municipalities with extended </w:t>
      </w:r>
      <w:r>
        <w:rPr>
          <w:rFonts w:ascii="Calibri" w:eastAsia="Times New Roman" w:hAnsi="Calibri" w:cs="Calibri"/>
          <w:color w:val="000000"/>
          <w:lang w:val="en-GB" w:eastAsia="cs-CZ"/>
        </w:rPr>
        <w:t>authorities</w:t>
      </w:r>
      <w:r w:rsidRPr="00177F0B">
        <w:rPr>
          <w:rFonts w:ascii="Calibri" w:eastAsia="Times New Roman" w:hAnsi="Calibri" w:cs="Calibri"/>
          <w:color w:val="000000"/>
          <w:lang w:val="en-GB" w:eastAsia="cs-CZ"/>
        </w:rPr>
        <w:t xml:space="preserve"> in order to promote equal oppor</w:t>
      </w:r>
      <w:r>
        <w:rPr>
          <w:rFonts w:ascii="Calibri" w:eastAsia="Times New Roman" w:hAnsi="Calibri" w:cs="Calibri"/>
          <w:color w:val="000000"/>
          <w:lang w:val="en-GB" w:eastAsia="cs-CZ"/>
        </w:rPr>
        <w:t>tunities in education and ensure</w:t>
      </w:r>
      <w:r w:rsidRPr="00177F0B">
        <w:rPr>
          <w:rFonts w:ascii="Calibri" w:eastAsia="Times New Roman" w:hAnsi="Calibri" w:cs="Calibri"/>
          <w:color w:val="000000"/>
          <w:lang w:val="en-GB" w:eastAsia="cs-CZ"/>
        </w:rPr>
        <w:t xml:space="preserve"> inclusive education in regional education.</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The amendment to the Education Act</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2013 work began on the amendment of Act No. 561/2004 Coll., </w:t>
      </w:r>
      <w:r>
        <w:rPr>
          <w:rFonts w:ascii="Calibri" w:eastAsia="Times New Roman" w:hAnsi="Calibri" w:cs="Calibri"/>
          <w:color w:val="000000"/>
          <w:lang w:val="en-GB" w:eastAsia="cs-CZ"/>
        </w:rPr>
        <w:t xml:space="preserve">on </w:t>
      </w:r>
      <w:r w:rsidRPr="00177F0B">
        <w:rPr>
          <w:rFonts w:ascii="Calibri" w:eastAsia="Times New Roman" w:hAnsi="Calibri" w:cs="Calibri"/>
          <w:color w:val="000000"/>
          <w:lang w:val="en-GB" w:eastAsia="cs-CZ"/>
        </w:rPr>
        <w:t xml:space="preserve">Preschool, Primary, Secondary, Vocational and Other </w:t>
      </w:r>
      <w:r>
        <w:rPr>
          <w:rFonts w:ascii="Calibri" w:eastAsia="Times New Roman" w:hAnsi="Calibri" w:cs="Calibri"/>
          <w:color w:val="000000"/>
          <w:lang w:val="en-GB" w:eastAsia="cs-CZ"/>
        </w:rPr>
        <w:t>Education</w:t>
      </w:r>
      <w:r w:rsidRPr="00177F0B">
        <w:rPr>
          <w:rFonts w:ascii="Calibri" w:eastAsia="Times New Roman" w:hAnsi="Calibri" w:cs="Calibri"/>
          <w:color w:val="000000"/>
          <w:lang w:val="en-GB" w:eastAsia="cs-CZ"/>
        </w:rPr>
        <w:t xml:space="preserve"> (Education Act), which will be completed in 2014. </w:t>
      </w:r>
      <w:r>
        <w:rPr>
          <w:rFonts w:ascii="Calibri" w:eastAsia="Times New Roman" w:hAnsi="Calibri" w:cs="Calibri"/>
          <w:color w:val="000000"/>
          <w:lang w:val="en-GB" w:eastAsia="cs-CZ"/>
        </w:rPr>
        <w:t>The a</w:t>
      </w:r>
      <w:r w:rsidRPr="00177F0B">
        <w:rPr>
          <w:rFonts w:ascii="Calibri" w:eastAsia="Times New Roman" w:hAnsi="Calibri" w:cs="Calibri"/>
          <w:color w:val="000000"/>
          <w:lang w:val="en-GB" w:eastAsia="cs-CZ"/>
        </w:rPr>
        <w:t xml:space="preserve">mendment, which </w:t>
      </w:r>
      <w:r>
        <w:rPr>
          <w:rFonts w:ascii="Calibri" w:eastAsia="Times New Roman" w:hAnsi="Calibri" w:cs="Calibri"/>
          <w:color w:val="000000"/>
          <w:lang w:val="en-GB" w:eastAsia="cs-CZ"/>
        </w:rPr>
        <w:t>shall be submitted to</w:t>
      </w:r>
      <w:r w:rsidRPr="00177F0B">
        <w:rPr>
          <w:rFonts w:ascii="Calibri" w:eastAsia="Times New Roman" w:hAnsi="Calibri" w:cs="Calibri"/>
          <w:color w:val="000000"/>
          <w:lang w:val="en-GB" w:eastAsia="cs-CZ"/>
        </w:rPr>
        <w:t xml:space="preserve"> the government no later than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June 2014, regulates the organization of the education of children, pupils and students with special educational needs and gifted children, pupils and students, </w:t>
      </w:r>
      <w:r>
        <w:rPr>
          <w:rFonts w:ascii="Calibri" w:eastAsia="Times New Roman" w:hAnsi="Calibri" w:cs="Calibri"/>
          <w:color w:val="000000"/>
          <w:lang w:val="en-GB" w:eastAsia="cs-CZ"/>
        </w:rPr>
        <w:t xml:space="preserve">by abolishing </w:t>
      </w:r>
      <w:r w:rsidRPr="00177F0B">
        <w:rPr>
          <w:rFonts w:ascii="Calibri" w:eastAsia="Times New Roman" w:hAnsi="Calibri" w:cs="Calibri"/>
          <w:color w:val="000000"/>
          <w:lang w:val="en-GB" w:eastAsia="cs-CZ"/>
        </w:rPr>
        <w:t xml:space="preserve">the division into categories of children with </w:t>
      </w:r>
      <w:r>
        <w:rPr>
          <w:rFonts w:ascii="Calibri" w:eastAsia="Times New Roman" w:hAnsi="Calibri" w:cs="Calibri"/>
          <w:color w:val="000000"/>
          <w:lang w:val="en-GB" w:eastAsia="cs-CZ"/>
        </w:rPr>
        <w:t xml:space="preserve">physical </w:t>
      </w:r>
      <w:r w:rsidRPr="00177F0B">
        <w:rPr>
          <w:rFonts w:ascii="Calibri" w:eastAsia="Times New Roman" w:hAnsi="Calibri" w:cs="Calibri"/>
          <w:color w:val="000000"/>
          <w:lang w:val="en-GB" w:eastAsia="cs-CZ"/>
        </w:rPr>
        <w:t xml:space="preserve">disabilities, </w:t>
      </w:r>
      <w:r>
        <w:rPr>
          <w:rFonts w:ascii="Calibri" w:eastAsia="Times New Roman" w:hAnsi="Calibri" w:cs="Calibri"/>
          <w:color w:val="000000"/>
          <w:lang w:val="en-GB" w:eastAsia="cs-CZ"/>
        </w:rPr>
        <w:t>physical handicap</w:t>
      </w:r>
      <w:r w:rsidRPr="00177F0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lastRenderedPageBreak/>
        <w:t xml:space="preserve">and social disadvantage. They will be replaced by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principle of individual support for each pupil with the need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support measures </w:t>
      </w:r>
      <w:r>
        <w:rPr>
          <w:rFonts w:ascii="Calibri" w:eastAsia="Times New Roman" w:hAnsi="Calibri" w:cs="Calibri"/>
          <w:color w:val="000000"/>
          <w:lang w:val="en-GB" w:eastAsia="cs-CZ"/>
        </w:rPr>
        <w:t xml:space="preserve">by </w:t>
      </w:r>
      <w:r w:rsidRPr="00177F0B">
        <w:rPr>
          <w:rFonts w:ascii="Calibri" w:eastAsia="Times New Roman" w:hAnsi="Calibri" w:cs="Calibri"/>
          <w:color w:val="000000"/>
          <w:lang w:val="en-GB" w:eastAsia="cs-CZ"/>
        </w:rPr>
        <w:t>prioritiz</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individual integration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in</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mainstream </w:t>
      </w:r>
      <w:r>
        <w:rPr>
          <w:rFonts w:ascii="Calibri" w:eastAsia="Times New Roman" w:hAnsi="Calibri" w:cs="Calibri"/>
          <w:color w:val="000000"/>
          <w:lang w:val="en-GB" w:eastAsia="cs-CZ"/>
        </w:rPr>
        <w:t>education</w:t>
      </w:r>
      <w:r w:rsidRPr="00177F0B">
        <w:rPr>
          <w:rFonts w:ascii="Calibri" w:eastAsia="Times New Roman" w:hAnsi="Calibri" w:cs="Calibri"/>
          <w:color w:val="000000"/>
          <w:lang w:val="en-GB" w:eastAsia="cs-CZ"/>
        </w:rPr>
        <w:t>.</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Support for </w:t>
      </w:r>
      <w:r>
        <w:rPr>
          <w:rFonts w:ascii="Cambria" w:eastAsia="Times New Roman" w:hAnsi="Cambria" w:cs="Times New Roman"/>
          <w:b/>
          <w:bCs/>
          <w:i/>
          <w:iCs/>
          <w:color w:val="D41616"/>
          <w:lang w:val="en-GB" w:eastAsia="cs-CZ"/>
        </w:rPr>
        <w:t>vocational education</w:t>
      </w:r>
      <w:r w:rsidRPr="00177F0B">
        <w:rPr>
          <w:rFonts w:ascii="Cambria" w:eastAsia="Times New Roman" w:hAnsi="Cambria" w:cs="Times New Roman"/>
          <w:b/>
          <w:bCs/>
          <w:i/>
          <w:iCs/>
          <w:color w:val="D41616"/>
          <w:lang w:val="en-GB" w:eastAsia="cs-CZ"/>
        </w:rPr>
        <w:t xml:space="preserve"> and cooperation between schools and employers</w:t>
      </w:r>
    </w:p>
    <w:p w:rsidR="0005706A" w:rsidRPr="00177F0B" w:rsidRDefault="0005706A" w:rsidP="0005706A">
      <w:pPr>
        <w:rPr>
          <w:rFonts w:ascii="Calibri" w:eastAsia="Times New Roman" w:hAnsi="Calibri" w:cs="Calibri"/>
          <w:color w:val="000000"/>
          <w:lang w:val="en-GB" w:eastAsia="cs-CZ"/>
        </w:rPr>
      </w:pPr>
      <w:r>
        <w:rPr>
          <w:rFonts w:ascii="Calibri" w:eastAsia="Times New Roman" w:hAnsi="Calibri" w:cs="Calibri"/>
          <w:color w:val="000000"/>
          <w:lang w:val="en-GB" w:eastAsia="cs-CZ"/>
        </w:rPr>
        <w:t>Effective since 2014 is the increase</w:t>
      </w:r>
      <w:r w:rsidRPr="00177F0B">
        <w:rPr>
          <w:rFonts w:ascii="Calibri" w:eastAsia="Times New Roman" w:hAnsi="Calibri" w:cs="Calibri"/>
          <w:color w:val="000000"/>
          <w:lang w:val="en-GB" w:eastAsia="cs-CZ"/>
        </w:rPr>
        <w:t xml:space="preserve"> of tax </w:t>
      </w:r>
      <w:r>
        <w:rPr>
          <w:rFonts w:ascii="Calibri" w:eastAsia="Times New Roman" w:hAnsi="Calibri" w:cs="Calibri"/>
          <w:color w:val="000000"/>
          <w:lang w:val="en-GB" w:eastAsia="cs-CZ"/>
        </w:rPr>
        <w:t>allowance</w:t>
      </w:r>
      <w:r w:rsidRPr="00177F0B">
        <w:rPr>
          <w:rFonts w:ascii="Calibri" w:eastAsia="Times New Roman" w:hAnsi="Calibri" w:cs="Calibri"/>
          <w:color w:val="000000"/>
          <w:lang w:val="en-GB" w:eastAsia="cs-CZ"/>
        </w:rPr>
        <w:t xml:space="preserve"> to support the </w:t>
      </w:r>
      <w:r>
        <w:rPr>
          <w:rFonts w:ascii="Calibri" w:eastAsia="Times New Roman" w:hAnsi="Calibri" w:cs="Calibri"/>
          <w:color w:val="000000"/>
          <w:lang w:val="en-GB" w:eastAsia="cs-CZ"/>
        </w:rPr>
        <w:t>vocational education, which is based on the increase in limits of</w:t>
      </w:r>
      <w:r w:rsidRPr="00177F0B">
        <w:rPr>
          <w:rFonts w:ascii="Calibri" w:eastAsia="Times New Roman" w:hAnsi="Calibri" w:cs="Calibri"/>
          <w:color w:val="000000"/>
          <w:lang w:val="en-GB" w:eastAsia="cs-CZ"/>
        </w:rPr>
        <w:t xml:space="preserve"> the tax deductibility of incentive allowance. </w:t>
      </w:r>
      <w:r>
        <w:rPr>
          <w:rFonts w:ascii="Calibri" w:eastAsia="Times New Roman" w:hAnsi="Calibri" w:cs="Calibri"/>
          <w:color w:val="000000"/>
          <w:lang w:val="en-GB" w:eastAsia="cs-CZ"/>
        </w:rPr>
        <w:t>The m</w:t>
      </w:r>
      <w:r w:rsidRPr="00177F0B">
        <w:rPr>
          <w:rFonts w:ascii="Calibri" w:eastAsia="Times New Roman" w:hAnsi="Calibri" w:cs="Calibri"/>
          <w:color w:val="000000"/>
          <w:lang w:val="en-GB" w:eastAsia="cs-CZ"/>
        </w:rPr>
        <w:t xml:space="preserve">otivation of employers </w:t>
      </w:r>
      <w:r>
        <w:rPr>
          <w:rFonts w:ascii="Calibri" w:eastAsia="Times New Roman" w:hAnsi="Calibri" w:cs="Calibri"/>
          <w:color w:val="000000"/>
          <w:lang w:val="en-GB" w:eastAsia="cs-CZ"/>
        </w:rPr>
        <w:t>to educate</w:t>
      </w:r>
      <w:r w:rsidRPr="00177F0B">
        <w:rPr>
          <w:rFonts w:ascii="Calibri" w:eastAsia="Times New Roman" w:hAnsi="Calibri" w:cs="Calibri"/>
          <w:color w:val="000000"/>
          <w:lang w:val="en-GB" w:eastAsia="cs-CZ"/>
        </w:rPr>
        <w:t xml:space="preserve"> pupils of secondary schools is increased by introducing </w:t>
      </w:r>
      <w:r>
        <w:rPr>
          <w:rFonts w:ascii="Calibri" w:eastAsia="Times New Roman" w:hAnsi="Calibri" w:cs="Calibri"/>
          <w:color w:val="000000"/>
          <w:lang w:val="en-GB" w:eastAsia="cs-CZ"/>
        </w:rPr>
        <w:t xml:space="preserve">new </w:t>
      </w:r>
      <w:r w:rsidRPr="00177F0B">
        <w:rPr>
          <w:rFonts w:ascii="Calibri" w:eastAsia="Times New Roman" w:hAnsi="Calibri" w:cs="Calibri"/>
          <w:color w:val="000000"/>
          <w:lang w:val="en-GB" w:eastAsia="cs-CZ"/>
        </w:rPr>
        <w:t xml:space="preserve">tax allowances and the possibility of additional deduction for assets acquired and used for the purposes of </w:t>
      </w:r>
      <w:r>
        <w:rPr>
          <w:rFonts w:ascii="Calibri" w:eastAsia="Times New Roman" w:hAnsi="Calibri" w:cs="Calibri"/>
          <w:color w:val="000000"/>
          <w:lang w:val="en-GB" w:eastAsia="cs-CZ"/>
        </w:rPr>
        <w:t>the education</w:t>
      </w:r>
      <w:r w:rsidRPr="00177F0B">
        <w:rPr>
          <w:rFonts w:ascii="Calibri" w:eastAsia="Times New Roman" w:hAnsi="Calibri" w:cs="Calibri"/>
          <w:color w:val="000000"/>
          <w:lang w:val="en-GB" w:eastAsia="cs-CZ"/>
        </w:rPr>
        <w:t>. </w:t>
      </w:r>
      <w:commentRangeStart w:id="62"/>
      <w:r>
        <w:rPr>
          <w:rFonts w:ascii="Calibri" w:eastAsia="Times New Roman" w:hAnsi="Calibri" w:cs="Calibri"/>
          <w:color w:val="000000"/>
          <w:lang w:val="en-GB" w:eastAsia="cs-CZ"/>
        </w:rPr>
        <w:t xml:space="preserve">The </w:t>
      </w:r>
      <w:r w:rsidRPr="00177F0B">
        <w:rPr>
          <w:rFonts w:ascii="Calibri" w:eastAsia="Times New Roman" w:hAnsi="Calibri" w:cs="Calibri"/>
          <w:color w:val="000000"/>
          <w:shd w:val="clear" w:color="auto" w:fill="FFFF00"/>
          <w:lang w:val="en-GB" w:eastAsia="cs-CZ"/>
        </w:rPr>
        <w:t xml:space="preserve">government will seek to strengthen the role of polytechnic </w:t>
      </w:r>
      <w:r>
        <w:rPr>
          <w:rFonts w:ascii="Calibri" w:eastAsia="Times New Roman" w:hAnsi="Calibri" w:cs="Calibri"/>
          <w:color w:val="000000"/>
          <w:shd w:val="clear" w:color="auto" w:fill="FFFF00"/>
          <w:lang w:val="en-GB" w:eastAsia="cs-CZ"/>
        </w:rPr>
        <w:t>education</w:t>
      </w:r>
      <w:r w:rsidRPr="00177F0B">
        <w:rPr>
          <w:rFonts w:ascii="Calibri" w:eastAsia="Times New Roman" w:hAnsi="Calibri" w:cs="Calibri"/>
          <w:color w:val="000000"/>
          <w:shd w:val="clear" w:color="auto" w:fill="FFFF00"/>
          <w:lang w:val="en-GB" w:eastAsia="cs-CZ"/>
        </w:rPr>
        <w:t xml:space="preserve"> in primary schools and encourage cooperation between employers and secondary schools with the aim of introducing </w:t>
      </w:r>
      <w:r>
        <w:rPr>
          <w:rFonts w:ascii="Calibri" w:eastAsia="Times New Roman" w:hAnsi="Calibri" w:cs="Calibri"/>
          <w:color w:val="000000"/>
          <w:shd w:val="clear" w:color="auto" w:fill="FFFF00"/>
          <w:lang w:val="en-GB" w:eastAsia="cs-CZ"/>
        </w:rPr>
        <w:t xml:space="preserve">a </w:t>
      </w:r>
      <w:r w:rsidRPr="00177F0B">
        <w:rPr>
          <w:rFonts w:ascii="Calibri" w:eastAsia="Times New Roman" w:hAnsi="Calibri" w:cs="Calibri"/>
          <w:color w:val="000000"/>
          <w:shd w:val="clear" w:color="auto" w:fill="FFFF00"/>
          <w:lang w:val="en-GB" w:eastAsia="cs-CZ"/>
        </w:rPr>
        <w:t>dual system of vocational education in the C</w:t>
      </w:r>
      <w:r>
        <w:rPr>
          <w:rFonts w:ascii="Calibri" w:eastAsia="Times New Roman" w:hAnsi="Calibri" w:cs="Calibri"/>
          <w:color w:val="000000"/>
          <w:shd w:val="clear" w:color="auto" w:fill="FFFF00"/>
          <w:lang w:val="en-GB" w:eastAsia="cs-CZ"/>
        </w:rPr>
        <w:t xml:space="preserve">zech </w:t>
      </w:r>
      <w:r w:rsidRPr="00177F0B">
        <w:rPr>
          <w:rFonts w:ascii="Calibri" w:eastAsia="Times New Roman" w:hAnsi="Calibri" w:cs="Calibri"/>
          <w:color w:val="000000"/>
          <w:shd w:val="clear" w:color="auto" w:fill="FFFF00"/>
          <w:lang w:val="en-GB" w:eastAsia="cs-CZ"/>
        </w:rPr>
        <w:t>R</w:t>
      </w:r>
      <w:r>
        <w:rPr>
          <w:rFonts w:ascii="Calibri" w:eastAsia="Times New Roman" w:hAnsi="Calibri" w:cs="Calibri"/>
          <w:color w:val="000000"/>
          <w:shd w:val="clear" w:color="auto" w:fill="FFFF00"/>
          <w:lang w:val="en-GB" w:eastAsia="cs-CZ"/>
        </w:rPr>
        <w:t>epublic</w:t>
      </w:r>
      <w:r w:rsidRPr="00177F0B">
        <w:rPr>
          <w:rFonts w:ascii="Calibri" w:eastAsia="Times New Roman" w:hAnsi="Calibri" w:cs="Calibri"/>
          <w:color w:val="000000"/>
          <w:shd w:val="clear" w:color="auto" w:fill="FFFF00"/>
          <w:lang w:val="en-GB" w:eastAsia="cs-CZ"/>
        </w:rPr>
        <w:t>.</w:t>
      </w:r>
      <w:commentRangeEnd w:id="62"/>
      <w:r w:rsidR="00323F83">
        <w:rPr>
          <w:rStyle w:val="Odkaznakoment"/>
        </w:rPr>
        <w:commentReference w:id="62"/>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further promote technical and vocational programs,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intends to change the system of financing of regional education so as to better reflect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long-term employability of graduates in the labour</w:t>
      </w:r>
      <w:r>
        <w:rPr>
          <w:rFonts w:ascii="Calibri" w:eastAsia="Times New Roman" w:hAnsi="Calibri" w:cs="Calibri"/>
          <w:color w:val="000000"/>
          <w:lang w:val="en-GB" w:eastAsia="cs-CZ"/>
        </w:rPr>
        <w:t xml:space="preserve"> market. The government will support the amendment of</w:t>
      </w:r>
      <w:r w:rsidRPr="00177F0B">
        <w:rPr>
          <w:rFonts w:ascii="Calibri" w:eastAsia="Times New Roman" w:hAnsi="Calibri" w:cs="Calibri"/>
          <w:color w:val="000000"/>
          <w:lang w:val="en-GB" w:eastAsia="cs-CZ"/>
        </w:rPr>
        <w:t xml:space="preserve"> the framework educational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 in secondary education </w:t>
      </w:r>
      <w:commentRangeStart w:id="63"/>
      <w:r w:rsidRPr="00177F0B">
        <w:rPr>
          <w:rFonts w:ascii="Calibri" w:eastAsia="Times New Roman" w:hAnsi="Calibri" w:cs="Calibri"/>
          <w:color w:val="000000"/>
          <w:shd w:val="clear" w:color="auto" w:fill="FFFF00"/>
          <w:lang w:val="en-GB" w:eastAsia="cs-CZ"/>
        </w:rPr>
        <w:t>with an emphasis on practical training in a real work environment so</w:t>
      </w:r>
      <w:r w:rsidRPr="00177F0B">
        <w:rPr>
          <w:rFonts w:ascii="Calibri" w:eastAsia="Times New Roman" w:hAnsi="Calibri" w:cs="Calibri"/>
          <w:color w:val="000000"/>
          <w:lang w:val="en-GB" w:eastAsia="cs-CZ"/>
        </w:rPr>
        <w:t> </w:t>
      </w:r>
      <w:commentRangeEnd w:id="63"/>
      <w:r w:rsidR="00323F83">
        <w:rPr>
          <w:rStyle w:val="Odkaznakoment"/>
        </w:rPr>
        <w:commentReference w:id="63"/>
      </w:r>
      <w:r w:rsidRPr="00177F0B">
        <w:rPr>
          <w:rFonts w:ascii="Calibri" w:eastAsia="Times New Roman" w:hAnsi="Calibri" w:cs="Calibri"/>
          <w:color w:val="000000"/>
          <w:lang w:val="en-GB" w:eastAsia="cs-CZ"/>
        </w:rPr>
        <w:t xml:space="preserve">that they are </w:t>
      </w:r>
      <w:r>
        <w:rPr>
          <w:rFonts w:ascii="Calibri" w:eastAsia="Times New Roman" w:hAnsi="Calibri" w:cs="Calibri"/>
          <w:color w:val="000000"/>
          <w:lang w:val="en-GB" w:eastAsia="cs-CZ"/>
        </w:rPr>
        <w:t>more efficiently</w:t>
      </w:r>
      <w:r w:rsidRPr="00177F0B">
        <w:rPr>
          <w:rFonts w:ascii="Calibri" w:eastAsia="Times New Roman" w:hAnsi="Calibri" w:cs="Calibri"/>
          <w:color w:val="000000"/>
          <w:lang w:val="en-GB" w:eastAsia="cs-CZ"/>
        </w:rPr>
        <w:t xml:space="preserve"> targeted at improving the quality of vocational education and long-term employability of graduates from secondary vocational schools. For graduates of apprenticeships </w:t>
      </w:r>
      <w:r>
        <w:rPr>
          <w:rFonts w:ascii="Calibri" w:eastAsia="Times New Roman" w:hAnsi="Calibri" w:cs="Calibri"/>
          <w:color w:val="000000"/>
          <w:lang w:val="en-GB" w:eastAsia="cs-CZ"/>
        </w:rPr>
        <w:t>a new concept</w:t>
      </w:r>
      <w:r w:rsidRPr="00177F0B">
        <w:rPr>
          <w:rFonts w:ascii="Calibri" w:eastAsia="Times New Roman" w:hAnsi="Calibri" w:cs="Calibri"/>
          <w:color w:val="000000"/>
          <w:lang w:val="en-GB" w:eastAsia="cs-CZ"/>
        </w:rPr>
        <w:t xml:space="preserve"> of a master</w:t>
      </w:r>
      <w:r>
        <w:rPr>
          <w:rFonts w:ascii="Calibri" w:eastAsia="Times New Roman" w:hAnsi="Calibri" w:cs="Calibri"/>
          <w:color w:val="000000"/>
          <w:lang w:val="en-GB" w:eastAsia="cs-CZ"/>
        </w:rPr>
        <w:t xml:space="preserve"> examination shall be prepared</w:t>
      </w:r>
      <w:r w:rsidRPr="00177F0B">
        <w:rPr>
          <w:rFonts w:ascii="Calibri" w:eastAsia="Times New Roman" w:hAnsi="Calibri" w:cs="Calibri"/>
          <w:color w:val="000000"/>
          <w:lang w:val="en-GB" w:eastAsia="cs-CZ"/>
        </w:rPr>
        <w:t xml:space="preserve"> as a new element of lifelong learning.</w:t>
      </w:r>
    </w:p>
    <w:p w:rsidR="0005706A" w:rsidRPr="00177F0B" w:rsidRDefault="0005706A" w:rsidP="0005706A">
      <w:pPr>
        <w:rPr>
          <w:rFonts w:ascii="Calibri" w:eastAsia="Times New Roman" w:hAnsi="Calibri" w:cs="Calibri"/>
          <w:color w:val="000000"/>
          <w:lang w:val="en-GB" w:eastAsia="cs-CZ"/>
        </w:rPr>
      </w:pP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lso strengthen</w:t>
      </w:r>
      <w:r>
        <w:rPr>
          <w:rFonts w:ascii="Calibri" w:eastAsia="Times New Roman" w:hAnsi="Calibri" w:cs="Calibri"/>
          <w:color w:val="000000"/>
          <w:lang w:val="en-GB" w:eastAsia="cs-CZ"/>
        </w:rPr>
        <w:t>ed will be</w:t>
      </w:r>
      <w:r w:rsidRPr="00177F0B">
        <w:rPr>
          <w:rFonts w:ascii="Calibri" w:eastAsia="Times New Roman" w:hAnsi="Calibri" w:cs="Calibri"/>
          <w:color w:val="000000"/>
          <w:lang w:val="en-GB" w:eastAsia="cs-CZ"/>
        </w:rPr>
        <w:t xml:space="preserve"> the role of employers in career counselling, which will aim to increase students' motivation to study and put into practice professional skills while increasing</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awareness of pupils and teachers about the requirements for a profession, work environment and job opportunities.</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Creating a career ladder</w:t>
      </w:r>
    </w:p>
    <w:p w:rsidR="0005706A" w:rsidRPr="00177F0B" w:rsidRDefault="0005706A" w:rsidP="0005706A">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By the end of 2014 a </w:t>
      </w:r>
      <w:r w:rsidRPr="00177F0B">
        <w:rPr>
          <w:rFonts w:ascii="Calibri" w:eastAsia="Times New Roman" w:hAnsi="Calibri" w:cs="Calibri"/>
          <w:color w:val="000000"/>
          <w:lang w:val="en-GB" w:eastAsia="cs-CZ"/>
        </w:rPr>
        <w:t>career system</w:t>
      </w:r>
      <w:r>
        <w:rPr>
          <w:rFonts w:ascii="Calibri" w:eastAsia="Times New Roman" w:hAnsi="Calibri" w:cs="Calibri"/>
          <w:color w:val="000000"/>
          <w:lang w:val="en-GB" w:eastAsia="cs-CZ"/>
        </w:rPr>
        <w:t xml:space="preserve"> for teachers will be prepared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in the implementation of </w:t>
      </w:r>
      <w:r>
        <w:rPr>
          <w:rFonts w:ascii="Calibri" w:eastAsia="Times New Roman" w:hAnsi="Calibri" w:cs="Calibri"/>
          <w:color w:val="000000"/>
          <w:lang w:val="en-GB" w:eastAsia="cs-CZ"/>
        </w:rPr>
        <w:t xml:space="preserve">the national individual project, enabling </w:t>
      </w:r>
      <w:r w:rsidRPr="00177F0B">
        <w:rPr>
          <w:rFonts w:ascii="Calibri" w:eastAsia="Times New Roman" w:hAnsi="Calibri" w:cs="Calibri"/>
          <w:color w:val="000000"/>
          <w:lang w:val="en-GB" w:eastAsia="cs-CZ"/>
        </w:rPr>
        <w:t>professional growth of teachers and impro</w:t>
      </w:r>
      <w:r>
        <w:rPr>
          <w:rFonts w:ascii="Calibri" w:eastAsia="Times New Roman" w:hAnsi="Calibri" w:cs="Calibri"/>
          <w:color w:val="000000"/>
          <w:lang w:val="en-GB" w:eastAsia="cs-CZ"/>
        </w:rPr>
        <w:t>ving the quality of their work life, linked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attestations</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a motivating reward system. The career system</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designed to help increase the prestige of the teaching profession in society, stimulate interest in the teaching profession among young people and to give new and experienced teachers perspective</w:t>
      </w:r>
      <w:r>
        <w:rPr>
          <w:rFonts w:ascii="Calibri" w:eastAsia="Times New Roman" w:hAnsi="Calibri" w:cs="Calibri"/>
          <w:color w:val="000000"/>
          <w:lang w:val="en-GB" w:eastAsia="cs-CZ"/>
        </w:rPr>
        <w:t xml:space="preserve"> of a</w:t>
      </w:r>
      <w:r w:rsidRPr="00177F0B">
        <w:rPr>
          <w:rFonts w:ascii="Calibri" w:eastAsia="Times New Roman" w:hAnsi="Calibri" w:cs="Calibri"/>
          <w:color w:val="000000"/>
          <w:lang w:val="en-GB" w:eastAsia="cs-CZ"/>
        </w:rPr>
        <w:t xml:space="preserve"> professional growth throughout their professional lives. The career system will be based on the principle of interdependence </w:t>
      </w:r>
      <w:r>
        <w:rPr>
          <w:rFonts w:ascii="Calibri" w:eastAsia="Times New Roman" w:hAnsi="Calibri" w:cs="Calibri"/>
          <w:color w:val="000000"/>
          <w:lang w:val="en-GB" w:eastAsia="cs-CZ"/>
        </w:rPr>
        <w:t xml:space="preserve">of the professional development, </w:t>
      </w:r>
      <w:r w:rsidRPr="00177F0B">
        <w:rPr>
          <w:rFonts w:ascii="Calibri" w:eastAsia="Times New Roman" w:hAnsi="Calibri" w:cs="Calibri"/>
          <w:color w:val="000000"/>
          <w:lang w:val="en-GB" w:eastAsia="cs-CZ"/>
        </w:rPr>
        <w:t>career</w:t>
      </w:r>
      <w:r>
        <w:rPr>
          <w:rFonts w:ascii="Calibri" w:eastAsia="Times New Roman" w:hAnsi="Calibri" w:cs="Calibri"/>
          <w:color w:val="000000"/>
          <w:lang w:val="en-GB" w:eastAsia="cs-CZ"/>
        </w:rPr>
        <w:t xml:space="preserve"> system</w:t>
      </w:r>
      <w:r w:rsidRPr="00177F0B">
        <w:rPr>
          <w:rFonts w:ascii="Calibri" w:eastAsia="Times New Roman" w:hAnsi="Calibri" w:cs="Calibri"/>
          <w:color w:val="000000"/>
          <w:lang w:val="en-GB" w:eastAsia="cs-CZ"/>
        </w:rPr>
        <w:t xml:space="preserve"> and remuneration, </w:t>
      </w:r>
      <w:r>
        <w:rPr>
          <w:rFonts w:ascii="Calibri" w:eastAsia="Times New Roman" w:hAnsi="Calibri" w:cs="Calibri"/>
          <w:color w:val="000000"/>
          <w:lang w:val="en-GB" w:eastAsia="cs-CZ"/>
        </w:rPr>
        <w:t xml:space="preserve">on </w:t>
      </w:r>
      <w:r w:rsidRPr="00177F0B">
        <w:rPr>
          <w:rFonts w:ascii="Calibri" w:eastAsia="Times New Roman" w:hAnsi="Calibri" w:cs="Calibri"/>
          <w:color w:val="000000"/>
          <w:lang w:val="en-GB" w:eastAsia="cs-CZ"/>
        </w:rPr>
        <w:t>rights and obligations of teachers to develop their professional skills and the right to choose the possible career paths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path of development of professional competencies,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path of development </w:t>
      </w:r>
      <w:r>
        <w:rPr>
          <w:rFonts w:ascii="Calibri" w:eastAsia="Times New Roman" w:hAnsi="Calibri" w:cs="Calibri"/>
          <w:color w:val="000000"/>
          <w:lang w:val="en-GB" w:eastAsia="cs-CZ"/>
        </w:rPr>
        <w:t>of specialized positions,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path of development</w:t>
      </w:r>
      <w:r>
        <w:rPr>
          <w:rFonts w:ascii="Calibri" w:eastAsia="Times New Roman" w:hAnsi="Calibri" w:cs="Calibri"/>
          <w:color w:val="000000"/>
          <w:lang w:val="en-GB" w:eastAsia="cs-CZ"/>
        </w:rPr>
        <w:t xml:space="preserve"> of </w:t>
      </w:r>
      <w:r w:rsidRPr="00177F0B">
        <w:rPr>
          <w:rFonts w:ascii="Calibri" w:eastAsia="Times New Roman" w:hAnsi="Calibri" w:cs="Calibri"/>
          <w:color w:val="000000"/>
          <w:lang w:val="en-GB" w:eastAsia="cs-CZ"/>
        </w:rPr>
        <w:t xml:space="preserve">management positions). In the case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path of development of professional competencies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gradation in 4 </w:t>
      </w:r>
      <w:r>
        <w:rPr>
          <w:rFonts w:ascii="Calibri" w:eastAsia="Times New Roman" w:hAnsi="Calibri" w:cs="Calibri"/>
          <w:color w:val="000000"/>
          <w:lang w:val="en-GB" w:eastAsia="cs-CZ"/>
        </w:rPr>
        <w:t xml:space="preserve">phases </w:t>
      </w:r>
      <w:r w:rsidRPr="00177F0B">
        <w:rPr>
          <w:rFonts w:ascii="Calibri" w:eastAsia="Times New Roman" w:hAnsi="Calibri" w:cs="Calibri"/>
          <w:color w:val="000000"/>
          <w:lang w:val="en-GB" w:eastAsia="cs-CZ"/>
        </w:rPr>
        <w:t>is proposed.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The individual steps are linked to the teacher</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standard, which describe the skills and their</w:t>
      </w:r>
      <w:r w:rsidRPr="002D2450">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required level for each career stage. </w:t>
      </w:r>
      <w:r>
        <w:rPr>
          <w:rFonts w:ascii="Calibri" w:eastAsia="Times New Roman" w:hAnsi="Calibri" w:cs="Calibri"/>
          <w:color w:val="000000"/>
          <w:lang w:val="en-GB" w:eastAsia="cs-CZ"/>
        </w:rPr>
        <w:t>An</w:t>
      </w:r>
      <w:r w:rsidRPr="00177F0B">
        <w:rPr>
          <w:rFonts w:ascii="Calibri" w:eastAsia="Times New Roman" w:hAnsi="Calibri" w:cs="Calibri"/>
          <w:color w:val="000000"/>
          <w:lang w:val="en-GB" w:eastAsia="cs-CZ"/>
        </w:rPr>
        <w:t xml:space="preserve"> obligation to complete an adaptation period</w:t>
      </w:r>
      <w:r>
        <w:rPr>
          <w:rFonts w:ascii="Calibri" w:eastAsia="Times New Roman" w:hAnsi="Calibri" w:cs="Calibri"/>
          <w:color w:val="000000"/>
          <w:lang w:val="en-GB" w:eastAsia="cs-CZ"/>
        </w:rPr>
        <w:t xml:space="preserve"> is assumed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completed by an </w:t>
      </w:r>
      <w:r w:rsidRPr="00177F0B">
        <w:rPr>
          <w:rFonts w:ascii="Calibri" w:eastAsia="Times New Roman" w:hAnsi="Calibri" w:cs="Calibri"/>
          <w:color w:val="000000"/>
          <w:lang w:val="en-GB" w:eastAsia="cs-CZ"/>
        </w:rPr>
        <w:t xml:space="preserve">evaluation before entering the second career stage, from the second career stage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participation in the career system</w:t>
      </w:r>
      <w:r>
        <w:rPr>
          <w:rFonts w:ascii="Calibri" w:eastAsia="Times New Roman" w:hAnsi="Calibri" w:cs="Calibri"/>
          <w:color w:val="000000"/>
          <w:lang w:val="en-GB" w:eastAsia="cs-CZ"/>
        </w:rPr>
        <w:t xml:space="preserve"> is </w:t>
      </w:r>
      <w:r w:rsidRPr="00177F0B">
        <w:rPr>
          <w:rFonts w:ascii="Calibri" w:eastAsia="Times New Roman" w:hAnsi="Calibri" w:cs="Calibri"/>
          <w:color w:val="000000"/>
          <w:lang w:val="en-GB" w:eastAsia="cs-CZ"/>
        </w:rPr>
        <w:t>voluntary. From 2015 legislative work</w:t>
      </w:r>
      <w:r>
        <w:rPr>
          <w:rFonts w:ascii="Calibri" w:eastAsia="Times New Roman" w:hAnsi="Calibri" w:cs="Calibri"/>
          <w:color w:val="000000"/>
          <w:lang w:val="en-GB" w:eastAsia="cs-CZ"/>
        </w:rPr>
        <w:t xml:space="preserve"> shall begin that will enable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 launch of</w:t>
      </w:r>
      <w:r w:rsidRPr="00177F0B">
        <w:rPr>
          <w:rFonts w:ascii="Calibri" w:eastAsia="Times New Roman" w:hAnsi="Calibri" w:cs="Calibri"/>
          <w:color w:val="000000"/>
          <w:lang w:val="en-GB" w:eastAsia="cs-CZ"/>
        </w:rPr>
        <w:t xml:space="preserve"> the career system into practice.</w:t>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Support for </w:t>
      </w:r>
      <w:r>
        <w:rPr>
          <w:rFonts w:ascii="Cambria" w:eastAsia="Times New Roman" w:hAnsi="Cambria" w:cs="Times New Roman"/>
          <w:b/>
          <w:bCs/>
          <w:i/>
          <w:iCs/>
          <w:color w:val="D41616"/>
          <w:lang w:val="en-GB" w:eastAsia="cs-CZ"/>
        </w:rPr>
        <w:t xml:space="preserve">higher </w:t>
      </w:r>
      <w:r w:rsidRPr="00177F0B">
        <w:rPr>
          <w:rFonts w:ascii="Cambria" w:eastAsia="Times New Roman" w:hAnsi="Cambria" w:cs="Times New Roman"/>
          <w:b/>
          <w:bCs/>
          <w:i/>
          <w:iCs/>
          <w:color w:val="D41616"/>
          <w:lang w:val="en-GB" w:eastAsia="cs-CZ"/>
        </w:rPr>
        <w:t xml:space="preserve">vocational </w:t>
      </w:r>
      <w:r>
        <w:rPr>
          <w:rFonts w:ascii="Cambria" w:eastAsia="Times New Roman" w:hAnsi="Cambria" w:cs="Times New Roman"/>
          <w:b/>
          <w:bCs/>
          <w:i/>
          <w:iCs/>
          <w:color w:val="D41616"/>
          <w:lang w:val="en-GB" w:eastAsia="cs-CZ"/>
        </w:rPr>
        <w:t>education</w:t>
      </w:r>
      <w:r w:rsidRPr="00177F0B">
        <w:rPr>
          <w:rFonts w:ascii="Cambria" w:eastAsia="Times New Roman" w:hAnsi="Cambria" w:cs="Times New Roman"/>
          <w:b/>
          <w:bCs/>
          <w:i/>
          <w:iCs/>
          <w:color w:val="D41616"/>
          <w:lang w:val="en-GB" w:eastAsia="cs-CZ"/>
        </w:rPr>
        <w:t xml:space="preserve"> and </w:t>
      </w:r>
      <w:r>
        <w:rPr>
          <w:rFonts w:ascii="Cambria" w:eastAsia="Times New Roman" w:hAnsi="Cambria" w:cs="Times New Roman"/>
          <w:b/>
          <w:bCs/>
          <w:i/>
          <w:iCs/>
          <w:color w:val="D41616"/>
          <w:lang w:val="en-GB" w:eastAsia="cs-CZ"/>
        </w:rPr>
        <w:t>tertiary</w:t>
      </w:r>
      <w:r w:rsidRPr="00177F0B">
        <w:rPr>
          <w:rFonts w:ascii="Cambria" w:eastAsia="Times New Roman" w:hAnsi="Cambria" w:cs="Times New Roman"/>
          <w:b/>
          <w:bCs/>
          <w:i/>
          <w:iCs/>
          <w:color w:val="D41616"/>
          <w:lang w:val="en-GB" w:eastAsia="cs-CZ"/>
        </w:rPr>
        <w:t xml:space="preserve"> education</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As in the field of secondary education and in higher </w:t>
      </w:r>
      <w:r w:rsidRPr="006D48C4">
        <w:rPr>
          <w:rFonts w:ascii="Calibri" w:eastAsia="Times New Roman" w:hAnsi="Calibri" w:cs="Calibri"/>
          <w:color w:val="000000"/>
          <w:lang w:val="en-GB" w:eastAsia="cs-CZ"/>
        </w:rPr>
        <w:t>vocational</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tertiary</w:t>
      </w:r>
      <w:r w:rsidRPr="00177F0B">
        <w:rPr>
          <w:rFonts w:ascii="Calibri" w:eastAsia="Times New Roman" w:hAnsi="Calibri" w:cs="Calibri"/>
          <w:color w:val="000000"/>
          <w:lang w:val="en-GB" w:eastAsia="cs-CZ"/>
        </w:rPr>
        <w:t xml:space="preserve"> education</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government support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business</w:t>
      </w:r>
      <w:r w:rsidRPr="00177F0B">
        <w:rPr>
          <w:rFonts w:ascii="Calibri" w:eastAsia="Times New Roman" w:hAnsi="Calibri" w:cs="Calibri"/>
          <w:color w:val="000000"/>
          <w:lang w:val="en-GB" w:eastAsia="cs-CZ"/>
        </w:rPr>
        <w:t xml:space="preserve"> investment in education </w:t>
      </w:r>
      <w:r>
        <w:rPr>
          <w:rFonts w:ascii="Calibri" w:eastAsia="Times New Roman" w:hAnsi="Calibri" w:cs="Calibri"/>
          <w:color w:val="000000"/>
          <w:lang w:val="en-GB" w:eastAsia="cs-CZ"/>
        </w:rPr>
        <w:t>via the</w:t>
      </w:r>
      <w:r w:rsidRPr="00177F0B">
        <w:rPr>
          <w:rFonts w:ascii="Calibri" w:eastAsia="Times New Roman" w:hAnsi="Calibri" w:cs="Calibri"/>
          <w:color w:val="000000"/>
          <w:lang w:val="en-GB" w:eastAsia="cs-CZ"/>
        </w:rPr>
        <w:t xml:space="preserve"> amendment to the Income Tax Act. Guidelines for these deductions </w:t>
      </w:r>
      <w:r>
        <w:rPr>
          <w:rFonts w:ascii="Calibri" w:eastAsia="Times New Roman" w:hAnsi="Calibri" w:cs="Calibri"/>
          <w:color w:val="000000"/>
          <w:lang w:val="en-GB" w:eastAsia="cs-CZ"/>
        </w:rPr>
        <w:t>are</w:t>
      </w:r>
      <w:r w:rsidRPr="00177F0B">
        <w:rPr>
          <w:rFonts w:ascii="Calibri" w:eastAsia="Times New Roman" w:hAnsi="Calibri" w:cs="Calibri"/>
          <w:color w:val="000000"/>
          <w:lang w:val="en-GB" w:eastAsia="cs-CZ"/>
        </w:rPr>
        <w:t xml:space="preserve"> being prepared for the area of </w:t>
      </w:r>
      <w:r>
        <w:rPr>
          <w:rFonts w:ascii="Calibri" w:eastAsia="Times New Roman" w:hAnsi="Calibri" w:cs="Calibri"/>
          <w:color w:val="000000"/>
          <w:lang w:val="en-GB" w:eastAsia="cs-CZ"/>
        </w:rPr>
        <w:t xml:space="preserve">higher </w:t>
      </w:r>
      <w:r w:rsidRPr="00177F0B">
        <w:rPr>
          <w:rFonts w:ascii="Calibri" w:eastAsia="Times New Roman" w:hAnsi="Calibri" w:cs="Calibri"/>
          <w:color w:val="000000"/>
          <w:lang w:val="en-GB" w:eastAsia="cs-CZ"/>
        </w:rPr>
        <w:t xml:space="preserve">vocational training and </w:t>
      </w:r>
      <w:r>
        <w:rPr>
          <w:rFonts w:ascii="Calibri" w:eastAsia="Times New Roman" w:hAnsi="Calibri" w:cs="Calibri"/>
          <w:color w:val="000000"/>
          <w:lang w:val="en-GB" w:eastAsia="cs-CZ"/>
        </w:rPr>
        <w:t>tertiary</w:t>
      </w:r>
      <w:r w:rsidRPr="00177F0B">
        <w:rPr>
          <w:rFonts w:ascii="Calibri" w:eastAsia="Times New Roman" w:hAnsi="Calibri" w:cs="Calibri"/>
          <w:color w:val="000000"/>
          <w:lang w:val="en-GB" w:eastAsia="cs-CZ"/>
        </w:rPr>
        <w:t xml:space="preserve"> education. The measures include both increase</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 incentive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for </w:t>
      </w:r>
      <w:r>
        <w:rPr>
          <w:rFonts w:ascii="Calibri" w:eastAsia="Times New Roman" w:hAnsi="Calibri" w:cs="Calibri"/>
          <w:color w:val="000000"/>
          <w:lang w:val="en-GB" w:eastAsia="cs-CZ"/>
        </w:rPr>
        <w:t>companies</w:t>
      </w:r>
      <w:r w:rsidRPr="00177F0B">
        <w:rPr>
          <w:rFonts w:ascii="Calibri" w:eastAsia="Times New Roman" w:hAnsi="Calibri" w:cs="Calibri"/>
          <w:color w:val="000000"/>
          <w:lang w:val="en-GB" w:eastAsia="cs-CZ"/>
        </w:rPr>
        <w:t xml:space="preserve"> to enable professional experience and practical training as much as possible</w:t>
      </w:r>
      <w:r>
        <w:rPr>
          <w:rFonts w:ascii="Calibri" w:eastAsia="Times New Roman" w:hAnsi="Calibri" w:cs="Calibri"/>
          <w:color w:val="000000"/>
          <w:lang w:val="en-GB" w:eastAsia="cs-CZ"/>
        </w:rPr>
        <w:t xml:space="preserve"> as well as </w:t>
      </w:r>
      <w:r w:rsidRPr="00177F0B">
        <w:rPr>
          <w:rFonts w:ascii="Calibri" w:eastAsia="Times New Roman" w:hAnsi="Calibri" w:cs="Calibri"/>
          <w:color w:val="000000"/>
          <w:lang w:val="en-GB" w:eastAsia="cs-CZ"/>
        </w:rPr>
        <w:t>support</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corporate scholarships. </w:t>
      </w:r>
      <w:r>
        <w:rPr>
          <w:rFonts w:ascii="Calibri" w:eastAsia="Times New Roman" w:hAnsi="Calibri" w:cs="Calibri"/>
          <w:color w:val="000000"/>
          <w:lang w:val="en-GB" w:eastAsia="cs-CZ"/>
        </w:rPr>
        <w:t xml:space="preserve">The </w:t>
      </w:r>
      <w:commentRangeStart w:id="64"/>
      <w:r w:rsidRPr="00177F0B">
        <w:rPr>
          <w:rFonts w:ascii="Calibri" w:eastAsia="Times New Roman" w:hAnsi="Calibri" w:cs="Calibri"/>
          <w:color w:val="000000"/>
          <w:shd w:val="clear" w:color="auto" w:fill="FFFF00"/>
          <w:lang w:val="en-GB" w:eastAsia="cs-CZ"/>
        </w:rPr>
        <w:t>government will promote cooperation between employers and higher vocational schools and universities.</w:t>
      </w:r>
      <w:commentRangeEnd w:id="64"/>
      <w:r w:rsidR="00323F83">
        <w:rPr>
          <w:rStyle w:val="Odkaznakoment"/>
        </w:rPr>
        <w:commentReference w:id="64"/>
      </w:r>
    </w:p>
    <w:p w:rsidR="0005706A" w:rsidRPr="00177F0B" w:rsidRDefault="0005706A" w:rsidP="0005706A">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Further Education</w:t>
      </w:r>
    </w:p>
    <w:p w:rsidR="0005706A" w:rsidRPr="00177F0B" w:rsidRDefault="0005706A" w:rsidP="0005706A">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considers it necessary to continue to develop the concept of lifelong learning, particularly in further education, which should be seen not only as personal development, but also as a means of </w:t>
      </w:r>
      <w:r>
        <w:rPr>
          <w:rFonts w:ascii="Calibri" w:eastAsia="Times New Roman" w:hAnsi="Calibri" w:cs="Calibri"/>
          <w:color w:val="000000"/>
          <w:lang w:val="en-GB" w:eastAsia="cs-CZ"/>
        </w:rPr>
        <w:t>supporting</w:t>
      </w:r>
      <w:r w:rsidRPr="00177F0B">
        <w:rPr>
          <w:rFonts w:ascii="Calibri" w:eastAsia="Times New Roman" w:hAnsi="Calibri" w:cs="Calibri"/>
          <w:color w:val="000000"/>
          <w:lang w:val="en-GB" w:eastAsia="cs-CZ"/>
        </w:rPr>
        <w:t xml:space="preserve"> the employability of individuals and their </w:t>
      </w:r>
      <w:r>
        <w:rPr>
          <w:rFonts w:ascii="Calibri" w:eastAsia="Times New Roman" w:hAnsi="Calibri" w:cs="Calibri"/>
          <w:color w:val="000000"/>
          <w:lang w:val="en-GB" w:eastAsia="cs-CZ"/>
        </w:rPr>
        <w:t>success in</w:t>
      </w:r>
      <w:r w:rsidRPr="00177F0B">
        <w:rPr>
          <w:rFonts w:ascii="Calibri" w:eastAsia="Times New Roman" w:hAnsi="Calibri" w:cs="Calibri"/>
          <w:color w:val="000000"/>
          <w:lang w:val="en-GB" w:eastAsia="cs-CZ"/>
        </w:rPr>
        <w:t xml:space="preserve"> the labour market. There is a need to promote and develop tools for verification and recognition of prior learning (Act 179/2006 Coll. </w:t>
      </w:r>
      <w:r w:rsidRPr="00177F0B">
        <w:rPr>
          <w:rFonts w:ascii="Calibri" w:eastAsia="Times New Roman" w:hAnsi="Calibri" w:cs="Calibri"/>
          <w:color w:val="000000"/>
          <w:lang w:val="en-GB" w:eastAsia="cs-CZ"/>
        </w:rPr>
        <w:lastRenderedPageBreak/>
        <w:t>Recognition of Further Education), including the need to ensure coherence of the National Qualifications Fr</w:t>
      </w:r>
      <w:r>
        <w:rPr>
          <w:rFonts w:ascii="Calibri" w:eastAsia="Times New Roman" w:hAnsi="Calibri" w:cs="Calibri"/>
          <w:color w:val="000000"/>
          <w:lang w:val="en-GB" w:eastAsia="cs-CZ"/>
        </w:rPr>
        <w:t>amework and National System of Occupations</w:t>
      </w:r>
      <w:r w:rsidRPr="00177F0B">
        <w:rPr>
          <w:rFonts w:ascii="Calibri" w:eastAsia="Times New Roman" w:hAnsi="Calibri" w:cs="Calibri"/>
          <w:color w:val="000000"/>
          <w:lang w:val="en-GB" w:eastAsia="cs-CZ"/>
        </w:rPr>
        <w:t>.</w:t>
      </w:r>
    </w:p>
    <w:p w:rsidR="00CF6CB4" w:rsidRPr="007A1B09" w:rsidRDefault="00CF6CB4" w:rsidP="00CF6CB4">
      <w:pPr>
        <w:rPr>
          <w:lang w:val="en-GB"/>
        </w:rPr>
      </w:pPr>
    </w:p>
    <w:p w:rsidR="000838BC" w:rsidRPr="007A1B09" w:rsidRDefault="00E52DD5" w:rsidP="000838BC">
      <w:pPr>
        <w:pStyle w:val="Nadpis3"/>
        <w:numPr>
          <w:ilvl w:val="2"/>
          <w:numId w:val="4"/>
        </w:numPr>
        <w:ind w:left="851" w:hanging="851"/>
        <w:rPr>
          <w:lang w:val="en-GB"/>
        </w:rPr>
      </w:pPr>
      <w:bookmarkStart w:id="65" w:name="_Toc385946036"/>
      <w:r w:rsidRPr="00E52DD5">
        <w:rPr>
          <w:bCs/>
          <w:lang w:val="en-GB"/>
        </w:rPr>
        <w:t>Support for the arrival of skilled workers from abroad</w:t>
      </w:r>
      <w:bookmarkEnd w:id="65"/>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 skilled workforce is one of the fundamental requirements of competitiveness and commercial success of employers. It forms a necessary condition for investment by ensuring transfer</w:t>
      </w:r>
      <w:r>
        <w:rPr>
          <w:rFonts w:ascii="Calibri" w:eastAsia="Times New Roman" w:hAnsi="Calibri" w:cs="Calibri"/>
          <w:color w:val="000000"/>
          <w:lang w:val="en-GB" w:eastAsia="cs-CZ"/>
        </w:rPr>
        <w:t xml:space="preserve"> of </w:t>
      </w:r>
      <w:r w:rsidRPr="00177F0B">
        <w:rPr>
          <w:rFonts w:ascii="Calibri" w:eastAsia="Times New Roman" w:hAnsi="Calibri" w:cs="Calibri"/>
          <w:color w:val="000000"/>
          <w:lang w:val="en-GB" w:eastAsia="cs-CZ"/>
        </w:rPr>
        <w:t>knowledge, innovation development, introduction of new technologies and leads to the creation of new jobs. Due to the openness and the nature</w:t>
      </w:r>
      <w:r w:rsidRPr="0008553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of the Czech economy</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government is taking measures that lead to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 xml:space="preserve">effective migration policy, which </w:t>
      </w:r>
      <w:r>
        <w:rPr>
          <w:rFonts w:ascii="Calibri" w:eastAsia="Times New Roman" w:hAnsi="Calibri" w:cs="Calibri"/>
          <w:color w:val="000000"/>
          <w:lang w:val="en-GB" w:eastAsia="cs-CZ"/>
        </w:rPr>
        <w:t>is able to</w:t>
      </w:r>
      <w:r w:rsidRPr="00177F0B">
        <w:rPr>
          <w:rFonts w:ascii="Calibri" w:eastAsia="Times New Roman" w:hAnsi="Calibri" w:cs="Calibri"/>
          <w:color w:val="000000"/>
          <w:lang w:val="en-GB" w:eastAsia="cs-CZ"/>
        </w:rPr>
        <w:t xml:space="preserve"> reflect the </w:t>
      </w:r>
      <w:proofErr w:type="spellStart"/>
      <w:r>
        <w:rPr>
          <w:rFonts w:ascii="Calibri" w:eastAsia="Times New Roman" w:hAnsi="Calibri" w:cs="Calibri"/>
          <w:color w:val="000000"/>
          <w:lang w:val="en-GB" w:eastAsia="cs-CZ"/>
        </w:rPr>
        <w:t>counttry’s</w:t>
      </w:r>
      <w:proofErr w:type="spellEnd"/>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economic needs.</w:t>
      </w:r>
      <w:r>
        <w:rPr>
          <w:rFonts w:ascii="Calibri" w:eastAsia="Times New Roman" w:hAnsi="Calibri" w:cs="Calibri"/>
          <w:color w:val="000000"/>
          <w:lang w:val="en-GB" w:eastAsia="cs-CZ"/>
        </w:rPr>
        <w:t xml:space="preserve"> </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Accelerated procedure for internal</w:t>
      </w:r>
      <w:r>
        <w:rPr>
          <w:rFonts w:ascii="Cambria" w:eastAsia="Times New Roman" w:hAnsi="Cambria" w:cs="Times New Roman"/>
          <w:b/>
          <w:bCs/>
          <w:i/>
          <w:iCs/>
          <w:color w:val="D41616"/>
          <w:lang w:val="en-GB" w:eastAsia="cs-CZ"/>
        </w:rPr>
        <w:t>ly</w:t>
      </w:r>
      <w:r w:rsidRPr="00177F0B">
        <w:rPr>
          <w:rFonts w:ascii="Cambria" w:eastAsia="Times New Roman" w:hAnsi="Cambria" w:cs="Times New Roman"/>
          <w:b/>
          <w:bCs/>
          <w:i/>
          <w:iCs/>
          <w:color w:val="D41616"/>
          <w:lang w:val="en-GB" w:eastAsia="cs-CZ"/>
        </w:rPr>
        <w:t xml:space="preserve"> transfer</w:t>
      </w:r>
      <w:r>
        <w:rPr>
          <w:rFonts w:ascii="Cambria" w:eastAsia="Times New Roman" w:hAnsi="Cambria" w:cs="Times New Roman"/>
          <w:b/>
          <w:bCs/>
          <w:i/>
          <w:iCs/>
          <w:color w:val="D41616"/>
          <w:lang w:val="en-GB" w:eastAsia="cs-CZ"/>
        </w:rPr>
        <w:t>red</w:t>
      </w:r>
      <w:r w:rsidRPr="00177F0B">
        <w:rPr>
          <w:rFonts w:ascii="Cambria" w:eastAsia="Times New Roman" w:hAnsi="Cambria" w:cs="Times New Roman"/>
          <w:b/>
          <w:bCs/>
          <w:i/>
          <w:iCs/>
          <w:color w:val="D41616"/>
          <w:lang w:val="en-GB" w:eastAsia="cs-CZ"/>
        </w:rPr>
        <w:t xml:space="preserve"> and localized staff and project Welcome Package</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in 2014 continue </w:t>
      </w:r>
      <w:r>
        <w:rPr>
          <w:rFonts w:ascii="Calibri" w:eastAsia="Times New Roman" w:hAnsi="Calibri" w:cs="Calibri"/>
          <w:color w:val="000000"/>
          <w:lang w:val="en-GB" w:eastAsia="cs-CZ"/>
        </w:rPr>
        <w:t>with the</w:t>
      </w:r>
      <w:r w:rsidRPr="00177F0B">
        <w:rPr>
          <w:rFonts w:ascii="Calibri" w:eastAsia="Times New Roman" w:hAnsi="Calibri" w:cs="Calibri"/>
          <w:color w:val="000000"/>
          <w:lang w:val="en-GB" w:eastAsia="cs-CZ"/>
        </w:rPr>
        <w:t xml:space="preserve"> project </w:t>
      </w:r>
      <w:r w:rsidRPr="00177F0B">
        <w:rPr>
          <w:rFonts w:ascii="Calibri" w:eastAsia="Times New Roman" w:hAnsi="Calibri" w:cs="Calibri"/>
          <w:b/>
          <w:bCs/>
          <w:color w:val="000000"/>
          <w:lang w:val="en-GB" w:eastAsia="cs-CZ"/>
        </w:rPr>
        <w:t xml:space="preserve">Accelerated Procedure </w:t>
      </w:r>
      <w:r>
        <w:rPr>
          <w:rFonts w:ascii="Calibri" w:eastAsia="Times New Roman" w:hAnsi="Calibri" w:cs="Calibri"/>
          <w:b/>
          <w:bCs/>
          <w:color w:val="000000"/>
          <w:lang w:val="en-GB" w:eastAsia="cs-CZ"/>
        </w:rPr>
        <w:t>f</w:t>
      </w:r>
      <w:r w:rsidRPr="00177F0B">
        <w:rPr>
          <w:rFonts w:ascii="Calibri" w:eastAsia="Times New Roman" w:hAnsi="Calibri" w:cs="Calibri"/>
          <w:b/>
          <w:bCs/>
          <w:color w:val="000000"/>
          <w:lang w:val="en-GB" w:eastAsia="cs-CZ"/>
        </w:rPr>
        <w:t xml:space="preserve">or </w:t>
      </w:r>
      <w:r>
        <w:rPr>
          <w:rFonts w:ascii="Calibri" w:eastAsia="Times New Roman" w:hAnsi="Calibri" w:cs="Calibri"/>
          <w:b/>
          <w:bCs/>
          <w:iCs/>
          <w:color w:val="000000"/>
          <w:lang w:val="en-GB" w:eastAsia="cs-CZ"/>
        </w:rPr>
        <w:t>Internally Transferred a</w:t>
      </w:r>
      <w:r w:rsidRPr="009E3988">
        <w:rPr>
          <w:rFonts w:ascii="Calibri" w:eastAsia="Times New Roman" w:hAnsi="Calibri" w:cs="Calibri"/>
          <w:b/>
          <w:bCs/>
          <w:iCs/>
          <w:color w:val="000000"/>
          <w:lang w:val="en-GB" w:eastAsia="cs-CZ"/>
        </w:rPr>
        <w:t>nd Localized Staff</w:t>
      </w:r>
      <w:r w:rsidRPr="009E3988">
        <w:rPr>
          <w:rFonts w:ascii="Calibri" w:eastAsia="Times New Roman" w:hAnsi="Calibri" w:cs="Calibri"/>
          <w:b/>
          <w:bCs/>
          <w:color w:val="000000"/>
          <w:lang w:val="en-GB" w:eastAsia="cs-CZ"/>
        </w:rPr>
        <w:t xml:space="preserve"> </w:t>
      </w:r>
      <w:r>
        <w:rPr>
          <w:rFonts w:ascii="Calibri" w:eastAsia="Times New Roman" w:hAnsi="Calibri" w:cs="Calibri"/>
          <w:b/>
          <w:bCs/>
          <w:color w:val="000000"/>
          <w:lang w:val="en-GB" w:eastAsia="cs-CZ"/>
        </w:rPr>
        <w:t>and Statutory Bodies o</w:t>
      </w:r>
      <w:r w:rsidRPr="00177F0B">
        <w:rPr>
          <w:rFonts w:ascii="Calibri" w:eastAsia="Times New Roman" w:hAnsi="Calibri" w:cs="Calibri"/>
          <w:b/>
          <w:bCs/>
          <w:color w:val="000000"/>
          <w:lang w:val="en-GB" w:eastAsia="cs-CZ"/>
        </w:rPr>
        <w:t>f Foreign Investors</w:t>
      </w:r>
      <w:r w:rsidRPr="00177F0B">
        <w:rPr>
          <w:rFonts w:ascii="Calibri" w:eastAsia="Times New Roman" w:hAnsi="Calibri" w:cs="Calibri"/>
          <w:color w:val="000000"/>
          <w:lang w:val="en-GB" w:eastAsia="cs-CZ"/>
        </w:rPr>
        <w:t>, which sets the rules for accelerated transfer and localiz</w:t>
      </w:r>
      <w:r>
        <w:rPr>
          <w:rFonts w:ascii="Calibri" w:eastAsia="Times New Roman" w:hAnsi="Calibri" w:cs="Calibri"/>
          <w:color w:val="000000"/>
          <w:lang w:val="en-GB" w:eastAsia="cs-CZ"/>
        </w:rPr>
        <w:t>ation of internal employees, or</w:t>
      </w:r>
      <w:r w:rsidRPr="00177F0B">
        <w:rPr>
          <w:rFonts w:ascii="Calibri" w:eastAsia="Times New Roman" w:hAnsi="Calibri" w:cs="Calibri"/>
          <w:color w:val="000000"/>
          <w:lang w:val="en-GB" w:eastAsia="cs-CZ"/>
        </w:rPr>
        <w:t xml:space="preserve"> statutory bodies of foreign investors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work in the Czech Republic and helps ensure sufficient skilled labour. The project is to run until the entry into force of new legislation on entry and residence of foreigners in the Czech Republic. </w:t>
      </w:r>
      <w:r>
        <w:rPr>
          <w:rFonts w:ascii="Calibri" w:eastAsia="Times New Roman" w:hAnsi="Calibri" w:cs="Calibri"/>
          <w:color w:val="000000"/>
          <w:lang w:val="en-GB" w:eastAsia="cs-CZ"/>
        </w:rPr>
        <w:t>Another project is also on-going since</w:t>
      </w:r>
      <w:r w:rsidRPr="00177F0B">
        <w:rPr>
          <w:rFonts w:ascii="Calibri" w:eastAsia="Times New Roman" w:hAnsi="Calibri" w:cs="Calibri"/>
          <w:color w:val="000000"/>
          <w:lang w:val="en-GB" w:eastAsia="cs-CZ"/>
        </w:rPr>
        <w:t>1</w:t>
      </w:r>
      <w:r w:rsidRPr="00B96B7B">
        <w:rPr>
          <w:rFonts w:ascii="Calibri" w:eastAsia="Times New Roman" w:hAnsi="Calibri" w:cs="Calibri"/>
          <w:color w:val="000000"/>
          <w:vertAlign w:val="superscript"/>
          <w:lang w:val="en-GB" w:eastAsia="cs-CZ"/>
        </w:rPr>
        <w:t>st</w:t>
      </w:r>
      <w:r>
        <w:rPr>
          <w:rFonts w:ascii="Calibri" w:eastAsia="Times New Roman" w:hAnsi="Calibri" w:cs="Calibri"/>
          <w:color w:val="000000"/>
          <w:lang w:val="en-GB" w:eastAsia="cs-CZ"/>
        </w:rPr>
        <w:t xml:space="preserve"> July 2013, which is named</w:t>
      </w:r>
      <w:r w:rsidRPr="00177F0B">
        <w:rPr>
          <w:rFonts w:ascii="Calibri" w:eastAsia="Times New Roman" w:hAnsi="Calibri" w:cs="Calibri"/>
          <w:color w:val="000000"/>
          <w:lang w:val="en-GB" w:eastAsia="cs-CZ"/>
        </w:rPr>
        <w:t> </w:t>
      </w:r>
      <w:r w:rsidRPr="00177F0B">
        <w:rPr>
          <w:rFonts w:ascii="Calibri" w:eastAsia="Times New Roman" w:hAnsi="Calibri" w:cs="Calibri"/>
          <w:b/>
          <w:bCs/>
          <w:color w:val="000000"/>
          <w:lang w:val="en-GB" w:eastAsia="cs-CZ"/>
        </w:rPr>
        <w:t>Welcome Package</w:t>
      </w:r>
      <w:r w:rsidRPr="00177F0B">
        <w:rPr>
          <w:rFonts w:ascii="Calibri" w:eastAsia="Times New Roman" w:hAnsi="Calibri" w:cs="Calibri"/>
          <w:color w:val="000000"/>
          <w:lang w:val="en-GB" w:eastAsia="cs-CZ"/>
        </w:rPr>
        <w:t xml:space="preserve"> for investors, which streamlines the procedures of entry and employment of key foreigners </w:t>
      </w:r>
      <w:r>
        <w:rPr>
          <w:rFonts w:ascii="Calibri" w:eastAsia="Times New Roman" w:hAnsi="Calibri" w:cs="Calibri"/>
          <w:color w:val="000000"/>
          <w:lang w:val="en-GB" w:eastAsia="cs-CZ"/>
        </w:rPr>
        <w:t xml:space="preserve">who </w:t>
      </w:r>
      <w:r w:rsidRPr="00177F0B">
        <w:rPr>
          <w:rFonts w:ascii="Calibri" w:eastAsia="Times New Roman" w:hAnsi="Calibri" w:cs="Calibri"/>
          <w:color w:val="000000"/>
          <w:lang w:val="en-GB" w:eastAsia="cs-CZ"/>
        </w:rPr>
        <w:t xml:space="preserve">need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quickly and smoothly obtain the necessary residence and work permit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 order to be eligible for work within the</w:t>
      </w:r>
      <w:r w:rsidRPr="00177F0B">
        <w:rPr>
          <w:rFonts w:ascii="Calibri" w:eastAsia="Times New Roman" w:hAnsi="Calibri" w:cs="Calibri"/>
          <w:color w:val="000000"/>
          <w:lang w:val="en-GB" w:eastAsia="cs-CZ"/>
        </w:rPr>
        <w:t xml:space="preserve"> investment location in the Czech Republic.</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New legislation on entry and residence of foreigners in the Czech Republic</w:t>
      </w:r>
    </w:p>
    <w:p w:rsidR="00D82BDB" w:rsidRPr="00E52DD5" w:rsidRDefault="00E52DD5" w:rsidP="00D82BDB">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continues to prepare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new legislation on entry and residence of foreigners in the Czech Republic. Draft</w:t>
      </w:r>
      <w:r>
        <w:rPr>
          <w:rFonts w:ascii="Calibri" w:eastAsia="Times New Roman" w:hAnsi="Calibri" w:cs="Calibri"/>
          <w:color w:val="000000"/>
          <w:lang w:val="en-GB" w:eastAsia="cs-CZ"/>
        </w:rPr>
        <w:t xml:space="preserve"> of the </w:t>
      </w:r>
      <w:r w:rsidRPr="00177F0B">
        <w:rPr>
          <w:rFonts w:ascii="Calibri" w:eastAsia="Times New Roman" w:hAnsi="Calibri" w:cs="Calibri"/>
          <w:color w:val="000000"/>
          <w:lang w:val="en-GB" w:eastAsia="cs-CZ"/>
        </w:rPr>
        <w:t>legislation was sent to the interdepartmental comment</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procedure</w:t>
      </w:r>
      <w:r>
        <w:rPr>
          <w:rFonts w:ascii="Calibri" w:eastAsia="Times New Roman" w:hAnsi="Calibri" w:cs="Calibri"/>
          <w:color w:val="000000"/>
          <w:lang w:val="en-GB" w:eastAsia="cs-CZ"/>
        </w:rPr>
        <w:t xml:space="preserve"> in 2013</w:t>
      </w:r>
      <w:r w:rsidRPr="00177F0B">
        <w:rPr>
          <w:rFonts w:ascii="Calibri" w:eastAsia="Times New Roman" w:hAnsi="Calibri" w:cs="Calibri"/>
          <w:color w:val="000000"/>
          <w:lang w:val="en-GB" w:eastAsia="cs-CZ"/>
        </w:rPr>
        <w:t xml:space="preserve"> and the comments will </w:t>
      </w:r>
      <w:r>
        <w:rPr>
          <w:rFonts w:ascii="Calibri" w:eastAsia="Times New Roman" w:hAnsi="Calibri" w:cs="Calibri"/>
          <w:color w:val="000000"/>
          <w:lang w:val="en-GB" w:eastAsia="cs-CZ"/>
        </w:rPr>
        <w:t xml:space="preserve">be gradually addressed </w:t>
      </w:r>
      <w:r w:rsidRPr="00177F0B">
        <w:rPr>
          <w:rFonts w:ascii="Calibri" w:eastAsia="Times New Roman" w:hAnsi="Calibri" w:cs="Calibri"/>
          <w:color w:val="000000"/>
          <w:lang w:val="en-GB" w:eastAsia="cs-CZ"/>
        </w:rPr>
        <w:t>during 2</w:t>
      </w:r>
      <w:r>
        <w:rPr>
          <w:rFonts w:ascii="Calibri" w:eastAsia="Times New Roman" w:hAnsi="Calibri" w:cs="Calibri"/>
          <w:color w:val="000000"/>
          <w:lang w:val="en-GB" w:eastAsia="cs-CZ"/>
        </w:rPr>
        <w:t>014</w:t>
      </w:r>
      <w:r w:rsidRPr="00177F0B">
        <w:rPr>
          <w:rFonts w:ascii="Calibri" w:eastAsia="Times New Roman" w:hAnsi="Calibri" w:cs="Calibri"/>
          <w:color w:val="000000"/>
          <w:lang w:val="en-GB" w:eastAsia="cs-CZ"/>
        </w:rPr>
        <w:t>. The new rules will include, among others, the introduction of new types of uniform residence permit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for the purpose of employment (employee card), which will contribute significantly to reducing the bureaucratic burden associated with granting residence and work</w:t>
      </w:r>
      <w:r>
        <w:rPr>
          <w:rFonts w:ascii="Calibri" w:eastAsia="Times New Roman" w:hAnsi="Calibri" w:cs="Calibri"/>
          <w:color w:val="000000"/>
          <w:lang w:val="en-GB" w:eastAsia="cs-CZ"/>
        </w:rPr>
        <w:t xml:space="preserve"> permits to</w:t>
      </w:r>
      <w:r w:rsidRPr="00177F0B">
        <w:rPr>
          <w:rFonts w:ascii="Calibri" w:eastAsia="Times New Roman" w:hAnsi="Calibri" w:cs="Calibri"/>
          <w:color w:val="000000"/>
          <w:lang w:val="en-GB" w:eastAsia="cs-CZ"/>
        </w:rPr>
        <w:t xml:space="preserve"> th</w:t>
      </w:r>
      <w:r>
        <w:rPr>
          <w:rFonts w:ascii="Calibri" w:eastAsia="Times New Roman" w:hAnsi="Calibri" w:cs="Calibri"/>
          <w:color w:val="000000"/>
          <w:lang w:val="en-GB" w:eastAsia="cs-CZ"/>
        </w:rPr>
        <w:t>ird country nationals.</w:t>
      </w:r>
    </w:p>
    <w:p w:rsidR="00E775E6" w:rsidRPr="007A1B09" w:rsidRDefault="00E52DD5" w:rsidP="00E775E6">
      <w:pPr>
        <w:pStyle w:val="Nadpis2"/>
        <w:numPr>
          <w:ilvl w:val="1"/>
          <w:numId w:val="4"/>
        </w:numPr>
        <w:ind w:left="851" w:hanging="851"/>
        <w:rPr>
          <w:lang w:val="en-GB"/>
        </w:rPr>
      </w:pPr>
      <w:bookmarkStart w:id="66" w:name="_Toc385946037"/>
      <w:r w:rsidRPr="00E52DD5">
        <w:rPr>
          <w:bCs/>
          <w:lang w:val="en-GB"/>
        </w:rPr>
        <w:t>Growth based on research and innovation</w:t>
      </w:r>
      <w:bookmarkEnd w:id="66"/>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Long-term sustainability of economic growth is largely dependent on the ability to innovate effectively, which requires the necess</w:t>
      </w:r>
      <w:r>
        <w:rPr>
          <w:rFonts w:ascii="Calibri" w:eastAsia="Times New Roman" w:hAnsi="Calibri" w:cs="Calibri"/>
          <w:color w:val="000000"/>
          <w:lang w:val="en-GB" w:eastAsia="cs-CZ"/>
        </w:rPr>
        <w:t>ity of creating an favourable environment for</w:t>
      </w:r>
      <w:r w:rsidRPr="00177F0B">
        <w:rPr>
          <w:rFonts w:ascii="Calibri" w:eastAsia="Times New Roman" w:hAnsi="Calibri" w:cs="Calibri"/>
          <w:color w:val="000000"/>
          <w:lang w:val="en-GB" w:eastAsia="cs-CZ"/>
        </w:rPr>
        <w:t xml:space="preserve"> research and innovation. The aim is to systematically reinforce the importance of research and innovation activities and products with higher added value as key </w:t>
      </w:r>
      <w:r>
        <w:rPr>
          <w:rFonts w:ascii="Calibri" w:eastAsia="Times New Roman" w:hAnsi="Calibri" w:cs="Calibri"/>
          <w:color w:val="000000"/>
          <w:lang w:val="en-GB" w:eastAsia="cs-CZ"/>
        </w:rPr>
        <w:t>prerequisites</w:t>
      </w:r>
      <w:r w:rsidRPr="00177F0B">
        <w:rPr>
          <w:rFonts w:ascii="Calibri" w:eastAsia="Times New Roman" w:hAnsi="Calibri" w:cs="Calibri"/>
          <w:color w:val="000000"/>
          <w:lang w:val="en-GB" w:eastAsia="cs-CZ"/>
        </w:rPr>
        <w:t xml:space="preserve"> for enhancing the competitiveness of Czech companies. These activities must respond to changes in consumer needs and demand in the foreign markets. The key factor here is to strengthen mutually beneficial partnerships between the business sector and research and educational institutions.</w:t>
      </w:r>
    </w:p>
    <w:p w:rsidR="0062799B" w:rsidRPr="00E52DD5" w:rsidRDefault="00E52DD5" w:rsidP="00721E66">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will soon focus on improvi</w:t>
      </w:r>
      <w:r>
        <w:rPr>
          <w:rFonts w:ascii="Calibri" w:eastAsia="Times New Roman" w:hAnsi="Calibri" w:cs="Calibri"/>
          <w:color w:val="000000"/>
          <w:lang w:val="en-GB" w:eastAsia="cs-CZ"/>
        </w:rPr>
        <w:t>ng the quality of management, R&amp;D and increasing</w:t>
      </w:r>
      <w:r w:rsidRPr="00177F0B">
        <w:rPr>
          <w:rFonts w:ascii="Calibri" w:eastAsia="Times New Roman" w:hAnsi="Calibri" w:cs="Calibri"/>
          <w:color w:val="000000"/>
          <w:lang w:val="en-GB" w:eastAsia="cs-CZ"/>
        </w:rPr>
        <w:t xml:space="preserve"> the motivation for the use of research, development and innovation </w:t>
      </w:r>
      <w:r>
        <w:rPr>
          <w:rFonts w:ascii="Calibri" w:eastAsia="Times New Roman" w:hAnsi="Calibri" w:cs="Calibri"/>
          <w:color w:val="000000"/>
          <w:lang w:val="en-GB" w:eastAsia="cs-CZ"/>
        </w:rPr>
        <w:t>by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both </w:t>
      </w:r>
      <w:r w:rsidRPr="00177F0B">
        <w:rPr>
          <w:rFonts w:ascii="Calibri" w:eastAsia="Times New Roman" w:hAnsi="Calibri" w:cs="Calibri"/>
          <w:color w:val="000000"/>
          <w:lang w:val="en-GB" w:eastAsia="cs-CZ"/>
        </w:rPr>
        <w:t xml:space="preserve">the private and public sectors. Emphasis will be put on </w:t>
      </w:r>
      <w:r>
        <w:rPr>
          <w:rFonts w:ascii="Calibri" w:eastAsia="Times New Roman" w:hAnsi="Calibri" w:cs="Calibri"/>
          <w:color w:val="000000"/>
          <w:lang w:val="en-GB" w:eastAsia="cs-CZ"/>
        </w:rPr>
        <w:t>improving</w:t>
      </w:r>
      <w:r w:rsidRPr="00177F0B">
        <w:rPr>
          <w:rFonts w:ascii="Calibri" w:eastAsia="Times New Roman" w:hAnsi="Calibri" w:cs="Calibri"/>
          <w:color w:val="000000"/>
          <w:lang w:val="en-GB" w:eastAsia="cs-CZ"/>
        </w:rPr>
        <w:t xml:space="preserve"> the quality of research and its applicability in practice, human resource development and strengthe</w:t>
      </w:r>
      <w:r>
        <w:rPr>
          <w:rFonts w:ascii="Calibri" w:eastAsia="Times New Roman" w:hAnsi="Calibri" w:cs="Calibri"/>
          <w:color w:val="000000"/>
          <w:lang w:val="en-GB" w:eastAsia="cs-CZ"/>
        </w:rPr>
        <w:t>ning international cooperation.</w:t>
      </w:r>
    </w:p>
    <w:p w:rsidR="00265747" w:rsidRPr="007A1B09" w:rsidRDefault="00E52DD5" w:rsidP="00265747">
      <w:pPr>
        <w:pStyle w:val="Nadpis3"/>
        <w:numPr>
          <w:ilvl w:val="2"/>
          <w:numId w:val="4"/>
        </w:numPr>
        <w:ind w:left="851" w:hanging="851"/>
        <w:rPr>
          <w:lang w:val="en-GB"/>
        </w:rPr>
      </w:pPr>
      <w:bookmarkStart w:id="67" w:name="_Toc385946038"/>
      <w:r w:rsidRPr="00E52DD5">
        <w:rPr>
          <w:bCs/>
          <w:lang w:val="en-GB"/>
        </w:rPr>
        <w:t>Development of conditions for excellent research</w:t>
      </w:r>
      <w:bookmarkEnd w:id="67"/>
    </w:p>
    <w:p w:rsidR="00E52DD5" w:rsidRPr="00177F0B" w:rsidRDefault="00E52DD5" w:rsidP="00E52DD5">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A prerequisite </w:t>
      </w:r>
      <w:r w:rsidRPr="00177F0B">
        <w:rPr>
          <w:rFonts w:ascii="Calibri" w:eastAsia="Times New Roman" w:hAnsi="Calibri" w:cs="Calibri"/>
          <w:color w:val="000000"/>
          <w:lang w:val="en-GB" w:eastAsia="cs-CZ"/>
        </w:rPr>
        <w:t xml:space="preserve">for increasing the efficiency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research and innovation system of the Czech Republic is the introduction of advanced methods for the assessment of institutio</w:t>
      </w:r>
      <w:r>
        <w:rPr>
          <w:rFonts w:ascii="Calibri" w:eastAsia="Times New Roman" w:hAnsi="Calibri" w:cs="Calibri"/>
          <w:color w:val="000000"/>
          <w:lang w:val="en-GB" w:eastAsia="cs-CZ"/>
        </w:rPr>
        <w:t>nal and targeted funding of R&amp;D, human resource development</w:t>
      </w:r>
      <w:r w:rsidRPr="00177F0B">
        <w:rPr>
          <w:rFonts w:ascii="Calibri" w:eastAsia="Times New Roman" w:hAnsi="Calibri" w:cs="Calibri"/>
          <w:color w:val="000000"/>
          <w:lang w:val="en-GB" w:eastAsia="cs-CZ"/>
        </w:rPr>
        <w:t xml:space="preserve"> reflecting the needs of the knowledge economy of the Czech Republic, </w:t>
      </w:r>
      <w:r w:rsidRPr="00177F0B">
        <w:rPr>
          <w:rFonts w:ascii="Calibri" w:eastAsia="Times New Roman" w:hAnsi="Calibri" w:cs="Calibri"/>
          <w:color w:val="000000"/>
          <w:lang w:val="en-GB" w:eastAsia="cs-CZ"/>
        </w:rPr>
        <w:lastRenderedPageBreak/>
        <w:t>improv</w:t>
      </w:r>
      <w:r>
        <w:rPr>
          <w:rFonts w:ascii="Calibri" w:eastAsia="Times New Roman" w:hAnsi="Calibri" w:cs="Calibri"/>
          <w:color w:val="000000"/>
          <w:lang w:val="en-GB" w:eastAsia="cs-CZ"/>
        </w:rPr>
        <w:t>ement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R&amp;D </w:t>
      </w:r>
      <w:r w:rsidRPr="00177F0B">
        <w:rPr>
          <w:rFonts w:ascii="Calibri" w:eastAsia="Times New Roman" w:hAnsi="Calibri" w:cs="Calibri"/>
          <w:color w:val="000000"/>
          <w:lang w:val="en-GB" w:eastAsia="cs-CZ"/>
        </w:rPr>
        <w:t>management at all levels, the continued modernization of research infrastructure of the Czech Republic and deepening its integration into the European Research Area.</w:t>
      </w:r>
    </w:p>
    <w:p w:rsidR="00E52DD5" w:rsidRDefault="00E52DD5">
      <w:pPr>
        <w:spacing w:after="0"/>
        <w:ind w:firstLine="360"/>
        <w:jc w:val="left"/>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br w:type="page"/>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lastRenderedPageBreak/>
        <w:t xml:space="preserve">National </w:t>
      </w:r>
      <w:r>
        <w:rPr>
          <w:rFonts w:ascii="Cambria" w:eastAsia="Times New Roman" w:hAnsi="Cambria" w:cs="Times New Roman"/>
          <w:b/>
          <w:bCs/>
          <w:i/>
          <w:iCs/>
          <w:color w:val="D41616"/>
          <w:lang w:val="en-GB" w:eastAsia="cs-CZ"/>
        </w:rPr>
        <w:t>S</w:t>
      </w:r>
      <w:r w:rsidRPr="00177F0B">
        <w:rPr>
          <w:rFonts w:ascii="Cambria" w:eastAsia="Times New Roman" w:hAnsi="Cambria" w:cs="Times New Roman"/>
          <w:b/>
          <w:bCs/>
          <w:i/>
          <w:iCs/>
          <w:color w:val="D41616"/>
          <w:lang w:val="en-GB" w:eastAsia="cs-CZ"/>
        </w:rPr>
        <w:t>ustainability Program</w:t>
      </w:r>
      <w:r>
        <w:rPr>
          <w:rFonts w:ascii="Cambria" w:eastAsia="Times New Roman" w:hAnsi="Cambria" w:cs="Times New Roman"/>
          <w:b/>
          <w:bCs/>
          <w:i/>
          <w:iCs/>
          <w:color w:val="D41616"/>
          <w:lang w:val="en-GB" w:eastAsia="cs-CZ"/>
        </w:rPr>
        <w:t>me</w:t>
      </w:r>
      <w:r w:rsidRPr="00177F0B">
        <w:rPr>
          <w:rFonts w:ascii="Cambria" w:eastAsia="Times New Roman" w:hAnsi="Cambria" w:cs="Times New Roman"/>
          <w:b/>
          <w:bCs/>
          <w:i/>
          <w:iCs/>
          <w:color w:val="D41616"/>
          <w:lang w:val="en-GB" w:eastAsia="cs-CZ"/>
        </w:rPr>
        <w:t>s I and II</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ensure long-term sustainability of the </w:t>
      </w:r>
      <w:r>
        <w:rPr>
          <w:rFonts w:ascii="Calibri" w:eastAsia="Times New Roman" w:hAnsi="Calibri" w:cs="Calibri"/>
          <w:color w:val="000000"/>
          <w:lang w:val="en-GB" w:eastAsia="cs-CZ"/>
        </w:rPr>
        <w:t xml:space="preserve">R&amp;D </w:t>
      </w:r>
      <w:r w:rsidRPr="00177F0B">
        <w:rPr>
          <w:rFonts w:ascii="Calibri" w:eastAsia="Times New Roman" w:hAnsi="Calibri" w:cs="Calibri"/>
          <w:color w:val="000000"/>
          <w:lang w:val="en-GB" w:eastAsia="cs-CZ"/>
        </w:rPr>
        <w:t>centre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built in the </w:t>
      </w:r>
      <w:r>
        <w:rPr>
          <w:rFonts w:ascii="Calibri" w:eastAsia="Times New Roman" w:hAnsi="Calibri" w:cs="Calibri"/>
          <w:color w:val="000000"/>
          <w:lang w:val="en-GB" w:eastAsia="cs-CZ"/>
        </w:rPr>
        <w:t>Czech Republic with</w:t>
      </w:r>
      <w:r w:rsidRPr="00177F0B">
        <w:rPr>
          <w:rFonts w:ascii="Calibri" w:eastAsia="Times New Roman" w:hAnsi="Calibri" w:cs="Calibri"/>
          <w:color w:val="000000"/>
          <w:lang w:val="en-GB" w:eastAsia="cs-CZ"/>
        </w:rPr>
        <w:t xml:space="preserve"> the use of EU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tructural </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 xml:space="preserve">unds,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continue to implement the National Sustainability Programs I and II. Emphasis </w:t>
      </w:r>
      <w:r>
        <w:rPr>
          <w:rFonts w:ascii="Calibri" w:eastAsia="Times New Roman" w:hAnsi="Calibri" w:cs="Calibri"/>
          <w:color w:val="000000"/>
          <w:lang w:val="en-GB" w:eastAsia="cs-CZ"/>
        </w:rPr>
        <w:t xml:space="preserve">within the implementation of </w:t>
      </w:r>
      <w:r w:rsidRPr="00177F0B">
        <w:rPr>
          <w:rFonts w:ascii="Calibri" w:eastAsia="Times New Roman" w:hAnsi="Calibri" w:cs="Calibri"/>
          <w:color w:val="000000"/>
          <w:lang w:val="en-GB" w:eastAsia="cs-CZ"/>
        </w:rPr>
        <w:t>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will be </w:t>
      </w:r>
      <w:r>
        <w:rPr>
          <w:rFonts w:ascii="Calibri" w:eastAsia="Times New Roman" w:hAnsi="Calibri" w:cs="Calibri"/>
          <w:color w:val="000000"/>
          <w:lang w:val="en-GB" w:eastAsia="cs-CZ"/>
        </w:rPr>
        <w:t>put on</w:t>
      </w:r>
      <w:r w:rsidRPr="00177F0B">
        <w:rPr>
          <w:rFonts w:ascii="Calibri" w:eastAsia="Times New Roman" w:hAnsi="Calibri" w:cs="Calibri"/>
          <w:color w:val="000000"/>
          <w:lang w:val="en-GB" w:eastAsia="cs-CZ"/>
        </w:rPr>
        <w:t xml:space="preserve"> effective cooperation </w:t>
      </w:r>
      <w:r>
        <w:rPr>
          <w:rFonts w:ascii="Calibri" w:eastAsia="Times New Roman" w:hAnsi="Calibri" w:cs="Calibri"/>
          <w:color w:val="000000"/>
          <w:lang w:val="en-GB" w:eastAsia="cs-CZ"/>
        </w:rPr>
        <w:t xml:space="preserve">of centres </w:t>
      </w:r>
      <w:r w:rsidRPr="00177F0B">
        <w:rPr>
          <w:rFonts w:ascii="Calibri" w:eastAsia="Times New Roman" w:hAnsi="Calibri" w:cs="Calibri"/>
          <w:color w:val="000000"/>
          <w:lang w:val="en-GB" w:eastAsia="cs-CZ"/>
        </w:rPr>
        <w:t xml:space="preserve">with the business </w:t>
      </w:r>
      <w:r>
        <w:rPr>
          <w:rFonts w:ascii="Calibri" w:eastAsia="Times New Roman" w:hAnsi="Calibri" w:cs="Calibri"/>
          <w:color w:val="000000"/>
          <w:lang w:val="en-GB" w:eastAsia="cs-CZ"/>
        </w:rPr>
        <w:t>sector</w:t>
      </w:r>
      <w:r w:rsidRPr="00177F0B">
        <w:rPr>
          <w:rFonts w:ascii="Calibri" w:eastAsia="Times New Roman" w:hAnsi="Calibri" w:cs="Calibri"/>
          <w:color w:val="000000"/>
          <w:lang w:val="en-GB" w:eastAsia="cs-CZ"/>
        </w:rPr>
        <w:t xml:space="preserve"> and their involvement in international cooperation. At the same time, the government will seek to reduce disproportionality in the possibilities of modernization of research infrastructure in Prague and other Czech regions.</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The internationalization of higher education, </w:t>
      </w:r>
      <w:r>
        <w:rPr>
          <w:rFonts w:ascii="Cambria" w:eastAsia="Times New Roman" w:hAnsi="Cambria" w:cs="Times New Roman"/>
          <w:b/>
          <w:bCs/>
          <w:i/>
          <w:iCs/>
          <w:color w:val="D41616"/>
          <w:lang w:val="en-GB" w:eastAsia="cs-CZ"/>
        </w:rPr>
        <w:t>R&amp;D</w:t>
      </w:r>
      <w:r w:rsidRPr="00177F0B">
        <w:rPr>
          <w:rFonts w:ascii="Cambria" w:eastAsia="Times New Roman" w:hAnsi="Cambria" w:cs="Times New Roman"/>
          <w:b/>
          <w:bCs/>
          <w:i/>
          <w:iCs/>
          <w:color w:val="D41616"/>
          <w:lang w:val="en-GB" w:eastAsia="cs-CZ"/>
        </w:rPr>
        <w:t xml:space="preserve"> and business</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develop a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trategy of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nternationalization of Higher Education,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and Business, which will include, among others, the concept of membership in international research organizations, the strategy of supporting and encouraging the participation of the Czech </w:t>
      </w:r>
      <w:r>
        <w:rPr>
          <w:rFonts w:ascii="Calibri" w:eastAsia="Times New Roman" w:hAnsi="Calibri" w:cs="Calibri"/>
          <w:color w:val="000000"/>
          <w:lang w:val="en-GB" w:eastAsia="cs-CZ"/>
        </w:rPr>
        <w:t xml:space="preserve">subjects </w:t>
      </w:r>
      <w:r w:rsidRPr="00177F0B">
        <w:rPr>
          <w:rFonts w:ascii="Calibri" w:eastAsia="Times New Roman" w:hAnsi="Calibri" w:cs="Calibri"/>
          <w:color w:val="000000"/>
          <w:lang w:val="en-GB" w:eastAsia="cs-CZ"/>
        </w:rPr>
        <w:t>in the EU Framework Programme for Research and Innovation Horizon 2020, the principle</w:t>
      </w:r>
      <w:r>
        <w:rPr>
          <w:rFonts w:ascii="Calibri" w:eastAsia="Times New Roman" w:hAnsi="Calibri" w:cs="Calibri"/>
          <w:color w:val="000000"/>
          <w:lang w:val="en-GB" w:eastAsia="cs-CZ"/>
        </w:rPr>
        <w:t>s of involving</w:t>
      </w:r>
      <w:r w:rsidRPr="00177F0B">
        <w:rPr>
          <w:rFonts w:ascii="Calibri" w:eastAsia="Times New Roman" w:hAnsi="Calibri" w:cs="Calibri"/>
          <w:color w:val="000000"/>
          <w:lang w:val="en-GB" w:eastAsia="cs-CZ"/>
        </w:rPr>
        <w:t xml:space="preserve"> the Czech Republic in international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initiatives and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implemented within the European Research Area and the objectives for the development of international cooperation in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countries outside the</w:t>
      </w:r>
      <w:r>
        <w:rPr>
          <w:rFonts w:ascii="Calibri" w:eastAsia="Times New Roman" w:hAnsi="Calibri" w:cs="Calibri"/>
          <w:color w:val="000000"/>
          <w:lang w:val="en-GB" w:eastAsia="cs-CZ"/>
        </w:rPr>
        <w:t xml:space="preserve"> EU. The main objective of the S</w:t>
      </w:r>
      <w:r w:rsidRPr="00177F0B">
        <w:rPr>
          <w:rFonts w:ascii="Calibri" w:eastAsia="Times New Roman" w:hAnsi="Calibri" w:cs="Calibri"/>
          <w:color w:val="000000"/>
          <w:lang w:val="en-GB" w:eastAsia="cs-CZ"/>
        </w:rPr>
        <w:t xml:space="preserve">trategy will be </w:t>
      </w:r>
      <w:r>
        <w:rPr>
          <w:rFonts w:ascii="Calibri" w:eastAsia="Times New Roman" w:hAnsi="Calibri" w:cs="Calibri"/>
          <w:color w:val="000000"/>
          <w:lang w:val="en-GB" w:eastAsia="cs-CZ"/>
        </w:rPr>
        <w:t>to create</w:t>
      </w:r>
      <w:r w:rsidRPr="00177F0B">
        <w:rPr>
          <w:rFonts w:ascii="Calibri" w:eastAsia="Times New Roman" w:hAnsi="Calibri" w:cs="Calibri"/>
          <w:color w:val="000000"/>
          <w:lang w:val="en-GB" w:eastAsia="cs-CZ"/>
        </w:rPr>
        <w:t xml:space="preserve"> adequat</w:t>
      </w:r>
      <w:r>
        <w:rPr>
          <w:rFonts w:ascii="Calibri" w:eastAsia="Times New Roman" w:hAnsi="Calibri" w:cs="Calibri"/>
          <w:color w:val="000000"/>
          <w:lang w:val="en-GB" w:eastAsia="cs-CZ"/>
        </w:rPr>
        <w:t>e framework conditions to support</w:t>
      </w:r>
      <w:r w:rsidRPr="00177F0B">
        <w:rPr>
          <w:rFonts w:ascii="Calibri" w:eastAsia="Times New Roman" w:hAnsi="Calibri" w:cs="Calibri"/>
          <w:color w:val="000000"/>
          <w:lang w:val="en-GB" w:eastAsia="cs-CZ"/>
        </w:rPr>
        <w:t xml:space="preserve"> the integration of research infrastructure of the Czech Republic into the European Research Area and encouraging the increasing participation of </w:t>
      </w:r>
      <w:r>
        <w:rPr>
          <w:rFonts w:ascii="Calibri" w:eastAsia="Times New Roman" w:hAnsi="Calibri" w:cs="Calibri"/>
          <w:color w:val="000000"/>
          <w:lang w:val="en-GB" w:eastAsia="cs-CZ"/>
        </w:rPr>
        <w:t xml:space="preserve">Czech </w:t>
      </w:r>
      <w:r w:rsidRPr="00177F0B">
        <w:rPr>
          <w:rFonts w:ascii="Calibri" w:eastAsia="Times New Roman" w:hAnsi="Calibri" w:cs="Calibri"/>
          <w:color w:val="000000"/>
          <w:lang w:val="en-GB" w:eastAsia="cs-CZ"/>
        </w:rPr>
        <w:t xml:space="preserve">research organizations and enterprises </w:t>
      </w:r>
      <w:r>
        <w:rPr>
          <w:rFonts w:ascii="Calibri" w:eastAsia="Times New Roman" w:hAnsi="Calibri" w:cs="Calibri"/>
          <w:color w:val="000000"/>
          <w:lang w:val="en-GB" w:eastAsia="cs-CZ"/>
        </w:rPr>
        <w:t>in community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su</w:t>
      </w:r>
      <w:r w:rsidRPr="00177F0B">
        <w:rPr>
          <w:rFonts w:ascii="Calibri" w:eastAsia="Times New Roman" w:hAnsi="Calibri" w:cs="Calibri"/>
          <w:color w:val="000000"/>
          <w:lang w:val="en-GB" w:eastAsia="cs-CZ"/>
        </w:rPr>
        <w:t>pport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Legislative framework to support the </w:t>
      </w:r>
      <w:r>
        <w:rPr>
          <w:rFonts w:ascii="Cambria" w:eastAsia="Times New Roman" w:hAnsi="Cambria" w:cs="Times New Roman"/>
          <w:b/>
          <w:bCs/>
          <w:i/>
          <w:iCs/>
          <w:color w:val="D41616"/>
          <w:lang w:val="en-GB" w:eastAsia="cs-CZ"/>
        </w:rPr>
        <w:t>R&amp;D</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libri" w:eastAsia="Times New Roman" w:hAnsi="Calibri" w:cs="Calibri"/>
          <w:color w:val="000000"/>
          <w:lang w:val="en-GB" w:eastAsia="cs-CZ"/>
        </w:rPr>
        <w:t xml:space="preserve">The government is preparing an amendment to Act No. 130/2002 Coll., </w:t>
      </w:r>
      <w:r>
        <w:rPr>
          <w:rFonts w:ascii="Calibri" w:eastAsia="Times New Roman" w:hAnsi="Calibri" w:cs="Calibri"/>
          <w:color w:val="000000"/>
          <w:lang w:val="en-GB" w:eastAsia="cs-CZ"/>
        </w:rPr>
        <w:t>on the Support</w:t>
      </w:r>
      <w:r w:rsidRPr="00177F0B">
        <w:rPr>
          <w:rFonts w:ascii="Calibri" w:eastAsia="Times New Roman" w:hAnsi="Calibri" w:cs="Calibri"/>
          <w:color w:val="000000"/>
          <w:lang w:val="en-GB" w:eastAsia="cs-CZ"/>
        </w:rPr>
        <w:t xml:space="preserve"> of Research, Experimental Development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nd Innovation</w:t>
      </w:r>
      <w:r>
        <w:rPr>
          <w:rFonts w:ascii="Calibri" w:eastAsia="Times New Roman" w:hAnsi="Calibri" w:cs="Calibri"/>
          <w:color w:val="000000"/>
          <w:lang w:val="en-GB" w:eastAsia="cs-CZ"/>
        </w:rPr>
        <w:t xml:space="preserve"> from</w:t>
      </w:r>
      <w:r w:rsidRPr="00177F0B">
        <w:rPr>
          <w:rFonts w:ascii="Calibri" w:eastAsia="Times New Roman" w:hAnsi="Calibri" w:cs="Calibri"/>
          <w:color w:val="000000"/>
          <w:lang w:val="en-GB" w:eastAsia="cs-CZ"/>
        </w:rPr>
        <w:t xml:space="preserve"> Public Funds and amending certain related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cts (Act on the Support of Research and Development), as amended. The amendment </w:t>
      </w:r>
      <w:r>
        <w:rPr>
          <w:rFonts w:ascii="Calibri" w:eastAsia="Times New Roman" w:hAnsi="Calibri" w:cs="Calibri"/>
          <w:color w:val="000000"/>
          <w:lang w:val="en-GB" w:eastAsia="cs-CZ"/>
        </w:rPr>
        <w:t>is related</w:t>
      </w:r>
      <w:r w:rsidRPr="00177F0B">
        <w:rPr>
          <w:rFonts w:ascii="Calibri" w:eastAsia="Times New Roman" w:hAnsi="Calibri" w:cs="Calibri"/>
          <w:color w:val="000000"/>
          <w:lang w:val="en-GB" w:eastAsia="cs-CZ"/>
        </w:rPr>
        <w:t xml:space="preserve"> in particular to </w:t>
      </w:r>
      <w:r>
        <w:rPr>
          <w:rFonts w:ascii="Calibri" w:eastAsia="Times New Roman" w:hAnsi="Calibri" w:cs="Calibri"/>
          <w:color w:val="000000"/>
          <w:lang w:val="en-GB" w:eastAsia="cs-CZ"/>
        </w:rPr>
        <w:t>the new instruments of support of R&amp;D</w:t>
      </w:r>
      <w:r w:rsidRPr="00177F0B">
        <w:rPr>
          <w:rFonts w:ascii="Calibri" w:eastAsia="Times New Roman" w:hAnsi="Calibri" w:cs="Calibri"/>
          <w:color w:val="000000"/>
          <w:lang w:val="en-GB" w:eastAsia="cs-CZ"/>
        </w:rPr>
        <w:t xml:space="preserve"> funding, which should lead to a reduction administration and </w:t>
      </w:r>
      <w:r>
        <w:rPr>
          <w:rFonts w:ascii="Calibri" w:eastAsia="Times New Roman" w:hAnsi="Calibri" w:cs="Calibri"/>
          <w:color w:val="000000"/>
          <w:lang w:val="en-GB" w:eastAsia="cs-CZ"/>
        </w:rPr>
        <w:t xml:space="preserve">a more efficient </w:t>
      </w:r>
      <w:r w:rsidRPr="00177F0B">
        <w:rPr>
          <w:rFonts w:ascii="Calibri" w:eastAsia="Times New Roman" w:hAnsi="Calibri" w:cs="Calibri"/>
          <w:color w:val="000000"/>
          <w:lang w:val="en-GB" w:eastAsia="cs-CZ"/>
        </w:rPr>
        <w:t xml:space="preserve">support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applied research and innovation. In particular it</w:t>
      </w:r>
      <w:r>
        <w:rPr>
          <w:rFonts w:ascii="Calibri" w:eastAsia="Times New Roman" w:hAnsi="Calibri" w:cs="Calibri"/>
          <w:color w:val="000000"/>
          <w:lang w:val="en-GB" w:eastAsia="cs-CZ"/>
        </w:rPr>
        <w:t xml:space="preserve"> is expected </w:t>
      </w:r>
      <w:r w:rsidRPr="00177F0B">
        <w:rPr>
          <w:rFonts w:ascii="Calibri" w:eastAsia="Times New Roman" w:hAnsi="Calibri" w:cs="Calibri"/>
          <w:color w:val="000000"/>
          <w:lang w:val="en-GB" w:eastAsia="cs-CZ"/>
        </w:rPr>
        <w:t>to expand the possibilities of targeted support for infrastructure and feasibility studies, as well as a significant expansion of forms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targeted support, including the implications of the</w:t>
      </w:r>
      <w:r>
        <w:rPr>
          <w:rFonts w:ascii="Calibri" w:eastAsia="Times New Roman" w:hAnsi="Calibri" w:cs="Calibri"/>
          <w:color w:val="000000"/>
          <w:lang w:val="en-GB" w:eastAsia="cs-CZ"/>
        </w:rPr>
        <w:t xml:space="preserve"> so-called</w:t>
      </w:r>
      <w:r w:rsidRPr="00177F0B">
        <w:rPr>
          <w:rFonts w:ascii="Calibri" w:eastAsia="Times New Roman" w:hAnsi="Calibri" w:cs="Calibri"/>
          <w:color w:val="000000"/>
          <w:lang w:val="en-GB" w:eastAsia="cs-CZ"/>
        </w:rPr>
        <w:t xml:space="preserve"> SBIR, removal of some bureaucratic obstacles to </w:t>
      </w:r>
      <w:r>
        <w:rPr>
          <w:rFonts w:ascii="Calibri" w:eastAsia="Times New Roman" w:hAnsi="Calibri" w:cs="Calibri"/>
          <w:color w:val="000000"/>
          <w:lang w:val="en-GB" w:eastAsia="cs-CZ"/>
        </w:rPr>
        <w:t xml:space="preserve">submission of </w:t>
      </w:r>
      <w:r w:rsidRPr="00177F0B">
        <w:rPr>
          <w:rFonts w:ascii="Calibri" w:eastAsia="Times New Roman" w:hAnsi="Calibri" w:cs="Calibri"/>
          <w:color w:val="000000"/>
          <w:lang w:val="en-GB" w:eastAsia="cs-CZ"/>
        </w:rPr>
        <w:t>project proposals</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and finally </w:t>
      </w:r>
      <w:r>
        <w:rPr>
          <w:rFonts w:ascii="Calibri" w:eastAsia="Times New Roman" w:hAnsi="Calibri" w:cs="Calibri"/>
          <w:color w:val="000000"/>
          <w:lang w:val="en-GB" w:eastAsia="cs-CZ"/>
        </w:rPr>
        <w:t>defining</w:t>
      </w:r>
      <w:r w:rsidRPr="00177F0B">
        <w:rPr>
          <w:rFonts w:ascii="Calibri" w:eastAsia="Times New Roman" w:hAnsi="Calibri" w:cs="Calibri"/>
          <w:color w:val="000000"/>
          <w:lang w:val="en-GB" w:eastAsia="cs-CZ"/>
        </w:rPr>
        <w:t xml:space="preserve"> the government </w:t>
      </w:r>
      <w:r>
        <w:rPr>
          <w:rFonts w:ascii="Calibri" w:eastAsia="Times New Roman" w:hAnsi="Calibri" w:cs="Calibri"/>
          <w:color w:val="000000"/>
          <w:lang w:val="en-GB" w:eastAsia="cs-CZ"/>
        </w:rPr>
        <w:t>body</w:t>
      </w:r>
      <w:r w:rsidRPr="00177F0B">
        <w:rPr>
          <w:rFonts w:ascii="Calibri" w:eastAsia="Times New Roman" w:hAnsi="Calibri" w:cs="Calibri"/>
          <w:color w:val="000000"/>
          <w:lang w:val="en-GB" w:eastAsia="cs-CZ"/>
        </w:rPr>
        <w:t xml:space="preserve"> responsible for innovation.</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 xml:space="preserve">Support strategic </w:t>
      </w:r>
      <w:r>
        <w:rPr>
          <w:rFonts w:ascii="Cambria" w:eastAsia="Times New Roman" w:hAnsi="Cambria" w:cs="Times New Roman"/>
          <w:b/>
          <w:bCs/>
          <w:i/>
          <w:iCs/>
          <w:color w:val="D41616"/>
          <w:lang w:val="en-GB" w:eastAsia="cs-CZ"/>
        </w:rPr>
        <w:t>R&amp;D</w:t>
      </w:r>
      <w:r w:rsidRPr="00177F0B">
        <w:rPr>
          <w:rFonts w:ascii="Cambria" w:eastAsia="Times New Roman" w:hAnsi="Cambria" w:cs="Times New Roman"/>
          <w:b/>
          <w:bCs/>
          <w:i/>
          <w:iCs/>
          <w:color w:val="D41616"/>
          <w:lang w:val="en-GB" w:eastAsia="cs-CZ"/>
        </w:rPr>
        <w:t xml:space="preserve"> fields</w:t>
      </w:r>
    </w:p>
    <w:p w:rsidR="00AB259E" w:rsidRPr="00E52DD5" w:rsidRDefault="00E52DD5" w:rsidP="00AB259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Following the implementation of national priorities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oriented research, experimental development and innovation</w:t>
      </w:r>
      <w:r>
        <w:rPr>
          <w:rFonts w:ascii="Calibri" w:eastAsia="Times New Roman" w:hAnsi="Calibri" w:cs="Calibri"/>
          <w:color w:val="000000"/>
          <w:lang w:val="en-GB" w:eastAsia="cs-CZ"/>
        </w:rPr>
        <w:t>, which were</w:t>
      </w:r>
      <w:r w:rsidRPr="00177F0B">
        <w:rPr>
          <w:rFonts w:ascii="Calibri" w:eastAsia="Times New Roman" w:hAnsi="Calibri" w:cs="Calibri"/>
          <w:color w:val="000000"/>
          <w:lang w:val="en-GB" w:eastAsia="cs-CZ"/>
        </w:rPr>
        <w:t xml:space="preserve"> approved by the government, the new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programs will be designed to </w:t>
      </w:r>
      <w:r>
        <w:rPr>
          <w:rFonts w:ascii="Calibri" w:eastAsia="Times New Roman" w:hAnsi="Calibri" w:cs="Calibri"/>
          <w:color w:val="000000"/>
          <w:lang w:val="en-GB" w:eastAsia="cs-CZ"/>
        </w:rPr>
        <w:t>comply with</w:t>
      </w:r>
      <w:r w:rsidRPr="00177F0B">
        <w:rPr>
          <w:rFonts w:ascii="Calibri" w:eastAsia="Times New Roman" w:hAnsi="Calibri" w:cs="Calibri"/>
          <w:color w:val="000000"/>
          <w:lang w:val="en-GB" w:eastAsia="cs-CZ"/>
        </w:rPr>
        <w:t xml:space="preserve"> these priorities.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targeted 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and the distribution of institutional support for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support</w:t>
      </w:r>
      <w:r w:rsidRPr="00177F0B">
        <w:rPr>
          <w:rFonts w:ascii="Calibri" w:eastAsia="Times New Roman" w:hAnsi="Calibri" w:cs="Calibri"/>
          <w:color w:val="000000"/>
          <w:lang w:val="en-GB" w:eastAsia="cs-CZ"/>
        </w:rPr>
        <w:t xml:space="preserve"> strategic areas in which the Czech Republic has the potential to achieve high-quality research results and industrial applications. Priorit</w:t>
      </w:r>
      <w:r>
        <w:rPr>
          <w:rFonts w:ascii="Calibri" w:eastAsia="Times New Roman" w:hAnsi="Calibri" w:cs="Calibri"/>
          <w:color w:val="000000"/>
          <w:lang w:val="en-GB" w:eastAsia="cs-CZ"/>
        </w:rPr>
        <w:t>ies are</w:t>
      </w:r>
      <w:r w:rsidRPr="00177F0B">
        <w:rPr>
          <w:rFonts w:ascii="Calibri" w:eastAsia="Times New Roman" w:hAnsi="Calibri" w:cs="Calibri"/>
          <w:color w:val="000000"/>
          <w:lang w:val="en-GB" w:eastAsia="cs-CZ"/>
        </w:rPr>
        <w:t xml:space="preserve"> also based on the current socio-economic needs of society and social studies also form an integral part of</w:t>
      </w:r>
      <w:r>
        <w:rPr>
          <w:rFonts w:ascii="Calibri" w:eastAsia="Times New Roman" w:hAnsi="Calibri" w:cs="Calibri"/>
          <w:color w:val="000000"/>
          <w:lang w:val="en-GB" w:eastAsia="cs-CZ"/>
        </w:rPr>
        <w:t xml:space="preserve"> them.</w:t>
      </w:r>
    </w:p>
    <w:p w:rsidR="003237CF" w:rsidRPr="007A1B09" w:rsidRDefault="00E52DD5" w:rsidP="003237CF">
      <w:pPr>
        <w:pStyle w:val="Nadpis3"/>
        <w:numPr>
          <w:ilvl w:val="2"/>
          <w:numId w:val="4"/>
        </w:numPr>
        <w:ind w:left="851" w:hanging="851"/>
        <w:rPr>
          <w:lang w:val="en-GB"/>
        </w:rPr>
      </w:pPr>
      <w:bookmarkStart w:id="68" w:name="_Toc385946039"/>
      <w:r w:rsidRPr="00E52DD5">
        <w:rPr>
          <w:bCs/>
          <w:lang w:val="en-GB"/>
        </w:rPr>
        <w:t>Development of cooperation between the business sector and research organizations</w:t>
      </w:r>
      <w:bookmarkEnd w:id="68"/>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persistent weakness of the research and innovation system of the Czech Republic is the lack of cooperation between the public research sector and </w:t>
      </w:r>
      <w:r>
        <w:rPr>
          <w:rFonts w:ascii="Calibri" w:eastAsia="Times New Roman" w:hAnsi="Calibri" w:cs="Calibri"/>
          <w:color w:val="000000"/>
          <w:lang w:val="en-GB" w:eastAsia="cs-CZ"/>
        </w:rPr>
        <w:t>application sphere</w:t>
      </w:r>
      <w:r w:rsidRPr="00177F0B">
        <w:rPr>
          <w:rFonts w:ascii="Calibri" w:eastAsia="Times New Roman" w:hAnsi="Calibri" w:cs="Calibri"/>
          <w:color w:val="000000"/>
          <w:lang w:val="en-GB" w:eastAsia="cs-CZ"/>
        </w:rPr>
        <w:t xml:space="preserve">, particularly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corporate</w:t>
      </w:r>
      <w:r>
        <w:rPr>
          <w:rFonts w:ascii="Calibri" w:eastAsia="Times New Roman" w:hAnsi="Calibri" w:cs="Calibri"/>
          <w:color w:val="000000"/>
          <w:lang w:val="en-GB" w:eastAsia="cs-CZ"/>
        </w:rPr>
        <w:t xml:space="preserve"> sector</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corporate</w:t>
      </w:r>
      <w:r w:rsidRPr="00177F0B">
        <w:rPr>
          <w:rFonts w:ascii="Calibri" w:eastAsia="Times New Roman" w:hAnsi="Calibri" w:cs="Calibri"/>
          <w:color w:val="000000"/>
          <w:lang w:val="en-GB" w:eastAsia="cs-CZ"/>
        </w:rPr>
        <w:t xml:space="preserve"> sector carries out the largest</w:t>
      </w:r>
      <w:r>
        <w:rPr>
          <w:rFonts w:ascii="Calibri" w:eastAsia="Times New Roman" w:hAnsi="Calibri" w:cs="Calibri"/>
          <w:color w:val="000000"/>
          <w:lang w:val="en-GB" w:eastAsia="cs-CZ"/>
        </w:rPr>
        <w:t xml:space="preserve"> part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 in the Czech Republic</w:t>
      </w:r>
      <w:r>
        <w:rPr>
          <w:rStyle w:val="Znakapoznpodarou"/>
          <w:rFonts w:ascii="Calibri" w:eastAsia="Times New Roman" w:hAnsi="Calibri" w:cs="Calibri"/>
          <w:color w:val="000000"/>
          <w:lang w:val="en-GB" w:eastAsia="cs-CZ"/>
        </w:rPr>
        <w:footnoteReference w:id="29"/>
      </w:r>
      <w:r w:rsidRPr="00177F0B">
        <w:rPr>
          <w:rFonts w:ascii="Calibri" w:eastAsia="Times New Roman" w:hAnsi="Calibri" w:cs="Calibri"/>
          <w:color w:val="000000"/>
          <w:lang w:val="en-GB" w:eastAsia="cs-CZ"/>
        </w:rPr>
        <w:t xml:space="preserve">, but the share of private expenditure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total </w:t>
      </w:r>
      <w:r>
        <w:rPr>
          <w:rFonts w:ascii="Calibri" w:eastAsia="Times New Roman" w:hAnsi="Calibri" w:cs="Calibri"/>
          <w:color w:val="000000"/>
          <w:lang w:val="en-GB" w:eastAsia="cs-CZ"/>
        </w:rPr>
        <w:t xml:space="preserve">funding of R&amp;D performed in </w:t>
      </w:r>
      <w:r w:rsidRPr="00177F0B">
        <w:rPr>
          <w:rFonts w:ascii="Calibri" w:eastAsia="Times New Roman" w:hAnsi="Calibri" w:cs="Calibri"/>
          <w:color w:val="000000"/>
          <w:lang w:val="en-GB" w:eastAsia="cs-CZ"/>
        </w:rPr>
        <w:t>the Czech Republic </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relatively low, </w:t>
      </w:r>
      <w:r>
        <w:rPr>
          <w:rFonts w:ascii="Calibri" w:eastAsia="Times New Roman" w:hAnsi="Calibri" w:cs="Calibri"/>
          <w:color w:val="000000"/>
          <w:lang w:val="en-GB" w:eastAsia="cs-CZ"/>
        </w:rPr>
        <w:t xml:space="preserve">moreover </w:t>
      </w:r>
      <w:r w:rsidRPr="00177F0B">
        <w:rPr>
          <w:rFonts w:ascii="Calibri" w:eastAsia="Times New Roman" w:hAnsi="Calibri" w:cs="Calibri"/>
          <w:color w:val="000000"/>
          <w:lang w:val="en-GB" w:eastAsia="cs-CZ"/>
        </w:rPr>
        <w:t xml:space="preserve">only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part of </w:t>
      </w:r>
      <w:r>
        <w:rPr>
          <w:rFonts w:ascii="Calibri" w:eastAsia="Times New Roman" w:hAnsi="Calibri" w:cs="Calibri"/>
          <w:color w:val="000000"/>
          <w:lang w:val="en-GB" w:eastAsia="cs-CZ"/>
        </w:rPr>
        <w:t>this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is carried out in cooperation between the public and private sectors. This may indicate a persistent distrust of partnerships between businesses and universities and public research institutions.</w:t>
      </w:r>
    </w:p>
    <w:p w:rsidR="00E16489" w:rsidRPr="007A1B09" w:rsidRDefault="00E16489" w:rsidP="00F927CC">
      <w:pPr>
        <w:rPr>
          <w:lang w:val="en-GB"/>
        </w:rPr>
      </w:pPr>
    </w:p>
    <w:p w:rsidR="00F927CC" w:rsidRPr="007A1B09" w:rsidRDefault="00E52DD5" w:rsidP="00F927CC">
      <w:pPr>
        <w:pStyle w:val="Titulek"/>
        <w:keepNext/>
        <w:rPr>
          <w:lang w:val="en-GB"/>
        </w:rPr>
      </w:pPr>
      <w:r>
        <w:rPr>
          <w:lang w:val="en-GB"/>
        </w:rPr>
        <w:t>Chart</w:t>
      </w:r>
      <w:r w:rsidR="00F927CC"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11</w:t>
      </w:r>
      <w:r w:rsidR="005B4FA9" w:rsidRPr="007A1B09">
        <w:rPr>
          <w:noProof/>
          <w:lang w:val="en-GB"/>
        </w:rPr>
        <w:fldChar w:fldCharType="end"/>
      </w:r>
      <w:r w:rsidR="00F927CC" w:rsidRPr="007A1B09">
        <w:rPr>
          <w:lang w:val="en-GB"/>
        </w:rPr>
        <w:t xml:space="preserve">: </w:t>
      </w:r>
      <w:r w:rsidRPr="00E52DD5">
        <w:rPr>
          <w:lang w:val="en-GB"/>
        </w:rPr>
        <w:t>Expenditure on R&amp;D in sectors of performance by type of workplace</w:t>
      </w:r>
    </w:p>
    <w:p w:rsidR="002E01F9" w:rsidRPr="007A1B09" w:rsidRDefault="002F442B" w:rsidP="002E01F9">
      <w:pPr>
        <w:keepNext/>
        <w:rPr>
          <w:lang w:val="en-GB"/>
        </w:rPr>
      </w:pPr>
      <w:r w:rsidRPr="007A1B09">
        <w:rPr>
          <w:noProof/>
          <w:lang w:eastAsia="cs-CZ"/>
        </w:rPr>
        <w:drawing>
          <wp:inline distT="0" distB="0" distL="0" distR="0" wp14:anchorId="0F732C0A" wp14:editId="506D237E">
            <wp:extent cx="5762445" cy="2268747"/>
            <wp:effectExtent l="0" t="0" r="10160" b="1778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52DD5" w:rsidRPr="00E52DD5" w:rsidRDefault="00E52DD5" w:rsidP="00E52DD5">
      <w:pPr>
        <w:pStyle w:val="Titulek"/>
        <w:jc w:val="right"/>
        <w:rPr>
          <w:lang w:val="en-GB"/>
        </w:rPr>
      </w:pPr>
      <w:r w:rsidRPr="00E52DD5">
        <w:rPr>
          <w:lang w:val="en-GB"/>
        </w:rPr>
        <w:t>Source: Czech Statistical Office 2013 Annual Statistical Survey on Research and development VTR 5-01</w:t>
      </w:r>
    </w:p>
    <w:p w:rsidR="002F442B" w:rsidRPr="007A1B09" w:rsidRDefault="002F442B" w:rsidP="002E01F9">
      <w:pPr>
        <w:pStyle w:val="Titulek"/>
        <w:jc w:val="right"/>
        <w:rPr>
          <w:lang w:val="en-GB"/>
        </w:rPr>
      </w:pPr>
    </w:p>
    <w:p w:rsidR="002F442B" w:rsidRPr="007A1B09" w:rsidRDefault="002F442B" w:rsidP="002F442B">
      <w:pPr>
        <w:rPr>
          <w:lang w:val="en-GB"/>
        </w:rPr>
      </w:pPr>
    </w:p>
    <w:p w:rsidR="002F442B" w:rsidRPr="007A1B09" w:rsidRDefault="002F442B" w:rsidP="00414B7E">
      <w:pPr>
        <w:rPr>
          <w:highlight w:val="yellow"/>
          <w:lang w:val="en-GB"/>
        </w:rPr>
      </w:pPr>
    </w:p>
    <w:p w:rsidR="0062799B" w:rsidRPr="007A1B09" w:rsidRDefault="00E52DD5" w:rsidP="0062799B">
      <w:pPr>
        <w:pStyle w:val="Titulek"/>
        <w:keepNext/>
        <w:rPr>
          <w:lang w:val="en-GB"/>
        </w:rPr>
      </w:pPr>
      <w:r>
        <w:rPr>
          <w:lang w:val="en-GB"/>
        </w:rPr>
        <w:t>Chart</w:t>
      </w:r>
      <w:r w:rsidR="0062799B"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12</w:t>
      </w:r>
      <w:r w:rsidR="005B4FA9" w:rsidRPr="007A1B09">
        <w:rPr>
          <w:noProof/>
          <w:lang w:val="en-GB"/>
        </w:rPr>
        <w:fldChar w:fldCharType="end"/>
      </w:r>
      <w:r w:rsidR="0062799B" w:rsidRPr="007A1B09">
        <w:rPr>
          <w:lang w:val="en-GB"/>
        </w:rPr>
        <w:t xml:space="preserve">: </w:t>
      </w:r>
      <w:r w:rsidRPr="00E52DD5">
        <w:rPr>
          <w:lang w:val="en-GB"/>
        </w:rPr>
        <w:t>Expenditure on R&amp;D by sector of performance and source of funds in 2012</w:t>
      </w:r>
    </w:p>
    <w:p w:rsidR="0062799B" w:rsidRPr="007A1B09" w:rsidRDefault="0062799B" w:rsidP="0062799B">
      <w:pPr>
        <w:keepNext/>
        <w:rPr>
          <w:lang w:val="en-GB"/>
        </w:rPr>
      </w:pPr>
      <w:r w:rsidRPr="007A1B09">
        <w:rPr>
          <w:noProof/>
          <w:lang w:eastAsia="cs-CZ"/>
        </w:rPr>
        <w:drawing>
          <wp:inline distT="0" distB="0" distL="0" distR="0" wp14:anchorId="05F78AE5" wp14:editId="049818CF">
            <wp:extent cx="5762445" cy="2191109"/>
            <wp:effectExtent l="0" t="0" r="10160" b="1905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52DD5" w:rsidRPr="00E52DD5" w:rsidRDefault="00E52DD5" w:rsidP="00E52DD5">
      <w:pPr>
        <w:pStyle w:val="Titulek"/>
        <w:jc w:val="right"/>
        <w:rPr>
          <w:lang w:val="en-GB"/>
        </w:rPr>
      </w:pPr>
      <w:r w:rsidRPr="00E52DD5">
        <w:rPr>
          <w:lang w:val="en-GB"/>
        </w:rPr>
        <w:t>Source: Czech Statistical Office 2013 Annual Statistical Survey on Research and development VTR 5-01</w:t>
      </w:r>
    </w:p>
    <w:p w:rsidR="00C04289" w:rsidRPr="007A1B09" w:rsidRDefault="00C04289" w:rsidP="00414B7E">
      <w:pPr>
        <w:rPr>
          <w:lang w:val="en-GB"/>
        </w:rPr>
      </w:pPr>
    </w:p>
    <w:p w:rsidR="00E52DD5" w:rsidRPr="00177F0B" w:rsidRDefault="00E52DD5" w:rsidP="00E52DD5">
      <w:pPr>
        <w:rPr>
          <w:rFonts w:ascii="Calibri" w:eastAsia="Times New Roman" w:hAnsi="Calibri" w:cs="Calibri"/>
          <w:color w:val="000000"/>
          <w:lang w:val="en-GB" w:eastAsia="cs-CZ"/>
        </w:rPr>
      </w:pPr>
      <w:r>
        <w:rPr>
          <w:rFonts w:ascii="Calibri" w:eastAsia="Times New Roman" w:hAnsi="Calibri" w:cs="Calibri"/>
          <w:color w:val="000000"/>
          <w:lang w:val="en-GB" w:eastAsia="cs-CZ"/>
        </w:rPr>
        <w:t>The R&amp;D support</w:t>
      </w:r>
      <w:r w:rsidRPr="00177F0B">
        <w:rPr>
          <w:rFonts w:ascii="Calibri" w:eastAsia="Times New Roman" w:hAnsi="Calibri" w:cs="Calibri"/>
          <w:color w:val="000000"/>
          <w:lang w:val="en-GB" w:eastAsia="cs-CZ"/>
        </w:rPr>
        <w:t xml:space="preserve"> from the state budget should therefore stimulate synerg</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 R&amp;D</w:t>
      </w:r>
      <w:r w:rsidRPr="00177F0B">
        <w:rPr>
          <w:rFonts w:ascii="Calibri" w:eastAsia="Times New Roman" w:hAnsi="Calibri" w:cs="Calibri"/>
          <w:color w:val="000000"/>
          <w:lang w:val="en-GB" w:eastAsia="cs-CZ"/>
        </w:rPr>
        <w:t xml:space="preserve"> funding from public and private sources, promoting the formation of long-term strategic partnerships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research organizations and enterprises (technology platforms, clusters), commercialization of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results achieved in the public sector, transfer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knowledge into practice and removing barriers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performing contract</w:t>
      </w:r>
      <w:r>
        <w:rPr>
          <w:rFonts w:ascii="Calibri" w:eastAsia="Times New Roman" w:hAnsi="Calibri" w:cs="Calibri"/>
          <w:color w:val="000000"/>
          <w:lang w:val="en-GB" w:eastAsia="cs-CZ"/>
        </w:rPr>
        <w:t>ual</w:t>
      </w:r>
      <w:r w:rsidRPr="00177F0B">
        <w:rPr>
          <w:rFonts w:ascii="Calibri" w:eastAsia="Times New Roman" w:hAnsi="Calibri" w:cs="Calibri"/>
          <w:color w:val="000000"/>
          <w:lang w:val="en-GB" w:eastAsia="cs-CZ"/>
        </w:rPr>
        <w:t xml:space="preserve"> research.</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improve cooperation between the research sector and </w:t>
      </w:r>
      <w:r>
        <w:rPr>
          <w:rFonts w:ascii="Calibri" w:eastAsia="Times New Roman" w:hAnsi="Calibri" w:cs="Calibri"/>
          <w:color w:val="000000"/>
          <w:lang w:val="en-GB" w:eastAsia="cs-CZ"/>
        </w:rPr>
        <w:t>the application sphere the</w:t>
      </w:r>
      <w:r w:rsidRPr="00177F0B">
        <w:rPr>
          <w:rFonts w:ascii="Calibri" w:eastAsia="Times New Roman" w:hAnsi="Calibri" w:cs="Calibri"/>
          <w:color w:val="000000"/>
          <w:lang w:val="en-GB" w:eastAsia="cs-CZ"/>
        </w:rPr>
        <w:t xml:space="preserve"> government in 2013 approved an amendment to Act No. 586/1992/Sb., </w:t>
      </w:r>
      <w:r>
        <w:rPr>
          <w:rFonts w:ascii="Calibri" w:eastAsia="Times New Roman" w:hAnsi="Calibri" w:cs="Calibri"/>
          <w:color w:val="000000"/>
          <w:lang w:val="en-GB" w:eastAsia="cs-CZ"/>
        </w:rPr>
        <w:t>o</w:t>
      </w:r>
      <w:r w:rsidRPr="00177F0B">
        <w:rPr>
          <w:rFonts w:ascii="Calibri" w:eastAsia="Times New Roman" w:hAnsi="Calibri" w:cs="Calibri"/>
          <w:color w:val="000000"/>
          <w:lang w:val="en-GB" w:eastAsia="cs-CZ"/>
        </w:rPr>
        <w:t xml:space="preserve">n Income Tax for the purposes of technical </w:t>
      </w:r>
      <w:r>
        <w:rPr>
          <w:rFonts w:ascii="Calibri" w:eastAsia="Times New Roman" w:hAnsi="Calibri" w:cs="Calibri"/>
          <w:color w:val="000000"/>
          <w:lang w:val="en-GB" w:eastAsia="cs-CZ"/>
        </w:rPr>
        <w:t>education</w:t>
      </w:r>
      <w:r w:rsidRPr="00177F0B">
        <w:rPr>
          <w:rFonts w:ascii="Calibri" w:eastAsia="Times New Roman" w:hAnsi="Calibri" w:cs="Calibri"/>
          <w:color w:val="000000"/>
          <w:lang w:val="en-GB" w:eastAsia="cs-CZ"/>
        </w:rPr>
        <w:t xml:space="preserve"> and contract</w:t>
      </w:r>
      <w:r>
        <w:rPr>
          <w:rFonts w:ascii="Calibri" w:eastAsia="Times New Roman" w:hAnsi="Calibri" w:cs="Calibri"/>
          <w:color w:val="000000"/>
          <w:lang w:val="en-GB" w:eastAsia="cs-CZ"/>
        </w:rPr>
        <w:t>ual</w:t>
      </w:r>
      <w:r w:rsidRPr="00177F0B">
        <w:rPr>
          <w:rFonts w:ascii="Calibri" w:eastAsia="Times New Roman" w:hAnsi="Calibri" w:cs="Calibri"/>
          <w:color w:val="000000"/>
          <w:lang w:val="en-GB" w:eastAsia="cs-CZ"/>
        </w:rPr>
        <w:t xml:space="preserve"> research, which </w:t>
      </w:r>
      <w:r>
        <w:rPr>
          <w:rFonts w:ascii="Calibri" w:eastAsia="Times New Roman" w:hAnsi="Calibri" w:cs="Calibri"/>
          <w:color w:val="000000"/>
          <w:lang w:val="en-GB" w:eastAsia="cs-CZ"/>
        </w:rPr>
        <w:t>enables</w:t>
      </w:r>
      <w:r w:rsidRPr="00177F0B">
        <w:rPr>
          <w:rFonts w:ascii="Calibri" w:eastAsia="Times New Roman" w:hAnsi="Calibri" w:cs="Calibri"/>
          <w:color w:val="000000"/>
          <w:lang w:val="en-GB" w:eastAsia="cs-CZ"/>
        </w:rPr>
        <w:t xml:space="preserve"> tax </w:t>
      </w:r>
      <w:r>
        <w:rPr>
          <w:rFonts w:ascii="Calibri" w:eastAsia="Times New Roman" w:hAnsi="Calibri" w:cs="Calibri"/>
          <w:color w:val="000000"/>
          <w:lang w:val="en-GB" w:eastAsia="cs-CZ"/>
        </w:rPr>
        <w:t>allowances for obtaining</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results </w:t>
      </w:r>
      <w:r w:rsidRPr="00177F0B">
        <w:rPr>
          <w:rFonts w:ascii="Calibri" w:eastAsia="Times New Roman" w:hAnsi="Calibri" w:cs="Calibri"/>
          <w:color w:val="000000"/>
          <w:lang w:val="en-GB" w:eastAsia="cs-CZ"/>
        </w:rPr>
        <w:t>from research organizations and corporate investment in education.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Given that a s</w:t>
      </w:r>
      <w:r>
        <w:rPr>
          <w:rFonts w:ascii="Calibri" w:eastAsia="Times New Roman" w:hAnsi="Calibri" w:cs="Calibri"/>
          <w:color w:val="000000"/>
          <w:lang w:val="en-GB" w:eastAsia="cs-CZ"/>
        </w:rPr>
        <w:t>ignificant proportion of large companies</w:t>
      </w:r>
      <w:r w:rsidRPr="00177F0B">
        <w:rPr>
          <w:rFonts w:ascii="Calibri" w:eastAsia="Times New Roman" w:hAnsi="Calibri" w:cs="Calibri"/>
          <w:color w:val="000000"/>
          <w:lang w:val="en-GB" w:eastAsia="cs-CZ"/>
        </w:rPr>
        <w:t xml:space="preserve"> in the Czech Republic are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part of foreign multinational corporations, the government will try to motivate investors to conduct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in the Czech Republic.</w:t>
      </w:r>
    </w:p>
    <w:p w:rsidR="00E52DD5" w:rsidRDefault="00E52DD5">
      <w:pPr>
        <w:spacing w:after="0"/>
        <w:ind w:firstLine="360"/>
        <w:jc w:val="left"/>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lastRenderedPageBreak/>
        <w:br w:type="page"/>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lastRenderedPageBreak/>
        <w:t>S</w:t>
      </w:r>
      <w:r w:rsidRPr="00177F0B">
        <w:rPr>
          <w:rFonts w:ascii="Cambria" w:eastAsia="Times New Roman" w:hAnsi="Cambria" w:cs="Times New Roman"/>
          <w:b/>
          <w:bCs/>
          <w:i/>
          <w:iCs/>
          <w:color w:val="D41616"/>
          <w:lang w:val="en-GB" w:eastAsia="cs-CZ"/>
        </w:rPr>
        <w:t xml:space="preserve">trategy for </w:t>
      </w:r>
      <w:r>
        <w:rPr>
          <w:rFonts w:ascii="Cambria" w:eastAsia="Times New Roman" w:hAnsi="Cambria" w:cs="Times New Roman"/>
          <w:b/>
          <w:bCs/>
          <w:i/>
          <w:iCs/>
          <w:color w:val="D41616"/>
          <w:lang w:val="en-GB" w:eastAsia="cs-CZ"/>
        </w:rPr>
        <w:t>Intelligent</w:t>
      </w:r>
      <w:r w:rsidRPr="00177F0B">
        <w:rPr>
          <w:rFonts w:ascii="Cambria" w:eastAsia="Times New Roman" w:hAnsi="Cambria" w:cs="Times New Roman"/>
          <w:b/>
          <w:bCs/>
          <w:i/>
          <w:iCs/>
          <w:color w:val="D41616"/>
          <w:lang w:val="en-GB" w:eastAsia="cs-CZ"/>
        </w:rPr>
        <w:t xml:space="preserve"> Specialization </w:t>
      </w:r>
      <w:r>
        <w:rPr>
          <w:rFonts w:ascii="Cambria" w:eastAsia="Times New Roman" w:hAnsi="Cambria" w:cs="Times New Roman"/>
          <w:b/>
          <w:bCs/>
          <w:i/>
          <w:iCs/>
          <w:color w:val="D41616"/>
          <w:lang w:val="en-GB" w:eastAsia="cs-CZ"/>
        </w:rPr>
        <w:t xml:space="preserve">of the </w:t>
      </w:r>
      <w:r w:rsidRPr="00177F0B">
        <w:rPr>
          <w:rFonts w:ascii="Cambria" w:eastAsia="Times New Roman" w:hAnsi="Cambria" w:cs="Times New Roman"/>
          <w:b/>
          <w:bCs/>
          <w:i/>
          <w:iCs/>
          <w:color w:val="D41616"/>
          <w:lang w:val="en-GB" w:eastAsia="cs-CZ"/>
        </w:rPr>
        <w:t>Czech Republic (RIS3)</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order to coordinate the development and implementatio</w:t>
      </w:r>
      <w:r>
        <w:rPr>
          <w:rFonts w:ascii="Calibri" w:eastAsia="Times New Roman" w:hAnsi="Calibri" w:cs="Calibri"/>
          <w:color w:val="000000"/>
          <w:lang w:val="en-GB" w:eastAsia="cs-CZ"/>
        </w:rPr>
        <w:t>n of regional innovation policy</w:t>
      </w:r>
      <w:r w:rsidRPr="00177F0B">
        <w:rPr>
          <w:rFonts w:ascii="Calibri" w:eastAsia="Times New Roman" w:hAnsi="Calibri" w:cs="Calibri"/>
          <w:color w:val="000000"/>
          <w:lang w:val="en-GB" w:eastAsia="cs-CZ"/>
        </w:rPr>
        <w:t xml:space="preserve"> the government has continued in the preparation of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 xml:space="preserve">esearch and Innovation Strategies for </w:t>
      </w:r>
      <w:r>
        <w:rPr>
          <w:rFonts w:ascii="Calibri" w:eastAsia="Times New Roman" w:hAnsi="Calibri" w:cs="Calibri"/>
          <w:color w:val="000000"/>
          <w:lang w:val="en-GB" w:eastAsia="cs-CZ"/>
        </w:rPr>
        <w:t>Intelligent</w:t>
      </w:r>
      <w:r w:rsidRPr="00177F0B">
        <w:rPr>
          <w:rFonts w:ascii="Calibri" w:eastAsia="Times New Roman" w:hAnsi="Calibri" w:cs="Calibri"/>
          <w:color w:val="000000"/>
          <w:lang w:val="en-GB" w:eastAsia="cs-CZ"/>
        </w:rPr>
        <w:t xml:space="preserve"> Specialization </w:t>
      </w:r>
      <w:r>
        <w:rPr>
          <w:rFonts w:ascii="Calibri" w:eastAsia="Times New Roman" w:hAnsi="Calibri" w:cs="Calibri"/>
          <w:color w:val="000000"/>
          <w:lang w:val="en-GB" w:eastAsia="cs-CZ"/>
        </w:rPr>
        <w:t xml:space="preserve">of the </w:t>
      </w:r>
      <w:r w:rsidRPr="00177F0B">
        <w:rPr>
          <w:rFonts w:ascii="Calibri" w:eastAsia="Times New Roman" w:hAnsi="Calibri" w:cs="Calibri"/>
          <w:color w:val="000000"/>
          <w:lang w:val="en-GB" w:eastAsia="cs-CZ"/>
        </w:rPr>
        <w:t>Czech Republic (RIS3).</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The aim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RIS3 is to identify the competitive advantages of </w:t>
      </w:r>
      <w:r>
        <w:rPr>
          <w:rFonts w:ascii="Calibri" w:eastAsia="Times New Roman" w:hAnsi="Calibri" w:cs="Calibri"/>
          <w:color w:val="000000"/>
          <w:lang w:val="en-GB" w:eastAsia="cs-CZ"/>
        </w:rPr>
        <w:t>individual</w:t>
      </w:r>
      <w:r w:rsidRPr="00177F0B">
        <w:rPr>
          <w:rFonts w:ascii="Calibri" w:eastAsia="Times New Roman" w:hAnsi="Calibri" w:cs="Calibri"/>
          <w:color w:val="000000"/>
          <w:lang w:val="en-GB" w:eastAsia="cs-CZ"/>
        </w:rPr>
        <w:t xml:space="preserve"> regions, to determine their strategic priorities in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and co</w:t>
      </w:r>
      <w:r>
        <w:rPr>
          <w:rFonts w:ascii="Calibri" w:eastAsia="Times New Roman" w:hAnsi="Calibri" w:cs="Calibri"/>
          <w:color w:val="000000"/>
          <w:lang w:val="en-GB" w:eastAsia="cs-CZ"/>
        </w:rPr>
        <w:t>ncentrate</w:t>
      </w:r>
      <w:r w:rsidRPr="00177F0B">
        <w:rPr>
          <w:rFonts w:ascii="Calibri" w:eastAsia="Times New Roman" w:hAnsi="Calibri" w:cs="Calibri"/>
          <w:color w:val="000000"/>
          <w:lang w:val="en-GB" w:eastAsia="cs-CZ"/>
        </w:rPr>
        <w:t xml:space="preserve"> limited financial and human resources</w:t>
      </w:r>
      <w:r>
        <w:rPr>
          <w:rFonts w:ascii="Calibri" w:eastAsia="Times New Roman" w:hAnsi="Calibri" w:cs="Calibri"/>
          <w:color w:val="000000"/>
          <w:lang w:val="en-GB" w:eastAsia="cs-CZ"/>
        </w:rPr>
        <w:t xml:space="preserve"> into them</w:t>
      </w:r>
      <w:r w:rsidRPr="00177F0B">
        <w:rPr>
          <w:rFonts w:ascii="Calibri" w:eastAsia="Times New Roman" w:hAnsi="Calibri" w:cs="Calibri"/>
          <w:color w:val="000000"/>
          <w:lang w:val="en-GB" w:eastAsia="cs-CZ"/>
        </w:rPr>
        <w:t xml:space="preserve">, i.e. set the direction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the long-term development of the region in accordance with their knowledge potential. The outcome will be a comprehensive national RIS3 complemented by 14 "regional"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nnexes and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action plan for their implementation.</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Competence Centres Program</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will continue its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of targeted 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Competence Centres.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is aimed at supporting the development of strategic partnerships between public research and the business sector and stimulates the creation and operation of interdisciplinary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in advanced fields with high application potential.</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EPSILON</w:t>
      </w:r>
      <w:r>
        <w:rPr>
          <w:rFonts w:ascii="Cambria" w:eastAsia="Times New Roman" w:hAnsi="Cambria" w:cs="Times New Roman"/>
          <w:b/>
          <w:bCs/>
          <w:i/>
          <w:iCs/>
          <w:color w:val="D41616"/>
          <w:lang w:val="en-GB" w:eastAsia="cs-CZ"/>
        </w:rPr>
        <w:t xml:space="preserve"> Programme</w:t>
      </w:r>
    </w:p>
    <w:p w:rsidR="00E52DD5" w:rsidRPr="00177F0B" w:rsidRDefault="00E52DD5" w:rsidP="00E52DD5">
      <w:pPr>
        <w:rPr>
          <w:rFonts w:ascii="Calibri" w:eastAsia="Times New Roman" w:hAnsi="Calibri" w:cs="Calibri"/>
          <w:color w:val="000000"/>
          <w:lang w:val="en-GB" w:eastAsia="cs-CZ"/>
        </w:rPr>
      </w:pPr>
      <w:r>
        <w:rPr>
          <w:rFonts w:ascii="Calibri" w:eastAsia="Times New Roman" w:hAnsi="Calibri" w:cs="Calibri"/>
          <w:color w:val="000000"/>
          <w:lang w:val="en-GB" w:eastAsia="cs-CZ"/>
        </w:rPr>
        <w:t>The g</w:t>
      </w:r>
      <w:r w:rsidRPr="00177F0B">
        <w:rPr>
          <w:rFonts w:ascii="Calibri" w:eastAsia="Times New Roman" w:hAnsi="Calibri" w:cs="Calibri"/>
          <w:color w:val="000000"/>
          <w:lang w:val="en-GB" w:eastAsia="cs-CZ"/>
        </w:rPr>
        <w:t xml:space="preserve">overnment </w:t>
      </w:r>
      <w:r>
        <w:rPr>
          <w:rFonts w:ascii="Calibri" w:eastAsia="Times New Roman" w:hAnsi="Calibri" w:cs="Calibri"/>
          <w:color w:val="000000"/>
          <w:lang w:val="en-GB" w:eastAsia="cs-CZ"/>
        </w:rPr>
        <w:t>shall begin</w:t>
      </w:r>
      <w:r w:rsidRPr="00177F0B">
        <w:rPr>
          <w:rFonts w:ascii="Calibri" w:eastAsia="Times New Roman" w:hAnsi="Calibri" w:cs="Calibri"/>
          <w:color w:val="000000"/>
          <w:lang w:val="en-GB" w:eastAsia="cs-CZ"/>
        </w:rPr>
        <w:t xml:space="preserve"> to implement a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of targeted</w:t>
      </w:r>
      <w:r>
        <w:rPr>
          <w:rFonts w:ascii="Calibri" w:eastAsia="Times New Roman" w:hAnsi="Calibri" w:cs="Calibri"/>
          <w:color w:val="000000"/>
          <w:lang w:val="en-GB" w:eastAsia="cs-CZ"/>
        </w:rPr>
        <w:t xml:space="preserve"> R&amp;D</w:t>
      </w:r>
      <w:r w:rsidRPr="00177F0B">
        <w:rPr>
          <w:rFonts w:ascii="Calibri" w:eastAsia="Times New Roman" w:hAnsi="Calibri" w:cs="Calibri"/>
          <w:color w:val="000000"/>
          <w:lang w:val="en-GB" w:eastAsia="cs-CZ"/>
        </w:rPr>
        <w:t xml:space="preserve"> support </w:t>
      </w:r>
      <w:r>
        <w:rPr>
          <w:rFonts w:ascii="Calibri" w:eastAsia="Times New Roman" w:hAnsi="Calibri" w:cs="Calibri"/>
          <w:color w:val="000000"/>
          <w:lang w:val="en-GB" w:eastAsia="cs-CZ"/>
        </w:rPr>
        <w:t xml:space="preserve">named </w:t>
      </w:r>
      <w:r w:rsidRPr="00177F0B">
        <w:rPr>
          <w:rFonts w:ascii="Calibri" w:eastAsia="Times New Roman" w:hAnsi="Calibri" w:cs="Calibri"/>
          <w:color w:val="000000"/>
          <w:lang w:val="en-GB" w:eastAsia="cs-CZ"/>
        </w:rPr>
        <w:t xml:space="preserve">EPSILON, which will focus on supporting applied research and experimental development for industry in order to </w:t>
      </w:r>
      <w:r>
        <w:rPr>
          <w:rFonts w:ascii="Calibri" w:eastAsia="Times New Roman" w:hAnsi="Calibri" w:cs="Calibri"/>
          <w:color w:val="000000"/>
          <w:lang w:val="en-GB" w:eastAsia="cs-CZ"/>
        </w:rPr>
        <w:t>improve</w:t>
      </w:r>
      <w:r w:rsidRPr="00177F0B">
        <w:rPr>
          <w:rFonts w:ascii="Calibri" w:eastAsia="Times New Roman" w:hAnsi="Calibri" w:cs="Calibri"/>
          <w:color w:val="000000"/>
          <w:lang w:val="en-GB" w:eastAsia="cs-CZ"/>
        </w:rPr>
        <w:t xml:space="preserve"> its competitiveness in the European and global context.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will suppo</w:t>
      </w:r>
      <w:r>
        <w:rPr>
          <w:rFonts w:ascii="Calibri" w:eastAsia="Times New Roman" w:hAnsi="Calibri" w:cs="Calibri"/>
          <w:color w:val="000000"/>
          <w:lang w:val="en-GB" w:eastAsia="cs-CZ"/>
        </w:rPr>
        <w:t xml:space="preserve">rt projects leading to results with </w:t>
      </w:r>
      <w:r w:rsidRPr="00177F0B">
        <w:rPr>
          <w:rFonts w:ascii="Calibri" w:eastAsia="Times New Roman" w:hAnsi="Calibri" w:cs="Calibri"/>
          <w:color w:val="000000"/>
          <w:lang w:val="en-GB" w:eastAsia="cs-CZ"/>
        </w:rPr>
        <w:t>a high potential for rapid application in new products, production processes and services, especially in areas related to the use of new technologies and new materials</w:t>
      </w:r>
      <w:r>
        <w:rPr>
          <w:rFonts w:ascii="Calibri" w:eastAsia="Times New Roman" w:hAnsi="Calibri" w:cs="Calibri"/>
          <w:color w:val="000000"/>
          <w:lang w:val="en-GB" w:eastAsia="cs-CZ"/>
        </w:rPr>
        <w:t xml:space="preserve"> in</w:t>
      </w:r>
      <w:r w:rsidRPr="00177F0B">
        <w:rPr>
          <w:rFonts w:ascii="Calibri" w:eastAsia="Times New Roman" w:hAnsi="Calibri" w:cs="Calibri"/>
          <w:color w:val="000000"/>
          <w:lang w:val="en-GB" w:eastAsia="cs-CZ"/>
        </w:rPr>
        <w:t xml:space="preserve"> energ</w:t>
      </w:r>
      <w:r>
        <w:rPr>
          <w:rFonts w:ascii="Calibri" w:eastAsia="Times New Roman" w:hAnsi="Calibri" w:cs="Calibri"/>
          <w:color w:val="000000"/>
          <w:lang w:val="en-GB" w:eastAsia="cs-CZ"/>
        </w:rPr>
        <w:t>etics</w:t>
      </w:r>
      <w:r w:rsidRPr="00177F0B">
        <w:rPr>
          <w:rFonts w:ascii="Calibri" w:eastAsia="Times New Roman" w:hAnsi="Calibri" w:cs="Calibri"/>
          <w:color w:val="000000"/>
          <w:lang w:val="en-GB" w:eastAsia="cs-CZ"/>
        </w:rPr>
        <w:t>, environment and transport.</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GAMA Program</w:t>
      </w:r>
      <w:r>
        <w:rPr>
          <w:rFonts w:ascii="Cambria" w:eastAsia="Times New Roman" w:hAnsi="Cambria" w:cs="Times New Roman"/>
          <w:b/>
          <w:bCs/>
          <w:i/>
          <w:iCs/>
          <w:color w:val="D41616"/>
          <w:lang w:val="en-GB" w:eastAsia="cs-CZ"/>
        </w:rPr>
        <w:t>me</w:t>
      </w:r>
    </w:p>
    <w:p w:rsidR="00E52DD5" w:rsidRPr="00177F0B" w:rsidRDefault="00E52DD5" w:rsidP="00E52DD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order to support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 xml:space="preserve">more efficient transfer and commercial exploitation of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results achieved by research organizations or in collaboration between research organizations and companies</w:t>
      </w:r>
      <w:r w:rsidRPr="004D0A68">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the government will start implementing</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GAMA</w:t>
      </w:r>
      <w:r>
        <w:rPr>
          <w:rFonts w:ascii="Calibri" w:eastAsia="Times New Roman" w:hAnsi="Calibri" w:cs="Calibri"/>
          <w:color w:val="000000"/>
          <w:lang w:val="en-GB" w:eastAsia="cs-CZ"/>
        </w:rPr>
        <w:t xml:space="preserve"> programme</w:t>
      </w:r>
      <w:r w:rsidRPr="00177F0B">
        <w:rPr>
          <w:rFonts w:ascii="Calibri" w:eastAsia="Times New Roman" w:hAnsi="Calibri" w:cs="Calibri"/>
          <w:color w:val="000000"/>
          <w:lang w:val="en-GB" w:eastAsia="cs-CZ"/>
        </w:rPr>
        <w:t>. The aim of the progra</w:t>
      </w:r>
      <w:r>
        <w:rPr>
          <w:rFonts w:ascii="Calibri" w:eastAsia="Times New Roman" w:hAnsi="Calibri" w:cs="Calibri"/>
          <w:color w:val="000000"/>
          <w:lang w:val="en-GB" w:eastAsia="cs-CZ"/>
        </w:rPr>
        <w:t>mme is</w:t>
      </w:r>
      <w:r w:rsidRPr="00177F0B">
        <w:rPr>
          <w:rFonts w:ascii="Calibri" w:eastAsia="Times New Roman" w:hAnsi="Calibri" w:cs="Calibri"/>
          <w:color w:val="000000"/>
          <w:lang w:val="en-GB" w:eastAsia="cs-CZ"/>
        </w:rPr>
        <w:t xml:space="preserve"> also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 xml:space="preserve">stimulate innovation in enterprises (especially SME) using the results of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achieved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with the </w:t>
      </w:r>
      <w:r w:rsidRPr="00177F0B">
        <w:rPr>
          <w:rFonts w:ascii="Calibri" w:eastAsia="Times New Roman" w:hAnsi="Calibri" w:cs="Calibri"/>
          <w:color w:val="000000"/>
          <w:lang w:val="en-GB" w:eastAsia="cs-CZ"/>
        </w:rPr>
        <w:t>support from public funds.</w:t>
      </w:r>
    </w:p>
    <w:p w:rsidR="00E52DD5" w:rsidRPr="00177F0B" w:rsidRDefault="00E52DD5" w:rsidP="00E52DD5">
      <w:pPr>
        <w:spacing w:before="200" w:after="80"/>
        <w:outlineLvl w:val="3"/>
        <w:rPr>
          <w:rFonts w:ascii="Cambria" w:eastAsia="Times New Roman" w:hAnsi="Cambria" w:cs="Times New Roman"/>
          <w:b/>
          <w:bCs/>
          <w:i/>
          <w:iCs/>
          <w:color w:val="D41616"/>
          <w:lang w:val="en-GB" w:eastAsia="cs-CZ"/>
        </w:rPr>
      </w:pPr>
      <w:r>
        <w:rPr>
          <w:rFonts w:ascii="Cambria" w:eastAsia="Times New Roman" w:hAnsi="Cambria" w:cs="Times New Roman"/>
          <w:b/>
          <w:bCs/>
          <w:i/>
          <w:iCs/>
          <w:color w:val="D41616"/>
          <w:lang w:val="en-GB" w:eastAsia="cs-CZ"/>
        </w:rPr>
        <w:t>Support of</w:t>
      </w:r>
      <w:r w:rsidRPr="00177F0B">
        <w:rPr>
          <w:rFonts w:ascii="Cambria" w:eastAsia="Times New Roman" w:hAnsi="Cambria" w:cs="Times New Roman"/>
          <w:b/>
          <w:bCs/>
          <w:i/>
          <w:iCs/>
          <w:color w:val="D41616"/>
          <w:lang w:val="en-GB" w:eastAsia="cs-CZ"/>
        </w:rPr>
        <w:t xml:space="preserve"> </w:t>
      </w:r>
      <w:r>
        <w:rPr>
          <w:rFonts w:ascii="Cambria" w:eastAsia="Times New Roman" w:hAnsi="Cambria" w:cs="Times New Roman"/>
          <w:b/>
          <w:bCs/>
          <w:i/>
          <w:iCs/>
          <w:color w:val="D41616"/>
          <w:lang w:val="en-GB" w:eastAsia="cs-CZ"/>
        </w:rPr>
        <w:t>export of R&amp;D</w:t>
      </w:r>
      <w:r w:rsidRPr="00177F0B">
        <w:rPr>
          <w:rFonts w:ascii="Cambria" w:eastAsia="Times New Roman" w:hAnsi="Cambria" w:cs="Times New Roman"/>
          <w:b/>
          <w:bCs/>
          <w:i/>
          <w:iCs/>
          <w:color w:val="D41616"/>
          <w:lang w:val="en-GB" w:eastAsia="cs-CZ"/>
        </w:rPr>
        <w:t xml:space="preserve"> results</w:t>
      </w:r>
    </w:p>
    <w:p w:rsidR="00DA2BC7" w:rsidRPr="00E52DD5" w:rsidRDefault="00E52DD5" w:rsidP="00414B7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next step for increasing cooperation between research organizations and private companies </w:t>
      </w:r>
      <w:r>
        <w:rPr>
          <w:rFonts w:ascii="Calibri" w:eastAsia="Times New Roman" w:hAnsi="Calibri" w:cs="Calibri"/>
          <w:color w:val="000000"/>
          <w:lang w:val="en-GB" w:eastAsia="cs-CZ"/>
        </w:rPr>
        <w:t>is to</w:t>
      </w:r>
      <w:r w:rsidRPr="00177F0B">
        <w:rPr>
          <w:rFonts w:ascii="Calibri" w:eastAsia="Times New Roman" w:hAnsi="Calibri" w:cs="Calibri"/>
          <w:color w:val="000000"/>
          <w:lang w:val="en-GB" w:eastAsia="cs-CZ"/>
        </w:rPr>
        <w:t xml:space="preserve"> establish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cooperation </w:t>
      </w:r>
      <w:r>
        <w:rPr>
          <w:rFonts w:ascii="Calibri" w:eastAsia="Times New Roman" w:hAnsi="Calibri" w:cs="Calibri"/>
          <w:color w:val="000000"/>
          <w:lang w:val="en-GB" w:eastAsia="cs-CZ"/>
        </w:rPr>
        <w:t xml:space="preserve">of the Czech Republic’s </w:t>
      </w:r>
      <w:r w:rsidRPr="00177F0B">
        <w:rPr>
          <w:rFonts w:ascii="Calibri" w:eastAsia="Times New Roman" w:hAnsi="Calibri" w:cs="Calibri"/>
          <w:color w:val="000000"/>
          <w:lang w:val="en-GB" w:eastAsia="cs-CZ"/>
        </w:rPr>
        <w:t>Technology Agency (TA</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R), the Ministry of Foreign Affairs (MFA), the Ministry of Industry and Trade (M</w:t>
      </w:r>
      <w:r>
        <w:rPr>
          <w:rFonts w:ascii="Calibri" w:eastAsia="Times New Roman" w:hAnsi="Calibri" w:cs="Calibri"/>
          <w:color w:val="000000"/>
          <w:lang w:val="en-GB" w:eastAsia="cs-CZ"/>
        </w:rPr>
        <w:t>IT</w:t>
      </w:r>
      <w:r w:rsidRPr="00177F0B">
        <w:rPr>
          <w:rFonts w:ascii="Calibri" w:eastAsia="Times New Roman" w:hAnsi="Calibri" w:cs="Calibri"/>
          <w:color w:val="000000"/>
          <w:lang w:val="en-GB" w:eastAsia="cs-CZ"/>
        </w:rPr>
        <w:t xml:space="preserve">) and the Export Guarantee and Insurance Corporation (EGAP). With credit insurance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commercial implementation of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results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 xml:space="preserve">will be </w:t>
      </w:r>
      <w:r>
        <w:rPr>
          <w:rFonts w:ascii="Calibri" w:eastAsia="Times New Roman" w:hAnsi="Calibri" w:cs="Calibri"/>
          <w:color w:val="000000"/>
          <w:lang w:val="en-GB" w:eastAsia="cs-CZ"/>
        </w:rPr>
        <w:t>possible to export</w:t>
      </w:r>
      <w:r w:rsidRPr="00177F0B">
        <w:rPr>
          <w:rFonts w:ascii="Calibri" w:eastAsia="Times New Roman" w:hAnsi="Calibri" w:cs="Calibri"/>
          <w:color w:val="000000"/>
          <w:lang w:val="en-GB" w:eastAsia="cs-CZ"/>
        </w:rPr>
        <w:t xml:space="preserve"> Czech innovation</w:t>
      </w:r>
      <w:r>
        <w:rPr>
          <w:rFonts w:ascii="Calibri" w:eastAsia="Times New Roman" w:hAnsi="Calibri" w:cs="Calibri"/>
          <w:color w:val="000000"/>
          <w:lang w:val="en-GB" w:eastAsia="cs-CZ"/>
        </w:rPr>
        <w:t>s via domestic enterprises to</w:t>
      </w:r>
      <w:r w:rsidRPr="00177F0B">
        <w:rPr>
          <w:rFonts w:ascii="Calibri" w:eastAsia="Times New Roman" w:hAnsi="Calibri" w:cs="Calibri"/>
          <w:color w:val="000000"/>
          <w:lang w:val="en-GB" w:eastAsia="cs-CZ"/>
        </w:rPr>
        <w:t xml:space="preserve"> the global market. Mutual exchange of contacts between TAČR, MFA, MIT and EGAP will allow establishing cooperation between the private sector </w:t>
      </w:r>
      <w:r>
        <w:rPr>
          <w:rFonts w:ascii="Calibri" w:eastAsia="Times New Roman" w:hAnsi="Calibri" w:cs="Calibri"/>
          <w:color w:val="000000"/>
          <w:lang w:val="en-GB" w:eastAsia="cs-CZ"/>
        </w:rPr>
        <w:t>focused on</w:t>
      </w:r>
      <w:r w:rsidRPr="00177F0B">
        <w:rPr>
          <w:rFonts w:ascii="Calibri" w:eastAsia="Times New Roman" w:hAnsi="Calibri" w:cs="Calibri"/>
          <w:color w:val="000000"/>
          <w:lang w:val="en-GB" w:eastAsia="cs-CZ"/>
        </w:rPr>
        <w:t xml:space="preserve"> innovation with research organizations and the results of their activities will see more frequent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commercialization than</w:t>
      </w:r>
      <w:r>
        <w:rPr>
          <w:rFonts w:ascii="Calibri" w:eastAsia="Times New Roman" w:hAnsi="Calibri" w:cs="Calibri"/>
          <w:color w:val="000000"/>
          <w:lang w:val="en-GB" w:eastAsia="cs-CZ"/>
        </w:rPr>
        <w:t xml:space="preserve"> as it is now.</w:t>
      </w:r>
    </w:p>
    <w:p w:rsidR="003237CF" w:rsidRPr="007A1B09" w:rsidRDefault="009802A5" w:rsidP="003237CF">
      <w:pPr>
        <w:pStyle w:val="Nadpis3"/>
        <w:numPr>
          <w:ilvl w:val="2"/>
          <w:numId w:val="4"/>
        </w:numPr>
        <w:ind w:left="851" w:hanging="851"/>
        <w:rPr>
          <w:lang w:val="en-GB"/>
        </w:rPr>
      </w:pPr>
      <w:bookmarkStart w:id="69" w:name="_Toc385946040"/>
      <w:r w:rsidRPr="009802A5">
        <w:rPr>
          <w:bCs/>
          <w:lang w:val="en-GB"/>
        </w:rPr>
        <w:t>Innovation enterprises and business development for start-ups</w:t>
      </w:r>
      <w:bookmarkEnd w:id="69"/>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is aware that innovati</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activities </w:t>
      </w:r>
      <w:r>
        <w:rPr>
          <w:rFonts w:ascii="Calibri" w:eastAsia="Times New Roman" w:hAnsi="Calibri" w:cs="Calibri"/>
          <w:color w:val="000000"/>
          <w:lang w:val="en-GB" w:eastAsia="cs-CZ"/>
        </w:rPr>
        <w:t xml:space="preserve">of enterprises </w:t>
      </w:r>
      <w:r w:rsidRPr="00177F0B">
        <w:rPr>
          <w:rFonts w:ascii="Calibri" w:eastAsia="Times New Roman" w:hAnsi="Calibri" w:cs="Calibri"/>
          <w:color w:val="000000"/>
          <w:lang w:val="en-GB" w:eastAsia="cs-CZ"/>
        </w:rPr>
        <w:t>are an important condition for the long-term competitiveness of the Czech economy. Therefore its objective is to create the necessary pre</w:t>
      </w:r>
      <w:r>
        <w:rPr>
          <w:rFonts w:ascii="Calibri" w:eastAsia="Times New Roman" w:hAnsi="Calibri" w:cs="Calibri"/>
          <w:color w:val="000000"/>
          <w:lang w:val="en-GB" w:eastAsia="cs-CZ"/>
        </w:rPr>
        <w:t>requisite</w:t>
      </w:r>
      <w:r w:rsidRPr="00177F0B">
        <w:rPr>
          <w:rFonts w:ascii="Calibri" w:eastAsia="Times New Roman" w:hAnsi="Calibri" w:cs="Calibri"/>
          <w:color w:val="000000"/>
          <w:lang w:val="en-GB" w:eastAsia="cs-CZ"/>
        </w:rPr>
        <w:t xml:space="preserve">s for innovation processes of enterprises and the development of new technologies and modernization of production. The emphasis must be placed not only on the creation of innovative potential, but also on bringing innovations to the market, which is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resulting picture of innovation performance and success of Czech enterprises.</w:t>
      </w:r>
    </w:p>
    <w:p w:rsidR="001E28C2" w:rsidRPr="007A1B09" w:rsidRDefault="001E28C2" w:rsidP="001E28C2">
      <w:pPr>
        <w:rPr>
          <w:lang w:val="en-GB"/>
        </w:rPr>
      </w:pPr>
    </w:p>
    <w:p w:rsidR="00CD7A66" w:rsidRPr="007A1B09" w:rsidRDefault="009802A5" w:rsidP="00CD7A66">
      <w:pPr>
        <w:pStyle w:val="Titulek"/>
        <w:keepNext/>
        <w:rPr>
          <w:lang w:val="en-GB"/>
        </w:rPr>
      </w:pPr>
      <w:r>
        <w:rPr>
          <w:lang w:val="en-GB"/>
        </w:rPr>
        <w:lastRenderedPageBreak/>
        <w:t>Chart</w:t>
      </w:r>
      <w:r w:rsidR="00CD7A66" w:rsidRPr="007A1B09">
        <w:rPr>
          <w:lang w:val="en-GB"/>
        </w:rPr>
        <w:t xml:space="preserve"> </w:t>
      </w:r>
      <w:r w:rsidR="005B4FA9" w:rsidRPr="007A1B09">
        <w:rPr>
          <w:lang w:val="en-GB"/>
        </w:rPr>
        <w:fldChar w:fldCharType="begin"/>
      </w:r>
      <w:r w:rsidR="005B4FA9" w:rsidRPr="007A1B09">
        <w:rPr>
          <w:lang w:val="en-GB"/>
        </w:rPr>
        <w:instrText xml:space="preserve"> SEQ Graf \* ARABIC </w:instrText>
      </w:r>
      <w:r w:rsidR="005B4FA9" w:rsidRPr="007A1B09">
        <w:rPr>
          <w:lang w:val="en-GB"/>
        </w:rPr>
        <w:fldChar w:fldCharType="separate"/>
      </w:r>
      <w:r w:rsidR="00417E52" w:rsidRPr="007A1B09">
        <w:rPr>
          <w:noProof/>
          <w:lang w:val="en-GB"/>
        </w:rPr>
        <w:t>13</w:t>
      </w:r>
      <w:r w:rsidR="005B4FA9" w:rsidRPr="007A1B09">
        <w:rPr>
          <w:noProof/>
          <w:lang w:val="en-GB"/>
        </w:rPr>
        <w:fldChar w:fldCharType="end"/>
      </w:r>
      <w:r w:rsidR="00CD7A66" w:rsidRPr="007A1B09">
        <w:rPr>
          <w:lang w:val="en-GB"/>
        </w:rPr>
        <w:t xml:space="preserve">: </w:t>
      </w:r>
      <w:r w:rsidRPr="009802A5">
        <w:rPr>
          <w:lang w:val="en-GB"/>
        </w:rPr>
        <w:t>Innovation performance of EU Member States</w:t>
      </w:r>
    </w:p>
    <w:p w:rsidR="00CD7A66" w:rsidRPr="007A1B09" w:rsidRDefault="001055FA" w:rsidP="00CD7A66">
      <w:pPr>
        <w:keepNext/>
        <w:rPr>
          <w:lang w:val="en-GB"/>
        </w:rPr>
      </w:pPr>
      <w:r w:rsidRPr="007A1B09">
        <w:rPr>
          <w:noProof/>
          <w:lang w:eastAsia="cs-CZ"/>
        </w:rPr>
        <mc:AlternateContent>
          <mc:Choice Requires="wps">
            <w:drawing>
              <wp:anchor distT="0" distB="0" distL="114300" distR="114300" simplePos="0" relativeHeight="251664384" behindDoc="0" locked="0" layoutInCell="1" allowOverlap="1" wp14:anchorId="59FC77B8" wp14:editId="4589A25D">
                <wp:simplePos x="0" y="0"/>
                <wp:positionH relativeFrom="column">
                  <wp:posOffset>824865</wp:posOffset>
                </wp:positionH>
                <wp:positionV relativeFrom="paragraph">
                  <wp:posOffset>2372995</wp:posOffset>
                </wp:positionV>
                <wp:extent cx="4252823" cy="370936"/>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4252823" cy="3709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5936" w:rsidRPr="00C257EE" w:rsidRDefault="00E55936" w:rsidP="001055FA">
                            <w:pPr>
                              <w:jc w:val="left"/>
                              <w:rPr>
                                <w:color w:val="FFC000"/>
                                <w:sz w:val="20"/>
                                <w:szCs w:val="20"/>
                              </w:rPr>
                            </w:pPr>
                            <w:r w:rsidRPr="00C257EE">
                              <w:rPr>
                                <w:b/>
                                <w:color w:val="FFC000"/>
                                <w:sz w:val="32"/>
                                <w:szCs w:val="32"/>
                              </w:rPr>
                              <w:t>▪</w:t>
                            </w:r>
                            <w:r w:rsidRPr="00C257EE">
                              <w:rPr>
                                <w:b/>
                                <w:color w:val="FFC000"/>
                                <w:sz w:val="20"/>
                                <w:szCs w:val="20"/>
                              </w:rPr>
                              <w:t xml:space="preserve"> </w:t>
                            </w:r>
                            <w:r w:rsidRPr="00C257EE">
                              <w:rPr>
                                <w:sz w:val="20"/>
                                <w:szCs w:val="20"/>
                              </w:rPr>
                              <w:t>Slabí inovátoři</w:t>
                            </w:r>
                            <w:r w:rsidRPr="00C257EE">
                              <w:rPr>
                                <w:b/>
                                <w:sz w:val="20"/>
                                <w:szCs w:val="20"/>
                              </w:rPr>
                              <w:t xml:space="preserve">  </w:t>
                            </w:r>
                            <w:r w:rsidRPr="00C257EE">
                              <w:rPr>
                                <w:b/>
                                <w:color w:val="FF0000"/>
                                <w:sz w:val="32"/>
                                <w:szCs w:val="32"/>
                              </w:rPr>
                              <w:t>▪</w:t>
                            </w:r>
                            <w:r w:rsidRPr="00C257EE">
                              <w:rPr>
                                <w:b/>
                                <w:color w:val="FF0000"/>
                                <w:sz w:val="28"/>
                                <w:szCs w:val="20"/>
                              </w:rPr>
                              <w:t xml:space="preserve"> </w:t>
                            </w:r>
                            <w:r w:rsidRPr="00C257EE">
                              <w:rPr>
                                <w:sz w:val="20"/>
                                <w:szCs w:val="20"/>
                              </w:rPr>
                              <w:t>Mírní inovátoři</w:t>
                            </w:r>
                            <w:r w:rsidRPr="00C257EE">
                              <w:rPr>
                                <w:b/>
                                <w:color w:val="FFC000"/>
                                <w:sz w:val="20"/>
                                <w:szCs w:val="20"/>
                              </w:rPr>
                              <w:t xml:space="preserve"> </w:t>
                            </w:r>
                            <w:r w:rsidRPr="00C257EE">
                              <w:rPr>
                                <w:b/>
                                <w:color w:val="0070C0"/>
                                <w:sz w:val="32"/>
                                <w:szCs w:val="32"/>
                              </w:rPr>
                              <w:t>▪</w:t>
                            </w:r>
                            <w:r w:rsidRPr="00C257EE">
                              <w:rPr>
                                <w:b/>
                                <w:color w:val="FF0000"/>
                                <w:sz w:val="28"/>
                                <w:szCs w:val="20"/>
                              </w:rPr>
                              <w:t xml:space="preserve"> </w:t>
                            </w:r>
                            <w:r w:rsidRPr="00C257EE">
                              <w:rPr>
                                <w:sz w:val="20"/>
                                <w:szCs w:val="20"/>
                              </w:rPr>
                              <w:t>Úspěšní inovátoři</w:t>
                            </w:r>
                            <w:r w:rsidRPr="00C257EE">
                              <w:rPr>
                                <w:b/>
                                <w:sz w:val="20"/>
                                <w:szCs w:val="20"/>
                              </w:rPr>
                              <w:t xml:space="preserve"> </w:t>
                            </w:r>
                            <w:r w:rsidRPr="00C257EE">
                              <w:rPr>
                                <w:b/>
                                <w:color w:val="00B050"/>
                                <w:sz w:val="32"/>
                                <w:szCs w:val="20"/>
                              </w:rPr>
                              <w:t>▪</w:t>
                            </w:r>
                            <w:r w:rsidRPr="00C257EE">
                              <w:rPr>
                                <w:b/>
                                <w:color w:val="FF0000"/>
                                <w:sz w:val="32"/>
                                <w:szCs w:val="20"/>
                              </w:rPr>
                              <w:t xml:space="preserve"> </w:t>
                            </w:r>
                            <w:r w:rsidRPr="00C257EE">
                              <w:rPr>
                                <w:sz w:val="20"/>
                                <w:szCs w:val="20"/>
                              </w:rPr>
                              <w:t>Vynikající inovátoři</w:t>
                            </w:r>
                          </w:p>
                          <w:p w:rsidR="00E55936" w:rsidRPr="00C257EE" w:rsidRDefault="00E55936">
                            <w:pP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5" o:spid="_x0000_s1033" type="#_x0000_t202" style="position:absolute;left:0;text-align:left;margin-left:64.95pt;margin-top:186.85pt;width:334.85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" filled="f" stroked="f" strokeweight=".5pt">
                <v:textbox>
                  <w:txbxContent>
                    <w:p w:rsidR="00E55936" w:rsidRPr="00C257EE" w:rsidRDefault="00E55936" w:rsidP="001055FA">
                      <w:pPr>
                        <w:jc w:val="left"/>
                        <w:rPr>
                          <w:color w:val="FFC000"/>
                          <w:sz w:val="20"/>
                          <w:szCs w:val="20"/>
                        </w:rPr>
                      </w:pPr>
                      <w:r w:rsidRPr="00C257EE">
                        <w:rPr>
                          <w:b/>
                          <w:color w:val="FFC000"/>
                          <w:sz w:val="32"/>
                          <w:szCs w:val="32"/>
                        </w:rPr>
                        <w:t>▪</w:t>
                      </w:r>
                      <w:r w:rsidRPr="00C257EE">
                        <w:rPr>
                          <w:b/>
                          <w:color w:val="FFC000"/>
                          <w:sz w:val="20"/>
                          <w:szCs w:val="20"/>
                        </w:rPr>
                        <w:t xml:space="preserve"> </w:t>
                      </w:r>
                      <w:r w:rsidRPr="00C257EE">
                        <w:rPr>
                          <w:sz w:val="20"/>
                          <w:szCs w:val="20"/>
                        </w:rPr>
                        <w:t>Slabí inovátoři</w:t>
                      </w:r>
                      <w:r w:rsidRPr="00C257EE">
                        <w:rPr>
                          <w:b/>
                          <w:sz w:val="20"/>
                          <w:szCs w:val="20"/>
                        </w:rPr>
                        <w:t xml:space="preserve">  </w:t>
                      </w:r>
                      <w:r w:rsidRPr="00C257EE">
                        <w:rPr>
                          <w:b/>
                          <w:color w:val="FF0000"/>
                          <w:sz w:val="32"/>
                          <w:szCs w:val="32"/>
                        </w:rPr>
                        <w:t>▪</w:t>
                      </w:r>
                      <w:r w:rsidRPr="00C257EE">
                        <w:rPr>
                          <w:b/>
                          <w:color w:val="FF0000"/>
                          <w:sz w:val="28"/>
                          <w:szCs w:val="20"/>
                        </w:rPr>
                        <w:t xml:space="preserve"> </w:t>
                      </w:r>
                      <w:r w:rsidRPr="00C257EE">
                        <w:rPr>
                          <w:sz w:val="20"/>
                          <w:szCs w:val="20"/>
                        </w:rPr>
                        <w:t>Mírní inovátoři</w:t>
                      </w:r>
                      <w:r w:rsidRPr="00C257EE">
                        <w:rPr>
                          <w:b/>
                          <w:color w:val="FFC000"/>
                          <w:sz w:val="20"/>
                          <w:szCs w:val="20"/>
                        </w:rPr>
                        <w:t xml:space="preserve"> </w:t>
                      </w:r>
                      <w:r w:rsidRPr="00C257EE">
                        <w:rPr>
                          <w:b/>
                          <w:color w:val="0070C0"/>
                          <w:sz w:val="32"/>
                          <w:szCs w:val="32"/>
                        </w:rPr>
                        <w:t>▪</w:t>
                      </w:r>
                      <w:r w:rsidRPr="00C257EE">
                        <w:rPr>
                          <w:b/>
                          <w:color w:val="FF0000"/>
                          <w:sz w:val="28"/>
                          <w:szCs w:val="20"/>
                        </w:rPr>
                        <w:t xml:space="preserve"> </w:t>
                      </w:r>
                      <w:r w:rsidRPr="00C257EE">
                        <w:rPr>
                          <w:sz w:val="20"/>
                          <w:szCs w:val="20"/>
                        </w:rPr>
                        <w:t>Úspěšní inovátoři</w:t>
                      </w:r>
                      <w:r w:rsidRPr="00C257EE">
                        <w:rPr>
                          <w:b/>
                          <w:sz w:val="20"/>
                          <w:szCs w:val="20"/>
                        </w:rPr>
                        <w:t xml:space="preserve"> </w:t>
                      </w:r>
                      <w:r w:rsidRPr="00C257EE">
                        <w:rPr>
                          <w:b/>
                          <w:color w:val="00B050"/>
                          <w:sz w:val="32"/>
                          <w:szCs w:val="20"/>
                        </w:rPr>
                        <w:t>▪</w:t>
                      </w:r>
                      <w:r w:rsidRPr="00C257EE">
                        <w:rPr>
                          <w:b/>
                          <w:color w:val="FF0000"/>
                          <w:sz w:val="32"/>
                          <w:szCs w:val="20"/>
                        </w:rPr>
                        <w:t xml:space="preserve"> </w:t>
                      </w:r>
                      <w:r w:rsidRPr="00C257EE">
                        <w:rPr>
                          <w:sz w:val="20"/>
                          <w:szCs w:val="20"/>
                        </w:rPr>
                        <w:t>Vynikající inovátoři</w:t>
                      </w:r>
                    </w:p>
                    <w:p w:rsidR="00E55936" w:rsidRPr="00C257EE" w:rsidRDefault="00E55936">
                      <w:pPr>
                        <w:rPr>
                          <w:b/>
                          <w:sz w:val="24"/>
                        </w:rPr>
                      </w:pPr>
                    </w:p>
                  </w:txbxContent>
                </v:textbox>
              </v:shape>
            </w:pict>
          </mc:Fallback>
        </mc:AlternateContent>
      </w:r>
      <w:r w:rsidR="00CD7A66" w:rsidRPr="007A1B09">
        <w:rPr>
          <w:noProof/>
          <w:lang w:eastAsia="cs-CZ"/>
        </w:rPr>
        <w:drawing>
          <wp:inline distT="0" distB="0" distL="0" distR="0" wp14:anchorId="4C269F6E" wp14:editId="00BF0A0B">
            <wp:extent cx="5762625" cy="2829560"/>
            <wp:effectExtent l="0" t="0" r="9525" b="2794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055FA" w:rsidRPr="007A1B09" w:rsidRDefault="009802A5" w:rsidP="00541CDE">
      <w:pPr>
        <w:pStyle w:val="Titulek"/>
        <w:jc w:val="right"/>
        <w:rPr>
          <w:lang w:val="en-GB"/>
        </w:rPr>
      </w:pPr>
      <w:r>
        <w:rPr>
          <w:lang w:val="en-GB"/>
        </w:rPr>
        <w:t>Source</w:t>
      </w:r>
      <w:r w:rsidR="00CD7A66" w:rsidRPr="007A1B09">
        <w:rPr>
          <w:lang w:val="en-GB"/>
        </w:rPr>
        <w:t xml:space="preserve">: </w:t>
      </w:r>
      <w:r w:rsidR="001055FA" w:rsidRPr="007A1B09">
        <w:rPr>
          <w:lang w:val="en-GB"/>
        </w:rPr>
        <w:t>Innovation Union Scoreboard 2014</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Most highly innovative "</w:t>
      </w:r>
      <w:r>
        <w:rPr>
          <w:rFonts w:ascii="Calibri" w:eastAsia="Times New Roman" w:hAnsi="Calibri" w:cs="Calibri"/>
          <w:color w:val="000000"/>
          <w:lang w:val="en-GB" w:eastAsia="cs-CZ"/>
        </w:rPr>
        <w:t>domestic</w:t>
      </w:r>
      <w:r w:rsidRPr="00177F0B">
        <w:rPr>
          <w:rFonts w:ascii="Calibri" w:eastAsia="Times New Roman" w:hAnsi="Calibri" w:cs="Calibri"/>
          <w:color w:val="000000"/>
          <w:lang w:val="en-GB" w:eastAsia="cs-CZ"/>
        </w:rPr>
        <w:t xml:space="preserve">" companies are small and medium-sized enterprises, </w:t>
      </w:r>
      <w:r>
        <w:rPr>
          <w:rFonts w:ascii="Calibri" w:eastAsia="Times New Roman" w:hAnsi="Calibri" w:cs="Calibri"/>
          <w:color w:val="000000"/>
          <w:lang w:val="en-GB" w:eastAsia="cs-CZ"/>
        </w:rPr>
        <w:t xml:space="preserve">for </w:t>
      </w:r>
      <w:r w:rsidRPr="00177F0B">
        <w:rPr>
          <w:rFonts w:ascii="Calibri" w:eastAsia="Times New Roman" w:hAnsi="Calibri" w:cs="Calibri"/>
          <w:color w:val="000000"/>
          <w:lang w:val="en-GB" w:eastAsia="cs-CZ"/>
        </w:rPr>
        <w:t>which investment in</w:t>
      </w:r>
      <w:r>
        <w:rPr>
          <w:rFonts w:ascii="Calibri" w:eastAsia="Times New Roman" w:hAnsi="Calibri" w:cs="Calibri"/>
          <w:color w:val="000000"/>
          <w:lang w:val="en-GB" w:eastAsia="cs-CZ"/>
        </w:rPr>
        <w:t xml:space="preserve"> more ambitious</w:t>
      </w:r>
      <w:r w:rsidRPr="00177F0B">
        <w:rPr>
          <w:rFonts w:ascii="Calibri" w:eastAsia="Times New Roman" w:hAnsi="Calibri" w:cs="Calibri"/>
          <w:color w:val="000000"/>
          <w:lang w:val="en-GB" w:eastAsia="cs-CZ"/>
        </w:rPr>
        <w:t xml:space="preserve"> innovative projects </w:t>
      </w:r>
      <w:r>
        <w:rPr>
          <w:rFonts w:ascii="Calibri" w:eastAsia="Times New Roman" w:hAnsi="Calibri" w:cs="Calibri"/>
          <w:color w:val="000000"/>
          <w:lang w:val="en-GB" w:eastAsia="cs-CZ"/>
        </w:rPr>
        <w:t>carry</w:t>
      </w:r>
      <w:r w:rsidRPr="00177F0B">
        <w:rPr>
          <w:rFonts w:ascii="Calibri" w:eastAsia="Times New Roman" w:hAnsi="Calibri" w:cs="Calibri"/>
          <w:color w:val="000000"/>
          <w:lang w:val="en-GB" w:eastAsia="cs-CZ"/>
        </w:rPr>
        <w:t xml:space="preserve"> high risk. The aim of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 xml:space="preserve">effective state policy in this area must therefore be to support research disciplines oriented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immediate use in the application area, the creation and effective use of innovati</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infrastructure to stimulate the commercialization of research findings towards the development of innovati</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business activ</w:t>
      </w:r>
      <w:r>
        <w:rPr>
          <w:rFonts w:ascii="Calibri" w:eastAsia="Times New Roman" w:hAnsi="Calibri" w:cs="Calibri"/>
          <w:color w:val="000000"/>
          <w:lang w:val="en-GB" w:eastAsia="cs-CZ"/>
        </w:rPr>
        <w:t>ities, developing a system of</w:t>
      </w:r>
      <w:r w:rsidRPr="00177F0B">
        <w:rPr>
          <w:rFonts w:ascii="Calibri" w:eastAsia="Times New Roman" w:hAnsi="Calibri" w:cs="Calibri"/>
          <w:color w:val="000000"/>
          <w:lang w:val="en-GB" w:eastAsia="cs-CZ"/>
        </w:rPr>
        <w:t xml:space="preserve"> support</w:t>
      </w:r>
      <w:r>
        <w:rPr>
          <w:rFonts w:ascii="Calibri" w:eastAsia="Times New Roman" w:hAnsi="Calibri" w:cs="Calibri"/>
          <w:color w:val="000000"/>
          <w:lang w:val="en-GB" w:eastAsia="cs-CZ"/>
        </w:rPr>
        <w:t>ing</w:t>
      </w:r>
      <w:r w:rsidRPr="00177F0B">
        <w:rPr>
          <w:rFonts w:ascii="Calibri" w:eastAsia="Times New Roman" w:hAnsi="Calibri" w:cs="Calibri"/>
          <w:color w:val="000000"/>
          <w:lang w:val="en-GB" w:eastAsia="cs-CZ"/>
        </w:rPr>
        <w:t xml:space="preserve"> counselling and coaching services as well as </w:t>
      </w:r>
      <w:r>
        <w:rPr>
          <w:rFonts w:ascii="Calibri" w:eastAsia="Times New Roman" w:hAnsi="Calibri" w:cs="Calibri"/>
          <w:color w:val="000000"/>
          <w:lang w:val="en-GB" w:eastAsia="cs-CZ"/>
        </w:rPr>
        <w:t xml:space="preserve">enabling </w:t>
      </w:r>
      <w:r w:rsidRPr="00177F0B">
        <w:rPr>
          <w:rFonts w:ascii="Calibri" w:eastAsia="Times New Roman" w:hAnsi="Calibri" w:cs="Calibri"/>
          <w:color w:val="000000"/>
          <w:lang w:val="en-GB" w:eastAsia="cs-CZ"/>
        </w:rPr>
        <w:t xml:space="preserve">access to sufficient financial resources for the development and launch of new businesses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expansion of existing ones.</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Seed Fund</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preparation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the project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100% state-owned Czech </w:t>
      </w:r>
      <w:r>
        <w:rPr>
          <w:rFonts w:ascii="Calibri" w:eastAsia="Times New Roman" w:hAnsi="Calibri" w:cs="Calibri"/>
          <w:color w:val="000000"/>
          <w:lang w:val="en-GB" w:eastAsia="cs-CZ"/>
        </w:rPr>
        <w:t>Development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Closed Investment Fund was established, </w:t>
      </w:r>
      <w:r w:rsidRPr="00177F0B">
        <w:rPr>
          <w:rFonts w:ascii="Calibri" w:eastAsia="Times New Roman" w:hAnsi="Calibri" w:cs="Calibri"/>
          <w:color w:val="000000"/>
          <w:lang w:val="en-GB" w:eastAsia="cs-CZ"/>
        </w:rPr>
        <w:t xml:space="preserve">and </w:t>
      </w:r>
      <w:r>
        <w:rPr>
          <w:rFonts w:ascii="Calibri" w:eastAsia="Times New Roman" w:hAnsi="Calibri" w:cs="Calibri"/>
          <w:color w:val="000000"/>
          <w:lang w:val="en-GB" w:eastAsia="cs-CZ"/>
        </w:rPr>
        <w:t xml:space="preserve">a </w:t>
      </w:r>
      <w:r w:rsidRPr="00177F0B">
        <w:rPr>
          <w:rFonts w:ascii="Calibri" w:eastAsia="Times New Roman" w:hAnsi="Calibri" w:cs="Calibri"/>
          <w:color w:val="000000"/>
          <w:lang w:val="en-GB" w:eastAsia="cs-CZ"/>
        </w:rPr>
        <w:t>scheme</w:t>
      </w:r>
      <w:r>
        <w:rPr>
          <w:rFonts w:ascii="Calibri" w:eastAsia="Times New Roman" w:hAnsi="Calibri" w:cs="Calibri"/>
          <w:color w:val="000000"/>
          <w:lang w:val="en-GB" w:eastAsia="cs-CZ"/>
        </w:rPr>
        <w:t xml:space="preserve"> of support regarding </w:t>
      </w:r>
      <w:r w:rsidRPr="00177F0B">
        <w:rPr>
          <w:rFonts w:ascii="Calibri" w:eastAsia="Times New Roman" w:hAnsi="Calibri" w:cs="Calibri"/>
          <w:color w:val="000000"/>
          <w:lang w:val="en-GB" w:eastAsia="cs-CZ"/>
        </w:rPr>
        <w:t>compatibility with the internal market of the EU</w:t>
      </w:r>
      <w:r>
        <w:rPr>
          <w:rFonts w:ascii="Calibri" w:eastAsia="Times New Roman" w:hAnsi="Calibri" w:cs="Calibri"/>
          <w:color w:val="000000"/>
          <w:lang w:val="en-GB" w:eastAsia="cs-CZ"/>
        </w:rPr>
        <w:t xml:space="preserve"> was </w:t>
      </w:r>
      <w:r w:rsidRPr="00177F0B">
        <w:rPr>
          <w:rFonts w:ascii="Calibri" w:eastAsia="Times New Roman" w:hAnsi="Calibri" w:cs="Calibri"/>
          <w:color w:val="000000"/>
          <w:lang w:val="en-GB" w:eastAsia="cs-CZ"/>
        </w:rPr>
        <w:t>a</w:t>
      </w:r>
      <w:r>
        <w:rPr>
          <w:rFonts w:ascii="Calibri" w:eastAsia="Times New Roman" w:hAnsi="Calibri" w:cs="Calibri"/>
          <w:color w:val="000000"/>
          <w:lang w:val="en-GB" w:eastAsia="cs-CZ"/>
        </w:rPr>
        <w:t>pproved</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 The p</w:t>
      </w:r>
      <w:r w:rsidRPr="00177F0B">
        <w:rPr>
          <w:rFonts w:ascii="Calibri" w:eastAsia="Times New Roman" w:hAnsi="Calibri" w:cs="Calibri"/>
          <w:color w:val="000000"/>
          <w:lang w:val="en-GB" w:eastAsia="cs-CZ"/>
        </w:rPr>
        <w:t xml:space="preserve">ublic </w:t>
      </w:r>
      <w:r>
        <w:rPr>
          <w:rFonts w:ascii="Calibri" w:eastAsia="Times New Roman" w:hAnsi="Calibri" w:cs="Calibri"/>
          <w:color w:val="000000"/>
          <w:lang w:val="en-GB" w:eastAsia="cs-CZ"/>
        </w:rPr>
        <w:t>tender</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for the Fund’s</w:t>
      </w:r>
      <w:r w:rsidRPr="00177F0B">
        <w:rPr>
          <w:rFonts w:ascii="Calibri" w:eastAsia="Times New Roman" w:hAnsi="Calibri" w:cs="Calibri"/>
          <w:color w:val="000000"/>
          <w:lang w:val="en-GB" w:eastAsia="cs-CZ"/>
        </w:rPr>
        <w:t xml:space="preserve"> custodian</w:t>
      </w:r>
      <w:r>
        <w:rPr>
          <w:rFonts w:ascii="Calibri" w:eastAsia="Times New Roman" w:hAnsi="Calibri" w:cs="Calibri"/>
          <w:color w:val="000000"/>
          <w:lang w:val="en-GB" w:eastAsia="cs-CZ"/>
        </w:rPr>
        <w:t xml:space="preserve"> was concluded</w:t>
      </w:r>
      <w:r w:rsidRPr="00177F0B">
        <w:rPr>
          <w:rFonts w:ascii="Calibri" w:eastAsia="Times New Roman" w:hAnsi="Calibri" w:cs="Calibri"/>
          <w:color w:val="000000"/>
          <w:lang w:val="en-GB" w:eastAsia="cs-CZ"/>
        </w:rPr>
        <w:t xml:space="preserve">, but the tender for the selection of </w:t>
      </w:r>
      <w:r>
        <w:rPr>
          <w:rFonts w:ascii="Calibri" w:eastAsia="Times New Roman" w:hAnsi="Calibri" w:cs="Calibri"/>
          <w:color w:val="000000"/>
          <w:lang w:val="en-GB" w:eastAsia="cs-CZ"/>
        </w:rPr>
        <w:t>the Fund’s administrator has not finished yet</w:t>
      </w:r>
      <w:r w:rsidRPr="00177F0B">
        <w:rPr>
          <w:rFonts w:ascii="Calibri" w:eastAsia="Times New Roman" w:hAnsi="Calibri" w:cs="Calibri"/>
          <w:color w:val="000000"/>
          <w:lang w:val="en-GB" w:eastAsia="cs-CZ"/>
        </w:rPr>
        <w:t xml:space="preserve"> because of the on-going administrative proceedings caused by the</w:t>
      </w:r>
      <w:r>
        <w:rPr>
          <w:rFonts w:ascii="Calibri" w:eastAsia="Times New Roman" w:hAnsi="Calibri" w:cs="Calibri"/>
          <w:color w:val="000000"/>
          <w:lang w:val="en-GB" w:eastAsia="cs-CZ"/>
        </w:rPr>
        <w:t xml:space="preserve"> appeal of an unsuccessful candidate with</w:t>
      </w:r>
      <w:r w:rsidRPr="00177F0B">
        <w:rPr>
          <w:rFonts w:ascii="Calibri" w:eastAsia="Times New Roman" w:hAnsi="Calibri" w:cs="Calibri"/>
          <w:color w:val="000000"/>
          <w:lang w:val="en-GB" w:eastAsia="cs-CZ"/>
        </w:rPr>
        <w:t xml:space="preserve"> the Office for the Protection of Competition.</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Given the significant time lag,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t>
      </w:r>
      <w:r>
        <w:rPr>
          <w:rFonts w:ascii="Calibri" w:eastAsia="Times New Roman" w:hAnsi="Calibri" w:cs="Calibri"/>
          <w:color w:val="000000"/>
          <w:lang w:val="en-GB" w:eastAsia="cs-CZ"/>
        </w:rPr>
        <w:t>will</w:t>
      </w:r>
      <w:r w:rsidRPr="00177F0B">
        <w:rPr>
          <w:rFonts w:ascii="Calibri" w:eastAsia="Times New Roman" w:hAnsi="Calibri" w:cs="Calibri"/>
          <w:color w:val="000000"/>
          <w:lang w:val="en-GB" w:eastAsia="cs-CZ"/>
        </w:rPr>
        <w:t xml:space="preserve"> in 2014 look for another way to use the financial resources of the European Regional Development Fund </w:t>
      </w:r>
      <w:r>
        <w:rPr>
          <w:rFonts w:ascii="Calibri" w:eastAsia="Times New Roman" w:hAnsi="Calibri" w:cs="Calibri"/>
          <w:color w:val="000000"/>
          <w:lang w:val="en-GB" w:eastAsia="cs-CZ"/>
        </w:rPr>
        <w:t>designated</w:t>
      </w:r>
      <w:r w:rsidRPr="00177F0B">
        <w:rPr>
          <w:rFonts w:ascii="Calibri" w:eastAsia="Times New Roman" w:hAnsi="Calibri" w:cs="Calibri"/>
          <w:color w:val="000000"/>
          <w:lang w:val="en-GB" w:eastAsia="cs-CZ"/>
        </w:rPr>
        <w:t xml:space="preserve"> for the Seed Fund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project, </w:t>
      </w:r>
      <w:r>
        <w:rPr>
          <w:rFonts w:ascii="Calibri" w:eastAsia="Times New Roman" w:hAnsi="Calibri" w:cs="Calibri"/>
          <w:color w:val="000000"/>
          <w:lang w:val="en-GB" w:eastAsia="cs-CZ"/>
        </w:rPr>
        <w:t>the implementation of which</w:t>
      </w:r>
      <w:r w:rsidRPr="00177F0B">
        <w:rPr>
          <w:rFonts w:ascii="Calibri" w:eastAsia="Times New Roman" w:hAnsi="Calibri" w:cs="Calibri"/>
          <w:color w:val="000000"/>
          <w:lang w:val="en-GB" w:eastAsia="cs-CZ"/>
        </w:rPr>
        <w:t xml:space="preserve"> was </w:t>
      </w:r>
      <w:r>
        <w:rPr>
          <w:rFonts w:ascii="Calibri" w:eastAsia="Times New Roman" w:hAnsi="Calibri" w:cs="Calibri"/>
          <w:color w:val="000000"/>
          <w:lang w:val="en-GB" w:eastAsia="cs-CZ"/>
        </w:rPr>
        <w:t>suspended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due to</w:t>
      </w:r>
      <w:r w:rsidRPr="00177F0B">
        <w:rPr>
          <w:rFonts w:ascii="Calibri" w:eastAsia="Times New Roman" w:hAnsi="Calibri" w:cs="Calibri"/>
          <w:color w:val="000000"/>
          <w:lang w:val="en-GB" w:eastAsia="cs-CZ"/>
        </w:rPr>
        <w:t xml:space="preserve"> the above</w:t>
      </w:r>
      <w:r>
        <w:rPr>
          <w:rFonts w:ascii="Calibri" w:eastAsia="Times New Roman" w:hAnsi="Calibri" w:cs="Calibri"/>
          <w:color w:val="000000"/>
          <w:lang w:val="en-GB" w:eastAsia="cs-CZ"/>
        </w:rPr>
        <w:t xml:space="preserve"> mentioned</w:t>
      </w:r>
      <w:r w:rsidRPr="00177F0B">
        <w:rPr>
          <w:rFonts w:ascii="Calibri" w:eastAsia="Times New Roman" w:hAnsi="Calibri" w:cs="Calibri"/>
          <w:color w:val="000000"/>
          <w:lang w:val="en-GB" w:eastAsia="cs-CZ"/>
        </w:rPr>
        <w:t xml:space="preserve"> reasons. In this</w:t>
      </w:r>
      <w:r>
        <w:rPr>
          <w:rFonts w:ascii="Calibri" w:eastAsia="Times New Roman" w:hAnsi="Calibri" w:cs="Calibri"/>
          <w:color w:val="000000"/>
          <w:lang w:val="en-GB" w:eastAsia="cs-CZ"/>
        </w:rPr>
        <w:t xml:space="preserve"> crisis</w:t>
      </w:r>
      <w:r w:rsidRPr="00177F0B">
        <w:rPr>
          <w:rFonts w:ascii="Calibri" w:eastAsia="Times New Roman" w:hAnsi="Calibri" w:cs="Calibri"/>
          <w:color w:val="000000"/>
          <w:lang w:val="en-GB" w:eastAsia="cs-CZ"/>
        </w:rPr>
        <w:t xml:space="preserve"> plan </w:t>
      </w:r>
      <w:r>
        <w:rPr>
          <w:rFonts w:ascii="Calibri" w:eastAsia="Times New Roman" w:hAnsi="Calibri" w:cs="Calibri"/>
          <w:color w:val="000000"/>
          <w:lang w:val="en-GB" w:eastAsia="cs-CZ"/>
        </w:rPr>
        <w:t>for</w:t>
      </w:r>
      <w:r w:rsidRPr="00177F0B">
        <w:rPr>
          <w:rFonts w:ascii="Calibri" w:eastAsia="Times New Roman" w:hAnsi="Calibri" w:cs="Calibri"/>
          <w:color w:val="000000"/>
          <w:lang w:val="en-GB" w:eastAsia="cs-CZ"/>
        </w:rPr>
        <w:t xml:space="preserve"> operational programs, which was annexed to Resolution No. 144 of 5</w:t>
      </w:r>
      <w:r w:rsidRPr="002E1ACB">
        <w:rPr>
          <w:rFonts w:ascii="Calibri" w:eastAsia="Times New Roman" w:hAnsi="Calibri" w:cs="Calibri"/>
          <w:color w:val="000000"/>
          <w:vertAlign w:val="superscript"/>
          <w:lang w:val="en-GB" w:eastAsia="cs-CZ"/>
        </w:rPr>
        <w:t>th</w:t>
      </w:r>
      <w:r w:rsidRPr="00177F0B">
        <w:rPr>
          <w:rFonts w:ascii="Calibri" w:eastAsia="Times New Roman" w:hAnsi="Calibri" w:cs="Calibri"/>
          <w:color w:val="000000"/>
          <w:lang w:val="en-GB" w:eastAsia="cs-CZ"/>
        </w:rPr>
        <w:t xml:space="preserve"> March 2014, the government assessed the project</w:t>
      </w:r>
      <w:r w:rsidRPr="002E1AC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Seed Fund as risk</w:t>
      </w:r>
      <w:r>
        <w:rPr>
          <w:rFonts w:ascii="Calibri" w:eastAsia="Times New Roman" w:hAnsi="Calibri" w:cs="Calibri"/>
          <w:color w:val="000000"/>
          <w:lang w:val="en-GB" w:eastAsia="cs-CZ"/>
        </w:rPr>
        <w:t>y</w:t>
      </w:r>
      <w:r w:rsidRPr="00177F0B">
        <w:rPr>
          <w:rFonts w:ascii="Calibri" w:eastAsia="Times New Roman" w:hAnsi="Calibri" w:cs="Calibri"/>
          <w:color w:val="000000"/>
          <w:lang w:val="en-GB" w:eastAsia="cs-CZ"/>
        </w:rPr>
        <w:t xml:space="preserve">, approved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cancellation </w:t>
      </w:r>
      <w:r>
        <w:rPr>
          <w:rFonts w:ascii="Calibri" w:eastAsia="Times New Roman" w:hAnsi="Calibri" w:cs="Calibri"/>
          <w:color w:val="000000"/>
          <w:lang w:val="en-GB" w:eastAsia="cs-CZ"/>
        </w:rPr>
        <w:t>and the transfer of the preparation of the programme</w:t>
      </w:r>
      <w:r w:rsidRPr="00177F0B">
        <w:rPr>
          <w:rFonts w:ascii="Calibri" w:eastAsia="Times New Roman" w:hAnsi="Calibri" w:cs="Calibri"/>
          <w:color w:val="000000"/>
          <w:lang w:val="en-GB" w:eastAsia="cs-CZ"/>
        </w:rPr>
        <w:t xml:space="preserve"> of </w:t>
      </w:r>
      <w:r>
        <w:rPr>
          <w:rFonts w:ascii="Calibri" w:eastAsia="Times New Roman" w:hAnsi="Calibri" w:cs="Calibri"/>
          <w:color w:val="000000"/>
          <w:lang w:val="en-GB" w:eastAsia="cs-CZ"/>
        </w:rPr>
        <w:t xml:space="preserve">R&amp;D </w:t>
      </w:r>
      <w:r w:rsidRPr="00177F0B">
        <w:rPr>
          <w:rFonts w:ascii="Calibri" w:eastAsia="Times New Roman" w:hAnsi="Calibri" w:cs="Calibri"/>
          <w:color w:val="000000"/>
          <w:lang w:val="en-GB" w:eastAsia="cs-CZ"/>
        </w:rPr>
        <w:t xml:space="preserve">support </w:t>
      </w:r>
      <w:r>
        <w:rPr>
          <w:rFonts w:ascii="Calibri" w:eastAsia="Times New Roman" w:hAnsi="Calibri" w:cs="Calibri"/>
          <w:color w:val="000000"/>
          <w:lang w:val="en-GB" w:eastAsia="cs-CZ"/>
        </w:rPr>
        <w:t xml:space="preserve">with </w:t>
      </w:r>
      <w:r w:rsidRPr="00177F0B">
        <w:rPr>
          <w:rFonts w:ascii="Calibri" w:eastAsia="Times New Roman" w:hAnsi="Calibri" w:cs="Calibri"/>
          <w:color w:val="000000"/>
          <w:lang w:val="en-GB" w:eastAsia="cs-CZ"/>
        </w:rPr>
        <w:t xml:space="preserve">venture capital to the OP </w:t>
      </w:r>
      <w:r>
        <w:rPr>
          <w:rFonts w:ascii="Calibri" w:eastAsia="Times New Roman" w:hAnsi="Calibri" w:cs="Calibri"/>
          <w:color w:val="000000"/>
          <w:lang w:val="en-GB" w:eastAsia="cs-CZ"/>
        </w:rPr>
        <w:t>EIC</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OPEI funds</w:t>
      </w:r>
      <w:r>
        <w:rPr>
          <w:rFonts w:ascii="Calibri" w:eastAsia="Times New Roman" w:hAnsi="Calibri" w:cs="Calibri"/>
          <w:color w:val="000000"/>
          <w:lang w:val="en-GB" w:eastAsia="cs-CZ"/>
        </w:rPr>
        <w:t xml:space="preserve"> designated</w:t>
      </w:r>
      <w:r w:rsidRPr="00177F0B">
        <w:rPr>
          <w:rFonts w:ascii="Calibri" w:eastAsia="Times New Roman" w:hAnsi="Calibri" w:cs="Calibri"/>
          <w:color w:val="000000"/>
          <w:lang w:val="en-GB" w:eastAsia="cs-CZ"/>
        </w:rPr>
        <w:t xml:space="preserve"> for venture capital will be used </w:t>
      </w:r>
      <w:r>
        <w:rPr>
          <w:rFonts w:ascii="Calibri" w:eastAsia="Times New Roman" w:hAnsi="Calibri" w:cs="Calibri"/>
          <w:color w:val="000000"/>
          <w:lang w:val="en-GB" w:eastAsia="cs-CZ"/>
        </w:rPr>
        <w:t>on</w:t>
      </w:r>
      <w:r w:rsidRPr="00177F0B">
        <w:rPr>
          <w:rFonts w:ascii="Calibri" w:eastAsia="Times New Roman" w:hAnsi="Calibri" w:cs="Calibri"/>
          <w:color w:val="000000"/>
          <w:lang w:val="en-GB" w:eastAsia="cs-CZ"/>
        </w:rPr>
        <w:t xml:space="preserve"> a</w:t>
      </w:r>
      <w:r>
        <w:rPr>
          <w:rFonts w:ascii="Calibri" w:eastAsia="Times New Roman" w:hAnsi="Calibri" w:cs="Calibri"/>
          <w:color w:val="000000"/>
          <w:lang w:val="en-GB" w:eastAsia="cs-CZ"/>
        </w:rPr>
        <w:t xml:space="preserve"> different</w:t>
      </w:r>
      <w:r w:rsidRPr="00177F0B">
        <w:rPr>
          <w:rFonts w:ascii="Calibri" w:eastAsia="Times New Roman" w:hAnsi="Calibri" w:cs="Calibri"/>
          <w:color w:val="000000"/>
          <w:lang w:val="en-GB" w:eastAsia="cs-CZ"/>
        </w:rPr>
        <w:t xml:space="preserve"> instrument </w:t>
      </w:r>
      <w:r>
        <w:rPr>
          <w:rFonts w:ascii="Calibri" w:eastAsia="Times New Roman" w:hAnsi="Calibri" w:cs="Calibri"/>
          <w:color w:val="000000"/>
          <w:lang w:val="en-GB" w:eastAsia="cs-CZ"/>
        </w:rPr>
        <w:t>of support for</w:t>
      </w:r>
      <w:r w:rsidRPr="00177F0B">
        <w:rPr>
          <w:rFonts w:ascii="Calibri" w:eastAsia="Times New Roman" w:hAnsi="Calibri" w:cs="Calibri"/>
          <w:color w:val="000000"/>
          <w:lang w:val="en-GB" w:eastAsia="cs-CZ"/>
        </w:rPr>
        <w:t xml:space="preserve"> innovation-oriented businesses including start-ups.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 xml:space="preserve">he results </w:t>
      </w:r>
      <w:r>
        <w:rPr>
          <w:rFonts w:ascii="Calibri" w:eastAsia="Times New Roman" w:hAnsi="Calibri" w:cs="Calibri"/>
          <w:color w:val="000000"/>
          <w:lang w:val="en-GB" w:eastAsia="cs-CZ"/>
        </w:rPr>
        <w:t>of already</w:t>
      </w:r>
      <w:r w:rsidRPr="00177F0B">
        <w:rPr>
          <w:rFonts w:ascii="Calibri" w:eastAsia="Times New Roman" w:hAnsi="Calibri" w:cs="Calibri"/>
          <w:color w:val="000000"/>
          <w:lang w:val="en-GB" w:eastAsia="cs-CZ"/>
        </w:rPr>
        <w:t xml:space="preserve"> supported pre-seed activities that </w:t>
      </w:r>
      <w:r>
        <w:rPr>
          <w:rFonts w:ascii="Calibri" w:eastAsia="Times New Roman" w:hAnsi="Calibri" w:cs="Calibri"/>
          <w:color w:val="000000"/>
          <w:lang w:val="en-GB" w:eastAsia="cs-CZ"/>
        </w:rPr>
        <w:t xml:space="preserve">form </w:t>
      </w:r>
      <w:r w:rsidRPr="00177F0B">
        <w:rPr>
          <w:rFonts w:ascii="Calibri" w:eastAsia="Times New Roman" w:hAnsi="Calibri" w:cs="Calibri"/>
          <w:color w:val="000000"/>
          <w:lang w:val="en-GB" w:eastAsia="cs-CZ"/>
        </w:rPr>
        <w:t>an integral part of the activities to support new, e</w:t>
      </w:r>
      <w:r>
        <w:rPr>
          <w:rFonts w:ascii="Calibri" w:eastAsia="Times New Roman" w:hAnsi="Calibri" w:cs="Calibri"/>
          <w:color w:val="000000"/>
          <w:lang w:val="en-GB" w:eastAsia="cs-CZ"/>
        </w:rPr>
        <w:t>specially technology, companies, will also be evaluated.</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OP </w:t>
      </w:r>
      <w:r>
        <w:rPr>
          <w:rFonts w:ascii="Calibri" w:eastAsia="Times New Roman" w:hAnsi="Calibri" w:cs="Calibri"/>
          <w:color w:val="000000"/>
          <w:lang w:val="en-GB" w:eastAsia="cs-CZ"/>
        </w:rPr>
        <w:t>EIC</w:t>
      </w:r>
      <w:r w:rsidRPr="00177F0B">
        <w:rPr>
          <w:rFonts w:ascii="Calibri" w:eastAsia="Times New Roman" w:hAnsi="Calibri" w:cs="Calibri"/>
          <w:color w:val="000000"/>
          <w:lang w:val="en-GB" w:eastAsia="cs-CZ"/>
        </w:rPr>
        <w:t xml:space="preserve"> counts with greater use of financial instruments, including venture capital.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involvement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standardized financial (so-called off-the-shelf) tools developed </w:t>
      </w:r>
      <w:r>
        <w:rPr>
          <w:rFonts w:ascii="Calibri" w:eastAsia="Times New Roman" w:hAnsi="Calibri" w:cs="Calibri"/>
          <w:color w:val="000000"/>
          <w:lang w:val="en-GB" w:eastAsia="cs-CZ"/>
        </w:rPr>
        <w:t>at</w:t>
      </w:r>
      <w:r w:rsidRPr="00177F0B">
        <w:rPr>
          <w:rFonts w:ascii="Calibri" w:eastAsia="Times New Roman" w:hAnsi="Calibri" w:cs="Calibri"/>
          <w:color w:val="000000"/>
          <w:lang w:val="en-GB" w:eastAsia="cs-CZ"/>
        </w:rPr>
        <w:t xml:space="preserve"> the European Commission </w:t>
      </w:r>
      <w:r>
        <w:rPr>
          <w:rFonts w:ascii="Calibri" w:eastAsia="Times New Roman" w:hAnsi="Calibri" w:cs="Calibri"/>
          <w:color w:val="000000"/>
          <w:lang w:val="en-GB" w:eastAsia="cs-CZ"/>
        </w:rPr>
        <w:t xml:space="preserve">level </w:t>
      </w:r>
      <w:r w:rsidRPr="00177F0B">
        <w:rPr>
          <w:rFonts w:ascii="Calibri" w:eastAsia="Times New Roman" w:hAnsi="Calibri" w:cs="Calibri"/>
          <w:color w:val="000000"/>
          <w:lang w:val="en-GB" w:eastAsia="cs-CZ"/>
        </w:rPr>
        <w:t>and specially designed financial instruments for addres</w:t>
      </w:r>
      <w:r>
        <w:rPr>
          <w:rFonts w:ascii="Calibri" w:eastAsia="Times New Roman" w:hAnsi="Calibri" w:cs="Calibri"/>
          <w:color w:val="000000"/>
          <w:lang w:val="en-GB" w:eastAsia="cs-CZ"/>
        </w:rPr>
        <w:t>sing the specific needs of the Czech Republic is expected</w:t>
      </w:r>
      <w:r w:rsidRPr="00177F0B">
        <w:rPr>
          <w:rFonts w:ascii="Calibri" w:eastAsia="Times New Roman" w:hAnsi="Calibri" w:cs="Calibri"/>
          <w:color w:val="000000"/>
          <w:lang w:val="en-GB" w:eastAsia="cs-CZ"/>
        </w:rPr>
        <w:t>. Specific progra</w:t>
      </w:r>
      <w:r>
        <w:rPr>
          <w:rFonts w:ascii="Calibri" w:eastAsia="Times New Roman" w:hAnsi="Calibri" w:cs="Calibri"/>
          <w:color w:val="000000"/>
          <w:lang w:val="en-GB" w:eastAsia="cs-CZ"/>
        </w:rPr>
        <w:t>m</w:t>
      </w:r>
      <w:r w:rsidRPr="00177F0B">
        <w:rPr>
          <w:rFonts w:ascii="Calibri" w:eastAsia="Times New Roman" w:hAnsi="Calibri" w:cs="Calibri"/>
          <w:color w:val="000000"/>
          <w:lang w:val="en-GB" w:eastAsia="cs-CZ"/>
        </w:rPr>
        <w:t>m</w:t>
      </w:r>
      <w:r>
        <w:rPr>
          <w:rFonts w:ascii="Calibri" w:eastAsia="Times New Roman" w:hAnsi="Calibri" w:cs="Calibri"/>
          <w:color w:val="000000"/>
          <w:lang w:val="en-GB" w:eastAsia="cs-CZ"/>
        </w:rPr>
        <w:t>e</w:t>
      </w:r>
      <w:r w:rsidRPr="00177F0B">
        <w:rPr>
          <w:rFonts w:ascii="Calibri" w:eastAsia="Times New Roman" w:hAnsi="Calibri" w:cs="Calibri"/>
          <w:color w:val="000000"/>
          <w:lang w:val="en-GB" w:eastAsia="cs-CZ"/>
        </w:rPr>
        <w:t xml:space="preserve">s using financial instruments will be submitted </w:t>
      </w:r>
      <w:r>
        <w:rPr>
          <w:rFonts w:ascii="Calibri" w:eastAsia="Times New Roman" w:hAnsi="Calibri" w:cs="Calibri"/>
          <w:color w:val="000000"/>
          <w:lang w:val="en-GB" w:eastAsia="cs-CZ"/>
        </w:rPr>
        <w:t>after the conducting of</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ex-</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nte analysis of market failure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 the use of the experience gained in their implementation.</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Support program</w:t>
      </w:r>
      <w:r>
        <w:rPr>
          <w:rFonts w:ascii="Cambria" w:eastAsia="Times New Roman" w:hAnsi="Cambria" w:cs="Times New Roman"/>
          <w:b/>
          <w:bCs/>
          <w:i/>
          <w:iCs/>
          <w:color w:val="D41616"/>
          <w:lang w:val="en-GB" w:eastAsia="cs-CZ"/>
        </w:rPr>
        <w:t>me</w:t>
      </w:r>
      <w:r w:rsidRPr="00177F0B">
        <w:rPr>
          <w:rFonts w:ascii="Cambria" w:eastAsia="Times New Roman" w:hAnsi="Cambria" w:cs="Times New Roman"/>
          <w:b/>
          <w:bCs/>
          <w:i/>
          <w:iCs/>
          <w:color w:val="D41616"/>
          <w:lang w:val="en-GB" w:eastAsia="cs-CZ"/>
        </w:rPr>
        <w:t>s for the pro</w:t>
      </w:r>
      <w:r>
        <w:rPr>
          <w:rFonts w:ascii="Cambria" w:eastAsia="Times New Roman" w:hAnsi="Cambria" w:cs="Times New Roman"/>
          <w:b/>
          <w:bCs/>
          <w:i/>
          <w:iCs/>
          <w:color w:val="D41616"/>
          <w:lang w:val="en-GB" w:eastAsia="cs-CZ"/>
        </w:rPr>
        <w:t>vision of financial instruments</w:t>
      </w:r>
      <w:r w:rsidRPr="00177F0B">
        <w:rPr>
          <w:rFonts w:ascii="Cambria" w:eastAsia="Times New Roman" w:hAnsi="Cambria" w:cs="Times New Roman"/>
          <w:b/>
          <w:bCs/>
          <w:i/>
          <w:iCs/>
          <w:color w:val="D41616"/>
          <w:lang w:val="en-GB" w:eastAsia="cs-CZ"/>
        </w:rPr>
        <w:t xml:space="preserve"> including venture capital</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For </w:t>
      </w:r>
      <w:r>
        <w:rPr>
          <w:rFonts w:ascii="Calibri" w:eastAsia="Times New Roman" w:hAnsi="Calibri" w:cs="Calibri"/>
          <w:color w:val="000000"/>
          <w:lang w:val="en-GB" w:eastAsia="cs-CZ"/>
        </w:rPr>
        <w:t>the 2014-2020 period</w:t>
      </w:r>
      <w:r w:rsidRPr="00177F0B">
        <w:rPr>
          <w:rFonts w:ascii="Calibri" w:eastAsia="Times New Roman" w:hAnsi="Calibri" w:cs="Calibri"/>
          <w:color w:val="000000"/>
          <w:lang w:val="en-GB" w:eastAsia="cs-CZ"/>
        </w:rPr>
        <w:t xml:space="preserve"> the government will prepare in 2014 new support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using </w:t>
      </w:r>
      <w:r>
        <w:rPr>
          <w:rFonts w:ascii="Calibri" w:eastAsia="Times New Roman" w:hAnsi="Calibri" w:cs="Calibri"/>
          <w:color w:val="000000"/>
          <w:lang w:val="en-GB" w:eastAsia="cs-CZ"/>
        </w:rPr>
        <w:t>mainly</w:t>
      </w:r>
      <w:r w:rsidRPr="00177F0B">
        <w:rPr>
          <w:rFonts w:ascii="Calibri" w:eastAsia="Times New Roman" w:hAnsi="Calibri" w:cs="Calibri"/>
          <w:color w:val="000000"/>
          <w:lang w:val="en-GB" w:eastAsia="cs-CZ"/>
        </w:rPr>
        <w:t xml:space="preserve"> financial instruments, such as loans, guarantees and venture capital.</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It will be based not only on </w:t>
      </w:r>
      <w:r w:rsidRPr="00177F0B">
        <w:rPr>
          <w:rFonts w:ascii="Calibri" w:eastAsia="Times New Roman" w:hAnsi="Calibri" w:cs="Calibri"/>
          <w:color w:val="000000"/>
          <w:lang w:val="en-GB" w:eastAsia="cs-CZ"/>
        </w:rPr>
        <w:lastRenderedPageBreak/>
        <w:t>experience</w:t>
      </w:r>
      <w:r>
        <w:rPr>
          <w:rFonts w:ascii="Calibri" w:eastAsia="Times New Roman" w:hAnsi="Calibri" w:cs="Calibri"/>
          <w:color w:val="000000"/>
          <w:lang w:val="en-GB" w:eastAsia="cs-CZ"/>
        </w:rPr>
        <w:t xml:space="preserve"> gained so far</w:t>
      </w:r>
      <w:r w:rsidRPr="00177F0B">
        <w:rPr>
          <w:rFonts w:ascii="Calibri" w:eastAsia="Times New Roman" w:hAnsi="Calibri" w:cs="Calibri"/>
          <w:color w:val="000000"/>
          <w:lang w:val="en-GB" w:eastAsia="cs-CZ"/>
        </w:rPr>
        <w:t xml:space="preserve">, but </w:t>
      </w:r>
      <w:r>
        <w:rPr>
          <w:rFonts w:ascii="Calibri" w:eastAsia="Times New Roman" w:hAnsi="Calibri" w:cs="Calibri"/>
          <w:color w:val="000000"/>
          <w:lang w:val="en-GB" w:eastAsia="cs-CZ"/>
        </w:rPr>
        <w:t>particularly on</w:t>
      </w:r>
      <w:r w:rsidRPr="00177F0B">
        <w:rPr>
          <w:rFonts w:ascii="Calibri" w:eastAsia="Times New Roman" w:hAnsi="Calibri" w:cs="Calibri"/>
          <w:color w:val="000000"/>
          <w:lang w:val="en-GB" w:eastAsia="cs-CZ"/>
        </w:rPr>
        <w:t xml:space="preserve"> the ex-ante analysis of the market situation in the country. The new </w:t>
      </w:r>
      <w:r>
        <w:rPr>
          <w:rFonts w:ascii="Calibri" w:eastAsia="Times New Roman" w:hAnsi="Calibri" w:cs="Calibri"/>
          <w:color w:val="000000"/>
          <w:lang w:val="en-GB" w:eastAsia="cs-CZ"/>
        </w:rPr>
        <w:t>Act</w:t>
      </w:r>
      <w:r w:rsidRPr="00177F0B">
        <w:rPr>
          <w:rFonts w:ascii="Calibri" w:eastAsia="Times New Roman" w:hAnsi="Calibri" w:cs="Calibri"/>
          <w:color w:val="000000"/>
          <w:lang w:val="en-GB" w:eastAsia="cs-CZ"/>
        </w:rPr>
        <w:t xml:space="preserve"> on Investment Companies and Investment Funds now offers a wider variety of options for creating fund structures (e.g. SICAV), which can better motivate the involvement of private investors in financing innovation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in different phases of their life cycle. In this context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 government consider</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amending</w:t>
      </w:r>
      <w:r w:rsidRPr="00177F0B">
        <w:rPr>
          <w:rFonts w:ascii="Calibri" w:eastAsia="Times New Roman" w:hAnsi="Calibri" w:cs="Calibri"/>
          <w:color w:val="000000"/>
          <w:lang w:val="en-GB" w:eastAsia="cs-CZ"/>
        </w:rPr>
        <w:t xml:space="preserve"> the law on budgetary rules so that transfers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funds from the state budget </w:t>
      </w:r>
      <w:r>
        <w:rPr>
          <w:rFonts w:ascii="Calibri" w:eastAsia="Times New Roman" w:hAnsi="Calibri" w:cs="Calibri"/>
          <w:color w:val="000000"/>
          <w:lang w:val="en-GB" w:eastAsia="cs-CZ"/>
        </w:rPr>
        <w:t>would</w:t>
      </w:r>
      <w:r w:rsidRPr="00177F0B">
        <w:rPr>
          <w:rFonts w:ascii="Calibri" w:eastAsia="Times New Roman" w:hAnsi="Calibri" w:cs="Calibri"/>
          <w:color w:val="000000"/>
          <w:lang w:val="en-GB" w:eastAsia="cs-CZ"/>
        </w:rPr>
        <w:t xml:space="preserve"> better reflect the natu</w:t>
      </w:r>
      <w:r>
        <w:rPr>
          <w:rFonts w:ascii="Calibri" w:eastAsia="Times New Roman" w:hAnsi="Calibri" w:cs="Calibri"/>
          <w:color w:val="000000"/>
          <w:lang w:val="en-GB" w:eastAsia="cs-CZ"/>
        </w:rPr>
        <w:t>re of the financial instruments</w:t>
      </w:r>
      <w:r>
        <w:rPr>
          <w:rStyle w:val="Znakapoznpodarou"/>
          <w:rFonts w:ascii="Calibri" w:eastAsia="Times New Roman" w:hAnsi="Calibri" w:cs="Calibri"/>
          <w:color w:val="000000"/>
          <w:lang w:val="en-GB" w:eastAsia="cs-CZ"/>
        </w:rPr>
        <w:footnoteReference w:id="30"/>
      </w:r>
      <w:r w:rsidRPr="00177F0B">
        <w:rPr>
          <w:rFonts w:ascii="Calibri" w:eastAsia="Times New Roman" w:hAnsi="Calibri" w:cs="Calibri"/>
          <w:color w:val="000000"/>
          <w:lang w:val="en-GB" w:eastAsia="cs-CZ"/>
        </w:rPr>
        <w:t>, which would facilitate their implementation.</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Other program</w:t>
      </w:r>
      <w:r>
        <w:rPr>
          <w:rFonts w:ascii="Cambria" w:eastAsia="Times New Roman" w:hAnsi="Cambria" w:cs="Times New Roman"/>
          <w:b/>
          <w:bCs/>
          <w:i/>
          <w:iCs/>
          <w:color w:val="D41616"/>
          <w:lang w:val="en-GB" w:eastAsia="cs-CZ"/>
        </w:rPr>
        <w:t>me</w:t>
      </w:r>
      <w:r w:rsidRPr="00177F0B">
        <w:rPr>
          <w:rFonts w:ascii="Cambria" w:eastAsia="Times New Roman" w:hAnsi="Cambria" w:cs="Times New Roman"/>
          <w:b/>
          <w:bCs/>
          <w:i/>
          <w:iCs/>
          <w:color w:val="D41616"/>
          <w:lang w:val="en-GB" w:eastAsia="cs-CZ"/>
        </w:rPr>
        <w:t xml:space="preserve">s </w:t>
      </w:r>
      <w:r>
        <w:rPr>
          <w:rFonts w:ascii="Cambria" w:eastAsia="Times New Roman" w:hAnsi="Cambria" w:cs="Times New Roman"/>
          <w:b/>
          <w:bCs/>
          <w:i/>
          <w:iCs/>
          <w:color w:val="D41616"/>
          <w:lang w:val="en-GB" w:eastAsia="cs-CZ"/>
        </w:rPr>
        <w:t xml:space="preserve">of </w:t>
      </w:r>
      <w:r w:rsidRPr="00177F0B">
        <w:rPr>
          <w:rFonts w:ascii="Cambria" w:eastAsia="Times New Roman" w:hAnsi="Cambria" w:cs="Times New Roman"/>
          <w:b/>
          <w:bCs/>
          <w:i/>
          <w:iCs/>
          <w:color w:val="D41616"/>
          <w:lang w:val="en-GB" w:eastAsia="cs-CZ"/>
        </w:rPr>
        <w:t>support</w:t>
      </w:r>
      <w:r>
        <w:rPr>
          <w:rFonts w:ascii="Cambria" w:eastAsia="Times New Roman" w:hAnsi="Cambria" w:cs="Times New Roman"/>
          <w:b/>
          <w:bCs/>
          <w:i/>
          <w:iCs/>
          <w:color w:val="D41616"/>
          <w:lang w:val="en-GB" w:eastAsia="cs-CZ"/>
        </w:rPr>
        <w:t xml:space="preserve"> for</w:t>
      </w:r>
      <w:r w:rsidRPr="00177F0B">
        <w:rPr>
          <w:rFonts w:ascii="Cambria" w:eastAsia="Times New Roman" w:hAnsi="Cambria" w:cs="Times New Roman"/>
          <w:b/>
          <w:bCs/>
          <w:i/>
          <w:iCs/>
          <w:color w:val="D41616"/>
          <w:lang w:val="en-GB" w:eastAsia="cs-CZ"/>
        </w:rPr>
        <w:t xml:space="preserve"> the development of innovative business</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supported the proposal to extend the implementation</w:t>
      </w:r>
      <w:r>
        <w:rPr>
          <w:rFonts w:ascii="Calibri" w:eastAsia="Times New Roman" w:hAnsi="Calibri" w:cs="Calibri"/>
          <w:color w:val="000000"/>
          <w:lang w:val="en-GB" w:eastAsia="cs-CZ"/>
        </w:rPr>
        <w:t xml:space="preserve"> of the</w:t>
      </w:r>
      <w:r w:rsidRPr="00177F0B">
        <w:rPr>
          <w:rFonts w:ascii="Calibri" w:eastAsia="Times New Roman" w:hAnsi="Calibri" w:cs="Calibri"/>
          <w:color w:val="000000"/>
          <w:lang w:val="en-GB" w:eastAsia="cs-CZ"/>
        </w:rPr>
        <w:t xml:space="preserve"> INOSTART</w:t>
      </w:r>
      <w:r>
        <w:rPr>
          <w:rFonts w:ascii="Calibri" w:eastAsia="Times New Roman" w:hAnsi="Calibri" w:cs="Calibri"/>
          <w:color w:val="000000"/>
          <w:lang w:val="en-GB" w:eastAsia="cs-CZ"/>
        </w:rPr>
        <w:t xml:space="preserve"> programme</w:t>
      </w:r>
      <w:r w:rsidRPr="00177F0B">
        <w:rPr>
          <w:rFonts w:ascii="Calibri" w:eastAsia="Times New Roman" w:hAnsi="Calibri" w:cs="Calibri"/>
          <w:color w:val="000000"/>
          <w:lang w:val="en-GB" w:eastAsia="cs-CZ"/>
        </w:rPr>
        <w:t xml:space="preserve"> to support innovative business start-ups, which is funded </w:t>
      </w:r>
      <w:r>
        <w:rPr>
          <w:rFonts w:ascii="Calibri" w:eastAsia="Times New Roman" w:hAnsi="Calibri" w:cs="Calibri"/>
          <w:color w:val="000000"/>
          <w:lang w:val="en-GB" w:eastAsia="cs-CZ"/>
        </w:rPr>
        <w:t>from</w:t>
      </w:r>
      <w:r w:rsidRPr="00177F0B">
        <w:rPr>
          <w:rFonts w:ascii="Calibri" w:eastAsia="Times New Roman" w:hAnsi="Calibri" w:cs="Calibri"/>
          <w:color w:val="000000"/>
          <w:lang w:val="en-GB" w:eastAsia="cs-CZ"/>
        </w:rPr>
        <w:t xml:space="preserve"> the Partnership Fund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Czech-Swiss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ooperation.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will be extended to all regions of the Czech Republic and</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medium enterprise segment. The government will also support activities of government agencies </w:t>
      </w:r>
      <w:proofErr w:type="spellStart"/>
      <w:r w:rsidRPr="00177F0B">
        <w:rPr>
          <w:rFonts w:ascii="Calibri" w:eastAsia="Times New Roman" w:hAnsi="Calibri" w:cs="Calibri"/>
          <w:color w:val="000000"/>
          <w:lang w:val="en-GB" w:eastAsia="cs-CZ"/>
        </w:rPr>
        <w:t>CzechInvest</w:t>
      </w:r>
      <w:proofErr w:type="spellEnd"/>
      <w:r w:rsidRPr="00177F0B">
        <w:rPr>
          <w:rFonts w:ascii="Calibri" w:eastAsia="Times New Roman" w:hAnsi="Calibri" w:cs="Calibri"/>
          <w:color w:val="000000"/>
          <w:lang w:val="en-GB" w:eastAsia="cs-CZ"/>
        </w:rPr>
        <w:t xml:space="preserve">, </w:t>
      </w:r>
      <w:proofErr w:type="spellStart"/>
      <w:r w:rsidRPr="00177F0B">
        <w:rPr>
          <w:rFonts w:ascii="Calibri" w:eastAsia="Times New Roman" w:hAnsi="Calibri" w:cs="Calibri"/>
          <w:color w:val="000000"/>
          <w:lang w:val="en-GB" w:eastAsia="cs-CZ"/>
        </w:rPr>
        <w:t>CzechTrade</w:t>
      </w:r>
      <w:proofErr w:type="spellEnd"/>
      <w:r w:rsidRPr="00177F0B">
        <w:rPr>
          <w:rFonts w:ascii="Calibri" w:eastAsia="Times New Roman" w:hAnsi="Calibri" w:cs="Calibri"/>
          <w:color w:val="000000"/>
          <w:lang w:val="en-GB" w:eastAsia="cs-CZ"/>
        </w:rPr>
        <w:t xml:space="preserve"> and the Czech Republic </w:t>
      </w:r>
      <w:r>
        <w:rPr>
          <w:rFonts w:ascii="Calibri" w:eastAsia="Times New Roman" w:hAnsi="Calibri" w:cs="Calibri"/>
          <w:color w:val="000000"/>
          <w:lang w:val="en-GB" w:eastAsia="cs-CZ"/>
        </w:rPr>
        <w:t xml:space="preserve">Technology Agency </w:t>
      </w:r>
      <w:r w:rsidRPr="00177F0B">
        <w:rPr>
          <w:rFonts w:ascii="Calibri" w:eastAsia="Times New Roman" w:hAnsi="Calibri" w:cs="Calibri"/>
          <w:color w:val="000000"/>
          <w:lang w:val="en-GB" w:eastAsia="cs-CZ"/>
        </w:rPr>
        <w:t xml:space="preserve">to stimulate projects with high added value and high </w:t>
      </w:r>
      <w:r>
        <w:rPr>
          <w:rFonts w:ascii="Calibri" w:eastAsia="Times New Roman" w:hAnsi="Calibri" w:cs="Calibri"/>
          <w:color w:val="000000"/>
          <w:lang w:val="en-GB" w:eastAsia="cs-CZ"/>
        </w:rPr>
        <w:t>share</w:t>
      </w:r>
      <w:r w:rsidRPr="00177F0B">
        <w:rPr>
          <w:rFonts w:ascii="Calibri" w:eastAsia="Times New Roman" w:hAnsi="Calibri" w:cs="Calibri"/>
          <w:color w:val="000000"/>
          <w:lang w:val="en-GB" w:eastAsia="cs-CZ"/>
        </w:rPr>
        <w:t xml:space="preserve"> of research and development, which </w:t>
      </w:r>
      <w:r>
        <w:rPr>
          <w:rFonts w:ascii="Calibri" w:eastAsia="Times New Roman" w:hAnsi="Calibri" w:cs="Calibri"/>
          <w:color w:val="000000"/>
          <w:lang w:val="en-GB" w:eastAsia="cs-CZ"/>
        </w:rPr>
        <w:t>have</w:t>
      </w:r>
      <w:r w:rsidRPr="00177F0B">
        <w:rPr>
          <w:rFonts w:ascii="Calibri" w:eastAsia="Times New Roman" w:hAnsi="Calibri" w:cs="Calibri"/>
          <w:color w:val="000000"/>
          <w:lang w:val="en-GB" w:eastAsia="cs-CZ"/>
        </w:rPr>
        <w:t xml:space="preserve"> prerequisites for commercial use, </w:t>
      </w:r>
      <w:r>
        <w:rPr>
          <w:rFonts w:ascii="Calibri" w:eastAsia="Times New Roman" w:hAnsi="Calibri" w:cs="Calibri"/>
          <w:color w:val="000000"/>
          <w:lang w:val="en-GB" w:eastAsia="cs-CZ"/>
        </w:rPr>
        <w:t xml:space="preserve">high growth potential and a </w:t>
      </w:r>
      <w:r w:rsidRPr="00177F0B">
        <w:rPr>
          <w:rFonts w:ascii="Calibri" w:eastAsia="Times New Roman" w:hAnsi="Calibri" w:cs="Calibri"/>
          <w:color w:val="000000"/>
          <w:lang w:val="en-GB" w:eastAsia="cs-CZ"/>
        </w:rPr>
        <w:t>promise of expansion into foreign markets.</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Exploiting the potential of industrial property</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overnment will continue its efforts to improve the knowledge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optimal way of using the system of industrial property protection to gain a competitive advantage. In addition to increasing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knowledge of entrepreneurs, </w:t>
      </w:r>
      <w:r>
        <w:rPr>
          <w:rFonts w:ascii="Calibri" w:eastAsia="Times New Roman" w:hAnsi="Calibri" w:cs="Calibri"/>
          <w:color w:val="000000"/>
          <w:lang w:val="en-GB" w:eastAsia="cs-CZ"/>
        </w:rPr>
        <w:t>R&amp;D</w:t>
      </w:r>
      <w:r w:rsidRPr="00177F0B">
        <w:rPr>
          <w:rFonts w:ascii="Calibri" w:eastAsia="Times New Roman" w:hAnsi="Calibri" w:cs="Calibri"/>
          <w:color w:val="000000"/>
          <w:lang w:val="en-GB" w:eastAsia="cs-CZ"/>
        </w:rPr>
        <w:t xml:space="preserve"> workers, teachers, and</w:t>
      </w:r>
      <w:r>
        <w:rPr>
          <w:rFonts w:ascii="Calibri" w:eastAsia="Times New Roman" w:hAnsi="Calibri" w:cs="Calibri"/>
          <w:color w:val="000000"/>
          <w:lang w:val="en-GB" w:eastAsia="cs-CZ"/>
        </w:rPr>
        <w:t xml:space="preserve"> students regarding various industrial law</w:t>
      </w:r>
      <w:r w:rsidRPr="00177F0B">
        <w:rPr>
          <w:rFonts w:ascii="Calibri" w:eastAsia="Times New Roman" w:hAnsi="Calibri" w:cs="Calibri"/>
          <w:color w:val="000000"/>
          <w:lang w:val="en-GB" w:eastAsia="cs-CZ"/>
        </w:rPr>
        <w:t xml:space="preserve"> instruments and their optimal use </w:t>
      </w:r>
      <w:r>
        <w:rPr>
          <w:rFonts w:ascii="Calibri" w:eastAsia="Times New Roman" w:hAnsi="Calibri" w:cs="Calibri"/>
          <w:color w:val="000000"/>
          <w:lang w:val="en-GB" w:eastAsia="cs-CZ"/>
        </w:rPr>
        <w:t xml:space="preserve">it </w:t>
      </w:r>
      <w:r w:rsidRPr="00177F0B">
        <w:rPr>
          <w:rFonts w:ascii="Calibri" w:eastAsia="Times New Roman" w:hAnsi="Calibri" w:cs="Calibri"/>
          <w:color w:val="000000"/>
          <w:lang w:val="en-GB" w:eastAsia="cs-CZ"/>
        </w:rPr>
        <w:t>will focus on explaining the importance and methods of obtaining technical information from patent sources. In 2014, the popularization campaign will continue</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bringing arguments and inst</w:t>
      </w:r>
      <w:r>
        <w:rPr>
          <w:rFonts w:ascii="Calibri" w:eastAsia="Times New Roman" w:hAnsi="Calibri" w:cs="Calibri"/>
          <w:color w:val="000000"/>
          <w:lang w:val="en-GB" w:eastAsia="cs-CZ"/>
        </w:rPr>
        <w:t>ructions how and why to use the</w:t>
      </w:r>
      <w:r w:rsidRPr="00177F0B">
        <w:rPr>
          <w:rFonts w:ascii="Calibri" w:eastAsia="Times New Roman" w:hAnsi="Calibri" w:cs="Calibri"/>
          <w:color w:val="000000"/>
          <w:lang w:val="en-GB" w:eastAsia="cs-CZ"/>
        </w:rPr>
        <w:t xml:space="preserve"> industrial property</w:t>
      </w:r>
      <w:r w:rsidRPr="0010726C">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protection, what to do when </w:t>
      </w:r>
      <w:r>
        <w:rPr>
          <w:rFonts w:ascii="Calibri" w:eastAsia="Times New Roman" w:hAnsi="Calibri" w:cs="Calibri"/>
          <w:color w:val="000000"/>
          <w:lang w:val="en-GB" w:eastAsia="cs-CZ"/>
        </w:rPr>
        <w:t>applying abroad and</w:t>
      </w:r>
      <w:r w:rsidRPr="00177F0B">
        <w:rPr>
          <w:rFonts w:ascii="Calibri" w:eastAsia="Times New Roman" w:hAnsi="Calibri" w:cs="Calibri"/>
          <w:color w:val="000000"/>
          <w:lang w:val="en-GB" w:eastAsia="cs-CZ"/>
        </w:rPr>
        <w:t xml:space="preserve"> taking advantage of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international system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Patent Cooperation Treaty.</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Special attention will be given to academic, research and development </w:t>
      </w:r>
      <w:r>
        <w:rPr>
          <w:rFonts w:ascii="Calibri" w:eastAsia="Times New Roman" w:hAnsi="Calibri" w:cs="Calibri"/>
          <w:color w:val="000000"/>
          <w:lang w:val="en-GB" w:eastAsia="cs-CZ"/>
        </w:rPr>
        <w:t>facilities</w:t>
      </w:r>
      <w:r w:rsidRPr="00177F0B">
        <w:rPr>
          <w:rFonts w:ascii="Calibri" w:eastAsia="Times New Roman" w:hAnsi="Calibri" w:cs="Calibri"/>
          <w:color w:val="000000"/>
          <w:lang w:val="en-GB" w:eastAsia="cs-CZ"/>
        </w:rPr>
        <w:t xml:space="preserve"> to prevent unauthorized use of the re</w:t>
      </w:r>
      <w:r>
        <w:rPr>
          <w:rFonts w:ascii="Calibri" w:eastAsia="Times New Roman" w:hAnsi="Calibri" w:cs="Calibri"/>
          <w:color w:val="000000"/>
          <w:lang w:val="en-GB" w:eastAsia="cs-CZ"/>
        </w:rPr>
        <w:t xml:space="preserve">sults of their activities. The </w:t>
      </w:r>
      <w:r w:rsidRPr="00177F0B">
        <w:rPr>
          <w:rFonts w:ascii="Calibri" w:eastAsia="Times New Roman" w:hAnsi="Calibri" w:cs="Calibri"/>
          <w:color w:val="000000"/>
          <w:lang w:val="en-GB" w:eastAsia="cs-CZ"/>
        </w:rPr>
        <w:t xml:space="preserve">system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the Patent Cooperation Treaty</w:t>
      </w:r>
      <w:r>
        <w:rPr>
          <w:rFonts w:ascii="Calibri" w:eastAsia="Times New Roman" w:hAnsi="Calibri" w:cs="Calibri"/>
          <w:color w:val="000000"/>
          <w:lang w:val="en-GB" w:eastAsia="cs-CZ"/>
        </w:rPr>
        <w:t xml:space="preserve"> will be made clear</w:t>
      </w:r>
      <w:r w:rsidRPr="00177F0B">
        <w:rPr>
          <w:rFonts w:ascii="Calibri" w:eastAsia="Times New Roman" w:hAnsi="Calibri" w:cs="Calibri"/>
          <w:color w:val="000000"/>
          <w:lang w:val="en-GB" w:eastAsia="cs-CZ"/>
        </w:rPr>
        <w:t xml:space="preserve">, where filing a single application can </w:t>
      </w:r>
      <w:r>
        <w:rPr>
          <w:rFonts w:ascii="Calibri" w:eastAsia="Times New Roman" w:hAnsi="Calibri" w:cs="Calibri"/>
          <w:color w:val="000000"/>
          <w:lang w:val="en-GB" w:eastAsia="cs-CZ"/>
        </w:rPr>
        <w:t>provide</w:t>
      </w:r>
      <w:r w:rsidRPr="00177F0B">
        <w:rPr>
          <w:rFonts w:ascii="Calibri" w:eastAsia="Times New Roman" w:hAnsi="Calibri" w:cs="Calibri"/>
          <w:color w:val="000000"/>
          <w:lang w:val="en-GB" w:eastAsia="cs-CZ"/>
        </w:rPr>
        <w:t xml:space="preserve"> a longer time for the decision whether to continue the eff</w:t>
      </w:r>
      <w:r>
        <w:rPr>
          <w:rFonts w:ascii="Calibri" w:eastAsia="Times New Roman" w:hAnsi="Calibri" w:cs="Calibri"/>
          <w:color w:val="000000"/>
          <w:lang w:val="en-GB" w:eastAsia="cs-CZ"/>
        </w:rPr>
        <w:t>ort to procure a patent abroad and at the same time</w:t>
      </w:r>
      <w:r w:rsidRPr="00177F0B">
        <w:rPr>
          <w:rFonts w:ascii="Calibri" w:eastAsia="Times New Roman" w:hAnsi="Calibri" w:cs="Calibri"/>
          <w:color w:val="000000"/>
          <w:lang w:val="en-GB" w:eastAsia="cs-CZ"/>
        </w:rPr>
        <w:t xml:space="preserve"> increase the possibility of obtaining funds from the sale of </w:t>
      </w:r>
      <w:r>
        <w:rPr>
          <w:rFonts w:ascii="Calibri" w:eastAsia="Times New Roman" w:hAnsi="Calibri" w:cs="Calibri"/>
          <w:color w:val="000000"/>
          <w:lang w:val="en-GB" w:eastAsia="cs-CZ"/>
        </w:rPr>
        <w:t>the results</w:t>
      </w:r>
      <w:r w:rsidRPr="00177F0B">
        <w:rPr>
          <w:rFonts w:ascii="Calibri" w:eastAsia="Times New Roman" w:hAnsi="Calibri" w:cs="Calibri"/>
          <w:color w:val="000000"/>
          <w:lang w:val="en-GB" w:eastAsia="cs-CZ"/>
        </w:rPr>
        <w:t xml:space="preserve"> abroad.</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 will continue to support</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work towards the completion of a single EU patent and the creation of the Unified Patent Court, including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support</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the creation of a common regional court</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chamber</w:t>
      </w:r>
      <w:r>
        <w:rPr>
          <w:rFonts w:ascii="Calibri" w:eastAsia="Times New Roman" w:hAnsi="Calibri" w:cs="Calibri"/>
          <w:color w:val="000000"/>
          <w:lang w:val="en-GB" w:eastAsia="cs-CZ"/>
        </w:rPr>
        <w:t xml:space="preserve"> with the</w:t>
      </w:r>
      <w:r w:rsidRPr="00177F0B">
        <w:rPr>
          <w:rFonts w:ascii="Calibri" w:eastAsia="Times New Roman" w:hAnsi="Calibri" w:cs="Calibri"/>
          <w:color w:val="000000"/>
          <w:lang w:val="en-GB" w:eastAsia="cs-CZ"/>
        </w:rPr>
        <w:t xml:space="preserve"> Slovak Republic.</w:t>
      </w:r>
      <w:r>
        <w:rPr>
          <w:rFonts w:ascii="Calibri" w:eastAsia="Times New Roman" w:hAnsi="Calibri" w:cs="Calibri"/>
          <w:color w:val="000000"/>
          <w:lang w:val="en-GB" w:eastAsia="cs-CZ"/>
        </w:rPr>
        <w:t xml:space="preserve"> More attention will be paid to </w:t>
      </w:r>
      <w:r w:rsidRPr="00177F0B">
        <w:rPr>
          <w:rFonts w:ascii="Calibri" w:eastAsia="Times New Roman" w:hAnsi="Calibri" w:cs="Calibri"/>
          <w:color w:val="000000"/>
          <w:lang w:val="en-GB" w:eastAsia="cs-CZ"/>
        </w:rPr>
        <w:t>providing comprehensive, trust</w:t>
      </w:r>
      <w:r>
        <w:rPr>
          <w:rFonts w:ascii="Calibri" w:eastAsia="Times New Roman" w:hAnsi="Calibri" w:cs="Calibri"/>
          <w:color w:val="000000"/>
          <w:lang w:val="en-GB" w:eastAsia="cs-CZ"/>
        </w:rPr>
        <w:t>worthy</w:t>
      </w:r>
      <w:r w:rsidRPr="00177F0B">
        <w:rPr>
          <w:rFonts w:ascii="Calibri" w:eastAsia="Times New Roman" w:hAnsi="Calibri" w:cs="Calibri"/>
          <w:color w:val="000000"/>
          <w:lang w:val="en-GB" w:eastAsia="cs-CZ"/>
        </w:rPr>
        <w:t xml:space="preserve"> and user</w:t>
      </w:r>
      <w:r>
        <w:rPr>
          <w:rFonts w:ascii="Calibri" w:eastAsia="Times New Roman" w:hAnsi="Calibri" w:cs="Calibri"/>
          <w:color w:val="000000"/>
          <w:lang w:val="en-GB" w:eastAsia="cs-CZ"/>
        </w:rPr>
        <w:t>-friendly</w:t>
      </w:r>
      <w:r w:rsidRPr="00177F0B">
        <w:rPr>
          <w:rFonts w:ascii="Calibri" w:eastAsia="Times New Roman" w:hAnsi="Calibri" w:cs="Calibri"/>
          <w:color w:val="000000"/>
          <w:lang w:val="en-GB" w:eastAsia="cs-CZ"/>
        </w:rPr>
        <w:t xml:space="preserve"> and understandable information about cutting-edge technological solutions and </w:t>
      </w:r>
      <w:r>
        <w:rPr>
          <w:rFonts w:ascii="Calibri" w:eastAsia="Times New Roman" w:hAnsi="Calibri" w:cs="Calibri"/>
          <w:color w:val="000000"/>
          <w:lang w:val="en-GB" w:eastAsia="cs-CZ"/>
        </w:rPr>
        <w:t>subjects</w:t>
      </w:r>
      <w:r w:rsidRPr="00177F0B">
        <w:rPr>
          <w:rFonts w:ascii="Calibri" w:eastAsia="Times New Roman" w:hAnsi="Calibri" w:cs="Calibri"/>
          <w:color w:val="000000"/>
          <w:lang w:val="en-GB" w:eastAsia="cs-CZ"/>
        </w:rPr>
        <w:t xml:space="preserve"> of industrial rights and ways </w:t>
      </w:r>
      <w:r>
        <w:rPr>
          <w:rFonts w:ascii="Calibri" w:eastAsia="Times New Roman" w:hAnsi="Calibri" w:cs="Calibri"/>
          <w:color w:val="000000"/>
          <w:lang w:val="en-GB" w:eastAsia="cs-CZ"/>
        </w:rPr>
        <w:t>of their</w:t>
      </w:r>
      <w:r w:rsidRPr="00177F0B">
        <w:rPr>
          <w:rFonts w:ascii="Calibri" w:eastAsia="Times New Roman" w:hAnsi="Calibri" w:cs="Calibri"/>
          <w:color w:val="000000"/>
          <w:lang w:val="en-GB" w:eastAsia="cs-CZ"/>
        </w:rPr>
        <w:t xml:space="preserve"> best use. Users will be offered services providing information on the latest state of the art in their field taken from newly published patent applications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dustrial </w:t>
      </w:r>
      <w:r>
        <w:rPr>
          <w:rFonts w:ascii="Calibri" w:eastAsia="Times New Roman" w:hAnsi="Calibri" w:cs="Calibri"/>
          <w:color w:val="000000"/>
          <w:lang w:val="en-GB" w:eastAsia="cs-CZ"/>
        </w:rPr>
        <w:t>law</w:t>
      </w:r>
      <w:r w:rsidRPr="00177F0B">
        <w:rPr>
          <w:rFonts w:ascii="Calibri" w:eastAsia="Times New Roman" w:hAnsi="Calibri" w:cs="Calibri"/>
          <w:color w:val="000000"/>
          <w:lang w:val="en-GB" w:eastAsia="cs-CZ"/>
        </w:rPr>
        <w:t xml:space="preserve"> audit and technological foresight to track trends and predict the future direction of the </w:t>
      </w:r>
      <w:r>
        <w:rPr>
          <w:rFonts w:ascii="Calibri" w:eastAsia="Times New Roman" w:hAnsi="Calibri" w:cs="Calibri"/>
          <w:color w:val="000000"/>
          <w:lang w:val="en-GB" w:eastAsia="cs-CZ"/>
        </w:rPr>
        <w:t>given field will be promoted</w:t>
      </w:r>
      <w:r w:rsidRPr="00177F0B">
        <w:rPr>
          <w:rFonts w:ascii="Calibri" w:eastAsia="Times New Roman" w:hAnsi="Calibri" w:cs="Calibri"/>
          <w:color w:val="000000"/>
          <w:lang w:val="en-GB" w:eastAsia="cs-CZ"/>
        </w:rPr>
        <w:t xml:space="preserve">. It will improve the availability of information on the progress </w:t>
      </w:r>
      <w:r>
        <w:rPr>
          <w:rFonts w:ascii="Calibri" w:eastAsia="Times New Roman" w:hAnsi="Calibri" w:cs="Calibri"/>
          <w:color w:val="000000"/>
          <w:lang w:val="en-GB" w:eastAsia="cs-CZ"/>
        </w:rPr>
        <w:t>registry</w:t>
      </w:r>
      <w:r w:rsidRPr="00177F0B">
        <w:rPr>
          <w:rFonts w:ascii="Calibri" w:eastAsia="Times New Roman" w:hAnsi="Calibri" w:cs="Calibri"/>
          <w:color w:val="000000"/>
          <w:lang w:val="en-GB" w:eastAsia="cs-CZ"/>
        </w:rPr>
        <w:t xml:space="preserve"> and other proceedings. In order to underline the importance of patent and trademark protection for the innovation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and creativity</w:t>
      </w:r>
      <w:r>
        <w:rPr>
          <w:rFonts w:ascii="Calibri" w:eastAsia="Times New Roman" w:hAnsi="Calibri" w:cs="Calibri"/>
          <w:color w:val="000000"/>
          <w:lang w:val="en-GB" w:eastAsia="cs-CZ"/>
        </w:rPr>
        <w:t>-based</w:t>
      </w:r>
      <w:r w:rsidRPr="00177F0B">
        <w:rPr>
          <w:rFonts w:ascii="Calibri" w:eastAsia="Times New Roman" w:hAnsi="Calibri" w:cs="Calibri"/>
          <w:color w:val="000000"/>
          <w:lang w:val="en-GB" w:eastAsia="cs-CZ"/>
        </w:rPr>
        <w:t xml:space="preserve"> company an international conference </w:t>
      </w:r>
      <w:r>
        <w:rPr>
          <w:rFonts w:ascii="Calibri" w:eastAsia="Times New Roman" w:hAnsi="Calibri" w:cs="Calibri"/>
          <w:color w:val="000000"/>
          <w:lang w:val="en-GB" w:eastAsia="cs-CZ"/>
        </w:rPr>
        <w:t xml:space="preserve">will be organized </w:t>
      </w:r>
      <w:r w:rsidRPr="00177F0B">
        <w:rPr>
          <w:rFonts w:ascii="Calibri" w:eastAsia="Times New Roman" w:hAnsi="Calibri" w:cs="Calibri"/>
          <w:color w:val="000000"/>
          <w:lang w:val="en-GB" w:eastAsia="cs-CZ"/>
        </w:rPr>
        <w:t>in the second half of 2014</w:t>
      </w:r>
      <w:r>
        <w:rPr>
          <w:rFonts w:ascii="Calibri" w:eastAsia="Times New Roman" w:hAnsi="Calibri" w:cs="Calibri"/>
          <w:color w:val="000000"/>
          <w:lang w:val="en-GB" w:eastAsia="cs-CZ"/>
        </w:rPr>
        <w:t xml:space="preserve">, which will be </w:t>
      </w:r>
      <w:r w:rsidRPr="00177F0B">
        <w:rPr>
          <w:rFonts w:ascii="Calibri" w:eastAsia="Times New Roman" w:hAnsi="Calibri" w:cs="Calibri"/>
          <w:color w:val="000000"/>
          <w:lang w:val="en-GB" w:eastAsia="cs-CZ"/>
        </w:rPr>
        <w:t>attended by top representatives of specialized international institutions.</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Foresight and technological areas of strategic importance for the Czech Republic</w:t>
      </w:r>
      <w:r>
        <w:rPr>
          <w:rFonts w:ascii="Cambria" w:eastAsia="Times New Roman" w:hAnsi="Cambria" w:cs="Times New Roman"/>
          <w:b/>
          <w:bCs/>
          <w:i/>
          <w:iCs/>
          <w:color w:val="D41616"/>
          <w:lang w:val="en-GB" w:eastAsia="cs-CZ"/>
        </w:rPr>
        <w:t>’s economic growth</w:t>
      </w:r>
    </w:p>
    <w:p w:rsidR="00160A83" w:rsidRPr="009802A5" w:rsidRDefault="009802A5" w:rsidP="00121EF3">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As</w:t>
      </w:r>
      <w:r>
        <w:rPr>
          <w:rFonts w:ascii="Calibri" w:eastAsia="Times New Roman" w:hAnsi="Calibri" w:cs="Calibri"/>
          <w:color w:val="000000"/>
          <w:lang w:val="en-GB" w:eastAsia="cs-CZ"/>
        </w:rPr>
        <w:t xml:space="preserve"> a</w:t>
      </w:r>
      <w:r w:rsidRPr="00177F0B">
        <w:rPr>
          <w:rFonts w:ascii="Calibri" w:eastAsia="Times New Roman" w:hAnsi="Calibri" w:cs="Calibri"/>
          <w:color w:val="000000"/>
          <w:lang w:val="en-GB" w:eastAsia="cs-CZ"/>
        </w:rPr>
        <w:t xml:space="preserve"> part of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effective innovation policy </w:t>
      </w:r>
      <w:r>
        <w:rPr>
          <w:rFonts w:ascii="Calibri" w:eastAsia="Times New Roman" w:hAnsi="Calibri" w:cs="Calibri"/>
          <w:color w:val="000000"/>
          <w:lang w:val="en-GB" w:eastAsia="cs-CZ"/>
        </w:rPr>
        <w:t xml:space="preserve">the government </w:t>
      </w:r>
      <w:r w:rsidRPr="00177F0B">
        <w:rPr>
          <w:rFonts w:ascii="Calibri" w:eastAsia="Times New Roman" w:hAnsi="Calibri" w:cs="Calibri"/>
          <w:color w:val="000000"/>
          <w:lang w:val="en-GB" w:eastAsia="cs-CZ"/>
        </w:rPr>
        <w:t xml:space="preserve">supports the development of </w:t>
      </w:r>
      <w:r>
        <w:rPr>
          <w:rFonts w:ascii="Calibri" w:eastAsia="Times New Roman" w:hAnsi="Calibri" w:cs="Calibri"/>
          <w:color w:val="000000"/>
          <w:lang w:val="en-GB" w:eastAsia="cs-CZ"/>
        </w:rPr>
        <w:t>a system of</w:t>
      </w:r>
      <w:r w:rsidRPr="00177F0B">
        <w:rPr>
          <w:rFonts w:ascii="Calibri" w:eastAsia="Times New Roman" w:hAnsi="Calibri" w:cs="Calibri"/>
          <w:color w:val="000000"/>
          <w:lang w:val="en-GB" w:eastAsia="cs-CZ"/>
        </w:rPr>
        <w:t xml:space="preserve"> monitoring of global markets and developments in the field of research and technology, which allows qualified</w:t>
      </w:r>
      <w:r>
        <w:rPr>
          <w:rFonts w:ascii="Calibri" w:eastAsia="Times New Roman" w:hAnsi="Calibri" w:cs="Calibri"/>
          <w:color w:val="000000"/>
          <w:lang w:val="en-GB" w:eastAsia="cs-CZ"/>
        </w:rPr>
        <w:t xml:space="preserve"> identification of</w:t>
      </w:r>
      <w:r w:rsidRPr="00177F0B">
        <w:rPr>
          <w:rFonts w:ascii="Calibri" w:eastAsia="Times New Roman" w:hAnsi="Calibri" w:cs="Calibri"/>
          <w:color w:val="000000"/>
          <w:lang w:val="en-GB" w:eastAsia="cs-CZ"/>
        </w:rPr>
        <w:t xml:space="preserve"> the social, economic and technological trends in foreign markets. Based on foresight activities analysing</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developments in global demand, a qualified estimate of the possible scenarios of the future development of value added analyses of Czech trade in the global economy and the mapping</w:t>
      </w:r>
      <w:r>
        <w:rPr>
          <w:rFonts w:ascii="Calibri" w:eastAsia="Times New Roman" w:hAnsi="Calibri" w:cs="Calibri"/>
          <w:color w:val="000000"/>
          <w:lang w:val="en-GB" w:eastAsia="cs-CZ"/>
        </w:rPr>
        <w:t xml:space="preserve"> of the </w:t>
      </w:r>
      <w:r w:rsidRPr="00177F0B">
        <w:rPr>
          <w:rFonts w:ascii="Calibri" w:eastAsia="Times New Roman" w:hAnsi="Calibri" w:cs="Calibri"/>
          <w:color w:val="000000"/>
          <w:lang w:val="en-GB" w:eastAsia="cs-CZ"/>
        </w:rPr>
        <w:t>innovation potential</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organizations in the Czech Republic, the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overnment may det</w:t>
      </w:r>
      <w:r>
        <w:rPr>
          <w:rFonts w:ascii="Calibri" w:eastAsia="Times New Roman" w:hAnsi="Calibri" w:cs="Calibri"/>
          <w:color w:val="000000"/>
          <w:lang w:val="en-GB" w:eastAsia="cs-CZ"/>
        </w:rPr>
        <w:t>ermine key technological areas to be</w:t>
      </w:r>
      <w:r w:rsidRPr="00177F0B">
        <w:rPr>
          <w:rFonts w:ascii="Calibri" w:eastAsia="Times New Roman" w:hAnsi="Calibri" w:cs="Calibri"/>
          <w:color w:val="000000"/>
          <w:lang w:val="en-GB" w:eastAsia="cs-CZ"/>
        </w:rPr>
        <w:t xml:space="preserve"> support</w:t>
      </w:r>
      <w:r>
        <w:rPr>
          <w:rFonts w:ascii="Calibri" w:eastAsia="Times New Roman" w:hAnsi="Calibri" w:cs="Calibri"/>
          <w:color w:val="000000"/>
          <w:lang w:val="en-GB" w:eastAsia="cs-CZ"/>
        </w:rPr>
        <w:t>ed</w:t>
      </w:r>
      <w:r w:rsidRPr="00177F0B">
        <w:rPr>
          <w:rFonts w:ascii="Calibri" w:eastAsia="Times New Roman" w:hAnsi="Calibri" w:cs="Calibri"/>
          <w:color w:val="000000"/>
          <w:lang w:val="en-GB" w:eastAsia="cs-CZ"/>
        </w:rPr>
        <w:t xml:space="preserve"> in the Czech Republic. </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ocus</w:t>
      </w:r>
      <w:r>
        <w:rPr>
          <w:rFonts w:ascii="Calibri" w:eastAsia="Times New Roman" w:hAnsi="Calibri" w:cs="Calibri"/>
          <w:color w:val="000000"/>
          <w:lang w:val="en-GB" w:eastAsia="cs-CZ"/>
        </w:rPr>
        <w:t xml:space="preserve"> will be put </w:t>
      </w:r>
      <w:r w:rsidRPr="00177F0B">
        <w:rPr>
          <w:rFonts w:ascii="Calibri" w:eastAsia="Times New Roman" w:hAnsi="Calibri" w:cs="Calibri"/>
          <w:color w:val="000000"/>
          <w:lang w:val="en-GB" w:eastAsia="cs-CZ"/>
        </w:rPr>
        <w:t xml:space="preserve">mainly on the areas in which we can also expect a high potential for contributing to the competitive advantage of the </w:t>
      </w:r>
      <w:r w:rsidRPr="00177F0B">
        <w:rPr>
          <w:rFonts w:ascii="Calibri" w:eastAsia="Times New Roman" w:hAnsi="Calibri" w:cs="Calibri"/>
          <w:color w:val="000000"/>
          <w:lang w:val="en-GB" w:eastAsia="cs-CZ"/>
        </w:rPr>
        <w:lastRenderedPageBreak/>
        <w:t xml:space="preserve">corporate sector in the Czech Republic and therefore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public support</w:t>
      </w:r>
      <w:r>
        <w:rPr>
          <w:rFonts w:ascii="Calibri" w:eastAsia="Times New Roman" w:hAnsi="Calibri" w:cs="Calibri"/>
          <w:color w:val="000000"/>
          <w:lang w:val="en-GB" w:eastAsia="cs-CZ"/>
        </w:rPr>
        <w:t xml:space="preserve"> for</w:t>
      </w:r>
      <w:r w:rsidRPr="00177F0B">
        <w:rPr>
          <w:rFonts w:ascii="Calibri" w:eastAsia="Times New Roman" w:hAnsi="Calibri" w:cs="Calibri"/>
          <w:color w:val="000000"/>
          <w:lang w:val="en-GB" w:eastAsia="cs-CZ"/>
        </w:rPr>
        <w:t xml:space="preserve"> business and research and development</w:t>
      </w:r>
      <w:r>
        <w:rPr>
          <w:rFonts w:ascii="Calibri" w:eastAsia="Times New Roman" w:hAnsi="Calibri" w:cs="Calibri"/>
          <w:color w:val="000000"/>
          <w:lang w:val="en-GB" w:eastAsia="cs-CZ"/>
        </w:rPr>
        <w:t xml:space="preserve"> will be directed to them</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At the same time the mapping of the Czech Republic’s innovation capacity</w:t>
      </w:r>
      <w:r w:rsidRPr="00E9015B">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within the project INKA</w:t>
      </w:r>
      <w:r>
        <w:rPr>
          <w:rFonts w:ascii="Calibri" w:eastAsia="Times New Roman" w:hAnsi="Calibri" w:cs="Calibri"/>
          <w:color w:val="000000"/>
          <w:lang w:val="en-GB" w:eastAsia="cs-CZ"/>
        </w:rPr>
        <w:t xml:space="preserve"> is being conducted a</w:t>
      </w:r>
      <w:r w:rsidRPr="00177F0B">
        <w:rPr>
          <w:rFonts w:ascii="Calibri" w:eastAsia="Times New Roman" w:hAnsi="Calibri" w:cs="Calibri"/>
          <w:color w:val="000000"/>
          <w:lang w:val="en-GB" w:eastAsia="cs-CZ"/>
        </w:rPr>
        <w:t xml:space="preserve">s part of the streamlining of innovative activities and interventions in the field of </w:t>
      </w:r>
      <w:r>
        <w:rPr>
          <w:rFonts w:ascii="Calibri" w:eastAsia="Times New Roman" w:hAnsi="Calibri" w:cs="Calibri"/>
          <w:color w:val="000000"/>
          <w:lang w:val="en-GB" w:eastAsia="cs-CZ"/>
        </w:rPr>
        <w:t>R&amp;D.</w:t>
      </w:r>
    </w:p>
    <w:p w:rsidR="003237CF" w:rsidRPr="007A1B09" w:rsidRDefault="009802A5" w:rsidP="003237CF">
      <w:pPr>
        <w:pStyle w:val="Nadpis3"/>
        <w:numPr>
          <w:ilvl w:val="2"/>
          <w:numId w:val="4"/>
        </w:numPr>
        <w:ind w:left="851" w:hanging="851"/>
        <w:rPr>
          <w:lang w:val="en-GB"/>
        </w:rPr>
      </w:pPr>
      <w:bookmarkStart w:id="70" w:name="_Toc385946041"/>
      <w:r w:rsidRPr="009802A5">
        <w:rPr>
          <w:bCs/>
          <w:lang w:val="en-GB"/>
        </w:rPr>
        <w:t>Space activities</w:t>
      </w:r>
      <w:bookmarkEnd w:id="70"/>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Space activities are </w:t>
      </w:r>
      <w:r>
        <w:rPr>
          <w:rFonts w:ascii="Calibri" w:eastAsia="Times New Roman" w:hAnsi="Calibri" w:cs="Calibri"/>
          <w:color w:val="000000"/>
          <w:lang w:val="en-GB" w:eastAsia="cs-CZ"/>
        </w:rPr>
        <w:t>a dynamically developing field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advances</w:t>
      </w:r>
      <w:r>
        <w:rPr>
          <w:rFonts w:ascii="Calibri" w:eastAsia="Times New Roman" w:hAnsi="Calibri" w:cs="Calibri"/>
          <w:color w:val="000000"/>
          <w:lang w:val="en-GB" w:eastAsia="cs-CZ"/>
        </w:rPr>
        <w:t xml:space="preserve"> of which</w:t>
      </w:r>
      <w:r w:rsidRPr="00177F0B">
        <w:rPr>
          <w:rFonts w:ascii="Calibri" w:eastAsia="Times New Roman" w:hAnsi="Calibri" w:cs="Calibri"/>
          <w:color w:val="000000"/>
          <w:lang w:val="en-GB" w:eastAsia="cs-CZ"/>
        </w:rPr>
        <w:t xml:space="preserve"> are reflected in many sectors of human activity. </w:t>
      </w:r>
      <w:r>
        <w:rPr>
          <w:rFonts w:ascii="Calibri" w:eastAsia="Times New Roman" w:hAnsi="Calibri" w:cs="Calibri"/>
          <w:color w:val="000000"/>
          <w:lang w:val="en-GB" w:eastAsia="cs-CZ"/>
        </w:rPr>
        <w:t>The g</w:t>
      </w:r>
      <w:r w:rsidRPr="00177F0B">
        <w:rPr>
          <w:rFonts w:ascii="Calibri" w:eastAsia="Times New Roman" w:hAnsi="Calibri" w:cs="Calibri"/>
          <w:color w:val="000000"/>
          <w:lang w:val="en-GB" w:eastAsia="cs-CZ"/>
        </w:rPr>
        <w:t xml:space="preserve">overnment is aware of the importance of space activities for the national economy and the importance of close cooperation with the European Space Agency (ESA) and the European GNSS Agency (GSA), </w:t>
      </w:r>
      <w:r>
        <w:rPr>
          <w:rFonts w:ascii="Calibri" w:eastAsia="Times New Roman" w:hAnsi="Calibri" w:cs="Calibri"/>
          <w:color w:val="000000"/>
          <w:lang w:val="en-GB" w:eastAsia="cs-CZ"/>
        </w:rPr>
        <w:t>particularly for the improvement of</w:t>
      </w:r>
      <w:r w:rsidRPr="00177F0B">
        <w:rPr>
          <w:rFonts w:ascii="Calibri" w:eastAsia="Times New Roman" w:hAnsi="Calibri" w:cs="Calibri"/>
          <w:color w:val="000000"/>
          <w:lang w:val="en-GB" w:eastAsia="cs-CZ"/>
        </w:rPr>
        <w:t xml:space="preserve"> the technological level of the Czech industry and its competitiveness.</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sees space </w:t>
      </w:r>
      <w:r>
        <w:rPr>
          <w:rFonts w:ascii="Calibri" w:eastAsia="Times New Roman" w:hAnsi="Calibri" w:cs="Calibri"/>
          <w:color w:val="000000"/>
          <w:lang w:val="en-GB" w:eastAsia="cs-CZ"/>
        </w:rPr>
        <w:t xml:space="preserve">activities </w:t>
      </w:r>
      <w:r w:rsidRPr="00177F0B">
        <w:rPr>
          <w:rFonts w:ascii="Calibri" w:eastAsia="Times New Roman" w:hAnsi="Calibri" w:cs="Calibri"/>
          <w:color w:val="000000"/>
          <w:lang w:val="en-GB" w:eastAsia="cs-CZ"/>
        </w:rPr>
        <w:t xml:space="preserve">as a strategic </w:t>
      </w:r>
      <w:r>
        <w:rPr>
          <w:rFonts w:ascii="Calibri" w:eastAsia="Times New Roman" w:hAnsi="Calibri" w:cs="Calibri"/>
          <w:color w:val="000000"/>
          <w:lang w:val="en-GB" w:eastAsia="cs-CZ"/>
        </w:rPr>
        <w:t>and political discipline with a significant</w:t>
      </w:r>
      <w:r w:rsidRPr="00177F0B">
        <w:rPr>
          <w:rFonts w:ascii="Calibri" w:eastAsia="Times New Roman" w:hAnsi="Calibri" w:cs="Calibri"/>
          <w:color w:val="000000"/>
          <w:lang w:val="en-GB" w:eastAsia="cs-CZ"/>
        </w:rPr>
        <w:t xml:space="preserve"> economic impact.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ompanies and institutions that are developing new technologies, software, hardware and services with high added value</w:t>
      </w:r>
      <w:r>
        <w:rPr>
          <w:rFonts w:ascii="Calibri" w:eastAsia="Times New Roman" w:hAnsi="Calibri" w:cs="Calibri"/>
          <w:color w:val="000000"/>
          <w:lang w:val="en-GB" w:eastAsia="cs-CZ"/>
        </w:rPr>
        <w:t xml:space="preserve"> are getting increasingly involved in space activities</w:t>
      </w:r>
      <w:r w:rsidRPr="00177F0B">
        <w:rPr>
          <w:rFonts w:ascii="Calibri" w:eastAsia="Times New Roman" w:hAnsi="Calibri" w:cs="Calibri"/>
          <w:color w:val="000000"/>
          <w:lang w:val="en-GB" w:eastAsia="cs-CZ"/>
        </w:rPr>
        <w:t>. Applications in the field of space technology and satellite navigation stimulate further development in a broad spectrum of various industries.</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this context the government is preparing measures to help Czech companies </w:t>
      </w:r>
      <w:r>
        <w:rPr>
          <w:rFonts w:ascii="Calibri" w:eastAsia="Times New Roman" w:hAnsi="Calibri" w:cs="Calibri"/>
          <w:color w:val="000000"/>
          <w:lang w:val="en-GB" w:eastAsia="cs-CZ"/>
        </w:rPr>
        <w:t>to get</w:t>
      </w:r>
      <w:r w:rsidRPr="00177F0B">
        <w:rPr>
          <w:rFonts w:ascii="Calibri" w:eastAsia="Times New Roman" w:hAnsi="Calibri" w:cs="Calibri"/>
          <w:color w:val="000000"/>
          <w:lang w:val="en-GB" w:eastAsia="cs-CZ"/>
        </w:rPr>
        <w:t xml:space="preserve"> more involved in the above activities and will allow further improvements in the coordination of space activities at the national and global level. This form of coordination will not only contribute to a more efficient use of funds, but ultimately, to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increase</w:t>
      </w:r>
      <w:r>
        <w:rPr>
          <w:rFonts w:ascii="Calibri" w:eastAsia="Times New Roman" w:hAnsi="Calibri" w:cs="Calibri"/>
          <w:color w:val="000000"/>
          <w:lang w:val="en-GB" w:eastAsia="cs-CZ"/>
        </w:rPr>
        <w:t>d return of investments</w:t>
      </w:r>
      <w:r w:rsidRPr="00177F0B">
        <w:rPr>
          <w:rFonts w:ascii="Calibri" w:eastAsia="Times New Roman" w:hAnsi="Calibri" w:cs="Calibri"/>
          <w:color w:val="000000"/>
          <w:lang w:val="en-GB" w:eastAsia="cs-CZ"/>
        </w:rPr>
        <w:t xml:space="preserve"> and competitiveness of the country.</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Investing in space</w:t>
      </w:r>
    </w:p>
    <w:p w:rsidR="009802A5" w:rsidRPr="00177F0B" w:rsidRDefault="009802A5" w:rsidP="009802A5">
      <w:pPr>
        <w:rPr>
          <w:rFonts w:ascii="Calibri" w:eastAsia="Times New Roman" w:hAnsi="Calibri" w:cs="Calibri"/>
          <w:color w:val="000000"/>
          <w:lang w:val="en-GB" w:eastAsia="cs-CZ"/>
        </w:rPr>
      </w:pPr>
      <w:r>
        <w:rPr>
          <w:rFonts w:ascii="Calibri" w:eastAsia="Times New Roman" w:hAnsi="Calibri" w:cs="Calibri"/>
          <w:color w:val="000000"/>
          <w:lang w:val="en-GB" w:eastAsia="cs-CZ"/>
        </w:rPr>
        <w:t>Investments</w:t>
      </w:r>
      <w:r w:rsidRPr="00177F0B">
        <w:rPr>
          <w:rFonts w:ascii="Calibri" w:eastAsia="Times New Roman" w:hAnsi="Calibri" w:cs="Calibri"/>
          <w:color w:val="000000"/>
          <w:lang w:val="en-GB" w:eastAsia="cs-CZ"/>
        </w:rPr>
        <w:t xml:space="preserve"> in ESA optional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 must be conducted in accordance with the increasing capacity of Czech industry in this area and achieved p</w:t>
      </w:r>
      <w:r>
        <w:rPr>
          <w:rFonts w:ascii="Calibri" w:eastAsia="Times New Roman" w:hAnsi="Calibri" w:cs="Calibri"/>
          <w:color w:val="000000"/>
          <w:lang w:val="en-GB" w:eastAsia="cs-CZ"/>
        </w:rPr>
        <w:t>artial</w:t>
      </w:r>
      <w:r w:rsidRPr="00177F0B">
        <w:rPr>
          <w:rFonts w:ascii="Calibri" w:eastAsia="Times New Roman" w:hAnsi="Calibri" w:cs="Calibri"/>
          <w:color w:val="000000"/>
          <w:lang w:val="en-GB" w:eastAsia="cs-CZ"/>
        </w:rPr>
        <w:t xml:space="preserve"> results in the transfer of know-how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the commercial industrial sector. Investment in space activities, particularly through the ESA in the form of participation in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optional program</w:t>
      </w:r>
      <w:r>
        <w:rPr>
          <w:rFonts w:ascii="Calibri" w:eastAsia="Times New Roman" w:hAnsi="Calibri" w:cs="Calibri"/>
          <w:color w:val="000000"/>
          <w:lang w:val="en-GB" w:eastAsia="cs-CZ"/>
        </w:rPr>
        <w:t>mes</w:t>
      </w:r>
      <w:r w:rsidRPr="00177F0B">
        <w:rPr>
          <w:rFonts w:ascii="Calibri" w:eastAsia="Times New Roman" w:hAnsi="Calibri" w:cs="Calibri"/>
          <w:color w:val="000000"/>
          <w:lang w:val="en-GB" w:eastAsia="cs-CZ"/>
        </w:rPr>
        <w:t xml:space="preserve"> the government </w:t>
      </w:r>
      <w:r>
        <w:rPr>
          <w:rFonts w:ascii="Calibri" w:eastAsia="Times New Roman" w:hAnsi="Calibri" w:cs="Calibri"/>
          <w:color w:val="000000"/>
          <w:lang w:val="en-GB" w:eastAsia="cs-CZ"/>
        </w:rPr>
        <w:t>is able to</w:t>
      </w:r>
      <w:r w:rsidRPr="00177F0B">
        <w:rPr>
          <w:rFonts w:ascii="Calibri" w:eastAsia="Times New Roman" w:hAnsi="Calibri" w:cs="Calibri"/>
          <w:color w:val="000000"/>
          <w:lang w:val="en-GB" w:eastAsia="cs-CZ"/>
        </w:rPr>
        <w:t xml:space="preserve"> effectively promote the competitiveness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Czech industry, research excellence and contribute to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sustainable economic growth.</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Creating a multi-annual National Space Programme</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2014 the government </w:t>
      </w:r>
      <w:r>
        <w:rPr>
          <w:rFonts w:ascii="Calibri" w:eastAsia="Times New Roman" w:hAnsi="Calibri" w:cs="Calibri"/>
          <w:color w:val="000000"/>
          <w:lang w:val="en-GB" w:eastAsia="cs-CZ"/>
        </w:rPr>
        <w:t xml:space="preserve">envisages </w:t>
      </w:r>
      <w:r w:rsidRPr="00177F0B">
        <w:rPr>
          <w:rFonts w:ascii="Calibri" w:eastAsia="Times New Roman" w:hAnsi="Calibri" w:cs="Calibri"/>
          <w:color w:val="000000"/>
          <w:lang w:val="en-GB" w:eastAsia="cs-CZ"/>
        </w:rPr>
        <w:t>the creation of the National Space Programme, which will be a set of material, time and financial conditions</w:t>
      </w:r>
      <w:r>
        <w:rPr>
          <w:rFonts w:ascii="Calibri" w:eastAsia="Times New Roman" w:hAnsi="Calibri" w:cs="Calibri"/>
          <w:color w:val="000000"/>
          <w:lang w:val="en-GB" w:eastAsia="cs-CZ"/>
        </w:rPr>
        <w:t xml:space="preserve"> for activities</w:t>
      </w:r>
      <w:r w:rsidRPr="00177F0B">
        <w:rPr>
          <w:rFonts w:ascii="Calibri" w:eastAsia="Times New Roman" w:hAnsi="Calibri" w:cs="Calibri"/>
          <w:color w:val="000000"/>
          <w:lang w:val="en-GB" w:eastAsia="cs-CZ"/>
        </w:rPr>
        <w:t xml:space="preserve"> necessary to meet the objectives and priorities of the National Space Plan of the Czech Republic.</w:t>
      </w:r>
    </w:p>
    <w:p w:rsidR="009802A5" w:rsidRPr="00177F0B" w:rsidRDefault="009802A5" w:rsidP="009802A5">
      <w:pPr>
        <w:spacing w:before="200" w:after="80"/>
        <w:outlineLvl w:val="3"/>
        <w:rPr>
          <w:rFonts w:ascii="Cambria" w:eastAsia="Times New Roman" w:hAnsi="Cambria" w:cs="Times New Roman"/>
          <w:b/>
          <w:bCs/>
          <w:i/>
          <w:iCs/>
          <w:color w:val="D41616"/>
          <w:lang w:val="en-GB" w:eastAsia="cs-CZ"/>
        </w:rPr>
      </w:pPr>
      <w:r w:rsidRPr="00177F0B">
        <w:rPr>
          <w:rFonts w:ascii="Cambria" w:eastAsia="Times New Roman" w:hAnsi="Cambria" w:cs="Times New Roman"/>
          <w:b/>
          <w:bCs/>
          <w:i/>
          <w:iCs/>
          <w:color w:val="D41616"/>
          <w:lang w:val="en-GB" w:eastAsia="cs-CZ"/>
        </w:rPr>
        <w:t>Establishment of the Czech Space Agency</w:t>
      </w:r>
    </w:p>
    <w:p w:rsidR="009802A5" w:rsidRPr="00177F0B" w:rsidRDefault="009802A5" w:rsidP="009802A5">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Government's aim is to establish a Czech Space Agency (C</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A), which should be an inter-ministerial body in matters of space activities in the </w:t>
      </w:r>
      <w:r>
        <w:rPr>
          <w:rFonts w:ascii="Calibri" w:eastAsia="Times New Roman" w:hAnsi="Calibri" w:cs="Calibri"/>
          <w:color w:val="000000"/>
          <w:lang w:val="en-GB" w:eastAsia="cs-CZ"/>
        </w:rPr>
        <w:t>Czech Republic</w:t>
      </w:r>
      <w:r w:rsidRPr="00177F0B">
        <w:rPr>
          <w:rFonts w:ascii="Calibri" w:eastAsia="Times New Roman" w:hAnsi="Calibri" w:cs="Calibri"/>
          <w:color w:val="000000"/>
          <w:lang w:val="en-GB" w:eastAsia="cs-CZ"/>
        </w:rPr>
        <w:t>. This step will streamline the coordination of the government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space activities and facilitate international cooperation and transfer of technologies with high added value.</w:t>
      </w:r>
    </w:p>
    <w:p w:rsidR="005907E3" w:rsidRPr="007A1B09" w:rsidRDefault="005907E3" w:rsidP="00881AD9">
      <w:pPr>
        <w:rPr>
          <w:lang w:val="en-GB"/>
        </w:rPr>
      </w:pPr>
    </w:p>
    <w:p w:rsidR="0008156A" w:rsidRPr="007A1B09" w:rsidRDefault="0008156A" w:rsidP="00AE51CF">
      <w:pPr>
        <w:spacing w:after="180"/>
        <w:rPr>
          <w:lang w:val="en-GB"/>
        </w:rPr>
      </w:pPr>
    </w:p>
    <w:p w:rsidR="00AC5600" w:rsidRPr="007A1B09" w:rsidRDefault="00AC5600">
      <w:pPr>
        <w:spacing w:after="0"/>
        <w:ind w:firstLine="360"/>
        <w:jc w:val="left"/>
        <w:rPr>
          <w:rFonts w:asciiTheme="majorHAnsi" w:eastAsiaTheme="majorEastAsia" w:hAnsiTheme="majorHAnsi" w:cstheme="majorBidi"/>
          <w:b/>
          <w:bCs/>
          <w:color w:val="9D3511" w:themeColor="accent1" w:themeShade="BF"/>
          <w:sz w:val="30"/>
          <w:szCs w:val="24"/>
          <w:lang w:val="en-GB"/>
        </w:rPr>
      </w:pPr>
      <w:r w:rsidRPr="007A1B09">
        <w:rPr>
          <w:lang w:val="en-GB"/>
        </w:rPr>
        <w:br w:type="page"/>
      </w:r>
    </w:p>
    <w:p w:rsidR="00AC5600" w:rsidRPr="007A1B09" w:rsidRDefault="00BA202E" w:rsidP="00AC5600">
      <w:pPr>
        <w:pStyle w:val="Nadpis1"/>
        <w:numPr>
          <w:ilvl w:val="0"/>
          <w:numId w:val="4"/>
        </w:numPr>
        <w:rPr>
          <w:lang w:val="en-GB"/>
        </w:rPr>
      </w:pPr>
      <w:bookmarkStart w:id="71" w:name="_Toc385946042"/>
      <w:r w:rsidRPr="00BA202E">
        <w:rPr>
          <w:lang w:val="en-GB"/>
        </w:rPr>
        <w:lastRenderedPageBreak/>
        <w:t>Implementation of the cohesion policy programmes and the use of European Structural and Investment Funds as tools for the implementation of the Europe 2020 priorities</w:t>
      </w:r>
      <w:bookmarkEnd w:id="71"/>
    </w:p>
    <w:p w:rsidR="00786E6B" w:rsidRPr="007A1B09" w:rsidRDefault="00BA202E" w:rsidP="00786E6B">
      <w:pPr>
        <w:pStyle w:val="Nadpis3"/>
        <w:numPr>
          <w:ilvl w:val="2"/>
          <w:numId w:val="4"/>
        </w:numPr>
        <w:ind w:left="851" w:hanging="851"/>
        <w:rPr>
          <w:lang w:val="en-GB"/>
        </w:rPr>
      </w:pPr>
      <w:bookmarkStart w:id="72" w:name="_Toc385946043"/>
      <w:r w:rsidRPr="00BA202E">
        <w:rPr>
          <w:bCs/>
          <w:lang w:val="en-GB"/>
        </w:rPr>
        <w:t>Programming period 2007-2013</w:t>
      </w:r>
      <w:bookmarkEnd w:id="72"/>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The Government considers </w:t>
      </w:r>
      <w:r>
        <w:rPr>
          <w:rFonts w:ascii="Calibri" w:eastAsia="Times New Roman" w:hAnsi="Calibri" w:cs="Calibri"/>
          <w:color w:val="000000"/>
          <w:lang w:val="en-GB" w:eastAsia="cs-CZ"/>
        </w:rPr>
        <w:t>the cohesion p</w:t>
      </w:r>
      <w:r w:rsidRPr="00177F0B">
        <w:rPr>
          <w:rFonts w:ascii="Calibri" w:eastAsia="Times New Roman" w:hAnsi="Calibri" w:cs="Calibri"/>
          <w:color w:val="000000"/>
          <w:lang w:val="en-GB" w:eastAsia="cs-CZ"/>
        </w:rPr>
        <w:t>olicy</w:t>
      </w:r>
      <w:r>
        <w:rPr>
          <w:rFonts w:ascii="Calibri" w:eastAsia="Times New Roman" w:hAnsi="Calibri" w:cs="Calibri"/>
          <w:color w:val="000000"/>
          <w:lang w:val="en-GB" w:eastAsia="cs-CZ"/>
        </w:rPr>
        <w:t xml:space="preserve"> as a</w:t>
      </w:r>
      <w:r w:rsidRPr="00177F0B">
        <w:rPr>
          <w:rFonts w:ascii="Calibri" w:eastAsia="Times New Roman" w:hAnsi="Calibri" w:cs="Calibri"/>
          <w:color w:val="000000"/>
          <w:lang w:val="en-GB" w:eastAsia="cs-CZ"/>
        </w:rPr>
        <w:t xml:space="preserve"> tool that can not only significantly enhance economic growth and competitiveness, but also the internal social and political stability. In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2007-2013</w:t>
      </w:r>
      <w:r>
        <w:rPr>
          <w:rFonts w:ascii="Calibri" w:eastAsia="Times New Roman" w:hAnsi="Calibri" w:cs="Calibri"/>
          <w:color w:val="000000"/>
          <w:lang w:val="en-GB" w:eastAsia="cs-CZ"/>
        </w:rPr>
        <w:t xml:space="preserve"> period</w:t>
      </w:r>
      <w:r w:rsidRPr="00177F0B">
        <w:rPr>
          <w:rFonts w:ascii="Calibri" w:eastAsia="Times New Roman" w:hAnsi="Calibri" w:cs="Calibri"/>
          <w:color w:val="000000"/>
          <w:lang w:val="en-GB" w:eastAsia="cs-CZ"/>
        </w:rPr>
        <w:t xml:space="preserve"> the Czech Republic could invest a total of 26.8 billion</w:t>
      </w:r>
      <w:r>
        <w:rPr>
          <w:rFonts w:ascii="Calibri" w:eastAsia="Times New Roman" w:hAnsi="Calibri" w:cs="Calibri"/>
          <w:color w:val="000000"/>
          <w:lang w:val="en-GB" w:eastAsia="cs-CZ"/>
        </w:rPr>
        <w:t xml:space="preserve"> EUR from </w:t>
      </w:r>
      <w:r w:rsidRPr="00177F0B">
        <w:rPr>
          <w:rFonts w:ascii="Calibri" w:eastAsia="Times New Roman" w:hAnsi="Calibri" w:cs="Calibri"/>
          <w:color w:val="000000"/>
          <w:lang w:val="en-GB" w:eastAsia="cs-CZ"/>
        </w:rPr>
        <w:t xml:space="preserve">the funds of this policy. Therefore, the government adopted a decision </w:t>
      </w:r>
      <w:r>
        <w:rPr>
          <w:rFonts w:ascii="Calibri" w:eastAsia="Times New Roman" w:hAnsi="Calibri" w:cs="Calibri"/>
          <w:color w:val="000000"/>
          <w:lang w:val="en-GB" w:eastAsia="cs-CZ"/>
        </w:rPr>
        <w:t>to</w:t>
      </w:r>
      <w:r w:rsidRPr="00177F0B">
        <w:rPr>
          <w:rFonts w:ascii="Calibri" w:eastAsia="Times New Roman" w:hAnsi="Calibri" w:cs="Calibri"/>
          <w:color w:val="000000"/>
          <w:lang w:val="en-GB" w:eastAsia="cs-CZ"/>
        </w:rPr>
        <w:t xml:space="preserve"> monitor</w:t>
      </w:r>
      <w:r>
        <w:rPr>
          <w:rFonts w:ascii="Calibri" w:eastAsia="Times New Roman" w:hAnsi="Calibri" w:cs="Calibri"/>
          <w:color w:val="000000"/>
          <w:lang w:val="en-GB" w:eastAsia="cs-CZ"/>
        </w:rPr>
        <w:t xml:space="preserve"> the drawing of</w:t>
      </w:r>
      <w:r w:rsidRPr="00177F0B">
        <w:rPr>
          <w:rFonts w:ascii="Calibri" w:eastAsia="Times New Roman" w:hAnsi="Calibri" w:cs="Calibri"/>
          <w:color w:val="000000"/>
          <w:lang w:val="en-GB" w:eastAsia="cs-CZ"/>
        </w:rPr>
        <w:t xml:space="preserve"> the remaining funds in an effort to minimize the </w:t>
      </w:r>
      <w:r>
        <w:rPr>
          <w:rFonts w:ascii="Calibri" w:eastAsia="Times New Roman" w:hAnsi="Calibri" w:cs="Calibri"/>
          <w:color w:val="000000"/>
          <w:lang w:val="en-GB" w:eastAsia="cs-CZ"/>
        </w:rPr>
        <w:t>possible gap</w:t>
      </w:r>
      <w:r w:rsidRPr="00177F0B">
        <w:rPr>
          <w:rFonts w:ascii="Calibri" w:eastAsia="Times New Roman" w:hAnsi="Calibri" w:cs="Calibri"/>
          <w:color w:val="000000"/>
          <w:lang w:val="en-GB" w:eastAsia="cs-CZ"/>
        </w:rPr>
        <w:t xml:space="preserve">. The experience </w:t>
      </w:r>
      <w:r>
        <w:rPr>
          <w:rFonts w:ascii="Calibri" w:eastAsia="Times New Roman" w:hAnsi="Calibri" w:cs="Calibri"/>
          <w:color w:val="000000"/>
          <w:lang w:val="en-GB" w:eastAsia="cs-CZ"/>
        </w:rPr>
        <w:t>from</w:t>
      </w:r>
      <w:r w:rsidRPr="00177F0B">
        <w:rPr>
          <w:rFonts w:ascii="Calibri" w:eastAsia="Times New Roman" w:hAnsi="Calibri" w:cs="Calibri"/>
          <w:color w:val="000000"/>
          <w:lang w:val="en-GB" w:eastAsia="cs-CZ"/>
        </w:rPr>
        <w:t xml:space="preserve"> the 2007-2013 program</w:t>
      </w:r>
      <w:r>
        <w:rPr>
          <w:rFonts w:ascii="Calibri" w:eastAsia="Times New Roman" w:hAnsi="Calibri" w:cs="Calibri"/>
          <w:color w:val="000000"/>
          <w:lang w:val="en-GB" w:eastAsia="cs-CZ"/>
        </w:rPr>
        <w:t>ming period</w:t>
      </w:r>
      <w:r w:rsidRPr="00177F0B">
        <w:rPr>
          <w:rFonts w:ascii="Calibri" w:eastAsia="Times New Roman" w:hAnsi="Calibri" w:cs="Calibri"/>
          <w:color w:val="000000"/>
          <w:lang w:val="en-GB" w:eastAsia="cs-CZ"/>
        </w:rPr>
        <w:t xml:space="preserve"> then served in changing the approach to the preparation of </w:t>
      </w:r>
      <w:r>
        <w:rPr>
          <w:rFonts w:ascii="Calibri" w:eastAsia="Times New Roman" w:hAnsi="Calibri" w:cs="Calibri"/>
          <w:color w:val="000000"/>
          <w:lang w:val="en-GB" w:eastAsia="cs-CZ"/>
        </w:rPr>
        <w:t>the cohesion p</w:t>
      </w:r>
      <w:r w:rsidRPr="00177F0B">
        <w:rPr>
          <w:rFonts w:ascii="Calibri" w:eastAsia="Times New Roman" w:hAnsi="Calibri" w:cs="Calibri"/>
          <w:color w:val="000000"/>
          <w:lang w:val="en-GB" w:eastAsia="cs-CZ"/>
        </w:rPr>
        <w:t xml:space="preserve">olicy in the next programming period 2014-2020 </w:t>
      </w:r>
      <w:r>
        <w:rPr>
          <w:rFonts w:ascii="Calibri" w:eastAsia="Times New Roman" w:hAnsi="Calibri" w:cs="Calibri"/>
          <w:color w:val="000000"/>
          <w:lang w:val="en-GB" w:eastAsia="cs-CZ"/>
        </w:rPr>
        <w:t>within the</w:t>
      </w:r>
      <w:r w:rsidRPr="00177F0B">
        <w:rPr>
          <w:rFonts w:ascii="Calibri" w:eastAsia="Times New Roman" w:hAnsi="Calibri" w:cs="Calibri"/>
          <w:color w:val="000000"/>
          <w:lang w:val="en-GB" w:eastAsia="cs-CZ"/>
        </w:rPr>
        <w:t xml:space="preserve"> preparation</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co-financed </w:t>
      </w:r>
      <w:r>
        <w:rPr>
          <w:rFonts w:ascii="Calibri" w:eastAsia="Times New Roman" w:hAnsi="Calibri" w:cs="Calibri"/>
          <w:color w:val="000000"/>
          <w:lang w:val="en-GB" w:eastAsia="cs-CZ"/>
        </w:rPr>
        <w:t>from</w:t>
      </w:r>
      <w:r w:rsidRPr="00177F0B">
        <w:rPr>
          <w:rFonts w:ascii="Calibri" w:eastAsia="Times New Roman" w:hAnsi="Calibri" w:cs="Calibri"/>
          <w:color w:val="000000"/>
          <w:lang w:val="en-GB" w:eastAsia="cs-CZ"/>
        </w:rPr>
        <w:t xml:space="preserve"> the European Structural and Investment</w:t>
      </w:r>
      <w:r w:rsidRPr="00701BB2">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Funds ("ESI Fund</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w:t>
      </w:r>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 xml:space="preserve">National Strategic Reference Framework ("NSRF") for </w:t>
      </w:r>
      <w:r>
        <w:rPr>
          <w:rFonts w:ascii="Calibri" w:eastAsia="Times New Roman" w:hAnsi="Calibri" w:cs="Calibri"/>
          <w:color w:val="000000"/>
          <w:lang w:val="en-GB" w:eastAsia="cs-CZ"/>
        </w:rPr>
        <w:t>c</w:t>
      </w:r>
      <w:r w:rsidRPr="00177F0B">
        <w:rPr>
          <w:rFonts w:ascii="Calibri" w:eastAsia="Times New Roman" w:hAnsi="Calibri" w:cs="Calibri"/>
          <w:color w:val="000000"/>
          <w:lang w:val="en-GB" w:eastAsia="cs-CZ"/>
        </w:rPr>
        <w:t xml:space="preserve">ohesion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 xml:space="preserve">olicy in the 2007-2013 period primarily reflects the Lisbon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trategy, </w:t>
      </w:r>
      <w:r>
        <w:rPr>
          <w:rFonts w:ascii="Calibri" w:eastAsia="Times New Roman" w:hAnsi="Calibri" w:cs="Calibri"/>
          <w:color w:val="000000"/>
          <w:lang w:val="en-GB" w:eastAsia="cs-CZ"/>
        </w:rPr>
        <w:t xml:space="preserve">which </w:t>
      </w:r>
      <w:r w:rsidRPr="00177F0B">
        <w:rPr>
          <w:rFonts w:ascii="Calibri" w:eastAsia="Times New Roman" w:hAnsi="Calibri" w:cs="Calibri"/>
          <w:color w:val="000000"/>
          <w:lang w:val="en-GB" w:eastAsia="cs-CZ"/>
        </w:rPr>
        <w:t xml:space="preserve">the European Council adopted in spring 2000. NSRF has been formulated in line with this strategy, while </w:t>
      </w:r>
      <w:r>
        <w:rPr>
          <w:rFonts w:ascii="Calibri" w:eastAsia="Times New Roman" w:hAnsi="Calibri" w:cs="Calibri"/>
          <w:color w:val="000000"/>
          <w:lang w:val="en-GB" w:eastAsia="cs-CZ"/>
        </w:rPr>
        <w:t>also taking into account</w:t>
      </w:r>
      <w:r w:rsidRPr="00177F0B">
        <w:rPr>
          <w:rFonts w:ascii="Calibri" w:eastAsia="Times New Roman" w:hAnsi="Calibri" w:cs="Calibri"/>
          <w:color w:val="000000"/>
          <w:lang w:val="en-GB" w:eastAsia="cs-CZ"/>
        </w:rPr>
        <w:t xml:space="preserve"> the Czech specifics and priorities. In addition to information about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for the implementation of </w:t>
      </w:r>
      <w:r>
        <w:rPr>
          <w:rFonts w:ascii="Calibri" w:eastAsia="Times New Roman" w:hAnsi="Calibri" w:cs="Calibri"/>
          <w:color w:val="000000"/>
          <w:lang w:val="en-GB" w:eastAsia="cs-CZ"/>
        </w:rPr>
        <w:t>the C</w:t>
      </w:r>
      <w:r w:rsidRPr="00177F0B">
        <w:rPr>
          <w:rFonts w:ascii="Calibri" w:eastAsia="Times New Roman" w:hAnsi="Calibri" w:cs="Calibri"/>
          <w:color w:val="000000"/>
          <w:lang w:val="en-GB" w:eastAsia="cs-CZ"/>
        </w:rPr>
        <w:t xml:space="preserve">ohesion </w:t>
      </w:r>
      <w:r>
        <w:rPr>
          <w:rFonts w:ascii="Calibri" w:eastAsia="Times New Roman" w:hAnsi="Calibri" w:cs="Calibri"/>
          <w:color w:val="000000"/>
          <w:lang w:val="en-GB" w:eastAsia="cs-CZ"/>
        </w:rPr>
        <w:t>Policy</w:t>
      </w:r>
      <w:r w:rsidRPr="00177F0B">
        <w:rPr>
          <w:rFonts w:ascii="Calibri" w:eastAsia="Times New Roman" w:hAnsi="Calibri" w:cs="Calibri"/>
          <w:color w:val="000000"/>
          <w:lang w:val="en-GB" w:eastAsia="cs-CZ"/>
        </w:rPr>
        <w:t xml:space="preserve"> the NSRF </w:t>
      </w:r>
      <w:r>
        <w:rPr>
          <w:rFonts w:ascii="Calibri" w:eastAsia="Times New Roman" w:hAnsi="Calibri" w:cs="Calibri"/>
          <w:color w:val="000000"/>
          <w:lang w:val="en-GB" w:eastAsia="cs-CZ"/>
        </w:rPr>
        <w:t>also i</w:t>
      </w:r>
      <w:r w:rsidRPr="00177F0B">
        <w:rPr>
          <w:rFonts w:ascii="Calibri" w:eastAsia="Times New Roman" w:hAnsi="Calibri" w:cs="Calibri"/>
          <w:color w:val="000000"/>
          <w:lang w:val="en-GB" w:eastAsia="cs-CZ"/>
        </w:rPr>
        <w:t xml:space="preserve">ncludes the complementarity of </w:t>
      </w:r>
      <w:r>
        <w:rPr>
          <w:rFonts w:ascii="Calibri" w:eastAsia="Times New Roman" w:hAnsi="Calibri" w:cs="Calibri"/>
          <w:color w:val="000000"/>
          <w:lang w:val="en-GB" w:eastAsia="cs-CZ"/>
        </w:rPr>
        <w:t>support</w:t>
      </w:r>
      <w:r w:rsidRPr="00177F0B">
        <w:rPr>
          <w:rFonts w:ascii="Calibri" w:eastAsia="Times New Roman" w:hAnsi="Calibri" w:cs="Calibri"/>
          <w:color w:val="000000"/>
          <w:lang w:val="en-GB" w:eastAsia="cs-CZ"/>
        </w:rPr>
        <w:t xml:space="preserve"> provided through the Rural Development Programme 2007-2013 and the Operational Programme </w:t>
      </w:r>
      <w:r>
        <w:rPr>
          <w:rFonts w:ascii="Calibri" w:eastAsia="Times New Roman" w:hAnsi="Calibri" w:cs="Calibri"/>
          <w:color w:val="000000"/>
          <w:lang w:val="en-GB" w:eastAsia="cs-CZ"/>
        </w:rPr>
        <w:t>Fishing</w:t>
      </w:r>
      <w:r w:rsidRPr="00177F0B">
        <w:rPr>
          <w:rFonts w:ascii="Calibri" w:eastAsia="Times New Roman" w:hAnsi="Calibri" w:cs="Calibri"/>
          <w:color w:val="000000"/>
          <w:lang w:val="en-GB" w:eastAsia="cs-CZ"/>
        </w:rPr>
        <w:t xml:space="preserve"> 2007-2013.</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In June 2010 the European Council endorsed the Europe 2020 Strategy, which defines the objectives the EU wants to achi</w:t>
      </w:r>
      <w:r>
        <w:rPr>
          <w:rFonts w:ascii="Calibri" w:eastAsia="Times New Roman" w:hAnsi="Calibri" w:cs="Calibri"/>
          <w:color w:val="000000"/>
          <w:lang w:val="en-GB" w:eastAsia="cs-CZ"/>
        </w:rPr>
        <w:t>eve by the end of 2020 in the field of</w:t>
      </w:r>
      <w:r w:rsidRPr="00177F0B">
        <w:rPr>
          <w:rFonts w:ascii="Calibri" w:eastAsia="Times New Roman" w:hAnsi="Calibri" w:cs="Calibri"/>
          <w:color w:val="000000"/>
          <w:lang w:val="en-GB" w:eastAsia="cs-CZ"/>
        </w:rPr>
        <w:t xml:space="preserve"> employment, research and development, innovation, climate change and energ</w:t>
      </w:r>
      <w:r>
        <w:rPr>
          <w:rFonts w:ascii="Calibri" w:eastAsia="Times New Roman" w:hAnsi="Calibri" w:cs="Calibri"/>
          <w:color w:val="000000"/>
          <w:lang w:val="en-GB" w:eastAsia="cs-CZ"/>
        </w:rPr>
        <w:t xml:space="preserve">etics, education and social area. Each Member State </w:t>
      </w:r>
      <w:r w:rsidRPr="00177F0B">
        <w:rPr>
          <w:rFonts w:ascii="Calibri" w:eastAsia="Times New Roman" w:hAnsi="Calibri" w:cs="Calibri"/>
          <w:color w:val="000000"/>
          <w:lang w:val="en-GB" w:eastAsia="cs-CZ"/>
        </w:rPr>
        <w:t>specif</w:t>
      </w:r>
      <w:r>
        <w:rPr>
          <w:rFonts w:ascii="Calibri" w:eastAsia="Times New Roman" w:hAnsi="Calibri" w:cs="Calibri"/>
          <w:color w:val="000000"/>
          <w:lang w:val="en-GB" w:eastAsia="cs-CZ"/>
        </w:rPr>
        <w:t>ied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its</w:t>
      </w:r>
      <w:r w:rsidRPr="00177F0B">
        <w:rPr>
          <w:rFonts w:ascii="Calibri" w:eastAsia="Times New Roman" w:hAnsi="Calibri" w:cs="Calibri"/>
          <w:color w:val="000000"/>
          <w:lang w:val="en-GB" w:eastAsia="cs-CZ"/>
        </w:rPr>
        <w:t xml:space="preserve"> own national targets. For the purpose of linking the NSRF </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 xml:space="preserve">the Europe 2020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trategy </w:t>
      </w:r>
      <w:r>
        <w:rPr>
          <w:rFonts w:ascii="Calibri" w:eastAsia="Times New Roman" w:hAnsi="Calibri" w:cs="Calibri"/>
          <w:color w:val="000000"/>
          <w:lang w:val="en-GB" w:eastAsia="cs-CZ"/>
        </w:rPr>
        <w:t>such</w:t>
      </w:r>
      <w:r w:rsidRPr="00177F0B">
        <w:rPr>
          <w:rFonts w:ascii="Calibri" w:eastAsia="Times New Roman" w:hAnsi="Calibri" w:cs="Calibri"/>
          <w:color w:val="000000"/>
          <w:lang w:val="en-GB" w:eastAsia="cs-CZ"/>
        </w:rPr>
        <w:t xml:space="preserve"> priority themes</w:t>
      </w:r>
      <w:r>
        <w:rPr>
          <w:rFonts w:ascii="Calibri" w:eastAsia="Times New Roman" w:hAnsi="Calibri" w:cs="Calibri"/>
          <w:color w:val="000000"/>
          <w:lang w:val="en-GB" w:eastAsia="cs-CZ"/>
        </w:rPr>
        <w:t xml:space="preserve"> were selected</w:t>
      </w:r>
      <w:r w:rsidRPr="00177F0B">
        <w:rPr>
          <w:rFonts w:ascii="Calibri" w:eastAsia="Times New Roman" w:hAnsi="Calibri" w:cs="Calibri"/>
          <w:color w:val="000000"/>
          <w:lang w:val="en-GB" w:eastAsia="cs-CZ"/>
        </w:rPr>
        <w:t xml:space="preserve"> that are </w:t>
      </w:r>
      <w:r>
        <w:rPr>
          <w:rFonts w:ascii="Calibri" w:eastAsia="Times New Roman" w:hAnsi="Calibri" w:cs="Calibri"/>
          <w:color w:val="000000"/>
          <w:lang w:val="en-GB" w:eastAsia="cs-CZ"/>
        </w:rPr>
        <w:t>fulfilled by the implementation of</w:t>
      </w:r>
      <w:r w:rsidRPr="00177F0B">
        <w:rPr>
          <w:rFonts w:ascii="Calibri" w:eastAsia="Times New Roman" w:hAnsi="Calibri" w:cs="Calibri"/>
          <w:color w:val="000000"/>
          <w:lang w:val="en-GB" w:eastAsia="cs-CZ"/>
        </w:rPr>
        <w:t xml:space="preserve"> NSRF (or individual operational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and projects implemented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in them) in the 2007-2013 </w:t>
      </w:r>
      <w:r>
        <w:rPr>
          <w:rFonts w:ascii="Calibri" w:eastAsia="Times New Roman" w:hAnsi="Calibri" w:cs="Calibri"/>
          <w:color w:val="000000"/>
          <w:lang w:val="en-GB" w:eastAsia="cs-CZ"/>
        </w:rPr>
        <w:t xml:space="preserve">programming </w:t>
      </w:r>
      <w:r w:rsidRPr="00177F0B">
        <w:rPr>
          <w:rFonts w:ascii="Calibri" w:eastAsia="Times New Roman" w:hAnsi="Calibri" w:cs="Calibri"/>
          <w:color w:val="000000"/>
          <w:lang w:val="en-GB" w:eastAsia="cs-CZ"/>
        </w:rPr>
        <w:t>period. </w:t>
      </w:r>
      <w:r>
        <w:rPr>
          <w:rFonts w:ascii="Calibri" w:eastAsia="Times New Roman" w:hAnsi="Calibri" w:cs="Calibri"/>
          <w:color w:val="000000"/>
          <w:lang w:val="en-GB" w:eastAsia="cs-CZ"/>
        </w:rPr>
        <w:t xml:space="preserve"> T</w:t>
      </w:r>
      <w:r w:rsidRPr="00177F0B">
        <w:rPr>
          <w:rFonts w:ascii="Calibri" w:eastAsia="Times New Roman" w:hAnsi="Calibri" w:cs="Calibri"/>
          <w:color w:val="000000"/>
          <w:lang w:val="en-GB" w:eastAsia="cs-CZ"/>
        </w:rPr>
        <w:t xml:space="preserve">he </w:t>
      </w:r>
      <w:r>
        <w:rPr>
          <w:rFonts w:ascii="Calibri" w:eastAsia="Times New Roman" w:hAnsi="Calibri" w:cs="Calibri"/>
          <w:color w:val="000000"/>
          <w:lang w:val="en-GB" w:eastAsia="cs-CZ"/>
        </w:rPr>
        <w:t>G</w:t>
      </w:r>
      <w:r w:rsidRPr="00177F0B">
        <w:rPr>
          <w:rFonts w:ascii="Calibri" w:eastAsia="Times New Roman" w:hAnsi="Calibri" w:cs="Calibri"/>
          <w:color w:val="000000"/>
          <w:lang w:val="en-GB" w:eastAsia="cs-CZ"/>
        </w:rPr>
        <w:t xml:space="preserve">eneral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egulation define</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a total of 86 priority </w:t>
      </w:r>
      <w:r>
        <w:rPr>
          <w:rFonts w:ascii="Calibri" w:eastAsia="Times New Roman" w:hAnsi="Calibri" w:cs="Calibri"/>
          <w:color w:val="000000"/>
          <w:lang w:val="en-GB" w:eastAsia="cs-CZ"/>
        </w:rPr>
        <w:t>topic</w:t>
      </w:r>
      <w:r w:rsidRPr="00177F0B">
        <w:rPr>
          <w:rFonts w:ascii="Calibri" w:eastAsia="Times New Roman" w:hAnsi="Calibri" w:cs="Calibri"/>
          <w:color w:val="000000"/>
          <w:lang w:val="en-GB" w:eastAsia="cs-CZ"/>
        </w:rPr>
        <w:t>s;</w:t>
      </w:r>
      <w:r w:rsidRPr="00916119">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70 of them</w:t>
      </w:r>
      <w:r>
        <w:rPr>
          <w:rFonts w:ascii="Calibri" w:eastAsia="Times New Roman" w:hAnsi="Calibri" w:cs="Calibri"/>
          <w:color w:val="000000"/>
          <w:lang w:val="en-GB" w:eastAsia="cs-CZ"/>
        </w:rPr>
        <w:t xml:space="preserve"> are fulfilled by the implementation of</w:t>
      </w:r>
      <w:r w:rsidRPr="00177F0B">
        <w:rPr>
          <w:rFonts w:ascii="Calibri" w:eastAsia="Times New Roman" w:hAnsi="Calibri" w:cs="Calibri"/>
          <w:color w:val="000000"/>
          <w:lang w:val="en-GB" w:eastAsia="cs-CZ"/>
        </w:rPr>
        <w:t> NSRF. Potential links to the objective</w:t>
      </w:r>
      <w:r>
        <w:rPr>
          <w:rFonts w:ascii="Calibri" w:eastAsia="Times New Roman" w:hAnsi="Calibri" w:cs="Calibri"/>
          <w:color w:val="000000"/>
          <w:lang w:val="en-GB" w:eastAsia="cs-CZ"/>
        </w:rPr>
        <w:t>s of the Europe 2020 Strategy were</w:t>
      </w:r>
      <w:r w:rsidRPr="00177F0B">
        <w:rPr>
          <w:rFonts w:ascii="Calibri" w:eastAsia="Times New Roman" w:hAnsi="Calibri" w:cs="Calibri"/>
          <w:color w:val="000000"/>
          <w:lang w:val="en-GB" w:eastAsia="cs-CZ"/>
        </w:rPr>
        <w:t xml:space="preserve"> identified in 19 of the topics</w:t>
      </w:r>
      <w:r>
        <w:rPr>
          <w:rFonts w:ascii="Calibri" w:eastAsia="Times New Roman" w:hAnsi="Calibri" w:cs="Calibri"/>
          <w:color w:val="000000"/>
          <w:lang w:val="en-GB" w:eastAsia="cs-CZ"/>
        </w:rPr>
        <w:t xml:space="preserve"> fulfilled within the </w:t>
      </w:r>
      <w:r w:rsidRPr="00177F0B">
        <w:rPr>
          <w:rFonts w:ascii="Calibri" w:eastAsia="Times New Roman" w:hAnsi="Calibri" w:cs="Calibri"/>
          <w:color w:val="000000"/>
          <w:lang w:val="en-GB" w:eastAsia="cs-CZ"/>
        </w:rPr>
        <w:t>NSRF.</w:t>
      </w:r>
    </w:p>
    <w:p w:rsidR="009546FC" w:rsidRPr="007A1B09" w:rsidRDefault="009546FC" w:rsidP="009546FC">
      <w:pPr>
        <w:rPr>
          <w:lang w:val="en-GB"/>
        </w:rPr>
      </w:pPr>
    </w:p>
    <w:p w:rsidR="009546FC" w:rsidRPr="007A1B09" w:rsidRDefault="00BA202E" w:rsidP="009546FC">
      <w:pPr>
        <w:pStyle w:val="Nadpis3"/>
        <w:numPr>
          <w:ilvl w:val="2"/>
          <w:numId w:val="4"/>
        </w:numPr>
        <w:ind w:left="851" w:hanging="851"/>
        <w:rPr>
          <w:lang w:val="en-GB"/>
        </w:rPr>
      </w:pPr>
      <w:bookmarkStart w:id="73" w:name="_Toc385946044"/>
      <w:r w:rsidRPr="00BA202E">
        <w:rPr>
          <w:bCs/>
          <w:lang w:val="en-GB"/>
        </w:rPr>
        <w:t>Programming period 2014-2020 and the status of its preparation</w:t>
      </w:r>
      <w:bookmarkEnd w:id="73"/>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joint package of European funds </w:t>
      </w:r>
      <w:r>
        <w:rPr>
          <w:rFonts w:ascii="Calibri" w:eastAsia="Times New Roman" w:hAnsi="Calibri" w:cs="Calibri"/>
          <w:color w:val="000000"/>
          <w:lang w:val="en-GB" w:eastAsia="cs-CZ"/>
        </w:rPr>
        <w:t xml:space="preserve">contained </w:t>
      </w:r>
      <w:r w:rsidRPr="00177F0B">
        <w:rPr>
          <w:rFonts w:ascii="Calibri" w:eastAsia="Times New Roman" w:hAnsi="Calibri" w:cs="Calibri"/>
          <w:color w:val="000000"/>
          <w:lang w:val="en-GB" w:eastAsia="cs-CZ"/>
        </w:rPr>
        <w:t>in accordance with</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EU budgetary framework for the 2014 </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2020</w:t>
      </w:r>
      <w:r>
        <w:rPr>
          <w:rFonts w:ascii="Calibri" w:eastAsia="Times New Roman" w:hAnsi="Calibri" w:cs="Calibri"/>
          <w:color w:val="000000"/>
          <w:lang w:val="en-GB" w:eastAsia="cs-CZ"/>
        </w:rPr>
        <w:t xml:space="preserve"> programming period</w:t>
      </w:r>
      <w:r w:rsidRPr="00177F0B">
        <w:rPr>
          <w:rFonts w:ascii="Calibri" w:eastAsia="Times New Roman" w:hAnsi="Calibri" w:cs="Calibri"/>
          <w:color w:val="000000"/>
          <w:lang w:val="en-GB" w:eastAsia="cs-CZ"/>
        </w:rPr>
        <w:t> </w:t>
      </w:r>
      <w:r w:rsidRPr="00177F0B">
        <w:rPr>
          <w:rFonts w:ascii="Calibri" w:eastAsia="Times New Roman" w:hAnsi="Calibri" w:cs="Calibri"/>
          <w:b/>
          <w:bCs/>
          <w:i/>
          <w:iCs/>
          <w:color w:val="000000"/>
          <w:lang w:val="en-GB" w:eastAsia="cs-CZ"/>
        </w:rPr>
        <w:t xml:space="preserve"> the European Regional Development Fund (ERDF), European Social Fund (ESF) and the Cohesion Fund (CF), the European Agricultural Fund for Rural Development (EAFRD) and the European Maritime and Fisheries Fund (EMFF).</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Together</w:t>
      </w:r>
      <w:r w:rsidRPr="00177F0B">
        <w:rPr>
          <w:rFonts w:ascii="Calibri" w:eastAsia="Times New Roman" w:hAnsi="Calibri" w:cs="Calibri"/>
          <w:color w:val="000000"/>
          <w:lang w:val="en-GB" w:eastAsia="cs-CZ"/>
        </w:rPr>
        <w:t xml:space="preserve">, these funds aimed at </w:t>
      </w:r>
      <w:r>
        <w:rPr>
          <w:rFonts w:ascii="Calibri" w:eastAsia="Times New Roman" w:hAnsi="Calibri" w:cs="Calibri"/>
          <w:color w:val="000000"/>
          <w:lang w:val="en-GB" w:eastAsia="cs-CZ"/>
        </w:rPr>
        <w:t>supporting</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cohesion policy, rural development policy and the common fisheries policy constitute one of the most important chapters of the EU budget in the new EU budgetary period.</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On 20</w:t>
      </w:r>
      <w:r w:rsidRPr="001F7233">
        <w:rPr>
          <w:rFonts w:ascii="Calibri" w:eastAsia="Times New Roman" w:hAnsi="Calibri" w:cs="Calibri"/>
          <w:color w:val="000000"/>
          <w:vertAlign w:val="superscript"/>
          <w:lang w:val="en-GB" w:eastAsia="cs-CZ"/>
        </w:rPr>
        <w:t>th</w:t>
      </w:r>
      <w:r w:rsidRPr="00177F0B">
        <w:rPr>
          <w:rFonts w:ascii="Calibri" w:eastAsia="Times New Roman" w:hAnsi="Calibri" w:cs="Calibri"/>
          <w:color w:val="000000"/>
          <w:lang w:val="en-GB" w:eastAsia="cs-CZ"/>
        </w:rPr>
        <w:t xml:space="preserve"> November 2013 the plenary of the European Parliament</w:t>
      </w:r>
      <w:r>
        <w:rPr>
          <w:rFonts w:ascii="Calibri" w:eastAsia="Times New Roman" w:hAnsi="Calibri" w:cs="Calibri"/>
          <w:color w:val="000000"/>
          <w:lang w:val="en-GB" w:eastAsia="cs-CZ"/>
        </w:rPr>
        <w:t xml:space="preserve"> approved</w:t>
      </w:r>
      <w:r w:rsidRPr="00177F0B">
        <w:rPr>
          <w:rFonts w:ascii="Calibri" w:eastAsia="Times New Roman" w:hAnsi="Calibri" w:cs="Calibri"/>
          <w:color w:val="000000"/>
          <w:lang w:val="en-GB" w:eastAsia="cs-CZ"/>
        </w:rPr>
        <w:t xml:space="preserve"> a package of</w:t>
      </w:r>
      <w:r>
        <w:rPr>
          <w:rFonts w:ascii="Calibri" w:eastAsia="Times New Roman" w:hAnsi="Calibri" w:cs="Calibri"/>
          <w:color w:val="000000"/>
          <w:lang w:val="en-GB" w:eastAsia="cs-CZ"/>
        </w:rPr>
        <w:t xml:space="preserve"> measures regarding the EU cohesion policy. On</w:t>
      </w:r>
      <w:r w:rsidRPr="00177F0B">
        <w:rPr>
          <w:rFonts w:ascii="Calibri" w:eastAsia="Times New Roman" w:hAnsi="Calibri" w:cs="Calibri"/>
          <w:color w:val="000000"/>
          <w:lang w:val="en-GB" w:eastAsia="cs-CZ"/>
        </w:rPr>
        <w:t xml:space="preserve"> 17</w:t>
      </w:r>
      <w:r w:rsidRPr="005F296E">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December 2013 </w:t>
      </w:r>
      <w:r>
        <w:rPr>
          <w:rFonts w:ascii="Calibri" w:eastAsia="Times New Roman" w:hAnsi="Calibri" w:cs="Calibri"/>
          <w:color w:val="000000"/>
          <w:lang w:val="en-GB" w:eastAsia="cs-CZ"/>
        </w:rPr>
        <w:t>it</w:t>
      </w:r>
      <w:r w:rsidRPr="00177F0B">
        <w:rPr>
          <w:rFonts w:ascii="Calibri" w:eastAsia="Times New Roman" w:hAnsi="Calibri" w:cs="Calibri"/>
          <w:color w:val="000000"/>
          <w:lang w:val="en-GB" w:eastAsia="cs-CZ"/>
        </w:rPr>
        <w:t xml:space="preserve"> was formally approved by the General Affairs</w:t>
      </w:r>
      <w:r>
        <w:rPr>
          <w:rFonts w:ascii="Calibri" w:eastAsia="Times New Roman" w:hAnsi="Calibri" w:cs="Calibri"/>
          <w:color w:val="000000"/>
          <w:lang w:val="en-GB" w:eastAsia="cs-CZ"/>
        </w:rPr>
        <w:t xml:space="preserve"> Council</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The r</w:t>
      </w:r>
      <w:r w:rsidRPr="00177F0B">
        <w:rPr>
          <w:rFonts w:ascii="Calibri" w:eastAsia="Times New Roman" w:hAnsi="Calibri" w:cs="Calibri"/>
          <w:color w:val="000000"/>
          <w:lang w:val="en-GB" w:eastAsia="cs-CZ"/>
        </w:rPr>
        <w:t>egulation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define the rules for the next programming period 2014-2020 and govern the preparation of the program</w:t>
      </w:r>
      <w:r>
        <w:rPr>
          <w:rFonts w:ascii="Calibri" w:eastAsia="Times New Roman" w:hAnsi="Calibri" w:cs="Calibri"/>
          <w:color w:val="000000"/>
          <w:lang w:val="en-GB" w:eastAsia="cs-CZ"/>
        </w:rPr>
        <w:t>ming</w:t>
      </w:r>
      <w:r w:rsidRPr="00177F0B">
        <w:rPr>
          <w:rFonts w:ascii="Calibri" w:eastAsia="Times New Roman" w:hAnsi="Calibri" w:cs="Calibri"/>
          <w:color w:val="000000"/>
          <w:lang w:val="en-GB" w:eastAsia="cs-CZ"/>
        </w:rPr>
        <w:t xml:space="preserve"> period</w:t>
      </w:r>
      <w:r>
        <w:rPr>
          <w:rFonts w:ascii="Calibri" w:eastAsia="Times New Roman" w:hAnsi="Calibri" w:cs="Calibri"/>
          <w:color w:val="000000"/>
          <w:lang w:val="en-GB" w:eastAsia="cs-CZ"/>
        </w:rPr>
        <w:t xml:space="preserve"> at</w:t>
      </w:r>
      <w:r w:rsidRPr="00177F0B">
        <w:rPr>
          <w:rFonts w:ascii="Calibri" w:eastAsia="Times New Roman" w:hAnsi="Calibri" w:cs="Calibri"/>
          <w:color w:val="000000"/>
          <w:lang w:val="en-GB" w:eastAsia="cs-CZ"/>
        </w:rPr>
        <w:t xml:space="preserve"> the level of individual Member States.</w:t>
      </w:r>
      <w:r>
        <w:rPr>
          <w:rFonts w:ascii="Calibri" w:eastAsia="Times New Roman" w:hAnsi="Calibri" w:cs="Calibri"/>
          <w:color w:val="000000"/>
          <w:lang w:val="en-GB" w:eastAsia="cs-CZ"/>
        </w:rPr>
        <w:t xml:space="preserve"> The i</w:t>
      </w:r>
      <w:r w:rsidRPr="00177F0B">
        <w:rPr>
          <w:rFonts w:ascii="Calibri" w:eastAsia="Times New Roman" w:hAnsi="Calibri" w:cs="Calibri"/>
          <w:color w:val="000000"/>
          <w:lang w:val="en-GB" w:eastAsia="cs-CZ"/>
        </w:rPr>
        <w:t xml:space="preserve">ndicative amount of co-financing </w:t>
      </w:r>
      <w:r>
        <w:rPr>
          <w:rFonts w:ascii="Calibri" w:eastAsia="Times New Roman" w:hAnsi="Calibri" w:cs="Calibri"/>
          <w:color w:val="000000"/>
          <w:lang w:val="en-GB" w:eastAsia="cs-CZ"/>
        </w:rPr>
        <w:t xml:space="preserve">from </w:t>
      </w:r>
      <w:r w:rsidRPr="00177F0B">
        <w:rPr>
          <w:rFonts w:ascii="Calibri" w:eastAsia="Times New Roman" w:hAnsi="Calibri" w:cs="Calibri"/>
          <w:color w:val="000000"/>
          <w:lang w:val="en-GB" w:eastAsia="cs-CZ"/>
        </w:rPr>
        <w:t xml:space="preserve">ESI </w:t>
      </w:r>
      <w:r>
        <w:rPr>
          <w:rFonts w:ascii="Calibri" w:eastAsia="Times New Roman" w:hAnsi="Calibri" w:cs="Calibri"/>
          <w:color w:val="000000"/>
          <w:lang w:val="en-GB" w:eastAsia="cs-CZ"/>
        </w:rPr>
        <w:t xml:space="preserve">funds for the </w:t>
      </w:r>
      <w:r w:rsidRPr="00177F0B">
        <w:rPr>
          <w:rFonts w:ascii="Calibri" w:eastAsia="Times New Roman" w:hAnsi="Calibri" w:cs="Calibri"/>
          <w:color w:val="000000"/>
          <w:lang w:val="en-GB" w:eastAsia="cs-CZ"/>
        </w:rPr>
        <w:t>Czech Republic for the next programming period has been set at 23.8 billion EUR (without EMFF). The final determination of the contribution of individual funds for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will be determined following a discussion of the Czech Republic and the European Commission </w:t>
      </w:r>
      <w:r>
        <w:rPr>
          <w:rFonts w:ascii="Calibri" w:eastAsia="Times New Roman" w:hAnsi="Calibri" w:cs="Calibri"/>
          <w:color w:val="000000"/>
          <w:lang w:val="en-GB" w:eastAsia="cs-CZ"/>
        </w:rPr>
        <w:t>regarding</w:t>
      </w:r>
      <w:r w:rsidRPr="00177F0B">
        <w:rPr>
          <w:rFonts w:ascii="Calibri" w:eastAsia="Times New Roman" w:hAnsi="Calibri" w:cs="Calibri"/>
          <w:color w:val="000000"/>
          <w:lang w:val="en-GB" w:eastAsia="cs-CZ"/>
        </w:rPr>
        <w:t xml:space="preserve"> the Partnership Agreement (see below).</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Although one of the main principles for the new programming period is to continue </w:t>
      </w:r>
      <w:r>
        <w:rPr>
          <w:rFonts w:ascii="Calibri" w:eastAsia="Times New Roman" w:hAnsi="Calibri" w:cs="Calibri"/>
          <w:color w:val="000000"/>
          <w:lang w:val="en-GB" w:eastAsia="cs-CZ"/>
        </w:rPr>
        <w:t>in the current system of</w:t>
      </w:r>
      <w:r w:rsidRPr="00177F0B">
        <w:rPr>
          <w:rFonts w:ascii="Calibri" w:eastAsia="Times New Roman" w:hAnsi="Calibri" w:cs="Calibri"/>
          <w:color w:val="000000"/>
          <w:lang w:val="en-GB" w:eastAsia="cs-CZ"/>
        </w:rPr>
        <w:t xml:space="preserve"> use of European funds, there </w:t>
      </w:r>
      <w:r>
        <w:rPr>
          <w:rFonts w:ascii="Calibri" w:eastAsia="Times New Roman" w:hAnsi="Calibri" w:cs="Calibri"/>
          <w:color w:val="000000"/>
          <w:lang w:val="en-GB" w:eastAsia="cs-CZ"/>
        </w:rPr>
        <w:t>are</w:t>
      </w:r>
      <w:r w:rsidRPr="00177F0B">
        <w:rPr>
          <w:rFonts w:ascii="Calibri" w:eastAsia="Times New Roman" w:hAnsi="Calibri" w:cs="Calibri"/>
          <w:color w:val="000000"/>
          <w:lang w:val="en-GB" w:eastAsia="cs-CZ"/>
        </w:rPr>
        <w:t xml:space="preserve"> some new</w:t>
      </w:r>
      <w:r>
        <w:rPr>
          <w:rFonts w:ascii="Calibri" w:eastAsia="Times New Roman" w:hAnsi="Calibri" w:cs="Calibri"/>
          <w:color w:val="000000"/>
          <w:lang w:val="en-GB" w:eastAsia="cs-CZ"/>
        </w:rPr>
        <w:t xml:space="preserve"> aspects</w:t>
      </w:r>
      <w:r w:rsidRPr="00177F0B">
        <w:rPr>
          <w:rFonts w:ascii="Calibri" w:eastAsia="Times New Roman" w:hAnsi="Calibri" w:cs="Calibri"/>
          <w:color w:val="000000"/>
          <w:lang w:val="en-GB" w:eastAsia="cs-CZ"/>
        </w:rPr>
        <w:t xml:space="preserve">. In addition to expanding the number of </w:t>
      </w:r>
      <w:r w:rsidRPr="00177F0B">
        <w:rPr>
          <w:rFonts w:ascii="Calibri" w:eastAsia="Times New Roman" w:hAnsi="Calibri" w:cs="Calibri"/>
          <w:color w:val="000000"/>
          <w:lang w:val="en-GB" w:eastAsia="cs-CZ"/>
        </w:rPr>
        <w:lastRenderedPageBreak/>
        <w:t xml:space="preserve">participating funds </w:t>
      </w:r>
      <w:r>
        <w:rPr>
          <w:rFonts w:ascii="Calibri" w:eastAsia="Times New Roman" w:hAnsi="Calibri" w:cs="Calibri"/>
          <w:color w:val="000000"/>
          <w:lang w:val="en-GB" w:eastAsia="cs-CZ"/>
        </w:rPr>
        <w:t>it is</w:t>
      </w:r>
      <w:r w:rsidRPr="00177F0B">
        <w:rPr>
          <w:rFonts w:ascii="Calibri" w:eastAsia="Times New Roman" w:hAnsi="Calibri" w:cs="Calibri"/>
          <w:color w:val="000000"/>
          <w:lang w:val="en-GB" w:eastAsia="cs-CZ"/>
        </w:rPr>
        <w:t xml:space="preserve"> particular</w:t>
      </w:r>
      <w:r>
        <w:rPr>
          <w:rFonts w:ascii="Calibri" w:eastAsia="Times New Roman" w:hAnsi="Calibri" w:cs="Calibri"/>
          <w:color w:val="000000"/>
          <w:lang w:val="en-GB" w:eastAsia="cs-CZ"/>
        </w:rPr>
        <w:t>ly</w:t>
      </w:r>
      <w:r w:rsidRPr="00177F0B">
        <w:rPr>
          <w:rFonts w:ascii="Calibri" w:eastAsia="Times New Roman" w:hAnsi="Calibri" w:cs="Calibri"/>
          <w:color w:val="000000"/>
          <w:lang w:val="en-GB" w:eastAsia="cs-CZ"/>
        </w:rPr>
        <w:t xml:space="preserve"> their alignment to the</w:t>
      </w:r>
      <w:r>
        <w:rPr>
          <w:rFonts w:ascii="Calibri" w:eastAsia="Times New Roman" w:hAnsi="Calibri" w:cs="Calibri"/>
          <w:color w:val="000000"/>
          <w:lang w:val="en-GB" w:eastAsia="cs-CZ"/>
        </w:rPr>
        <w:t xml:space="preserve"> fulfilment of the</w:t>
      </w:r>
      <w:r w:rsidRPr="00177F0B">
        <w:rPr>
          <w:rFonts w:ascii="Calibri" w:eastAsia="Times New Roman" w:hAnsi="Calibri" w:cs="Calibri"/>
          <w:color w:val="000000"/>
          <w:lang w:val="en-GB" w:eastAsia="cs-CZ"/>
        </w:rPr>
        <w:t xml:space="preserve"> Europe 2020</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objectives and then the following:</w:t>
      </w:r>
    </w:p>
    <w:p w:rsidR="009546FC" w:rsidRPr="007A1B09" w:rsidRDefault="009546FC" w:rsidP="009546FC">
      <w:pPr>
        <w:rPr>
          <w:color w:val="000000"/>
          <w:lang w:val="en-GB"/>
        </w:rPr>
      </w:pPr>
    </w:p>
    <w:p w:rsidR="00BA202E" w:rsidRPr="00BA202E" w:rsidRDefault="00BA202E" w:rsidP="00BA202E">
      <w:pPr>
        <w:pStyle w:val="Odstavecseseznamem"/>
        <w:numPr>
          <w:ilvl w:val="0"/>
          <w:numId w:val="13"/>
        </w:numPr>
        <w:rPr>
          <w:lang w:val="en-GB"/>
        </w:rPr>
      </w:pPr>
      <w:r w:rsidRPr="00BA202E">
        <w:rPr>
          <w:lang w:val="en-GB"/>
        </w:rPr>
        <w:t>reduction of the number of targets to only two ( </w:t>
      </w:r>
      <w:r w:rsidRPr="00BA202E">
        <w:rPr>
          <w:i/>
          <w:iCs/>
          <w:lang w:val="en-GB"/>
        </w:rPr>
        <w:t>the Investment for Growth and Employment</w:t>
      </w:r>
      <w:r w:rsidRPr="00BA202E">
        <w:rPr>
          <w:lang w:val="en-GB"/>
        </w:rPr>
        <w:t> , and </w:t>
      </w:r>
      <w:r w:rsidRPr="00BA202E">
        <w:rPr>
          <w:i/>
          <w:iCs/>
          <w:lang w:val="en-GB"/>
        </w:rPr>
        <w:t>European Territorial Cooperation</w:t>
      </w:r>
      <w:r w:rsidRPr="00BA202E">
        <w:rPr>
          <w:lang w:val="en-GB"/>
        </w:rPr>
        <w:t> );</w:t>
      </w:r>
    </w:p>
    <w:p w:rsidR="00BA202E" w:rsidRPr="00BA202E" w:rsidRDefault="00BA202E" w:rsidP="00BA202E">
      <w:pPr>
        <w:pStyle w:val="Odstavecseseznamem"/>
        <w:numPr>
          <w:ilvl w:val="0"/>
          <w:numId w:val="13"/>
        </w:numPr>
        <w:rPr>
          <w:lang w:val="en-GB"/>
        </w:rPr>
      </w:pPr>
      <w:r w:rsidRPr="00BA202E">
        <w:rPr>
          <w:lang w:val="en-GB"/>
        </w:rPr>
        <w:t>exclusion of the three categories of regions according to the parameters of their economic performance;</w:t>
      </w:r>
    </w:p>
    <w:p w:rsidR="00BA202E" w:rsidRPr="00BA202E" w:rsidRDefault="00BA202E" w:rsidP="00BA202E">
      <w:pPr>
        <w:pStyle w:val="Odstavecseseznamem"/>
        <w:numPr>
          <w:ilvl w:val="0"/>
          <w:numId w:val="13"/>
        </w:numPr>
        <w:rPr>
          <w:lang w:val="en-GB"/>
        </w:rPr>
      </w:pPr>
      <w:r w:rsidRPr="00BA202E">
        <w:rPr>
          <w:lang w:val="en-GB"/>
        </w:rPr>
        <w:t>setting of preliminary conditions;</w:t>
      </w:r>
    </w:p>
    <w:p w:rsidR="00BA202E" w:rsidRPr="00BA202E" w:rsidRDefault="00BA202E" w:rsidP="00BA202E">
      <w:pPr>
        <w:pStyle w:val="Odstavecseseznamem"/>
        <w:numPr>
          <w:ilvl w:val="0"/>
          <w:numId w:val="13"/>
        </w:numPr>
        <w:rPr>
          <w:lang w:val="en-GB"/>
        </w:rPr>
      </w:pPr>
      <w:r w:rsidRPr="00BA202E">
        <w:rPr>
          <w:lang w:val="en-GB"/>
        </w:rPr>
        <w:t>setting and monitoring of synergies and complementarities between programmes and ESI funds</w:t>
      </w:r>
    </w:p>
    <w:p w:rsidR="00BA202E" w:rsidRPr="00BA202E" w:rsidRDefault="00BA202E" w:rsidP="00BA202E">
      <w:pPr>
        <w:pStyle w:val="Odstavecseseznamem"/>
        <w:numPr>
          <w:ilvl w:val="0"/>
          <w:numId w:val="13"/>
        </w:numPr>
        <w:rPr>
          <w:lang w:val="en-GB"/>
        </w:rPr>
      </w:pPr>
      <w:r w:rsidRPr="00BA202E">
        <w:rPr>
          <w:lang w:val="en-GB"/>
        </w:rPr>
        <w:t>higher measurability of the contribution of the supported operations (emphasis on the fulfilment of indicators);</w:t>
      </w:r>
    </w:p>
    <w:p w:rsidR="00BA202E" w:rsidRPr="00BA202E" w:rsidRDefault="00BA202E" w:rsidP="00BA202E">
      <w:pPr>
        <w:pStyle w:val="Odstavecseseznamem"/>
        <w:numPr>
          <w:ilvl w:val="0"/>
          <w:numId w:val="13"/>
        </w:numPr>
        <w:rPr>
          <w:lang w:val="en-GB"/>
        </w:rPr>
      </w:pPr>
      <w:r w:rsidRPr="00BA202E">
        <w:rPr>
          <w:lang w:val="en-GB"/>
        </w:rPr>
        <w:t>financial dependence on the speed and quality of the drawing (performance framework);</w:t>
      </w:r>
    </w:p>
    <w:p w:rsidR="00BA202E" w:rsidRPr="00BA202E" w:rsidRDefault="00BA202E" w:rsidP="00BA202E">
      <w:pPr>
        <w:pStyle w:val="Odstavecseseznamem"/>
        <w:numPr>
          <w:ilvl w:val="0"/>
          <w:numId w:val="13"/>
        </w:numPr>
        <w:rPr>
          <w:lang w:val="en-GB"/>
        </w:rPr>
      </w:pPr>
      <w:r w:rsidRPr="00BA202E">
        <w:rPr>
          <w:lang w:val="en-GB"/>
        </w:rPr>
        <w:t>reintroduction of the n +3 rule for the time eligibility of expenditures;</w:t>
      </w:r>
    </w:p>
    <w:p w:rsidR="00BA202E" w:rsidRPr="00BA202E" w:rsidRDefault="00BA202E" w:rsidP="00BA202E">
      <w:pPr>
        <w:pStyle w:val="Odstavecseseznamem"/>
        <w:numPr>
          <w:ilvl w:val="0"/>
          <w:numId w:val="13"/>
        </w:numPr>
        <w:rPr>
          <w:lang w:val="en-GB"/>
        </w:rPr>
      </w:pPr>
      <w:r w:rsidRPr="00BA202E">
        <w:rPr>
          <w:lang w:val="en-GB"/>
        </w:rPr>
        <w:t>higher degree of application of the territorial-specific approach and the use of integrated tools;</w:t>
      </w:r>
    </w:p>
    <w:p w:rsidR="00BA202E" w:rsidRPr="00BA202E" w:rsidRDefault="00BA202E" w:rsidP="00BA202E">
      <w:pPr>
        <w:pStyle w:val="Odstavecseseznamem"/>
        <w:numPr>
          <w:ilvl w:val="0"/>
          <w:numId w:val="13"/>
        </w:numPr>
        <w:rPr>
          <w:lang w:val="en-GB"/>
        </w:rPr>
      </w:pPr>
      <w:r w:rsidRPr="00BA202E">
        <w:rPr>
          <w:lang w:val="en-GB"/>
        </w:rPr>
        <w:t>higher rate of application of financial instruments at the expense of subsidies;</w:t>
      </w:r>
    </w:p>
    <w:p w:rsidR="00BA202E" w:rsidRPr="00BA202E" w:rsidRDefault="00BA202E" w:rsidP="00BA202E">
      <w:pPr>
        <w:pStyle w:val="Odstavecseseznamem"/>
        <w:numPr>
          <w:ilvl w:val="0"/>
          <w:numId w:val="13"/>
        </w:numPr>
        <w:rPr>
          <w:lang w:val="en-GB"/>
        </w:rPr>
      </w:pPr>
      <w:r w:rsidRPr="00BA202E">
        <w:rPr>
          <w:lang w:val="en-GB"/>
        </w:rPr>
        <w:t xml:space="preserve">extension and specification of methods of simplified reporting of costs; </w:t>
      </w:r>
    </w:p>
    <w:p w:rsidR="00BA202E" w:rsidRPr="00BA202E" w:rsidRDefault="00BA202E" w:rsidP="00BA202E">
      <w:pPr>
        <w:pStyle w:val="Odstavecseseznamem"/>
        <w:numPr>
          <w:ilvl w:val="0"/>
          <w:numId w:val="13"/>
        </w:numPr>
        <w:rPr>
          <w:lang w:val="en-GB"/>
        </w:rPr>
      </w:pPr>
      <w:r w:rsidRPr="00BA202E">
        <w:rPr>
          <w:lang w:val="en-GB"/>
        </w:rPr>
        <w:t>simplified rules that are approximated between funds on eligibility of expenditure;</w:t>
      </w:r>
    </w:p>
    <w:p w:rsidR="009546FC" w:rsidRPr="00BA202E" w:rsidRDefault="00BA202E" w:rsidP="00BA202E">
      <w:pPr>
        <w:pStyle w:val="Odstavecseseznamem"/>
        <w:numPr>
          <w:ilvl w:val="0"/>
          <w:numId w:val="13"/>
        </w:numPr>
        <w:rPr>
          <w:lang w:val="en-GB"/>
        </w:rPr>
      </w:pPr>
      <w:r w:rsidRPr="00BA202E">
        <w:rPr>
          <w:lang w:val="en-GB"/>
        </w:rPr>
        <w:t>stricter rules for paying advances to the Member States.</w:t>
      </w:r>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The key overarching</w:t>
      </w:r>
      <w:r w:rsidRPr="00177F0B">
        <w:rPr>
          <w:rFonts w:ascii="Calibri" w:eastAsia="Times New Roman" w:hAnsi="Calibri" w:cs="Calibri"/>
          <w:color w:val="000000"/>
          <w:lang w:val="en-GB" w:eastAsia="cs-CZ"/>
        </w:rPr>
        <w:t xml:space="preserve"> document for the programming period 2014-2020 at the national level, which will fulfil a similar role as</w:t>
      </w:r>
      <w:r w:rsidRPr="005863A6">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the National Strategic Reference Framework</w:t>
      </w:r>
      <w:r>
        <w:rPr>
          <w:rFonts w:ascii="Calibri" w:eastAsia="Times New Roman" w:hAnsi="Calibri" w:cs="Calibri"/>
          <w:color w:val="000000"/>
          <w:lang w:val="en-GB" w:eastAsia="cs-CZ"/>
        </w:rPr>
        <w:t xml:space="preserve"> in the 2007-2013 period</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the </w:t>
      </w:r>
      <w:r>
        <w:rPr>
          <w:rFonts w:ascii="Calibri" w:eastAsia="Times New Roman" w:hAnsi="Calibri" w:cs="Calibri"/>
          <w:i/>
          <w:iCs/>
          <w:color w:val="000000"/>
          <w:lang w:val="en-GB" w:eastAsia="cs-CZ"/>
        </w:rPr>
        <w:t>Partnership Agreement (PA</w:t>
      </w:r>
      <w:r w:rsidRPr="00177F0B">
        <w:rPr>
          <w:rFonts w:ascii="Calibri" w:eastAsia="Times New Roman" w:hAnsi="Calibri" w:cs="Calibri"/>
          <w:i/>
          <w:iCs/>
          <w:color w:val="000000"/>
          <w:lang w:val="en-GB" w:eastAsia="cs-CZ"/>
        </w:rPr>
        <w:t>)</w:t>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Based on Government Resolution No 867</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of 28</w:t>
      </w:r>
      <w:r w:rsidRPr="005863A6">
        <w:rPr>
          <w:rFonts w:ascii="Calibri" w:eastAsia="Times New Roman" w:hAnsi="Calibri" w:cs="Calibri"/>
          <w:color w:val="000000"/>
          <w:vertAlign w:val="superscript"/>
          <w:lang w:val="en-GB" w:eastAsia="cs-CZ"/>
        </w:rPr>
        <w:t>th</w:t>
      </w:r>
      <w:r w:rsidRPr="00177F0B">
        <w:rPr>
          <w:rFonts w:ascii="Calibri" w:eastAsia="Times New Roman" w:hAnsi="Calibri" w:cs="Calibri"/>
          <w:color w:val="000000"/>
          <w:lang w:val="en-GB" w:eastAsia="cs-CZ"/>
        </w:rPr>
        <w:t xml:space="preserve"> November 2012 and No. 650</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of 31</w:t>
      </w:r>
      <w:r w:rsidRPr="005863A6">
        <w:rPr>
          <w:rFonts w:ascii="Calibri" w:eastAsia="Times New Roman" w:hAnsi="Calibri" w:cs="Calibri"/>
          <w:color w:val="000000"/>
          <w:vertAlign w:val="superscript"/>
          <w:lang w:val="en-GB" w:eastAsia="cs-CZ"/>
        </w:rPr>
        <w:t>st</w:t>
      </w:r>
      <w:r w:rsidRPr="00177F0B">
        <w:rPr>
          <w:rFonts w:ascii="Calibri" w:eastAsia="Times New Roman" w:hAnsi="Calibri" w:cs="Calibri"/>
          <w:color w:val="000000"/>
          <w:lang w:val="en-GB" w:eastAsia="cs-CZ"/>
        </w:rPr>
        <w:t xml:space="preserve"> August 2013 </w:t>
      </w:r>
      <w:r>
        <w:rPr>
          <w:rFonts w:ascii="Calibri" w:eastAsia="Times New Roman" w:hAnsi="Calibri" w:cs="Calibri"/>
          <w:color w:val="000000"/>
          <w:lang w:val="en-GB" w:eastAsia="cs-CZ"/>
        </w:rPr>
        <w:t>the responsibility for the p</w:t>
      </w:r>
      <w:r w:rsidRPr="00177F0B">
        <w:rPr>
          <w:rFonts w:ascii="Calibri" w:eastAsia="Times New Roman" w:hAnsi="Calibri" w:cs="Calibri"/>
          <w:color w:val="000000"/>
          <w:lang w:val="en-GB" w:eastAsia="cs-CZ"/>
        </w:rPr>
        <w:t xml:space="preserve">reparation </w:t>
      </w:r>
      <w:r>
        <w:rPr>
          <w:rFonts w:ascii="Calibri" w:eastAsia="Times New Roman" w:hAnsi="Calibri" w:cs="Calibri"/>
          <w:color w:val="000000"/>
          <w:lang w:val="en-GB" w:eastAsia="cs-CZ"/>
        </w:rPr>
        <w:t>of PA</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falls to the</w:t>
      </w:r>
      <w:r w:rsidRPr="00177F0B">
        <w:rPr>
          <w:rFonts w:ascii="Calibri" w:eastAsia="Times New Roman" w:hAnsi="Calibri" w:cs="Calibri"/>
          <w:color w:val="000000"/>
          <w:lang w:val="en-GB" w:eastAsia="cs-CZ"/>
        </w:rPr>
        <w:t xml:space="preserve"> Ministry for Regional Development. Preparation of the document itse</w:t>
      </w:r>
      <w:r>
        <w:rPr>
          <w:rFonts w:ascii="Calibri" w:eastAsia="Times New Roman" w:hAnsi="Calibri" w:cs="Calibri"/>
          <w:color w:val="000000"/>
          <w:lang w:val="en-GB" w:eastAsia="cs-CZ"/>
        </w:rPr>
        <w:t>lf, with its</w:t>
      </w:r>
      <w:r w:rsidRPr="00177F0B">
        <w:rPr>
          <w:rFonts w:ascii="Calibri" w:eastAsia="Times New Roman" w:hAnsi="Calibri" w:cs="Calibri"/>
          <w:color w:val="000000"/>
          <w:lang w:val="en-GB" w:eastAsia="cs-CZ"/>
        </w:rPr>
        <w:t xml:space="preserve"> form and content</w:t>
      </w:r>
      <w:r>
        <w:rPr>
          <w:rFonts w:ascii="Calibri" w:eastAsia="Times New Roman" w:hAnsi="Calibri" w:cs="Calibri"/>
          <w:color w:val="000000"/>
          <w:lang w:val="en-GB" w:eastAsia="cs-CZ"/>
        </w:rPr>
        <w:t xml:space="preserve">s </w:t>
      </w:r>
      <w:r w:rsidRPr="00177F0B">
        <w:rPr>
          <w:rFonts w:ascii="Calibri" w:eastAsia="Times New Roman" w:hAnsi="Calibri" w:cs="Calibri"/>
          <w:color w:val="000000"/>
          <w:lang w:val="en-GB" w:eastAsia="cs-CZ"/>
        </w:rPr>
        <w:t>de</w:t>
      </w:r>
      <w:r>
        <w:rPr>
          <w:rFonts w:ascii="Calibri" w:eastAsia="Times New Roman" w:hAnsi="Calibri" w:cs="Calibri"/>
          <w:color w:val="000000"/>
          <w:lang w:val="en-GB" w:eastAsia="cs-CZ"/>
        </w:rPr>
        <w:t xml:space="preserve">fined </w:t>
      </w:r>
      <w:r w:rsidRPr="00177F0B">
        <w:rPr>
          <w:rFonts w:ascii="Calibri" w:eastAsia="Times New Roman" w:hAnsi="Calibri" w:cs="Calibri"/>
          <w:color w:val="000000"/>
          <w:lang w:val="en-GB" w:eastAsia="cs-CZ"/>
        </w:rPr>
        <w:t xml:space="preserve">by </w:t>
      </w:r>
      <w:r>
        <w:rPr>
          <w:rFonts w:ascii="Calibri" w:eastAsia="Times New Roman" w:hAnsi="Calibri" w:cs="Calibri"/>
          <w:color w:val="000000"/>
          <w:lang w:val="en-GB" w:eastAsia="cs-CZ"/>
        </w:rPr>
        <w:t xml:space="preserve">an </w:t>
      </w:r>
      <w:r w:rsidRPr="00177F0B">
        <w:rPr>
          <w:rFonts w:ascii="Calibri" w:eastAsia="Times New Roman" w:hAnsi="Calibri" w:cs="Calibri"/>
          <w:color w:val="000000"/>
          <w:lang w:val="en-GB" w:eastAsia="cs-CZ"/>
        </w:rPr>
        <w:t xml:space="preserve">EU </w:t>
      </w:r>
      <w:r>
        <w:rPr>
          <w:rFonts w:ascii="Calibri" w:eastAsia="Times New Roman" w:hAnsi="Calibri" w:cs="Calibri"/>
          <w:color w:val="000000"/>
          <w:lang w:val="en-GB" w:eastAsia="cs-CZ"/>
        </w:rPr>
        <w:t>Regulation,</w:t>
      </w:r>
      <w:r w:rsidRPr="00177F0B">
        <w:rPr>
          <w:rFonts w:ascii="Calibri" w:eastAsia="Times New Roman" w:hAnsi="Calibri" w:cs="Calibri"/>
          <w:color w:val="000000"/>
          <w:lang w:val="en-GB" w:eastAsia="cs-CZ"/>
        </w:rPr>
        <w:t xml:space="preserve"> began in the summer of 2012.</w:t>
      </w:r>
    </w:p>
    <w:p w:rsidR="009546FC" w:rsidRPr="00BA202E" w:rsidRDefault="00BA202E" w:rsidP="009546F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Preparatory work</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on the programming period 2014-2020, however, were </w:t>
      </w:r>
      <w:r>
        <w:rPr>
          <w:rFonts w:ascii="Calibri" w:eastAsia="Times New Roman" w:hAnsi="Calibri" w:cs="Calibri"/>
          <w:color w:val="000000"/>
          <w:lang w:val="en-GB" w:eastAsia="cs-CZ"/>
        </w:rPr>
        <w:t>commenced</w:t>
      </w:r>
      <w:r w:rsidRPr="00177F0B">
        <w:rPr>
          <w:rFonts w:ascii="Calibri" w:eastAsia="Times New Roman" w:hAnsi="Calibri" w:cs="Calibri"/>
          <w:color w:val="000000"/>
          <w:lang w:val="en-GB" w:eastAsia="cs-CZ"/>
        </w:rPr>
        <w:t xml:space="preserve"> in the Czech Republic in </w:t>
      </w:r>
      <w:r>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 broad partnership much earlier - in the course of 2010. Discussions </w:t>
      </w:r>
      <w:r>
        <w:rPr>
          <w:rFonts w:ascii="Calibri" w:eastAsia="Times New Roman" w:hAnsi="Calibri" w:cs="Calibri"/>
          <w:color w:val="000000"/>
          <w:lang w:val="en-GB" w:eastAsia="cs-CZ"/>
        </w:rPr>
        <w:t>led to the</w:t>
      </w:r>
      <w:r w:rsidRPr="00177F0B">
        <w:rPr>
          <w:rFonts w:ascii="Calibri" w:eastAsia="Times New Roman" w:hAnsi="Calibri" w:cs="Calibri"/>
          <w:color w:val="000000"/>
          <w:lang w:val="en-GB" w:eastAsia="cs-CZ"/>
        </w:rPr>
        <w:t xml:space="preserve"> identifi</w:t>
      </w:r>
      <w:r>
        <w:rPr>
          <w:rFonts w:ascii="Calibri" w:eastAsia="Times New Roman" w:hAnsi="Calibri" w:cs="Calibri"/>
          <w:color w:val="000000"/>
          <w:lang w:val="en-GB" w:eastAsia="cs-CZ"/>
        </w:rPr>
        <w:t>cation of</w:t>
      </w:r>
      <w:r w:rsidRPr="00177F0B">
        <w:rPr>
          <w:rFonts w:ascii="Calibri" w:eastAsia="Times New Roman" w:hAnsi="Calibri" w:cs="Calibri"/>
          <w:color w:val="000000"/>
          <w:lang w:val="en-GB" w:eastAsia="cs-CZ"/>
        </w:rPr>
        <w:t xml:space="preserve"> the need for updating or developing new strategic document</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for 2014-2020 and established the main principles of the program</w:t>
      </w:r>
      <w:r>
        <w:rPr>
          <w:rFonts w:ascii="Calibri" w:eastAsia="Times New Roman" w:hAnsi="Calibri" w:cs="Calibri"/>
          <w:color w:val="000000"/>
          <w:lang w:val="en-GB" w:eastAsia="cs-CZ"/>
        </w:rPr>
        <w:t>ming</w:t>
      </w:r>
      <w:r w:rsidRPr="00177F0B">
        <w:rPr>
          <w:rFonts w:ascii="Calibri" w:eastAsia="Times New Roman" w:hAnsi="Calibri" w:cs="Calibri"/>
          <w:color w:val="000000"/>
          <w:lang w:val="en-GB" w:eastAsia="cs-CZ"/>
        </w:rPr>
        <w:t xml:space="preserve"> period 2014-2020 and subsequently </w:t>
      </w:r>
      <w:r>
        <w:rPr>
          <w:rFonts w:ascii="Calibri" w:eastAsia="Times New Roman" w:hAnsi="Calibri" w:cs="Calibri"/>
          <w:color w:val="000000"/>
          <w:lang w:val="en-GB" w:eastAsia="cs-CZ"/>
        </w:rPr>
        <w:t>the National</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evelopment </w:t>
      </w:r>
      <w:r>
        <w:rPr>
          <w:rFonts w:ascii="Calibri" w:eastAsia="Times New Roman" w:hAnsi="Calibri" w:cs="Calibri"/>
          <w:color w:val="000000"/>
          <w:lang w:val="en-GB" w:eastAsia="cs-CZ"/>
        </w:rPr>
        <w:t>P</w:t>
      </w:r>
      <w:r w:rsidRPr="00177F0B">
        <w:rPr>
          <w:rFonts w:ascii="Calibri" w:eastAsia="Times New Roman" w:hAnsi="Calibri" w:cs="Calibri"/>
          <w:color w:val="000000"/>
          <w:lang w:val="en-GB" w:eastAsia="cs-CZ"/>
        </w:rPr>
        <w:t>riorities,</w:t>
      </w:r>
      <w:r>
        <w:rPr>
          <w:rFonts w:ascii="Calibri" w:eastAsia="Times New Roman" w:hAnsi="Calibri" w:cs="Calibri"/>
          <w:color w:val="000000"/>
          <w:lang w:val="en-GB" w:eastAsia="cs-CZ"/>
        </w:rPr>
        <w:t xml:space="preserve"> which are, inter alia, based on the</w:t>
      </w:r>
      <w:r w:rsidRPr="00177F0B">
        <w:rPr>
          <w:rFonts w:ascii="Calibri" w:eastAsia="Times New Roman" w:hAnsi="Calibri" w:cs="Calibri"/>
          <w:color w:val="000000"/>
          <w:lang w:val="en-GB" w:eastAsia="cs-CZ"/>
        </w:rPr>
        <w:t xml:space="preserve"> key strategic documents. A total of five national development priorities</w:t>
      </w:r>
      <w:r>
        <w:rPr>
          <w:rFonts w:ascii="Calibri" w:eastAsia="Times New Roman" w:hAnsi="Calibri" w:cs="Calibri"/>
          <w:color w:val="000000"/>
          <w:lang w:val="en-GB" w:eastAsia="cs-CZ"/>
        </w:rPr>
        <w:t xml:space="preserve"> were </w:t>
      </w:r>
      <w:r w:rsidRPr="00177F0B">
        <w:rPr>
          <w:rFonts w:ascii="Calibri" w:eastAsia="Times New Roman" w:hAnsi="Calibri" w:cs="Calibri"/>
          <w:color w:val="000000"/>
          <w:lang w:val="en-GB" w:eastAsia="cs-CZ"/>
        </w:rPr>
        <w:t>defined</w:t>
      </w:r>
      <w:r>
        <w:rPr>
          <w:rFonts w:ascii="Calibri" w:eastAsia="Times New Roman" w:hAnsi="Calibri" w:cs="Calibri"/>
          <w:color w:val="000000"/>
          <w:lang w:val="en-GB" w:eastAsia="cs-CZ"/>
        </w:rPr>
        <w:t>:</w:t>
      </w:r>
    </w:p>
    <w:p w:rsidR="00BA202E" w:rsidRPr="00BA202E" w:rsidRDefault="00BA202E" w:rsidP="00BA202E">
      <w:pPr>
        <w:numPr>
          <w:ilvl w:val="0"/>
          <w:numId w:val="18"/>
        </w:numPr>
        <w:rPr>
          <w:lang w:val="en-GB"/>
        </w:rPr>
      </w:pPr>
      <w:r w:rsidRPr="00BA202E">
        <w:rPr>
          <w:lang w:val="en-GB"/>
        </w:rPr>
        <w:t>Increasing the competitiveness of the economy,</w:t>
      </w:r>
    </w:p>
    <w:p w:rsidR="00BA202E" w:rsidRPr="00BA202E" w:rsidRDefault="00BA202E" w:rsidP="00BA202E">
      <w:pPr>
        <w:numPr>
          <w:ilvl w:val="0"/>
          <w:numId w:val="18"/>
        </w:numPr>
        <w:tabs>
          <w:tab w:val="num" w:pos="720"/>
        </w:tabs>
        <w:rPr>
          <w:lang w:val="en-GB"/>
        </w:rPr>
      </w:pPr>
      <w:r w:rsidRPr="00BA202E">
        <w:rPr>
          <w:lang w:val="en-GB"/>
        </w:rPr>
        <w:t>The development of backbone infrastructure,</w:t>
      </w:r>
    </w:p>
    <w:p w:rsidR="00BA202E" w:rsidRPr="00BA202E" w:rsidRDefault="00BA202E" w:rsidP="00BA202E">
      <w:pPr>
        <w:numPr>
          <w:ilvl w:val="0"/>
          <w:numId w:val="18"/>
        </w:numPr>
        <w:tabs>
          <w:tab w:val="num" w:pos="720"/>
        </w:tabs>
        <w:rPr>
          <w:lang w:val="en-GB"/>
        </w:rPr>
      </w:pPr>
      <w:r w:rsidRPr="00BA202E">
        <w:rPr>
          <w:lang w:val="en-GB"/>
        </w:rPr>
        <w:t>Improving the quality and efficiency of public administration,</w:t>
      </w:r>
    </w:p>
    <w:p w:rsidR="00BA202E" w:rsidRPr="00BA202E" w:rsidRDefault="00BA202E" w:rsidP="00BA202E">
      <w:pPr>
        <w:numPr>
          <w:ilvl w:val="0"/>
          <w:numId w:val="18"/>
        </w:numPr>
        <w:tabs>
          <w:tab w:val="num" w:pos="720"/>
        </w:tabs>
        <w:rPr>
          <w:lang w:val="en-GB"/>
        </w:rPr>
      </w:pPr>
      <w:r w:rsidRPr="00BA202E">
        <w:rPr>
          <w:lang w:val="en-GB"/>
        </w:rPr>
        <w:t>Support of social inclusion, the fight against poverty and the health care system</w:t>
      </w:r>
    </w:p>
    <w:p w:rsidR="009546FC" w:rsidRPr="00BA202E" w:rsidRDefault="00BA202E" w:rsidP="00BA202E">
      <w:pPr>
        <w:numPr>
          <w:ilvl w:val="0"/>
          <w:numId w:val="18"/>
        </w:numPr>
        <w:tabs>
          <w:tab w:val="num" w:pos="720"/>
        </w:tabs>
        <w:rPr>
          <w:lang w:val="en-GB"/>
        </w:rPr>
      </w:pPr>
      <w:r w:rsidRPr="00BA202E">
        <w:rPr>
          <w:lang w:val="en-GB"/>
        </w:rPr>
        <w:t>The integrated territorial development.</w:t>
      </w:r>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 xml:space="preserve">In the </w:t>
      </w:r>
      <w:r w:rsidRPr="00177F0B">
        <w:rPr>
          <w:rFonts w:ascii="Calibri" w:eastAsia="Times New Roman" w:hAnsi="Calibri" w:cs="Calibri"/>
          <w:color w:val="000000"/>
          <w:lang w:val="en-GB" w:eastAsia="cs-CZ"/>
        </w:rPr>
        <w:t>Government Resolution No. 650</w:t>
      </w:r>
      <w:r>
        <w:rPr>
          <w:rFonts w:ascii="Calibri" w:eastAsia="Times New Roman" w:hAnsi="Calibri" w:cs="Calibri"/>
          <w:color w:val="000000"/>
          <w:lang w:val="en-GB" w:eastAsia="cs-CZ"/>
        </w:rPr>
        <w:t>/2011</w:t>
      </w:r>
      <w:r w:rsidRPr="00177F0B">
        <w:rPr>
          <w:rFonts w:ascii="Calibri" w:eastAsia="Times New Roman" w:hAnsi="Calibri" w:cs="Calibri"/>
          <w:color w:val="000000"/>
          <w:lang w:val="en-GB" w:eastAsia="cs-CZ"/>
        </w:rPr>
        <w:t xml:space="preserve"> these priorities were </w:t>
      </w:r>
      <w:r>
        <w:rPr>
          <w:rFonts w:ascii="Calibri" w:eastAsia="Times New Roman" w:hAnsi="Calibri" w:cs="Calibri"/>
          <w:color w:val="000000"/>
          <w:lang w:val="en-GB" w:eastAsia="cs-CZ"/>
        </w:rPr>
        <w:t>taken into account</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a task was</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presented</w:t>
      </w:r>
      <w:r w:rsidRPr="00177F0B">
        <w:rPr>
          <w:rFonts w:ascii="Calibri" w:eastAsia="Times New Roman" w:hAnsi="Calibri" w:cs="Calibri"/>
          <w:color w:val="000000"/>
          <w:lang w:val="en-GB" w:eastAsia="cs-CZ"/>
        </w:rPr>
        <w:t xml:space="preserve"> to develop the</w:t>
      </w:r>
      <w:r>
        <w:rPr>
          <w:rFonts w:ascii="Calibri" w:eastAsia="Times New Roman" w:hAnsi="Calibri" w:cs="Calibri"/>
          <w:color w:val="000000"/>
          <w:lang w:val="en-GB" w:eastAsia="cs-CZ"/>
        </w:rPr>
        <w:t>m to the</w:t>
      </w:r>
      <w:r w:rsidRPr="00177F0B">
        <w:rPr>
          <w:rFonts w:ascii="Calibri" w:eastAsia="Times New Roman" w:hAnsi="Calibri" w:cs="Calibri"/>
          <w:color w:val="000000"/>
          <w:lang w:val="en-GB" w:eastAsia="cs-CZ"/>
        </w:rPr>
        <w:t xml:space="preserve"> level of </w:t>
      </w:r>
      <w:r>
        <w:rPr>
          <w:rFonts w:ascii="Calibri" w:eastAsia="Times New Roman" w:hAnsi="Calibri" w:cs="Calibri"/>
          <w:color w:val="000000"/>
          <w:lang w:val="en-GB" w:eastAsia="cs-CZ"/>
        </w:rPr>
        <w:t xml:space="preserve">programme </w:t>
      </w:r>
      <w:r w:rsidRPr="00177F0B">
        <w:rPr>
          <w:rFonts w:ascii="Calibri" w:eastAsia="Times New Roman" w:hAnsi="Calibri" w:cs="Calibri"/>
          <w:color w:val="000000"/>
          <w:lang w:val="en-GB" w:eastAsia="cs-CZ"/>
        </w:rPr>
        <w:t>definition. </w:t>
      </w:r>
      <w:r>
        <w:rPr>
          <w:rFonts w:ascii="Calibri" w:eastAsia="Times New Roman" w:hAnsi="Calibri" w:cs="Calibri"/>
          <w:color w:val="000000"/>
          <w:lang w:val="en-GB" w:eastAsia="cs-CZ"/>
        </w:rPr>
        <w:t>Due to</w:t>
      </w:r>
      <w:r w:rsidRPr="00177F0B">
        <w:rPr>
          <w:rFonts w:ascii="Calibri" w:eastAsia="Times New Roman" w:hAnsi="Calibri" w:cs="Calibri"/>
          <w:color w:val="000000"/>
          <w:lang w:val="en-GB" w:eastAsia="cs-CZ"/>
        </w:rPr>
        <w:t xml:space="preserve"> correct settings and real </w:t>
      </w:r>
      <w:r>
        <w:rPr>
          <w:rFonts w:ascii="Calibri" w:eastAsia="Times New Roman" w:hAnsi="Calibri" w:cs="Calibri"/>
          <w:color w:val="000000"/>
          <w:lang w:val="en-GB" w:eastAsia="cs-CZ"/>
        </w:rPr>
        <w:t>management of interventions</w:t>
      </w:r>
      <w:r w:rsidRPr="00177F0B">
        <w:rPr>
          <w:rFonts w:ascii="Calibri" w:eastAsia="Times New Roman" w:hAnsi="Calibri" w:cs="Calibri"/>
          <w:color w:val="000000"/>
          <w:lang w:val="en-GB" w:eastAsia="cs-CZ"/>
        </w:rPr>
        <w:t xml:space="preserve"> it was decided to create a level </w:t>
      </w:r>
      <w:r>
        <w:rPr>
          <w:rFonts w:ascii="Calibri" w:eastAsia="Times New Roman" w:hAnsi="Calibri" w:cs="Calibri"/>
          <w:color w:val="000000"/>
          <w:lang w:val="en-GB" w:eastAsia="cs-CZ"/>
        </w:rPr>
        <w:t>of topic areas</w:t>
      </w:r>
      <w:r w:rsidRPr="00177F0B">
        <w:rPr>
          <w:rFonts w:ascii="Calibri" w:eastAsia="Times New Roman" w:hAnsi="Calibri" w:cs="Calibri"/>
          <w:color w:val="000000"/>
          <w:lang w:val="en-GB" w:eastAsia="cs-CZ"/>
        </w:rPr>
        <w:t xml:space="preserve"> that </w:t>
      </w:r>
      <w:r>
        <w:rPr>
          <w:rFonts w:ascii="Calibri" w:eastAsia="Times New Roman" w:hAnsi="Calibri" w:cs="Calibri"/>
          <w:color w:val="000000"/>
          <w:lang w:val="en-GB" w:eastAsia="cs-CZ"/>
        </w:rPr>
        <w:t xml:space="preserve">will </w:t>
      </w:r>
      <w:r w:rsidRPr="00177F0B">
        <w:rPr>
          <w:rFonts w:ascii="Calibri" w:eastAsia="Times New Roman" w:hAnsi="Calibri" w:cs="Calibri"/>
          <w:color w:val="000000"/>
          <w:lang w:val="en-GB" w:eastAsia="cs-CZ"/>
        </w:rPr>
        <w:t>further elaborate on the social and economic situation in the country. Their purpose was to provide a basis for the definition of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aimed at </w:t>
      </w:r>
      <w:r>
        <w:rPr>
          <w:rFonts w:ascii="Calibri" w:eastAsia="Times New Roman" w:hAnsi="Calibri" w:cs="Calibri"/>
          <w:color w:val="000000"/>
          <w:lang w:val="en-GB" w:eastAsia="cs-CZ"/>
        </w:rPr>
        <w:t>the fulfilment of</w:t>
      </w:r>
      <w:r w:rsidRPr="00177F0B">
        <w:rPr>
          <w:rFonts w:ascii="Calibri" w:eastAsia="Times New Roman" w:hAnsi="Calibri" w:cs="Calibri"/>
          <w:color w:val="000000"/>
          <w:lang w:val="en-GB" w:eastAsia="cs-CZ"/>
        </w:rPr>
        <w:t xml:space="preserve"> the objectives set out in priorities. In addition to the priorities </w:t>
      </w:r>
      <w:r>
        <w:rPr>
          <w:rFonts w:ascii="Calibri" w:eastAsia="Times New Roman" w:hAnsi="Calibri" w:cs="Calibri"/>
          <w:color w:val="000000"/>
          <w:lang w:val="en-GB" w:eastAsia="cs-CZ"/>
        </w:rPr>
        <w:t>the</w:t>
      </w:r>
      <w:r w:rsidRPr="00177F0B">
        <w:rPr>
          <w:rFonts w:ascii="Calibri" w:eastAsia="Times New Roman" w:hAnsi="Calibri" w:cs="Calibri"/>
          <w:color w:val="000000"/>
          <w:lang w:val="en-GB" w:eastAsia="cs-CZ"/>
        </w:rPr>
        <w:t xml:space="preserve"> M</w:t>
      </w:r>
      <w:r>
        <w:rPr>
          <w:rFonts w:ascii="Calibri" w:eastAsia="Times New Roman" w:hAnsi="Calibri" w:cs="Calibri"/>
          <w:color w:val="000000"/>
          <w:lang w:val="en-GB" w:eastAsia="cs-CZ"/>
        </w:rPr>
        <w:t>LD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based its</w:t>
      </w:r>
      <w:r w:rsidRPr="00177F0B">
        <w:rPr>
          <w:rFonts w:ascii="Calibri" w:eastAsia="Times New Roman" w:hAnsi="Calibri" w:cs="Calibri"/>
          <w:color w:val="000000"/>
          <w:lang w:val="en-GB" w:eastAsia="cs-CZ"/>
        </w:rPr>
        <w:t xml:space="preserve"> preparation</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 of topics </w:t>
      </w:r>
      <w:r>
        <w:rPr>
          <w:rFonts w:ascii="Calibri" w:eastAsia="Times New Roman" w:hAnsi="Calibri" w:cs="Calibri"/>
          <w:color w:val="000000"/>
          <w:lang w:val="en-GB" w:eastAsia="cs-CZ"/>
        </w:rPr>
        <w:t>on problem analyse</w:t>
      </w:r>
      <w:r w:rsidRPr="00177F0B">
        <w:rPr>
          <w:rFonts w:ascii="Calibri" w:eastAsia="Times New Roman" w:hAnsi="Calibri" w:cs="Calibri"/>
          <w:color w:val="000000"/>
          <w:lang w:val="en-GB" w:eastAsia="cs-CZ"/>
        </w:rPr>
        <w:t>s. The</w:t>
      </w:r>
      <w:r>
        <w:rPr>
          <w:rFonts w:ascii="Calibri" w:eastAsia="Times New Roman" w:hAnsi="Calibri" w:cs="Calibri"/>
          <w:color w:val="000000"/>
          <w:lang w:val="en-GB" w:eastAsia="cs-CZ"/>
        </w:rPr>
        <w:t>se</w:t>
      </w:r>
      <w:r w:rsidRPr="00177F0B">
        <w:rPr>
          <w:rFonts w:ascii="Calibri" w:eastAsia="Times New Roman" w:hAnsi="Calibri" w:cs="Calibri"/>
          <w:color w:val="000000"/>
          <w:lang w:val="en-GB" w:eastAsia="cs-CZ"/>
        </w:rPr>
        <w:t xml:space="preserve"> were </w:t>
      </w:r>
      <w:r>
        <w:rPr>
          <w:rFonts w:ascii="Calibri" w:eastAsia="Times New Roman" w:hAnsi="Calibri" w:cs="Calibri"/>
          <w:color w:val="000000"/>
          <w:lang w:val="en-GB" w:eastAsia="cs-CZ"/>
        </w:rPr>
        <w:t>conducted at</w:t>
      </w:r>
      <w:r w:rsidRPr="00177F0B">
        <w:rPr>
          <w:rFonts w:ascii="Calibri" w:eastAsia="Times New Roman" w:hAnsi="Calibri" w:cs="Calibri"/>
          <w:color w:val="000000"/>
          <w:lang w:val="en-GB" w:eastAsia="cs-CZ"/>
        </w:rPr>
        <w:t xml:space="preserve"> all the relevant ministries, regions and other </w:t>
      </w:r>
      <w:r>
        <w:rPr>
          <w:rFonts w:ascii="Calibri" w:eastAsia="Times New Roman" w:hAnsi="Calibri" w:cs="Calibri"/>
          <w:color w:val="000000"/>
          <w:lang w:val="en-GB" w:eastAsia="cs-CZ"/>
        </w:rPr>
        <w:t>parties</w:t>
      </w:r>
      <w:r w:rsidRPr="00177F0B">
        <w:rPr>
          <w:rFonts w:ascii="Calibri" w:eastAsia="Times New Roman" w:hAnsi="Calibri" w:cs="Calibri"/>
          <w:color w:val="000000"/>
          <w:lang w:val="en-GB" w:eastAsia="cs-CZ"/>
        </w:rPr>
        <w:t xml:space="preserve"> (e.g. regions and non-profit organizations). These activities </w:t>
      </w:r>
      <w:r>
        <w:rPr>
          <w:rFonts w:ascii="Calibri" w:eastAsia="Times New Roman" w:hAnsi="Calibri" w:cs="Calibri"/>
          <w:color w:val="000000"/>
          <w:lang w:val="en-GB" w:eastAsia="cs-CZ"/>
        </w:rPr>
        <w:t>were</w:t>
      </w:r>
      <w:r w:rsidRPr="00177F0B">
        <w:rPr>
          <w:rFonts w:ascii="Calibri" w:eastAsia="Times New Roman" w:hAnsi="Calibri" w:cs="Calibri"/>
          <w:color w:val="000000"/>
          <w:lang w:val="en-GB" w:eastAsia="cs-CZ"/>
        </w:rPr>
        <w:t xml:space="preserve"> followed</w:t>
      </w:r>
      <w:r>
        <w:rPr>
          <w:rFonts w:ascii="Calibri" w:eastAsia="Times New Roman" w:hAnsi="Calibri" w:cs="Calibri"/>
          <w:color w:val="000000"/>
          <w:lang w:val="en-GB" w:eastAsia="cs-CZ"/>
        </w:rPr>
        <w:t xml:space="preserve"> by</w:t>
      </w:r>
      <w:r w:rsidRPr="00177F0B">
        <w:rPr>
          <w:rFonts w:ascii="Calibri" w:eastAsia="Times New Roman" w:hAnsi="Calibri" w:cs="Calibri"/>
          <w:color w:val="000000"/>
          <w:lang w:val="en-GB" w:eastAsia="cs-CZ"/>
        </w:rPr>
        <w:t xml:space="preserve"> the preparation of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 themselves simultaneously with the preparation of</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PA</w:t>
      </w:r>
      <w:r w:rsidRPr="00177F0B">
        <w:rPr>
          <w:rFonts w:ascii="Calibri" w:eastAsia="Times New Roman" w:hAnsi="Calibri" w:cs="Calibri"/>
          <w:color w:val="000000"/>
          <w:lang w:val="en-GB" w:eastAsia="cs-CZ"/>
        </w:rPr>
        <w:t>.</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Preparation </w:t>
      </w:r>
      <w:r>
        <w:rPr>
          <w:rFonts w:ascii="Calibri" w:eastAsia="Times New Roman" w:hAnsi="Calibri" w:cs="Calibri"/>
          <w:color w:val="000000"/>
          <w:lang w:val="en-GB" w:eastAsia="cs-CZ"/>
        </w:rPr>
        <w:t>of PA</w:t>
      </w:r>
      <w:r w:rsidRPr="00177F0B">
        <w:rPr>
          <w:rFonts w:ascii="Calibri" w:eastAsia="Times New Roman" w:hAnsi="Calibri" w:cs="Calibri"/>
          <w:color w:val="000000"/>
          <w:lang w:val="en-GB" w:eastAsia="cs-CZ"/>
        </w:rPr>
        <w:t xml:space="preserve"> was </w:t>
      </w:r>
      <w:r>
        <w:rPr>
          <w:rFonts w:ascii="Calibri" w:eastAsia="Times New Roman" w:hAnsi="Calibri" w:cs="Calibri"/>
          <w:color w:val="000000"/>
          <w:lang w:val="en-GB" w:eastAsia="cs-CZ"/>
        </w:rPr>
        <w:t>conducted at</w:t>
      </w:r>
      <w:r w:rsidRPr="00177F0B">
        <w:rPr>
          <w:rFonts w:ascii="Calibri" w:eastAsia="Times New Roman" w:hAnsi="Calibri" w:cs="Calibri"/>
          <w:color w:val="000000"/>
          <w:lang w:val="en-GB" w:eastAsia="cs-CZ"/>
        </w:rPr>
        <w:t xml:space="preserve"> key platfo</w:t>
      </w:r>
      <w:r>
        <w:rPr>
          <w:rFonts w:ascii="Calibri" w:eastAsia="Times New Roman" w:hAnsi="Calibri" w:cs="Calibri"/>
          <w:color w:val="000000"/>
          <w:lang w:val="en-GB" w:eastAsia="cs-CZ"/>
        </w:rPr>
        <w:t>rms created by</w:t>
      </w:r>
      <w:r w:rsidRPr="00177F0B">
        <w:rPr>
          <w:rFonts w:ascii="Calibri" w:eastAsia="Times New Roman" w:hAnsi="Calibri" w:cs="Calibri"/>
          <w:color w:val="000000"/>
          <w:lang w:val="en-GB" w:eastAsia="cs-CZ"/>
        </w:rPr>
        <w:t xml:space="preserve"> M</w:t>
      </w:r>
      <w:r>
        <w:rPr>
          <w:rFonts w:ascii="Calibri" w:eastAsia="Times New Roman" w:hAnsi="Calibri" w:cs="Calibri"/>
          <w:color w:val="000000"/>
          <w:lang w:val="en-GB" w:eastAsia="cs-CZ"/>
        </w:rPr>
        <w:t>LD as well as</w:t>
      </w:r>
      <w:r w:rsidRPr="00177F0B">
        <w:rPr>
          <w:rFonts w:ascii="Calibri" w:eastAsia="Times New Roman" w:hAnsi="Calibri" w:cs="Calibri"/>
          <w:color w:val="000000"/>
          <w:lang w:val="en-GB" w:eastAsia="cs-CZ"/>
        </w:rPr>
        <w:t xml:space="preserve">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w:t>
      </w:r>
      <w:r>
        <w:rPr>
          <w:rFonts w:ascii="Calibri" w:eastAsia="Times New Roman" w:hAnsi="Calibri" w:cs="Calibri"/>
          <w:color w:val="000000"/>
          <w:lang w:val="en-GB" w:eastAsia="cs-CZ"/>
        </w:rPr>
        <w:t>’ governing bodies</w:t>
      </w:r>
      <w:r w:rsidRPr="00177F0B">
        <w:rPr>
          <w:rFonts w:ascii="Calibri" w:eastAsia="Times New Roman" w:hAnsi="Calibri" w:cs="Calibri"/>
          <w:color w:val="000000"/>
          <w:lang w:val="en-GB" w:eastAsia="cs-CZ"/>
        </w:rPr>
        <w:t>. Members of the platforms are representatives of ministries, regional partners (regions, cities, municipalities, local action groups, etc.), academi</w:t>
      </w:r>
      <w:r>
        <w:rPr>
          <w:rFonts w:ascii="Calibri" w:eastAsia="Times New Roman" w:hAnsi="Calibri" w:cs="Calibri"/>
          <w:color w:val="000000"/>
          <w:lang w:val="en-GB" w:eastAsia="cs-CZ"/>
        </w:rPr>
        <w:t>c sector</w:t>
      </w:r>
      <w:r w:rsidRPr="00177F0B">
        <w:rPr>
          <w:rFonts w:ascii="Calibri" w:eastAsia="Times New Roman" w:hAnsi="Calibri" w:cs="Calibri"/>
          <w:color w:val="000000"/>
          <w:lang w:val="en-GB" w:eastAsia="cs-CZ"/>
        </w:rPr>
        <w:t xml:space="preserve">, the non-profit sector, social and economic </w:t>
      </w:r>
      <w:r w:rsidRPr="00177F0B">
        <w:rPr>
          <w:rFonts w:ascii="Calibri" w:eastAsia="Times New Roman" w:hAnsi="Calibri" w:cs="Calibri"/>
          <w:color w:val="000000"/>
          <w:lang w:val="en-GB" w:eastAsia="cs-CZ"/>
        </w:rPr>
        <w:lastRenderedPageBreak/>
        <w:t>par</w:t>
      </w:r>
      <w:r>
        <w:rPr>
          <w:rFonts w:ascii="Calibri" w:eastAsia="Times New Roman" w:hAnsi="Calibri" w:cs="Calibri"/>
          <w:color w:val="000000"/>
          <w:lang w:val="en-GB" w:eastAsia="cs-CZ"/>
        </w:rPr>
        <w:t>tners</w:t>
      </w:r>
      <w:r w:rsidRPr="00177F0B">
        <w:rPr>
          <w:rFonts w:ascii="Calibri" w:eastAsia="Times New Roman" w:hAnsi="Calibri" w:cs="Calibri"/>
          <w:color w:val="000000"/>
          <w:lang w:val="en-GB" w:eastAsia="cs-CZ"/>
        </w:rPr>
        <w:t xml:space="preserve"> etc. </w:t>
      </w: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hroughout the period of preparation</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M</w:t>
      </w:r>
      <w:r>
        <w:rPr>
          <w:rFonts w:ascii="Calibri" w:eastAsia="Times New Roman" w:hAnsi="Calibri" w:cs="Calibri"/>
          <w:color w:val="000000"/>
          <w:lang w:val="en-GB" w:eastAsia="cs-CZ"/>
        </w:rPr>
        <w:t>LD</w:t>
      </w:r>
      <w:r w:rsidRPr="00177F0B">
        <w:rPr>
          <w:rFonts w:ascii="Calibri" w:eastAsia="Times New Roman" w:hAnsi="Calibri" w:cs="Calibri"/>
          <w:color w:val="000000"/>
          <w:lang w:val="en-GB" w:eastAsia="cs-CZ"/>
        </w:rPr>
        <w:t xml:space="preserve"> ensure</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 xml:space="preserve"> the functionality of the partnership principle, which </w:t>
      </w:r>
      <w:r>
        <w:rPr>
          <w:rFonts w:ascii="Calibri" w:eastAsia="Times New Roman" w:hAnsi="Calibri" w:cs="Calibri"/>
          <w:color w:val="000000"/>
          <w:lang w:val="en-GB" w:eastAsia="cs-CZ"/>
        </w:rPr>
        <w:t>was</w:t>
      </w:r>
      <w:r w:rsidRPr="00177F0B">
        <w:rPr>
          <w:rFonts w:ascii="Calibri" w:eastAsia="Times New Roman" w:hAnsi="Calibri" w:cs="Calibri"/>
          <w:color w:val="000000"/>
          <w:lang w:val="en-GB" w:eastAsia="cs-CZ"/>
        </w:rPr>
        <w:t xml:space="preserve"> ultimately reflected </w:t>
      </w:r>
      <w:r>
        <w:rPr>
          <w:rFonts w:ascii="Calibri" w:eastAsia="Times New Roman" w:hAnsi="Calibri" w:cs="Calibri"/>
          <w:color w:val="000000"/>
          <w:lang w:val="en-GB" w:eastAsia="cs-CZ"/>
        </w:rPr>
        <w:t xml:space="preserve">in the </w:t>
      </w:r>
      <w:r w:rsidRPr="00177F0B">
        <w:rPr>
          <w:rFonts w:ascii="Calibri" w:eastAsia="Times New Roman" w:hAnsi="Calibri" w:cs="Calibri"/>
          <w:color w:val="000000"/>
          <w:lang w:val="en-GB" w:eastAsia="cs-CZ"/>
        </w:rPr>
        <w:t xml:space="preserve">smooth </w:t>
      </w:r>
      <w:r>
        <w:rPr>
          <w:rFonts w:ascii="Calibri" w:eastAsia="Times New Roman" w:hAnsi="Calibri" w:cs="Calibri"/>
          <w:color w:val="000000"/>
          <w:lang w:val="en-GB" w:eastAsia="cs-CZ"/>
        </w:rPr>
        <w:t>AP</w:t>
      </w:r>
      <w:r w:rsidRPr="00177F0B">
        <w:rPr>
          <w:rFonts w:ascii="Calibri" w:eastAsia="Times New Roman" w:hAnsi="Calibri" w:cs="Calibri"/>
          <w:color w:val="000000"/>
          <w:lang w:val="en-GB" w:eastAsia="cs-CZ"/>
        </w:rPr>
        <w:t xml:space="preserve"> approval at the Council for European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 xml:space="preserve">tructural and </w:t>
      </w:r>
      <w:r>
        <w:rPr>
          <w:rFonts w:ascii="Calibri" w:eastAsia="Times New Roman" w:hAnsi="Calibri" w:cs="Calibri"/>
          <w:color w:val="000000"/>
          <w:lang w:val="en-GB" w:eastAsia="cs-CZ"/>
        </w:rPr>
        <w:t>I</w:t>
      </w:r>
      <w:r w:rsidRPr="00177F0B">
        <w:rPr>
          <w:rFonts w:ascii="Calibri" w:eastAsia="Times New Roman" w:hAnsi="Calibri" w:cs="Calibri"/>
          <w:color w:val="000000"/>
          <w:lang w:val="en-GB" w:eastAsia="cs-CZ"/>
        </w:rPr>
        <w:t xml:space="preserve">nvestment </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unds on</w:t>
      </w:r>
      <w:r>
        <w:rPr>
          <w:rFonts w:ascii="Calibri" w:eastAsia="Times New Roman" w:hAnsi="Calibri" w:cs="Calibri"/>
          <w:color w:val="000000"/>
          <w:lang w:val="en-GB" w:eastAsia="cs-CZ"/>
        </w:rPr>
        <w:t xml:space="preserve"> 3</w:t>
      </w:r>
      <w:r w:rsidRPr="001A4A48">
        <w:rPr>
          <w:rFonts w:ascii="Calibri" w:eastAsia="Times New Roman" w:hAnsi="Calibri" w:cs="Calibri"/>
          <w:color w:val="000000"/>
          <w:vertAlign w:val="superscript"/>
          <w:lang w:val="en-GB" w:eastAsia="cs-CZ"/>
        </w:rPr>
        <w:t>rd</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April  and then </w:t>
      </w:r>
      <w:r>
        <w:rPr>
          <w:rFonts w:ascii="Calibri" w:eastAsia="Times New Roman" w:hAnsi="Calibri" w:cs="Calibri"/>
          <w:color w:val="000000"/>
          <w:lang w:val="en-GB" w:eastAsia="cs-CZ"/>
        </w:rPr>
        <w:t xml:space="preserve">on </w:t>
      </w:r>
      <w:r w:rsidRPr="00177F0B">
        <w:rPr>
          <w:rFonts w:ascii="Calibri" w:eastAsia="Times New Roman" w:hAnsi="Calibri" w:cs="Calibri"/>
          <w:color w:val="000000"/>
          <w:lang w:val="en-GB" w:eastAsia="cs-CZ"/>
        </w:rPr>
        <w:t>9</w:t>
      </w:r>
      <w:r w:rsidRPr="001A4A48">
        <w:rPr>
          <w:rFonts w:ascii="Calibri" w:eastAsia="Times New Roman" w:hAnsi="Calibri" w:cs="Calibri"/>
          <w:color w:val="000000"/>
          <w:vertAlign w:val="superscript"/>
          <w:lang w:val="en-GB" w:eastAsia="cs-CZ"/>
        </w:rPr>
        <w:t>th</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 xml:space="preserve">April 2014 at the meeting of the </w:t>
      </w:r>
      <w:r>
        <w:rPr>
          <w:rFonts w:ascii="Calibri" w:eastAsia="Times New Roman" w:hAnsi="Calibri" w:cs="Calibri"/>
          <w:color w:val="000000"/>
          <w:lang w:val="en-GB" w:eastAsia="cs-CZ"/>
        </w:rPr>
        <w:t>Czech g</w:t>
      </w:r>
      <w:r w:rsidRPr="00177F0B">
        <w:rPr>
          <w:rFonts w:ascii="Calibri" w:eastAsia="Times New Roman" w:hAnsi="Calibri" w:cs="Calibri"/>
          <w:color w:val="000000"/>
          <w:lang w:val="en-GB" w:eastAsia="cs-CZ"/>
        </w:rPr>
        <w:t>overnment.</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basis</w:t>
      </w:r>
      <w:r>
        <w:rPr>
          <w:rFonts w:ascii="Calibri" w:eastAsia="Times New Roman" w:hAnsi="Calibri" w:cs="Calibri"/>
          <w:color w:val="000000"/>
          <w:lang w:val="en-GB" w:eastAsia="cs-CZ"/>
        </w:rPr>
        <w:t xml:space="preserve"> of the PA</w:t>
      </w:r>
      <w:r w:rsidRPr="00177F0B">
        <w:rPr>
          <w:rFonts w:ascii="Calibri" w:eastAsia="Times New Roman" w:hAnsi="Calibri" w:cs="Calibri"/>
          <w:color w:val="000000"/>
          <w:lang w:val="en-GB" w:eastAsia="cs-CZ"/>
        </w:rPr>
        <w:t xml:space="preserve"> is</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analytical and strategic part. It contains five problem areas in which</w:t>
      </w:r>
      <w:r w:rsidRPr="00C47076">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significant improvement must</w:t>
      </w:r>
      <w:r>
        <w:rPr>
          <w:rFonts w:ascii="Calibri" w:eastAsia="Times New Roman" w:hAnsi="Calibri" w:cs="Calibri"/>
          <w:color w:val="000000"/>
          <w:lang w:val="en-GB" w:eastAsia="cs-CZ"/>
        </w:rPr>
        <w:t xml:space="preserve"> be made</w:t>
      </w:r>
      <w:r w:rsidRPr="00177F0B">
        <w:rPr>
          <w:rFonts w:ascii="Calibri" w:eastAsia="Times New Roman" w:hAnsi="Calibri" w:cs="Calibri"/>
          <w:color w:val="000000"/>
          <w:lang w:val="en-GB" w:eastAsia="cs-CZ"/>
        </w:rPr>
        <w:t xml:space="preserve"> in order to maintain co</w:t>
      </w:r>
      <w:r>
        <w:rPr>
          <w:rFonts w:ascii="Calibri" w:eastAsia="Times New Roman" w:hAnsi="Calibri" w:cs="Calibri"/>
          <w:color w:val="000000"/>
          <w:lang w:val="en-GB" w:eastAsia="cs-CZ"/>
        </w:rPr>
        <w:t>hesion</w:t>
      </w:r>
      <w:r w:rsidRPr="00177F0B">
        <w:rPr>
          <w:rFonts w:ascii="Calibri" w:eastAsia="Times New Roman" w:hAnsi="Calibri" w:cs="Calibri"/>
          <w:color w:val="000000"/>
          <w:lang w:val="en-GB" w:eastAsia="cs-CZ"/>
        </w:rPr>
        <w:t xml:space="preserve"> and sustain</w:t>
      </w:r>
      <w:r>
        <w:rPr>
          <w:rFonts w:ascii="Calibri" w:eastAsia="Times New Roman" w:hAnsi="Calibri" w:cs="Calibri"/>
          <w:color w:val="000000"/>
          <w:lang w:val="en-GB" w:eastAsia="cs-CZ"/>
        </w:rPr>
        <w:t xml:space="preserve">ability and achieve growth, </w:t>
      </w:r>
      <w:r w:rsidRPr="00177F0B">
        <w:rPr>
          <w:rFonts w:ascii="Calibri" w:eastAsia="Times New Roman" w:hAnsi="Calibri" w:cs="Calibri"/>
          <w:color w:val="000000"/>
          <w:lang w:val="en-GB" w:eastAsia="cs-CZ"/>
        </w:rPr>
        <w:t xml:space="preserve">if the Czech Republic </w:t>
      </w:r>
      <w:r>
        <w:rPr>
          <w:rFonts w:ascii="Calibri" w:eastAsia="Times New Roman" w:hAnsi="Calibri" w:cs="Calibri"/>
          <w:color w:val="000000"/>
          <w:lang w:val="en-GB" w:eastAsia="cs-CZ"/>
        </w:rPr>
        <w:t xml:space="preserve">is </w:t>
      </w:r>
      <w:r w:rsidRPr="00177F0B">
        <w:rPr>
          <w:rFonts w:ascii="Calibri" w:eastAsia="Times New Roman" w:hAnsi="Calibri" w:cs="Calibri"/>
          <w:color w:val="000000"/>
          <w:lang w:val="en-GB" w:eastAsia="cs-CZ"/>
        </w:rPr>
        <w:t xml:space="preserve">to </w:t>
      </w:r>
      <w:r>
        <w:rPr>
          <w:rFonts w:ascii="Calibri" w:eastAsia="Times New Roman" w:hAnsi="Calibri" w:cs="Calibri"/>
          <w:color w:val="000000"/>
          <w:lang w:val="en-GB" w:eastAsia="cs-CZ"/>
        </w:rPr>
        <w:t>realize its</w:t>
      </w:r>
      <w:r w:rsidRPr="00177F0B">
        <w:rPr>
          <w:rFonts w:ascii="Calibri" w:eastAsia="Times New Roman" w:hAnsi="Calibri" w:cs="Calibri"/>
          <w:color w:val="000000"/>
          <w:lang w:val="en-GB" w:eastAsia="cs-CZ"/>
        </w:rPr>
        <w:t xml:space="preserve"> full potential. Divi</w:t>
      </w:r>
      <w:r>
        <w:rPr>
          <w:rFonts w:ascii="Calibri" w:eastAsia="Times New Roman" w:hAnsi="Calibri" w:cs="Calibri"/>
          <w:color w:val="000000"/>
          <w:lang w:val="en-GB" w:eastAsia="cs-CZ"/>
        </w:rPr>
        <w:t>sion of</w:t>
      </w:r>
      <w:r w:rsidRPr="00177F0B">
        <w:rPr>
          <w:rFonts w:ascii="Calibri" w:eastAsia="Times New Roman" w:hAnsi="Calibri" w:cs="Calibri"/>
          <w:color w:val="000000"/>
          <w:lang w:val="en-GB" w:eastAsia="cs-CZ"/>
        </w:rPr>
        <w:t xml:space="preserve"> the problem into the</w:t>
      </w:r>
      <w:r>
        <w:rPr>
          <w:rFonts w:ascii="Calibri" w:eastAsia="Times New Roman" w:hAnsi="Calibri" w:cs="Calibri"/>
          <w:color w:val="000000"/>
          <w:lang w:val="en-GB" w:eastAsia="cs-CZ"/>
        </w:rPr>
        <w:t>se</w:t>
      </w:r>
      <w:r w:rsidRPr="00177F0B">
        <w:rPr>
          <w:rFonts w:ascii="Calibri" w:eastAsia="Times New Roman" w:hAnsi="Calibri" w:cs="Calibri"/>
          <w:color w:val="000000"/>
          <w:lang w:val="en-GB" w:eastAsia="cs-CZ"/>
        </w:rPr>
        <w:t xml:space="preserve"> five areas</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based on the combination of objectives </w:t>
      </w:r>
      <w:r>
        <w:rPr>
          <w:rFonts w:ascii="Calibri" w:eastAsia="Times New Roman" w:hAnsi="Calibri" w:cs="Calibri"/>
          <w:color w:val="000000"/>
          <w:lang w:val="en-GB" w:eastAsia="cs-CZ"/>
        </w:rPr>
        <w:t>of topical</w:t>
      </w:r>
      <w:r w:rsidRPr="00177F0B">
        <w:rPr>
          <w:rFonts w:ascii="Calibri" w:eastAsia="Times New Roman" w:hAnsi="Calibri" w:cs="Calibri"/>
          <w:color w:val="000000"/>
          <w:lang w:val="en-GB" w:eastAsia="cs-CZ"/>
        </w:rPr>
        <w:t xml:space="preserve"> areas</w:t>
      </w:r>
      <w:r>
        <w:rPr>
          <w:rFonts w:ascii="Calibri" w:eastAsia="Times New Roman" w:hAnsi="Calibri" w:cs="Calibri"/>
          <w:color w:val="000000"/>
          <w:lang w:val="en-GB" w:eastAsia="cs-CZ"/>
        </w:rPr>
        <w:t>,</w:t>
      </w:r>
      <w:r w:rsidRPr="00177F0B">
        <w:rPr>
          <w:rFonts w:ascii="Calibri" w:eastAsia="Times New Roman" w:hAnsi="Calibri" w:cs="Calibri"/>
          <w:color w:val="000000"/>
          <w:lang w:val="en-GB" w:eastAsia="cs-CZ"/>
        </w:rPr>
        <w:t xml:space="preserve"> the Euro</w:t>
      </w:r>
      <w:r>
        <w:rPr>
          <w:rFonts w:ascii="Calibri" w:eastAsia="Times New Roman" w:hAnsi="Calibri" w:cs="Calibri"/>
          <w:color w:val="000000"/>
          <w:lang w:val="en-GB" w:eastAsia="cs-CZ"/>
        </w:rPr>
        <w:t>pe 2020 Strategy and, therefore even</w:t>
      </w:r>
      <w:r w:rsidRPr="00177F0B">
        <w:rPr>
          <w:rFonts w:ascii="Calibri" w:eastAsia="Times New Roman" w:hAnsi="Calibri" w:cs="Calibri"/>
          <w:color w:val="000000"/>
          <w:lang w:val="en-GB" w:eastAsia="cs-CZ"/>
        </w:rPr>
        <w:t xml:space="preserve"> this National Reform Programme, Specific </w:t>
      </w:r>
      <w:r>
        <w:rPr>
          <w:rFonts w:ascii="Calibri" w:eastAsia="Times New Roman" w:hAnsi="Calibri" w:cs="Calibri"/>
          <w:color w:val="000000"/>
          <w:lang w:val="en-GB" w:eastAsia="cs-CZ"/>
        </w:rPr>
        <w:t>R</w:t>
      </w:r>
      <w:r w:rsidRPr="00177F0B">
        <w:rPr>
          <w:rFonts w:ascii="Calibri" w:eastAsia="Times New Roman" w:hAnsi="Calibri" w:cs="Calibri"/>
          <w:color w:val="000000"/>
          <w:lang w:val="en-GB" w:eastAsia="cs-CZ"/>
        </w:rPr>
        <w:t xml:space="preserve">ecommendations </w:t>
      </w:r>
      <w:r>
        <w:rPr>
          <w:rFonts w:ascii="Calibri" w:eastAsia="Times New Roman" w:hAnsi="Calibri" w:cs="Calibri"/>
          <w:color w:val="000000"/>
          <w:lang w:val="en-GB" w:eastAsia="cs-CZ"/>
        </w:rPr>
        <w:t>of</w:t>
      </w:r>
      <w:r w:rsidRPr="00177F0B">
        <w:rPr>
          <w:rFonts w:ascii="Calibri" w:eastAsia="Times New Roman" w:hAnsi="Calibri" w:cs="Calibri"/>
          <w:color w:val="000000"/>
          <w:lang w:val="en-GB" w:eastAsia="cs-CZ"/>
        </w:rPr>
        <w:t xml:space="preserve"> the Council, the International Competitiveness Strategy of the Czech Republic for the period 2012-2020 and the </w:t>
      </w:r>
      <w:r>
        <w:rPr>
          <w:rFonts w:ascii="Calibri" w:eastAsia="Times New Roman" w:hAnsi="Calibri" w:cs="Calibri"/>
          <w:color w:val="000000"/>
          <w:lang w:val="en-GB" w:eastAsia="cs-CZ"/>
        </w:rPr>
        <w:t xml:space="preserve">so called </w:t>
      </w:r>
      <w:r w:rsidRPr="00177F0B">
        <w:rPr>
          <w:rFonts w:ascii="Calibri" w:eastAsia="Times New Roman" w:hAnsi="Calibri" w:cs="Calibri"/>
          <w:color w:val="000000"/>
          <w:lang w:val="en-GB" w:eastAsia="cs-CZ"/>
        </w:rPr>
        <w:t>Position Paper of the Commission</w:t>
      </w:r>
      <w:r>
        <w:rPr>
          <w:rStyle w:val="Znakapoznpodarou"/>
          <w:rFonts w:ascii="Calibri" w:eastAsia="Times New Roman" w:hAnsi="Calibri" w:cs="Calibri"/>
          <w:color w:val="000000"/>
          <w:lang w:val="en-GB" w:eastAsia="cs-CZ"/>
        </w:rPr>
        <w:footnoteReference w:id="31"/>
      </w:r>
      <w:r w:rsidRPr="00177F0B">
        <w:rPr>
          <w:rFonts w:ascii="Calibri" w:eastAsia="Times New Roman" w:hAnsi="Calibri" w:cs="Calibri"/>
          <w:color w:val="000000"/>
          <w:lang w:val="en-GB" w:eastAsia="cs-CZ"/>
        </w:rPr>
        <w:t>. </w:t>
      </w:r>
      <w:r>
        <w:rPr>
          <w:rFonts w:ascii="Calibri" w:eastAsia="Times New Roman" w:hAnsi="Calibri" w:cs="Calibri"/>
          <w:color w:val="000000"/>
          <w:lang w:val="en-GB" w:eastAsia="cs-CZ"/>
        </w:rPr>
        <w:t>Individual</w:t>
      </w:r>
      <w:r w:rsidRPr="00177F0B">
        <w:rPr>
          <w:rFonts w:ascii="Calibri" w:eastAsia="Times New Roman" w:hAnsi="Calibri" w:cs="Calibri"/>
          <w:color w:val="000000"/>
          <w:lang w:val="en-GB" w:eastAsia="cs-CZ"/>
        </w:rPr>
        <w:t xml:space="preserve"> problem areas were developed in</w:t>
      </w:r>
      <w:r>
        <w:rPr>
          <w:rFonts w:ascii="Calibri" w:eastAsia="Times New Roman" w:hAnsi="Calibri" w:cs="Calibri"/>
          <w:color w:val="000000"/>
          <w:lang w:val="en-GB" w:eastAsia="cs-CZ"/>
        </w:rPr>
        <w:t xml:space="preserve">to </w:t>
      </w:r>
      <w:r w:rsidRPr="00177F0B">
        <w:rPr>
          <w:rFonts w:ascii="Calibri" w:eastAsia="Times New Roman" w:hAnsi="Calibri" w:cs="Calibri"/>
          <w:color w:val="000000"/>
          <w:lang w:val="en-GB" w:eastAsia="cs-CZ"/>
        </w:rPr>
        <w:t>problems and dev</w:t>
      </w:r>
      <w:r>
        <w:rPr>
          <w:rFonts w:ascii="Calibri" w:eastAsia="Times New Roman" w:hAnsi="Calibri" w:cs="Calibri"/>
          <w:color w:val="000000"/>
          <w:lang w:val="en-GB" w:eastAsia="cs-CZ"/>
        </w:rPr>
        <w:t xml:space="preserve">elopment needs, based on which </w:t>
      </w:r>
      <w:r w:rsidRPr="00177F0B">
        <w:rPr>
          <w:rFonts w:ascii="Calibri" w:eastAsia="Times New Roman" w:hAnsi="Calibri" w:cs="Calibri"/>
          <w:color w:val="000000"/>
          <w:lang w:val="en-GB" w:eastAsia="cs-CZ"/>
        </w:rPr>
        <w:t>the following funding priorities were then determined:</w:t>
      </w:r>
    </w:p>
    <w:p w:rsidR="009546FC" w:rsidRPr="007A1B09" w:rsidRDefault="009546FC" w:rsidP="009546FC">
      <w:pPr>
        <w:rPr>
          <w:lang w:val="en-GB"/>
        </w:rPr>
      </w:pPr>
    </w:p>
    <w:p w:rsidR="00BA202E" w:rsidRPr="00BA202E" w:rsidRDefault="00BA202E" w:rsidP="00BA202E">
      <w:pPr>
        <w:pStyle w:val="Odstavecseseznamem"/>
        <w:numPr>
          <w:ilvl w:val="0"/>
          <w:numId w:val="12"/>
        </w:numPr>
        <w:rPr>
          <w:lang w:val="en-GB" w:eastAsia="cs-CZ"/>
        </w:rPr>
      </w:pPr>
      <w:r w:rsidRPr="00BA202E">
        <w:rPr>
          <w:lang w:val="en-GB" w:eastAsia="cs-CZ"/>
        </w:rPr>
        <w:t>Efficient and effective employment services that will contribute to an increase in employment, particularly of vulnerable groups.</w:t>
      </w:r>
    </w:p>
    <w:p w:rsidR="00BA202E" w:rsidRPr="00BA202E" w:rsidRDefault="00BA202E" w:rsidP="00BA202E">
      <w:pPr>
        <w:pStyle w:val="Odstavecseseznamem"/>
        <w:numPr>
          <w:ilvl w:val="0"/>
          <w:numId w:val="12"/>
        </w:numPr>
        <w:rPr>
          <w:lang w:val="en-GB" w:eastAsia="cs-CZ"/>
        </w:rPr>
      </w:pPr>
      <w:r w:rsidRPr="00BA202E">
        <w:rPr>
          <w:lang w:val="en-GB" w:eastAsia="cs-CZ"/>
        </w:rPr>
        <w:t>Quality education system (lifelong learning) producing skilled and adaptable workforce.</w:t>
      </w:r>
    </w:p>
    <w:p w:rsidR="00BA202E" w:rsidRPr="00BA202E" w:rsidRDefault="00BA202E" w:rsidP="00BA202E">
      <w:pPr>
        <w:pStyle w:val="Odstavecseseznamem"/>
        <w:numPr>
          <w:ilvl w:val="0"/>
          <w:numId w:val="12"/>
        </w:numPr>
        <w:rPr>
          <w:lang w:val="en-GB" w:eastAsia="cs-CZ"/>
        </w:rPr>
      </w:pPr>
      <w:r w:rsidRPr="00BA202E">
        <w:rPr>
          <w:lang w:val="en-GB" w:eastAsia="cs-CZ"/>
        </w:rPr>
        <w:t>Research and innovation system based on high quality research linked with the application sphere and aiming to commercially usable results.</w:t>
      </w:r>
    </w:p>
    <w:p w:rsidR="00BA202E" w:rsidRPr="00BA202E" w:rsidRDefault="00BA202E" w:rsidP="00BA202E">
      <w:pPr>
        <w:pStyle w:val="Odstavecseseznamem"/>
        <w:numPr>
          <w:ilvl w:val="0"/>
          <w:numId w:val="12"/>
        </w:numPr>
        <w:rPr>
          <w:lang w:val="en-GB" w:eastAsia="cs-CZ"/>
        </w:rPr>
      </w:pPr>
      <w:r w:rsidRPr="00BA202E">
        <w:rPr>
          <w:lang w:val="en-GB" w:eastAsia="cs-CZ"/>
        </w:rPr>
        <w:t>Enterprises using the results of research and development, competitive in the global market and contributing to a low carbon economy.</w:t>
      </w:r>
    </w:p>
    <w:p w:rsidR="00BA202E" w:rsidRPr="00BA202E" w:rsidRDefault="00BA202E" w:rsidP="00BA202E">
      <w:pPr>
        <w:pStyle w:val="Odstavecseseznamem"/>
        <w:numPr>
          <w:ilvl w:val="0"/>
          <w:numId w:val="12"/>
        </w:numPr>
        <w:rPr>
          <w:lang w:val="en-GB" w:eastAsia="cs-CZ"/>
        </w:rPr>
      </w:pPr>
      <w:r w:rsidRPr="00BA202E">
        <w:rPr>
          <w:lang w:val="en-GB" w:eastAsia="cs-CZ"/>
        </w:rPr>
        <w:t>Sustainable infrastructure enabling the competitiveness of the economy and the corresponding territorial services.</w:t>
      </w:r>
    </w:p>
    <w:p w:rsidR="00BA202E" w:rsidRPr="00BA202E" w:rsidRDefault="00BA202E" w:rsidP="00BA202E">
      <w:pPr>
        <w:pStyle w:val="Odstavecseseznamem"/>
        <w:numPr>
          <w:ilvl w:val="0"/>
          <w:numId w:val="12"/>
        </w:numPr>
        <w:rPr>
          <w:lang w:val="en-GB" w:eastAsia="cs-CZ"/>
        </w:rPr>
      </w:pPr>
      <w:r w:rsidRPr="00BA202E">
        <w:rPr>
          <w:lang w:val="en-GB" w:eastAsia="cs-CZ"/>
        </w:rPr>
        <w:t>Transparent and effective public administration with low administrative and regulatory burdens and effectively responding to emergencies.</w:t>
      </w:r>
    </w:p>
    <w:p w:rsidR="00BA202E" w:rsidRPr="00BA202E" w:rsidRDefault="00BA202E" w:rsidP="00BA202E">
      <w:pPr>
        <w:pStyle w:val="Odstavecseseznamem"/>
        <w:numPr>
          <w:ilvl w:val="0"/>
          <w:numId w:val="12"/>
        </w:numPr>
        <w:rPr>
          <w:lang w:val="en-GB" w:eastAsia="cs-CZ"/>
        </w:rPr>
      </w:pPr>
      <w:r w:rsidRPr="00BA202E">
        <w:rPr>
          <w:lang w:val="en-GB" w:eastAsia="cs-CZ"/>
        </w:rPr>
        <w:t>The social system integrating socially excluded groups and acting preventively against poverty.</w:t>
      </w:r>
    </w:p>
    <w:p w:rsidR="009546FC" w:rsidRPr="00BA202E" w:rsidRDefault="00BA202E" w:rsidP="00BA202E">
      <w:pPr>
        <w:pStyle w:val="Odstavecseseznamem"/>
        <w:numPr>
          <w:ilvl w:val="0"/>
          <w:numId w:val="12"/>
        </w:numPr>
        <w:rPr>
          <w:lang w:val="en-GB" w:eastAsia="cs-CZ"/>
        </w:rPr>
      </w:pPr>
      <w:r w:rsidRPr="00BA202E">
        <w:rPr>
          <w:lang w:val="en-GB" w:eastAsia="cs-CZ"/>
        </w:rPr>
        <w:t>Protection of the environment and landscape and climate change adaptation.</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Funding priorities are further elaborated in the expected results of interventions that have been coordinated with the objectives of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In accordance with the relevant guidelines of the European Commission </w:t>
      </w:r>
      <w:r>
        <w:rPr>
          <w:rFonts w:ascii="Calibri" w:eastAsia="Times New Roman" w:hAnsi="Calibri" w:cs="Calibri"/>
          <w:color w:val="000000"/>
          <w:lang w:val="en-GB" w:eastAsia="cs-CZ"/>
        </w:rPr>
        <w:t>the PA</w:t>
      </w:r>
      <w:r w:rsidRPr="00177F0B">
        <w:rPr>
          <w:rFonts w:ascii="Calibri" w:eastAsia="Times New Roman" w:hAnsi="Calibri" w:cs="Calibri"/>
          <w:color w:val="000000"/>
          <w:lang w:val="en-GB" w:eastAsia="cs-CZ"/>
        </w:rPr>
        <w:t xml:space="preserve"> contains an extensive set of chapters, which </w:t>
      </w:r>
      <w:r>
        <w:rPr>
          <w:rFonts w:ascii="Calibri" w:eastAsia="Times New Roman" w:hAnsi="Calibri" w:cs="Calibri"/>
          <w:color w:val="000000"/>
          <w:lang w:val="en-GB" w:eastAsia="cs-CZ"/>
        </w:rPr>
        <w:t>deal with</w:t>
      </w:r>
      <w:r w:rsidRPr="00177F0B">
        <w:rPr>
          <w:rFonts w:ascii="Calibri" w:eastAsia="Times New Roman" w:hAnsi="Calibri" w:cs="Calibri"/>
          <w:color w:val="000000"/>
          <w:lang w:val="en-GB" w:eastAsia="cs-CZ"/>
        </w:rPr>
        <w:t xml:space="preserve"> the important aspects of its implementation, specifically for example: coordination of funds and other financial resources at the national and the European Union</w:t>
      </w:r>
      <w:r>
        <w:rPr>
          <w:rFonts w:ascii="Calibri" w:eastAsia="Times New Roman" w:hAnsi="Calibri" w:cs="Calibri"/>
          <w:color w:val="000000"/>
          <w:lang w:val="en-GB" w:eastAsia="cs-CZ"/>
        </w:rPr>
        <w:t xml:space="preserve"> level</w:t>
      </w:r>
      <w:r w:rsidRPr="00177F0B">
        <w:rPr>
          <w:rFonts w:ascii="Calibri" w:eastAsia="Times New Roman" w:hAnsi="Calibri" w:cs="Calibri"/>
          <w:color w:val="000000"/>
          <w:lang w:val="en-GB" w:eastAsia="cs-CZ"/>
        </w:rPr>
        <w:t xml:space="preserve">, the determination of positive synergy and </w:t>
      </w:r>
      <w:r>
        <w:rPr>
          <w:rFonts w:ascii="Calibri" w:eastAsia="Times New Roman" w:hAnsi="Calibri" w:cs="Calibri"/>
          <w:color w:val="000000"/>
          <w:lang w:val="en-GB" w:eastAsia="cs-CZ"/>
        </w:rPr>
        <w:t xml:space="preserve">its </w:t>
      </w:r>
      <w:r w:rsidRPr="00177F0B">
        <w:rPr>
          <w:rFonts w:ascii="Calibri" w:eastAsia="Times New Roman" w:hAnsi="Calibri" w:cs="Calibri"/>
          <w:color w:val="000000"/>
          <w:lang w:val="en-GB" w:eastAsia="cs-CZ"/>
        </w:rPr>
        <w:t xml:space="preserve">maximum utilization, </w:t>
      </w:r>
      <w:r>
        <w:rPr>
          <w:rFonts w:ascii="Calibri" w:eastAsia="Times New Roman" w:hAnsi="Calibri" w:cs="Calibri"/>
          <w:color w:val="000000"/>
          <w:lang w:val="en-GB" w:eastAsia="cs-CZ"/>
        </w:rPr>
        <w:t>fulfilment</w:t>
      </w:r>
      <w:r w:rsidRPr="00177F0B">
        <w:rPr>
          <w:rFonts w:ascii="Calibri" w:eastAsia="Times New Roman" w:hAnsi="Calibri" w:cs="Calibri"/>
          <w:color w:val="000000"/>
          <w:lang w:val="en-GB" w:eastAsia="cs-CZ"/>
        </w:rPr>
        <w:t xml:space="preserve"> of pre</w:t>
      </w:r>
      <w:r>
        <w:rPr>
          <w:rFonts w:ascii="Calibri" w:eastAsia="Times New Roman" w:hAnsi="Calibri" w:cs="Calibri"/>
          <w:color w:val="000000"/>
          <w:lang w:val="en-GB" w:eastAsia="cs-CZ"/>
        </w:rPr>
        <w:t xml:space="preserve">liminary </w:t>
      </w:r>
      <w:r w:rsidRPr="00177F0B">
        <w:rPr>
          <w:rFonts w:ascii="Calibri" w:eastAsia="Times New Roman" w:hAnsi="Calibri" w:cs="Calibri"/>
          <w:color w:val="000000"/>
          <w:lang w:val="en-GB" w:eastAsia="cs-CZ"/>
        </w:rPr>
        <w:t>conditions, measures aimed at reducing the administrative burden o</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 xml:space="preserve"> beneficiaries of EU subsidies and more. </w:t>
      </w:r>
      <w:r>
        <w:rPr>
          <w:rFonts w:ascii="Calibri" w:eastAsia="Times New Roman" w:hAnsi="Calibri" w:cs="Calibri"/>
          <w:color w:val="000000"/>
          <w:lang w:val="en-GB" w:eastAsia="cs-CZ"/>
        </w:rPr>
        <w:t>The PA</w:t>
      </w:r>
      <w:r w:rsidRPr="00177F0B">
        <w:rPr>
          <w:rFonts w:ascii="Calibri" w:eastAsia="Times New Roman" w:hAnsi="Calibri" w:cs="Calibri"/>
          <w:color w:val="000000"/>
          <w:lang w:val="en-GB" w:eastAsia="cs-CZ"/>
        </w:rPr>
        <w:t xml:space="preserve"> also includes an allocation for each of the t</w:t>
      </w:r>
      <w:r>
        <w:rPr>
          <w:rFonts w:ascii="Calibri" w:eastAsia="Times New Roman" w:hAnsi="Calibri" w:cs="Calibri"/>
          <w:color w:val="000000"/>
          <w:lang w:val="en-GB" w:eastAsia="cs-CZ"/>
        </w:rPr>
        <w:t>opical objectives and programmes,</w:t>
      </w:r>
      <w:r w:rsidRPr="00177F0B">
        <w:rPr>
          <w:rFonts w:ascii="Calibri" w:eastAsia="Times New Roman" w:hAnsi="Calibri" w:cs="Calibri"/>
          <w:color w:val="000000"/>
          <w:lang w:val="en-GB" w:eastAsia="cs-CZ"/>
        </w:rPr>
        <w:t>, which are broken down by individual funds.</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Another important principle which pervades the whole </w:t>
      </w:r>
      <w:r>
        <w:rPr>
          <w:rFonts w:ascii="Calibri" w:eastAsia="Times New Roman" w:hAnsi="Calibri" w:cs="Calibri"/>
          <w:color w:val="000000"/>
          <w:lang w:val="en-GB" w:eastAsia="cs-CZ"/>
        </w:rPr>
        <w:t>AP</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prepar</w:t>
      </w:r>
      <w:r>
        <w:rPr>
          <w:rFonts w:ascii="Calibri" w:eastAsia="Times New Roman" w:hAnsi="Calibri" w:cs="Calibri"/>
          <w:color w:val="000000"/>
          <w:lang w:val="en-GB" w:eastAsia="cs-CZ"/>
        </w:rPr>
        <w:t>ation of the programming period</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is the consideration of</w:t>
      </w:r>
      <w:r w:rsidRPr="00177F0B">
        <w:rPr>
          <w:rFonts w:ascii="Calibri" w:eastAsia="Times New Roman" w:hAnsi="Calibri" w:cs="Calibri"/>
          <w:color w:val="000000"/>
          <w:lang w:val="en-GB" w:eastAsia="cs-CZ"/>
        </w:rPr>
        <w:t xml:space="preserve"> the territorial dimension </w:t>
      </w:r>
      <w:r>
        <w:rPr>
          <w:rFonts w:ascii="Calibri" w:eastAsia="Times New Roman" w:hAnsi="Calibri" w:cs="Calibri"/>
          <w:color w:val="000000"/>
          <w:lang w:val="en-GB" w:eastAsia="cs-CZ"/>
        </w:rPr>
        <w:t>with</w:t>
      </w:r>
      <w:r w:rsidRPr="00177F0B">
        <w:rPr>
          <w:rFonts w:ascii="Calibri" w:eastAsia="Times New Roman" w:hAnsi="Calibri" w:cs="Calibri"/>
          <w:color w:val="000000"/>
          <w:lang w:val="en-GB" w:eastAsia="cs-CZ"/>
        </w:rPr>
        <w:t xml:space="preserve">in the funding priorities </w:t>
      </w:r>
      <w:r>
        <w:rPr>
          <w:rFonts w:ascii="Calibri" w:eastAsia="Times New Roman" w:hAnsi="Calibri" w:cs="Calibri"/>
          <w:color w:val="000000"/>
          <w:lang w:val="en-GB" w:eastAsia="cs-CZ"/>
        </w:rPr>
        <w:t>with the aim to</w:t>
      </w:r>
      <w:r w:rsidRPr="00177F0B">
        <w:rPr>
          <w:rFonts w:ascii="Calibri" w:eastAsia="Times New Roman" w:hAnsi="Calibri" w:cs="Calibri"/>
          <w:color w:val="000000"/>
          <w:lang w:val="en-GB" w:eastAsia="cs-CZ"/>
        </w:rPr>
        <w:t xml:space="preserve"> reduce regional disparities and stre</w:t>
      </w:r>
      <w:r>
        <w:rPr>
          <w:rFonts w:ascii="Calibri" w:eastAsia="Times New Roman" w:hAnsi="Calibri" w:cs="Calibri"/>
          <w:color w:val="000000"/>
          <w:lang w:val="en-GB" w:eastAsia="cs-CZ"/>
        </w:rPr>
        <w:t>ngthen the growth potential of individual</w:t>
      </w:r>
      <w:r w:rsidRPr="00177F0B">
        <w:rPr>
          <w:rFonts w:ascii="Calibri" w:eastAsia="Times New Roman" w:hAnsi="Calibri" w:cs="Calibri"/>
          <w:color w:val="000000"/>
          <w:lang w:val="en-GB" w:eastAsia="cs-CZ"/>
        </w:rPr>
        <w:t xml:space="preserve"> regions </w:t>
      </w:r>
      <w:r>
        <w:rPr>
          <w:rFonts w:ascii="Calibri" w:eastAsia="Times New Roman" w:hAnsi="Calibri" w:cs="Calibri"/>
          <w:color w:val="000000"/>
          <w:lang w:val="en-GB" w:eastAsia="cs-CZ"/>
        </w:rPr>
        <w:t>in</w:t>
      </w:r>
      <w:r w:rsidRPr="00177F0B">
        <w:rPr>
          <w:rFonts w:ascii="Calibri" w:eastAsia="Times New Roman" w:hAnsi="Calibri" w:cs="Calibri"/>
          <w:color w:val="000000"/>
          <w:lang w:val="en-GB" w:eastAsia="cs-CZ"/>
        </w:rPr>
        <w:t xml:space="preserve"> the </w:t>
      </w:r>
      <w:r>
        <w:rPr>
          <w:rFonts w:ascii="Calibri" w:eastAsia="Times New Roman" w:hAnsi="Calibri" w:cs="Calibri"/>
          <w:color w:val="000000"/>
          <w:lang w:val="en-GB" w:eastAsia="cs-CZ"/>
        </w:rPr>
        <w:t>Czech Republic</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The approach</w:t>
      </w:r>
      <w:r w:rsidRPr="00177F0B">
        <w:rPr>
          <w:rFonts w:ascii="Calibri" w:eastAsia="Times New Roman" w:hAnsi="Calibri" w:cs="Calibri"/>
          <w:color w:val="000000"/>
          <w:lang w:val="en-GB" w:eastAsia="cs-CZ"/>
        </w:rPr>
        <w:t xml:space="preserve"> to </w:t>
      </w:r>
      <w:r>
        <w:rPr>
          <w:rFonts w:ascii="Calibri" w:eastAsia="Times New Roman" w:hAnsi="Calibri" w:cs="Calibri"/>
          <w:color w:val="000000"/>
          <w:lang w:val="en-GB" w:eastAsia="cs-CZ"/>
        </w:rPr>
        <w:t xml:space="preserve">the consideration of </w:t>
      </w:r>
      <w:r w:rsidRPr="00177F0B">
        <w:rPr>
          <w:rFonts w:ascii="Calibri" w:eastAsia="Times New Roman" w:hAnsi="Calibri" w:cs="Calibri"/>
          <w:color w:val="000000"/>
          <w:lang w:val="en-GB" w:eastAsia="cs-CZ"/>
        </w:rPr>
        <w:t xml:space="preserve">the priorities and needs of individual regions is reflected in both the analytical and strategic part of the </w:t>
      </w:r>
      <w:r>
        <w:rPr>
          <w:rFonts w:ascii="Calibri" w:eastAsia="Times New Roman" w:hAnsi="Calibri" w:cs="Calibri"/>
          <w:color w:val="000000"/>
          <w:lang w:val="en-GB" w:eastAsia="cs-CZ"/>
        </w:rPr>
        <w:t>PA</w:t>
      </w:r>
      <w:r w:rsidRPr="00177F0B">
        <w:rPr>
          <w:rFonts w:ascii="Calibri" w:eastAsia="Times New Roman" w:hAnsi="Calibri" w:cs="Calibri"/>
          <w:color w:val="000000"/>
          <w:lang w:val="en-GB" w:eastAsia="cs-CZ"/>
        </w:rPr>
        <w:t xml:space="preserve"> as well as in a separate chapter, which describes the key mechanisms aimed at territorial coordination of planned interventions. A key method for the application of the territorial dimension is an integrated approach aimed at achieving greater efficiency in strategic planning, ensuring synergies</w:t>
      </w:r>
      <w:r>
        <w:rPr>
          <w:rFonts w:ascii="Calibri" w:eastAsia="Times New Roman" w:hAnsi="Calibri" w:cs="Calibri"/>
          <w:color w:val="000000"/>
          <w:lang w:val="en-GB" w:eastAsia="cs-CZ"/>
        </w:rPr>
        <w:t xml:space="preserve"> of</w:t>
      </w:r>
      <w:r w:rsidRPr="00177F0B">
        <w:rPr>
          <w:rFonts w:ascii="Calibri" w:eastAsia="Times New Roman" w:hAnsi="Calibri" w:cs="Calibri"/>
          <w:color w:val="000000"/>
          <w:lang w:val="en-GB" w:eastAsia="cs-CZ"/>
        </w:rPr>
        <w:t xml:space="preserve"> interventions in m</w:t>
      </w:r>
      <w:r>
        <w:rPr>
          <w:rFonts w:ascii="Calibri" w:eastAsia="Times New Roman" w:hAnsi="Calibri" w:cs="Calibri"/>
          <w:color w:val="000000"/>
          <w:lang w:val="en-GB" w:eastAsia="cs-CZ"/>
        </w:rPr>
        <w:t>ultiple</w:t>
      </w:r>
      <w:r w:rsidRPr="00177F0B">
        <w:rPr>
          <w:rFonts w:ascii="Calibri" w:eastAsia="Times New Roman" w:hAnsi="Calibri" w:cs="Calibri"/>
          <w:color w:val="000000"/>
          <w:lang w:val="en-GB" w:eastAsia="cs-CZ"/>
        </w:rPr>
        <w:t xml:space="preserve"> areas and more efficient management and use of funds. </w:t>
      </w:r>
      <w:r>
        <w:rPr>
          <w:rFonts w:ascii="Calibri" w:eastAsia="Times New Roman" w:hAnsi="Calibri" w:cs="Calibri"/>
          <w:color w:val="000000"/>
          <w:lang w:val="en-GB" w:eastAsia="cs-CZ"/>
        </w:rPr>
        <w:t>The s</w:t>
      </w:r>
      <w:r w:rsidRPr="00177F0B">
        <w:rPr>
          <w:rFonts w:ascii="Calibri" w:eastAsia="Times New Roman" w:hAnsi="Calibri" w:cs="Calibri"/>
          <w:color w:val="000000"/>
          <w:lang w:val="en-GB" w:eastAsia="cs-CZ"/>
        </w:rPr>
        <w:t xml:space="preserve">trategic </w:t>
      </w:r>
      <w:r>
        <w:rPr>
          <w:rFonts w:ascii="Calibri" w:eastAsia="Times New Roman" w:hAnsi="Calibri" w:cs="Calibri"/>
          <w:color w:val="000000"/>
          <w:lang w:val="en-GB" w:eastAsia="cs-CZ"/>
        </w:rPr>
        <w:t>f</w:t>
      </w:r>
      <w:r w:rsidRPr="00177F0B">
        <w:rPr>
          <w:rFonts w:ascii="Calibri" w:eastAsia="Times New Roman" w:hAnsi="Calibri" w:cs="Calibri"/>
          <w:color w:val="000000"/>
          <w:lang w:val="en-GB" w:eastAsia="cs-CZ"/>
        </w:rPr>
        <w:t xml:space="preserve">ramework </w:t>
      </w:r>
      <w:r>
        <w:rPr>
          <w:rFonts w:ascii="Calibri" w:eastAsia="Times New Roman" w:hAnsi="Calibri" w:cs="Calibri"/>
          <w:color w:val="000000"/>
          <w:lang w:val="en-GB" w:eastAsia="cs-CZ"/>
        </w:rPr>
        <w:t>d</w:t>
      </w:r>
      <w:r w:rsidRPr="00177F0B">
        <w:rPr>
          <w:rFonts w:ascii="Calibri" w:eastAsia="Times New Roman" w:hAnsi="Calibri" w:cs="Calibri"/>
          <w:color w:val="000000"/>
          <w:lang w:val="en-GB" w:eastAsia="cs-CZ"/>
        </w:rPr>
        <w:t>ocument for the application of the territorial dimension is the Regional Development Strategy 2014-2020, which is set to s</w:t>
      </w:r>
      <w:r>
        <w:rPr>
          <w:rFonts w:ascii="Calibri" w:eastAsia="Times New Roman" w:hAnsi="Calibri" w:cs="Calibri"/>
          <w:color w:val="000000"/>
          <w:lang w:val="en-GB" w:eastAsia="cs-CZ"/>
        </w:rPr>
        <w:t>ignificantly contribute to the fulfilment</w:t>
      </w:r>
      <w:r w:rsidRPr="00177F0B">
        <w:rPr>
          <w:rFonts w:ascii="Calibri" w:eastAsia="Times New Roman" w:hAnsi="Calibri" w:cs="Calibri"/>
          <w:color w:val="000000"/>
          <w:lang w:val="en-GB" w:eastAsia="cs-CZ"/>
        </w:rPr>
        <w:t xml:space="preserve"> of national priorities and objectives of the Europe 2020 </w:t>
      </w:r>
      <w:r>
        <w:rPr>
          <w:rFonts w:ascii="Calibri" w:eastAsia="Times New Roman" w:hAnsi="Calibri" w:cs="Calibri"/>
          <w:color w:val="000000"/>
          <w:lang w:val="en-GB" w:eastAsia="cs-CZ"/>
        </w:rPr>
        <w:t>S</w:t>
      </w:r>
      <w:r w:rsidRPr="00177F0B">
        <w:rPr>
          <w:rFonts w:ascii="Calibri" w:eastAsia="Times New Roman" w:hAnsi="Calibri" w:cs="Calibri"/>
          <w:color w:val="000000"/>
          <w:lang w:val="en-GB" w:eastAsia="cs-CZ"/>
        </w:rPr>
        <w:t>trategy.</w:t>
      </w:r>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T</w:t>
      </w:r>
      <w:r w:rsidRPr="00177F0B">
        <w:rPr>
          <w:rFonts w:ascii="Calibri" w:eastAsia="Times New Roman" w:hAnsi="Calibri" w:cs="Calibri"/>
          <w:color w:val="000000"/>
          <w:lang w:val="en-GB" w:eastAsia="cs-CZ"/>
        </w:rPr>
        <w:t>he</w:t>
      </w:r>
      <w:r w:rsidRPr="00967EAD">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government-</w:t>
      </w:r>
      <w:r w:rsidRPr="00177F0B">
        <w:rPr>
          <w:rFonts w:ascii="Calibri" w:eastAsia="Times New Roman" w:hAnsi="Calibri" w:cs="Calibri"/>
          <w:color w:val="000000"/>
          <w:lang w:val="en-GB" w:eastAsia="cs-CZ"/>
        </w:rPr>
        <w:t>approved structure of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s co-financed by ESI funds in the Czech Republic</w:t>
      </w:r>
      <w:r>
        <w:rPr>
          <w:rFonts w:ascii="Calibri" w:eastAsia="Times New Roman" w:hAnsi="Calibri" w:cs="Calibri"/>
          <w:color w:val="000000"/>
          <w:lang w:val="en-GB" w:eastAsia="cs-CZ"/>
        </w:rPr>
        <w:t xml:space="preserve"> is</w:t>
      </w:r>
      <w:r w:rsidRPr="00177F0B">
        <w:rPr>
          <w:rFonts w:ascii="Calibri" w:eastAsia="Times New Roman" w:hAnsi="Calibri" w:cs="Calibri"/>
          <w:color w:val="000000"/>
          <w:lang w:val="en-GB" w:eastAsia="cs-CZ"/>
        </w:rPr>
        <w:t xml:space="preserve"> in accordance with the </w:t>
      </w:r>
      <w:r>
        <w:rPr>
          <w:rFonts w:ascii="Calibri" w:eastAsia="Times New Roman" w:hAnsi="Calibri" w:cs="Calibri"/>
          <w:color w:val="000000"/>
          <w:lang w:val="en-GB" w:eastAsia="cs-CZ"/>
        </w:rPr>
        <w:t>PA</w:t>
      </w:r>
      <w:r w:rsidRPr="00177F0B">
        <w:rPr>
          <w:rFonts w:ascii="Calibri" w:eastAsia="Times New Roman" w:hAnsi="Calibri" w:cs="Calibri"/>
          <w:color w:val="000000"/>
          <w:lang w:val="en-GB" w:eastAsia="cs-CZ"/>
        </w:rPr>
        <w:t xml:space="preserve"> and </w:t>
      </w:r>
      <w:r>
        <w:rPr>
          <w:rFonts w:ascii="Calibri" w:eastAsia="Times New Roman" w:hAnsi="Calibri" w:cs="Calibri"/>
          <w:color w:val="000000"/>
          <w:lang w:val="en-GB" w:eastAsia="cs-CZ"/>
        </w:rPr>
        <w:t xml:space="preserve">represents a </w:t>
      </w:r>
      <w:r w:rsidRPr="00177F0B">
        <w:rPr>
          <w:rFonts w:ascii="Calibri" w:eastAsia="Times New Roman" w:hAnsi="Calibri" w:cs="Calibri"/>
          <w:color w:val="000000"/>
          <w:lang w:val="en-GB" w:eastAsia="cs-CZ"/>
        </w:rPr>
        <w:t xml:space="preserve">detailed reflection of the priorities indicated in the earlier </w:t>
      </w:r>
      <w:r w:rsidRPr="00177F0B">
        <w:rPr>
          <w:rFonts w:ascii="Calibri" w:eastAsia="Times New Roman" w:hAnsi="Calibri" w:cs="Calibri"/>
          <w:color w:val="000000"/>
          <w:lang w:val="en-GB" w:eastAsia="cs-CZ"/>
        </w:rPr>
        <w:lastRenderedPageBreak/>
        <w:t>s</w:t>
      </w:r>
      <w:r>
        <w:rPr>
          <w:rFonts w:ascii="Calibri" w:eastAsia="Times New Roman" w:hAnsi="Calibri" w:cs="Calibri"/>
          <w:color w:val="000000"/>
          <w:lang w:val="en-GB" w:eastAsia="cs-CZ"/>
        </w:rPr>
        <w:t>tages of preparation and analyses</w:t>
      </w:r>
      <w:r w:rsidRPr="00177F0B">
        <w:rPr>
          <w:rFonts w:ascii="Calibri" w:eastAsia="Times New Roman" w:hAnsi="Calibri" w:cs="Calibri"/>
          <w:color w:val="000000"/>
          <w:lang w:val="en-GB" w:eastAsia="cs-CZ"/>
        </w:rPr>
        <w:t xml:space="preserve"> and also reflects the positive and negative experiences with the drawing of EU funds from the moment of </w:t>
      </w:r>
      <w:r>
        <w:rPr>
          <w:rFonts w:ascii="Calibri" w:eastAsia="Times New Roman" w:hAnsi="Calibri" w:cs="Calibri"/>
          <w:color w:val="000000"/>
          <w:lang w:val="en-GB" w:eastAsia="cs-CZ"/>
        </w:rPr>
        <w:t xml:space="preserve">the Czech Republic’s </w:t>
      </w:r>
      <w:r w:rsidRPr="00177F0B">
        <w:rPr>
          <w:rFonts w:ascii="Calibri" w:eastAsia="Times New Roman" w:hAnsi="Calibri" w:cs="Calibri"/>
          <w:color w:val="000000"/>
          <w:lang w:val="en-GB" w:eastAsia="cs-CZ"/>
        </w:rPr>
        <w:t>accession to the EU:</w:t>
      </w:r>
    </w:p>
    <w:p w:rsidR="009546FC" w:rsidRPr="007A1B09" w:rsidRDefault="009546FC" w:rsidP="009546FC">
      <w:pPr>
        <w:rPr>
          <w:lang w:val="en-GB"/>
        </w:rPr>
      </w:pPr>
    </w:p>
    <w:p w:rsidR="00BA202E" w:rsidRPr="00BA202E" w:rsidRDefault="00BA202E" w:rsidP="00BA202E">
      <w:pPr>
        <w:pStyle w:val="Odstavecseseznamem"/>
        <w:numPr>
          <w:ilvl w:val="0"/>
          <w:numId w:val="11"/>
        </w:numPr>
        <w:rPr>
          <w:lang w:val="en-GB"/>
        </w:rPr>
      </w:pPr>
      <w:r w:rsidRPr="00BA202E">
        <w:rPr>
          <w:lang w:val="en-GB"/>
        </w:rPr>
        <w:t>The area of ​​the economy and the support of competitiveness is concentrated into three oper</w:t>
      </w:r>
      <w:r w:rsidRPr="00BA202E">
        <w:rPr>
          <w:lang w:val="en-GB"/>
        </w:rPr>
        <w:t>a</w:t>
      </w:r>
      <w:r w:rsidRPr="00BA202E">
        <w:rPr>
          <w:lang w:val="en-GB"/>
        </w:rPr>
        <w:t>tional programs ("OP") that integrate investments and educational needs for the economy and its competitiveness: OP Enterprise and Innovation for Competitiveness, OP Research, Development and Education and OP Employment.</w:t>
      </w:r>
    </w:p>
    <w:p w:rsidR="00BA202E" w:rsidRPr="00BA202E" w:rsidRDefault="00BA202E" w:rsidP="00BA202E">
      <w:pPr>
        <w:pStyle w:val="Odstavecseseznamem"/>
        <w:numPr>
          <w:ilvl w:val="0"/>
          <w:numId w:val="11"/>
        </w:numPr>
        <w:rPr>
          <w:lang w:val="en-GB"/>
        </w:rPr>
      </w:pPr>
      <w:r w:rsidRPr="00BA202E">
        <w:rPr>
          <w:lang w:val="en-GB"/>
        </w:rPr>
        <w:t>The need for the development of transport and environmental infrastructure is concentrated in the OP Transport and OP Environment.</w:t>
      </w:r>
    </w:p>
    <w:p w:rsidR="00BA202E" w:rsidRPr="00BA202E" w:rsidRDefault="00BA202E" w:rsidP="00BA202E">
      <w:pPr>
        <w:pStyle w:val="Odstavecseseznamem"/>
        <w:numPr>
          <w:ilvl w:val="0"/>
          <w:numId w:val="11"/>
        </w:numPr>
        <w:rPr>
          <w:lang w:val="en-GB"/>
        </w:rPr>
      </w:pPr>
      <w:r w:rsidRPr="00BA202E">
        <w:rPr>
          <w:lang w:val="en-GB"/>
        </w:rPr>
        <w:t>Concentrated support of growth and competitiveness at the regional level is provided by the territorial dimensions of topical OP and also by the central Integrated Regional OP.</w:t>
      </w:r>
    </w:p>
    <w:p w:rsidR="00BA202E" w:rsidRPr="00BA202E" w:rsidRDefault="00BA202E" w:rsidP="00BA202E">
      <w:pPr>
        <w:pStyle w:val="Odstavecseseznamem"/>
        <w:numPr>
          <w:ilvl w:val="0"/>
          <w:numId w:val="11"/>
        </w:numPr>
        <w:rPr>
          <w:lang w:val="en-GB"/>
        </w:rPr>
      </w:pPr>
      <w:r w:rsidRPr="00BA202E">
        <w:rPr>
          <w:lang w:val="en-GB"/>
        </w:rPr>
        <w:t>Due to different factual and formal conditions the programme for Prague OP Prague - Pole of the Czech Republic’s Growth is a separate programme that supports the most important region for the economy of the entire country.</w:t>
      </w:r>
    </w:p>
    <w:p w:rsidR="00BA202E" w:rsidRPr="00BA202E" w:rsidRDefault="00BA202E" w:rsidP="00BA202E">
      <w:pPr>
        <w:pStyle w:val="Odstavecseseznamem"/>
        <w:numPr>
          <w:ilvl w:val="0"/>
          <w:numId w:val="11"/>
        </w:numPr>
        <w:rPr>
          <w:lang w:val="en-GB"/>
        </w:rPr>
      </w:pPr>
      <w:r w:rsidRPr="00BA202E">
        <w:rPr>
          <w:lang w:val="en-GB"/>
        </w:rPr>
        <w:t xml:space="preserve">Management and coordination of future interventions will be ensured through the OP Technical Assistance for the entire system of OP. </w:t>
      </w:r>
    </w:p>
    <w:p w:rsidR="009546FC" w:rsidRPr="00BA202E" w:rsidRDefault="00BA202E" w:rsidP="00BA202E">
      <w:pPr>
        <w:pStyle w:val="Odstavecseseznamem"/>
        <w:numPr>
          <w:ilvl w:val="0"/>
          <w:numId w:val="11"/>
        </w:numPr>
        <w:rPr>
          <w:lang w:val="en-GB"/>
        </w:rPr>
      </w:pPr>
      <w:r w:rsidRPr="00BA202E">
        <w:rPr>
          <w:lang w:val="en-GB"/>
        </w:rPr>
        <w:t>The Rural Development Programme 2014-2020 was approved for the development of rural areas and the OP Fisheries 2014-2020 for the area of fishing.</w:t>
      </w:r>
    </w:p>
    <w:p w:rsidR="009546FC" w:rsidRPr="00BA202E" w:rsidRDefault="00BA202E" w:rsidP="009546FC">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The basic pre</w:t>
      </w:r>
      <w:r>
        <w:rPr>
          <w:rFonts w:ascii="Calibri" w:eastAsia="Times New Roman" w:hAnsi="Calibri" w:cs="Calibri"/>
          <w:color w:val="000000"/>
          <w:lang w:val="en-GB" w:eastAsia="cs-CZ"/>
        </w:rPr>
        <w:t>requisite</w:t>
      </w:r>
      <w:r w:rsidRPr="00177F0B">
        <w:rPr>
          <w:rFonts w:ascii="Calibri" w:eastAsia="Times New Roman" w:hAnsi="Calibri" w:cs="Calibri"/>
          <w:color w:val="000000"/>
          <w:lang w:val="en-GB" w:eastAsia="cs-CZ"/>
        </w:rPr>
        <w:t xml:space="preserve"> of the successful </w:t>
      </w:r>
      <w:r>
        <w:rPr>
          <w:rFonts w:ascii="Calibri" w:eastAsia="Times New Roman" w:hAnsi="Calibri" w:cs="Calibri"/>
          <w:color w:val="000000"/>
          <w:lang w:val="en-GB" w:eastAsia="cs-CZ"/>
        </w:rPr>
        <w:t>implementation</w:t>
      </w:r>
      <w:r w:rsidRPr="00177F0B">
        <w:rPr>
          <w:rFonts w:ascii="Calibri" w:eastAsia="Times New Roman" w:hAnsi="Calibri" w:cs="Calibri"/>
          <w:color w:val="000000"/>
          <w:lang w:val="en-GB" w:eastAsia="cs-CZ"/>
        </w:rPr>
        <w:t xml:space="preserve"> of the next programming period is to set the system administration and financial flows on uniform binding rules applicable for the entire implement</w:t>
      </w:r>
      <w:r w:rsidRPr="00177F0B">
        <w:rPr>
          <w:rFonts w:ascii="Calibri" w:eastAsia="Times New Roman" w:hAnsi="Calibri" w:cs="Calibri"/>
          <w:color w:val="000000"/>
          <w:lang w:val="en-GB" w:eastAsia="cs-CZ"/>
        </w:rPr>
        <w:t>a</w:t>
      </w:r>
      <w:r w:rsidRPr="00177F0B">
        <w:rPr>
          <w:rFonts w:ascii="Calibri" w:eastAsia="Times New Roman" w:hAnsi="Calibri" w:cs="Calibri"/>
          <w:color w:val="000000"/>
          <w:lang w:val="en-GB" w:eastAsia="cs-CZ"/>
        </w:rPr>
        <w:t xml:space="preserve">tion system. To </w:t>
      </w:r>
      <w:r>
        <w:rPr>
          <w:rFonts w:ascii="Calibri" w:eastAsia="Times New Roman" w:hAnsi="Calibri" w:cs="Calibri"/>
          <w:color w:val="000000"/>
          <w:lang w:val="en-GB" w:eastAsia="cs-CZ"/>
        </w:rPr>
        <w:t>ensure</w:t>
      </w:r>
      <w:r w:rsidRPr="00177F0B">
        <w:rPr>
          <w:rFonts w:ascii="Calibri" w:eastAsia="Times New Roman" w:hAnsi="Calibri" w:cs="Calibri"/>
          <w:color w:val="000000"/>
          <w:lang w:val="en-GB" w:eastAsia="cs-CZ"/>
        </w:rPr>
        <w:t xml:space="preserve"> the implementation system itself in t</w:t>
      </w:r>
      <w:r>
        <w:rPr>
          <w:rFonts w:ascii="Calibri" w:eastAsia="Times New Roman" w:hAnsi="Calibri" w:cs="Calibri"/>
          <w:color w:val="000000"/>
          <w:lang w:val="en-GB" w:eastAsia="cs-CZ"/>
        </w:rPr>
        <w:t xml:space="preserve">erms of processes a </w:t>
      </w:r>
      <w:r w:rsidRPr="00177F0B">
        <w:rPr>
          <w:rFonts w:ascii="Calibri" w:eastAsia="Times New Roman" w:hAnsi="Calibri" w:cs="Calibri"/>
          <w:color w:val="000000"/>
          <w:lang w:val="en-GB" w:eastAsia="cs-CZ"/>
        </w:rPr>
        <w:t>uniform methodological environment</w:t>
      </w:r>
      <w:r>
        <w:rPr>
          <w:rFonts w:ascii="Calibri" w:eastAsia="Times New Roman" w:hAnsi="Calibri" w:cs="Calibri"/>
          <w:color w:val="000000"/>
          <w:lang w:val="en-GB" w:eastAsia="cs-CZ"/>
        </w:rPr>
        <w:t xml:space="preserve"> is being prepared</w:t>
      </w:r>
      <w:r w:rsidRPr="00177F0B">
        <w:rPr>
          <w:rFonts w:ascii="Calibri" w:eastAsia="Times New Roman" w:hAnsi="Calibri" w:cs="Calibri"/>
          <w:color w:val="000000"/>
          <w:lang w:val="en-GB" w:eastAsia="cs-CZ"/>
        </w:rPr>
        <w:t>.</w:t>
      </w:r>
      <w:r>
        <w:rPr>
          <w:rFonts w:ascii="Calibri" w:eastAsia="Times New Roman" w:hAnsi="Calibri" w:cs="Calibri"/>
          <w:color w:val="000000"/>
          <w:lang w:val="en-GB" w:eastAsia="cs-CZ"/>
        </w:rPr>
        <w:t xml:space="preserve"> The u</w:t>
      </w:r>
      <w:r w:rsidRPr="00177F0B">
        <w:rPr>
          <w:rFonts w:ascii="Calibri" w:eastAsia="Times New Roman" w:hAnsi="Calibri" w:cs="Calibri"/>
          <w:color w:val="000000"/>
          <w:lang w:val="en-GB" w:eastAsia="cs-CZ"/>
        </w:rPr>
        <w:t>niform methodological environment</w:t>
      </w:r>
      <w:r>
        <w:rPr>
          <w:rFonts w:ascii="Calibri" w:eastAsia="Times New Roman" w:hAnsi="Calibri" w:cs="Calibri"/>
          <w:color w:val="000000"/>
          <w:lang w:val="en-GB" w:eastAsia="cs-CZ"/>
        </w:rPr>
        <w:t xml:space="preserve"> will include both the administration level </w:t>
      </w:r>
      <w:r w:rsidRPr="00177F0B">
        <w:rPr>
          <w:rFonts w:ascii="Calibri" w:eastAsia="Times New Roman" w:hAnsi="Calibri" w:cs="Calibri"/>
          <w:color w:val="000000"/>
          <w:lang w:val="en-GB" w:eastAsia="cs-CZ"/>
        </w:rPr>
        <w:t>of the Partnership</w:t>
      </w:r>
      <w:r>
        <w:rPr>
          <w:rFonts w:ascii="Calibri" w:eastAsia="Times New Roman" w:hAnsi="Calibri" w:cs="Calibri"/>
          <w:color w:val="000000"/>
          <w:lang w:val="en-GB" w:eastAsia="cs-CZ"/>
        </w:rPr>
        <w:t xml:space="preserve"> Agreement</w:t>
      </w:r>
      <w:r w:rsidRPr="00177F0B">
        <w:rPr>
          <w:rFonts w:ascii="Calibri" w:eastAsia="Times New Roman" w:hAnsi="Calibri" w:cs="Calibri"/>
          <w:color w:val="000000"/>
          <w:lang w:val="en-GB" w:eastAsia="cs-CZ"/>
        </w:rPr>
        <w:t xml:space="preserve"> and the </w:t>
      </w:r>
      <w:r>
        <w:rPr>
          <w:rFonts w:ascii="Calibri" w:eastAsia="Times New Roman" w:hAnsi="Calibri" w:cs="Calibri"/>
          <w:color w:val="000000"/>
          <w:lang w:val="en-GB" w:eastAsia="cs-CZ"/>
        </w:rPr>
        <w:t xml:space="preserve">administration </w:t>
      </w:r>
      <w:r w:rsidRPr="00177F0B">
        <w:rPr>
          <w:rFonts w:ascii="Calibri" w:eastAsia="Times New Roman" w:hAnsi="Calibri" w:cs="Calibri"/>
          <w:color w:val="000000"/>
          <w:lang w:val="en-GB" w:eastAsia="cs-CZ"/>
        </w:rPr>
        <w:t>level of program</w:t>
      </w:r>
      <w:r>
        <w:rPr>
          <w:rFonts w:ascii="Calibri" w:eastAsia="Times New Roman" w:hAnsi="Calibri" w:cs="Calibri"/>
          <w:color w:val="000000"/>
          <w:lang w:val="en-GB" w:eastAsia="cs-CZ"/>
        </w:rPr>
        <w:t>mes. Its aims are:</w:t>
      </w:r>
    </w:p>
    <w:p w:rsidR="00BA202E" w:rsidRPr="00BA202E" w:rsidRDefault="00BA202E" w:rsidP="00BA202E">
      <w:pPr>
        <w:pStyle w:val="Odstavecseseznamem"/>
        <w:numPr>
          <w:ilvl w:val="0"/>
          <w:numId w:val="10"/>
        </w:numPr>
        <w:rPr>
          <w:lang w:val="en-GB"/>
        </w:rPr>
      </w:pPr>
      <w:r w:rsidRPr="00BA202E">
        <w:rPr>
          <w:lang w:val="en-GB"/>
        </w:rPr>
        <w:t>simplify administrative procedures and amend legislation with this goal in mind</w:t>
      </w:r>
    </w:p>
    <w:p w:rsidR="00BA202E" w:rsidRPr="00BA202E" w:rsidRDefault="00BA202E" w:rsidP="00BA202E">
      <w:pPr>
        <w:pStyle w:val="Odstavecseseznamem"/>
        <w:numPr>
          <w:ilvl w:val="0"/>
          <w:numId w:val="10"/>
        </w:numPr>
        <w:rPr>
          <w:lang w:val="en-GB"/>
        </w:rPr>
      </w:pPr>
      <w:r w:rsidRPr="00BA202E">
        <w:rPr>
          <w:lang w:val="en-GB"/>
        </w:rPr>
        <w:t>set uniform and clear rules not only for the entire system of support allocation, but also in general, among others in an effort to minimize the risk of inadvertent or deliberate misuse of EU funds</w:t>
      </w:r>
    </w:p>
    <w:p w:rsidR="00BA202E" w:rsidRPr="00BA202E" w:rsidRDefault="00BA202E" w:rsidP="00BA202E">
      <w:pPr>
        <w:pStyle w:val="Odstavecseseznamem"/>
        <w:numPr>
          <w:ilvl w:val="0"/>
          <w:numId w:val="10"/>
        </w:numPr>
        <w:rPr>
          <w:lang w:val="en-GB"/>
        </w:rPr>
      </w:pPr>
      <w:r w:rsidRPr="00BA202E">
        <w:rPr>
          <w:lang w:val="en-GB"/>
        </w:rPr>
        <w:t>enable easier orientation of the applicant/recipient within the support allocation,</w:t>
      </w:r>
    </w:p>
    <w:p w:rsidR="00BA202E" w:rsidRPr="00BA202E" w:rsidRDefault="00BA202E" w:rsidP="00BA202E">
      <w:pPr>
        <w:pStyle w:val="Odstavecseseznamem"/>
        <w:numPr>
          <w:ilvl w:val="0"/>
          <w:numId w:val="10"/>
        </w:numPr>
        <w:rPr>
          <w:lang w:val="en-GB"/>
        </w:rPr>
      </w:pPr>
      <w:r w:rsidRPr="00BA202E">
        <w:rPr>
          <w:lang w:val="en-GB"/>
        </w:rPr>
        <w:t>improve communication between the applicant/recipient and the provider of support</w:t>
      </w:r>
    </w:p>
    <w:p w:rsidR="009546FC" w:rsidRPr="00BA202E" w:rsidRDefault="00BA202E" w:rsidP="00BA202E">
      <w:pPr>
        <w:pStyle w:val="Odstavecseseznamem"/>
        <w:numPr>
          <w:ilvl w:val="0"/>
          <w:numId w:val="10"/>
        </w:numPr>
        <w:rPr>
          <w:lang w:val="en-GB"/>
        </w:rPr>
      </w:pPr>
      <w:r w:rsidRPr="00BA202E">
        <w:rPr>
          <w:lang w:val="en-GB"/>
        </w:rPr>
        <w:t>optimize administrative deadlines.</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 xml:space="preserve">To monitor the implementation of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program</w:t>
      </w:r>
      <w:r>
        <w:rPr>
          <w:rFonts w:ascii="Calibri" w:eastAsia="Times New Roman" w:hAnsi="Calibri" w:cs="Calibri"/>
          <w:color w:val="000000"/>
          <w:lang w:val="en-GB" w:eastAsia="cs-CZ"/>
        </w:rPr>
        <w:t>mes of</w:t>
      </w:r>
      <w:r w:rsidRPr="00177F0B">
        <w:rPr>
          <w:rFonts w:ascii="Calibri" w:eastAsia="Times New Roman" w:hAnsi="Calibri" w:cs="Calibri"/>
          <w:color w:val="000000"/>
          <w:lang w:val="en-GB" w:eastAsia="cs-CZ"/>
        </w:rPr>
        <w:t xml:space="preserve"> ESI funds </w:t>
      </w:r>
      <w:r>
        <w:rPr>
          <w:rFonts w:ascii="Calibri" w:eastAsia="Times New Roman" w:hAnsi="Calibri" w:cs="Calibri"/>
          <w:color w:val="000000"/>
          <w:lang w:val="en-GB" w:eastAsia="cs-CZ"/>
        </w:rPr>
        <w:t xml:space="preserve">the Czech Republic is finishing a </w:t>
      </w:r>
      <w:r w:rsidRPr="00177F0B">
        <w:rPr>
          <w:rFonts w:ascii="Calibri" w:eastAsia="Times New Roman" w:hAnsi="Calibri" w:cs="Calibri"/>
          <w:color w:val="000000"/>
          <w:lang w:val="en-GB" w:eastAsia="cs-CZ"/>
        </w:rPr>
        <w:t>concept </w:t>
      </w:r>
      <w:r w:rsidRPr="00177F0B">
        <w:rPr>
          <w:rFonts w:ascii="Calibri" w:eastAsia="Times New Roman" w:hAnsi="Calibri" w:cs="Calibri"/>
          <w:i/>
          <w:iCs/>
          <w:color w:val="000000"/>
          <w:lang w:val="en-GB" w:eastAsia="cs-CZ"/>
        </w:rPr>
        <w:t>of a Unified Monitoring System</w:t>
      </w:r>
      <w:r w:rsidRPr="00177F0B">
        <w:rPr>
          <w:rFonts w:ascii="Calibri" w:eastAsia="Times New Roman" w:hAnsi="Calibri" w:cs="Calibri"/>
          <w:color w:val="000000"/>
          <w:lang w:val="en-GB" w:eastAsia="cs-CZ"/>
        </w:rPr>
        <w:t>. It is a method</w:t>
      </w:r>
      <w:r>
        <w:rPr>
          <w:rFonts w:ascii="Calibri" w:eastAsia="Times New Roman" w:hAnsi="Calibri" w:cs="Calibri"/>
          <w:color w:val="000000"/>
          <w:lang w:val="en-GB" w:eastAsia="cs-CZ"/>
        </w:rPr>
        <w:t xml:space="preserve">ologically, procedurally </w:t>
      </w:r>
      <w:r w:rsidRPr="00177F0B">
        <w:rPr>
          <w:rFonts w:ascii="Calibri" w:eastAsia="Times New Roman" w:hAnsi="Calibri" w:cs="Calibri"/>
          <w:color w:val="000000"/>
          <w:lang w:val="en-GB" w:eastAsia="cs-CZ"/>
        </w:rPr>
        <w:t>and technolog</w:t>
      </w:r>
      <w:r>
        <w:rPr>
          <w:rFonts w:ascii="Calibri" w:eastAsia="Times New Roman" w:hAnsi="Calibri" w:cs="Calibri"/>
          <w:color w:val="000000"/>
          <w:lang w:val="en-GB" w:eastAsia="cs-CZ"/>
        </w:rPr>
        <w:t xml:space="preserve">ically </w:t>
      </w:r>
      <w:r w:rsidRPr="00177F0B">
        <w:rPr>
          <w:rFonts w:ascii="Calibri" w:eastAsia="Times New Roman" w:hAnsi="Calibri" w:cs="Calibri"/>
          <w:color w:val="000000"/>
          <w:lang w:val="en-GB" w:eastAsia="cs-CZ"/>
        </w:rPr>
        <w:t xml:space="preserve">unified system covering the whole implementation structure. Key role in ensuring functional operation of such a monitoring system </w:t>
      </w:r>
      <w:r>
        <w:rPr>
          <w:rFonts w:ascii="Calibri" w:eastAsia="Times New Roman" w:hAnsi="Calibri" w:cs="Calibri"/>
          <w:color w:val="000000"/>
          <w:lang w:val="en-GB" w:eastAsia="cs-CZ"/>
        </w:rPr>
        <w:t>belongs to</w:t>
      </w:r>
      <w:r w:rsidRPr="00177F0B">
        <w:rPr>
          <w:rFonts w:ascii="Calibri" w:eastAsia="Times New Roman" w:hAnsi="Calibri" w:cs="Calibri"/>
          <w:color w:val="000000"/>
          <w:lang w:val="en-GB" w:eastAsia="cs-CZ"/>
        </w:rPr>
        <w:t xml:space="preserve"> parameter</w:t>
      </w:r>
      <w:r>
        <w:rPr>
          <w:rFonts w:ascii="Calibri" w:eastAsia="Times New Roman" w:hAnsi="Calibri" w:cs="Calibri"/>
          <w:color w:val="000000"/>
          <w:lang w:val="en-GB" w:eastAsia="cs-CZ"/>
        </w:rPr>
        <w:t>isation</w:t>
      </w:r>
      <w:r w:rsidRPr="00177F0B">
        <w:rPr>
          <w:rFonts w:ascii="Calibri" w:eastAsia="Times New Roman" w:hAnsi="Calibri" w:cs="Calibri"/>
          <w:color w:val="000000"/>
          <w:lang w:val="en-GB" w:eastAsia="cs-CZ"/>
        </w:rPr>
        <w:t xml:space="preserve">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internal and external processes and procedures for </w:t>
      </w:r>
      <w:r>
        <w:rPr>
          <w:rFonts w:ascii="Calibri" w:eastAsia="Times New Roman" w:hAnsi="Calibri" w:cs="Calibri"/>
          <w:color w:val="000000"/>
          <w:lang w:val="en-GB" w:eastAsia="cs-CZ"/>
        </w:rPr>
        <w:t>the levels of</w:t>
      </w:r>
      <w:r w:rsidRPr="00177F0B">
        <w:rPr>
          <w:rFonts w:ascii="Calibri" w:eastAsia="Times New Roman" w:hAnsi="Calibri" w:cs="Calibri"/>
          <w:color w:val="000000"/>
          <w:lang w:val="en-GB" w:eastAsia="cs-CZ"/>
        </w:rPr>
        <w:t xml:space="preserve"> management, </w:t>
      </w:r>
      <w:r>
        <w:rPr>
          <w:rFonts w:ascii="Calibri" w:eastAsia="Times New Roman" w:hAnsi="Calibri" w:cs="Calibri"/>
          <w:color w:val="000000"/>
          <w:lang w:val="en-GB" w:eastAsia="cs-CZ"/>
        </w:rPr>
        <w:t>supervision</w:t>
      </w:r>
      <w:r w:rsidRPr="00177F0B">
        <w:rPr>
          <w:rFonts w:ascii="Calibri" w:eastAsia="Times New Roman" w:hAnsi="Calibri" w:cs="Calibri"/>
          <w:color w:val="000000"/>
          <w:lang w:val="en-GB" w:eastAsia="cs-CZ"/>
        </w:rPr>
        <w:t xml:space="preserve"> and audit, definit</w:t>
      </w:r>
      <w:r>
        <w:rPr>
          <w:rFonts w:ascii="Calibri" w:eastAsia="Times New Roman" w:hAnsi="Calibri" w:cs="Calibri"/>
          <w:color w:val="000000"/>
          <w:lang w:val="en-GB" w:eastAsia="cs-CZ"/>
        </w:rPr>
        <w:t>ion of</w:t>
      </w:r>
      <w:r w:rsidRPr="00177F0B">
        <w:rPr>
          <w:rFonts w:ascii="Calibri" w:eastAsia="Times New Roman" w:hAnsi="Calibri" w:cs="Calibri"/>
          <w:color w:val="000000"/>
          <w:lang w:val="en-GB" w:eastAsia="cs-CZ"/>
        </w:rPr>
        <w:t xml:space="preserve"> the mandatory links and key processes and rules, including </w:t>
      </w:r>
      <w:r>
        <w:rPr>
          <w:rFonts w:ascii="Calibri" w:eastAsia="Times New Roman" w:hAnsi="Calibri" w:cs="Calibri"/>
          <w:color w:val="000000"/>
          <w:lang w:val="en-GB" w:eastAsia="cs-CZ"/>
        </w:rPr>
        <w:t xml:space="preserve">the </w:t>
      </w:r>
      <w:r w:rsidRPr="00177F0B">
        <w:rPr>
          <w:rFonts w:ascii="Calibri" w:eastAsia="Times New Roman" w:hAnsi="Calibri" w:cs="Calibri"/>
          <w:color w:val="000000"/>
          <w:lang w:val="en-GB" w:eastAsia="cs-CZ"/>
        </w:rPr>
        <w:t>defini</w:t>
      </w:r>
      <w:r>
        <w:rPr>
          <w:rFonts w:ascii="Calibri" w:eastAsia="Times New Roman" w:hAnsi="Calibri" w:cs="Calibri"/>
          <w:color w:val="000000"/>
          <w:lang w:val="en-GB" w:eastAsia="cs-CZ"/>
        </w:rPr>
        <w:t>tion of</w:t>
      </w:r>
      <w:r w:rsidRPr="00177F0B">
        <w:rPr>
          <w:rFonts w:ascii="Calibri" w:eastAsia="Times New Roman" w:hAnsi="Calibri" w:cs="Calibri"/>
          <w:color w:val="000000"/>
          <w:lang w:val="en-GB" w:eastAsia="cs-CZ"/>
        </w:rPr>
        <w:t xml:space="preserve"> the scope of shared services with complete links to exte</w:t>
      </w:r>
      <w:r>
        <w:rPr>
          <w:rFonts w:ascii="Calibri" w:eastAsia="Times New Roman" w:hAnsi="Calibri" w:cs="Calibri"/>
          <w:color w:val="000000"/>
          <w:lang w:val="en-GB" w:eastAsia="cs-CZ"/>
        </w:rPr>
        <w:t>rnal systems at the level of e-G</w:t>
      </w:r>
      <w:r w:rsidRPr="00177F0B">
        <w:rPr>
          <w:rFonts w:ascii="Calibri" w:eastAsia="Times New Roman" w:hAnsi="Calibri" w:cs="Calibri"/>
          <w:color w:val="000000"/>
          <w:lang w:val="en-GB" w:eastAsia="cs-CZ"/>
        </w:rPr>
        <w:t>overnment</w:t>
      </w:r>
      <w:r>
        <w:rPr>
          <w:rFonts w:ascii="Calibri" w:eastAsia="Times New Roman" w:hAnsi="Calibri" w:cs="Calibri"/>
          <w:color w:val="000000"/>
          <w:lang w:val="en-GB" w:eastAsia="cs-CZ"/>
        </w:rPr>
        <w:t xml:space="preserve"> services</w:t>
      </w:r>
      <w:r w:rsidRPr="00177F0B">
        <w:rPr>
          <w:rFonts w:ascii="Calibri" w:eastAsia="Times New Roman" w:hAnsi="Calibri" w:cs="Calibri"/>
          <w:color w:val="000000"/>
          <w:lang w:val="en-GB" w:eastAsia="cs-CZ"/>
        </w:rPr>
        <w:t xml:space="preserve">. The focus of preparation is placed on clarity and uniform formal </w:t>
      </w:r>
      <w:r>
        <w:rPr>
          <w:rFonts w:ascii="Calibri" w:eastAsia="Times New Roman" w:hAnsi="Calibri" w:cs="Calibri"/>
          <w:color w:val="000000"/>
          <w:lang w:val="en-GB" w:eastAsia="cs-CZ"/>
        </w:rPr>
        <w:t>layout</w:t>
      </w:r>
      <w:r w:rsidRPr="00177F0B">
        <w:rPr>
          <w:rFonts w:ascii="Calibri" w:eastAsia="Times New Roman" w:hAnsi="Calibri" w:cs="Calibri"/>
          <w:color w:val="000000"/>
          <w:lang w:val="en-GB" w:eastAsia="cs-CZ"/>
        </w:rPr>
        <w:t xml:space="preserve"> and wording. Logical arrangement of individual areas will reflect on the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 and project cycle a</w:t>
      </w:r>
      <w:r>
        <w:rPr>
          <w:rFonts w:ascii="Calibri" w:eastAsia="Times New Roman" w:hAnsi="Calibri" w:cs="Calibri"/>
          <w:color w:val="000000"/>
          <w:lang w:val="en-GB" w:eastAsia="cs-CZ"/>
        </w:rPr>
        <w:t>s well as the</w:t>
      </w:r>
      <w:r w:rsidRPr="00177F0B">
        <w:rPr>
          <w:rFonts w:ascii="Calibri" w:eastAsia="Times New Roman" w:hAnsi="Calibri" w:cs="Calibri"/>
          <w:color w:val="000000"/>
          <w:lang w:val="en-GB" w:eastAsia="cs-CZ"/>
        </w:rPr>
        <w:t xml:space="preserve"> needs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central control and coordination of program</w:t>
      </w:r>
      <w:r>
        <w:rPr>
          <w:rFonts w:ascii="Calibri" w:eastAsia="Times New Roman" w:hAnsi="Calibri" w:cs="Calibri"/>
          <w:color w:val="000000"/>
          <w:lang w:val="en-GB" w:eastAsia="cs-CZ"/>
        </w:rPr>
        <w:t>me</w:t>
      </w:r>
      <w:r w:rsidRPr="00177F0B">
        <w:rPr>
          <w:rFonts w:ascii="Calibri" w:eastAsia="Times New Roman" w:hAnsi="Calibri" w:cs="Calibri"/>
          <w:color w:val="000000"/>
          <w:lang w:val="en-GB" w:eastAsia="cs-CZ"/>
        </w:rPr>
        <w:t xml:space="preserve">s </w:t>
      </w:r>
      <w:r>
        <w:rPr>
          <w:rFonts w:ascii="Calibri" w:eastAsia="Times New Roman" w:hAnsi="Calibri" w:cs="Calibri"/>
          <w:color w:val="000000"/>
          <w:lang w:val="en-GB" w:eastAsia="cs-CZ"/>
        </w:rPr>
        <w:t xml:space="preserve">of </w:t>
      </w:r>
      <w:r w:rsidRPr="00177F0B">
        <w:rPr>
          <w:rFonts w:ascii="Calibri" w:eastAsia="Times New Roman" w:hAnsi="Calibri" w:cs="Calibri"/>
          <w:color w:val="000000"/>
          <w:lang w:val="en-GB" w:eastAsia="cs-CZ"/>
        </w:rPr>
        <w:t xml:space="preserve">ESI funds in the </w:t>
      </w:r>
      <w:r>
        <w:rPr>
          <w:rFonts w:ascii="Calibri" w:eastAsia="Times New Roman" w:hAnsi="Calibri" w:cs="Calibri"/>
          <w:color w:val="000000"/>
          <w:lang w:val="en-GB" w:eastAsia="cs-CZ"/>
        </w:rPr>
        <w:t>conditions of the Czech Republic</w:t>
      </w:r>
      <w:r w:rsidRPr="00177F0B">
        <w:rPr>
          <w:rFonts w:ascii="Calibri" w:eastAsia="Times New Roman" w:hAnsi="Calibri" w:cs="Calibri"/>
          <w:color w:val="000000"/>
          <w:lang w:val="en-GB" w:eastAsia="cs-CZ"/>
        </w:rPr>
        <w:t>.</w:t>
      </w:r>
    </w:p>
    <w:p w:rsidR="00BA202E" w:rsidRPr="00177F0B" w:rsidRDefault="00BA202E" w:rsidP="00BA202E">
      <w:pPr>
        <w:rPr>
          <w:rFonts w:ascii="Calibri" w:eastAsia="Times New Roman" w:hAnsi="Calibri" w:cs="Calibri"/>
          <w:color w:val="000000"/>
          <w:lang w:val="en-GB" w:eastAsia="cs-CZ"/>
        </w:rPr>
      </w:pPr>
      <w:r w:rsidRPr="00177F0B">
        <w:rPr>
          <w:rFonts w:ascii="Calibri" w:eastAsia="Times New Roman" w:hAnsi="Calibri" w:cs="Calibri"/>
          <w:color w:val="000000"/>
          <w:lang w:val="en-GB" w:eastAsia="cs-CZ"/>
        </w:rPr>
        <w:t>Reduc</w:t>
      </w:r>
      <w:r>
        <w:rPr>
          <w:rFonts w:ascii="Calibri" w:eastAsia="Times New Roman" w:hAnsi="Calibri" w:cs="Calibri"/>
          <w:color w:val="000000"/>
          <w:lang w:val="en-GB" w:eastAsia="cs-CZ"/>
        </w:rPr>
        <w:t>tion of</w:t>
      </w:r>
      <w:r w:rsidRPr="00177F0B">
        <w:rPr>
          <w:rFonts w:ascii="Calibri" w:eastAsia="Times New Roman" w:hAnsi="Calibri" w:cs="Calibri"/>
          <w:color w:val="000000"/>
          <w:lang w:val="en-GB" w:eastAsia="cs-CZ"/>
        </w:rPr>
        <w:t xml:space="preserve"> the administrative burden for beneficiaries will be set in accordance with the </w:t>
      </w:r>
      <w:r>
        <w:rPr>
          <w:rFonts w:ascii="Calibri" w:eastAsia="Times New Roman" w:hAnsi="Calibri" w:cs="Calibri"/>
          <w:color w:val="000000"/>
          <w:lang w:val="en-GB" w:eastAsia="cs-CZ"/>
        </w:rPr>
        <w:t xml:space="preserve">Government Resolution on </w:t>
      </w:r>
      <w:r w:rsidRPr="00177F0B">
        <w:rPr>
          <w:rFonts w:ascii="Calibri" w:eastAsia="Times New Roman" w:hAnsi="Calibri" w:cs="Calibri"/>
          <w:color w:val="000000"/>
          <w:lang w:val="en-GB" w:eastAsia="cs-CZ"/>
        </w:rPr>
        <w:t xml:space="preserve">recommendations to simplify the administrative burden for applicants and beneficiaries </w:t>
      </w:r>
      <w:r>
        <w:rPr>
          <w:rFonts w:ascii="Calibri" w:eastAsia="Times New Roman" w:hAnsi="Calibri" w:cs="Calibri"/>
          <w:color w:val="000000"/>
          <w:lang w:val="en-GB" w:eastAsia="cs-CZ"/>
        </w:rPr>
        <w:t>when</w:t>
      </w:r>
      <w:r w:rsidRPr="00177F0B">
        <w:rPr>
          <w:rFonts w:ascii="Calibri" w:eastAsia="Times New Roman" w:hAnsi="Calibri" w:cs="Calibri"/>
          <w:color w:val="000000"/>
          <w:lang w:val="en-GB" w:eastAsia="cs-CZ"/>
        </w:rPr>
        <w:t xml:space="preserve"> drawing financial resources from EU funds in the 2014-2020 programming period.</w:t>
      </w:r>
    </w:p>
    <w:p w:rsidR="00BA202E" w:rsidRPr="00177F0B" w:rsidRDefault="00BA202E" w:rsidP="00BA202E">
      <w:pPr>
        <w:rPr>
          <w:rFonts w:ascii="Calibri" w:eastAsia="Times New Roman" w:hAnsi="Calibri" w:cs="Calibri"/>
          <w:color w:val="000000"/>
          <w:lang w:val="en-GB" w:eastAsia="cs-CZ"/>
        </w:rPr>
      </w:pPr>
      <w:r>
        <w:rPr>
          <w:rFonts w:ascii="Calibri" w:eastAsia="Times New Roman" w:hAnsi="Calibri" w:cs="Calibri"/>
          <w:color w:val="000000"/>
          <w:lang w:val="en-GB" w:eastAsia="cs-CZ"/>
        </w:rPr>
        <w:t>The PA was sent to the Commission in</w:t>
      </w:r>
      <w:r w:rsidRPr="00177F0B">
        <w:rPr>
          <w:rFonts w:ascii="Calibri" w:eastAsia="Times New Roman" w:hAnsi="Calibri" w:cs="Calibri"/>
          <w:color w:val="000000"/>
          <w:lang w:val="en-GB" w:eastAsia="cs-CZ"/>
        </w:rPr>
        <w:t xml:space="preserve"> April 2014</w:t>
      </w:r>
      <w:r>
        <w:rPr>
          <w:rFonts w:ascii="Calibri" w:eastAsia="Times New Roman" w:hAnsi="Calibri" w:cs="Calibri"/>
          <w:color w:val="000000"/>
          <w:lang w:val="en-GB" w:eastAsia="cs-CZ"/>
        </w:rPr>
        <w:t xml:space="preserve"> </w:t>
      </w:r>
      <w:r w:rsidRPr="00177F0B">
        <w:rPr>
          <w:rFonts w:ascii="Calibri" w:eastAsia="Times New Roman" w:hAnsi="Calibri" w:cs="Calibri"/>
          <w:color w:val="000000"/>
          <w:lang w:val="en-GB" w:eastAsia="cs-CZ"/>
        </w:rPr>
        <w:t>in accordance with</w:t>
      </w:r>
      <w:r>
        <w:rPr>
          <w:rFonts w:ascii="Calibri" w:eastAsia="Times New Roman" w:hAnsi="Calibri" w:cs="Calibri"/>
          <w:color w:val="000000"/>
          <w:lang w:val="en-GB" w:eastAsia="cs-CZ"/>
        </w:rPr>
        <w:t xml:space="preserve"> the</w:t>
      </w:r>
      <w:r w:rsidRPr="00177F0B">
        <w:rPr>
          <w:rFonts w:ascii="Calibri" w:eastAsia="Times New Roman" w:hAnsi="Calibri" w:cs="Calibri"/>
          <w:color w:val="000000"/>
          <w:lang w:val="en-GB" w:eastAsia="cs-CZ"/>
        </w:rPr>
        <w:t xml:space="preserve"> Regulation. In 2014, the M</w:t>
      </w:r>
      <w:r>
        <w:rPr>
          <w:rFonts w:ascii="Calibri" w:eastAsia="Times New Roman" w:hAnsi="Calibri" w:cs="Calibri"/>
          <w:color w:val="000000"/>
          <w:lang w:val="en-GB" w:eastAsia="cs-CZ"/>
        </w:rPr>
        <w:t>LD</w:t>
      </w:r>
      <w:r w:rsidRPr="00177F0B">
        <w:rPr>
          <w:rFonts w:ascii="Calibri" w:eastAsia="Times New Roman" w:hAnsi="Calibri" w:cs="Calibri"/>
          <w:color w:val="000000"/>
          <w:lang w:val="en-GB" w:eastAsia="cs-CZ"/>
        </w:rPr>
        <w:t xml:space="preserve"> will focus on intensive preparation of the implementing structures, completion of the </w:t>
      </w:r>
      <w:r>
        <w:rPr>
          <w:rFonts w:ascii="Calibri" w:eastAsia="Times New Roman" w:hAnsi="Calibri" w:cs="Calibri"/>
          <w:color w:val="000000"/>
          <w:lang w:val="en-GB" w:eastAsia="cs-CZ"/>
        </w:rPr>
        <w:t>PA</w:t>
      </w:r>
      <w:r w:rsidRPr="00177F0B">
        <w:rPr>
          <w:rFonts w:ascii="Calibri" w:eastAsia="Times New Roman" w:hAnsi="Calibri" w:cs="Calibri"/>
          <w:color w:val="000000"/>
          <w:lang w:val="en-GB" w:eastAsia="cs-CZ"/>
        </w:rPr>
        <w:t xml:space="preserve"> and programs co-financed by ESIF, the</w:t>
      </w:r>
      <w:r>
        <w:rPr>
          <w:rFonts w:ascii="Calibri" w:eastAsia="Times New Roman" w:hAnsi="Calibri" w:cs="Calibri"/>
          <w:color w:val="000000"/>
          <w:lang w:val="en-GB" w:eastAsia="cs-CZ"/>
        </w:rPr>
        <w:t>ir</w:t>
      </w:r>
      <w:r w:rsidRPr="00177F0B">
        <w:rPr>
          <w:rFonts w:ascii="Calibri" w:eastAsia="Times New Roman" w:hAnsi="Calibri" w:cs="Calibri"/>
          <w:color w:val="000000"/>
          <w:lang w:val="en-GB" w:eastAsia="cs-CZ"/>
        </w:rPr>
        <w:t xml:space="preserve"> submission</w:t>
      </w:r>
      <w:r>
        <w:rPr>
          <w:rFonts w:ascii="Calibri" w:eastAsia="Times New Roman" w:hAnsi="Calibri" w:cs="Calibri"/>
          <w:color w:val="000000"/>
          <w:lang w:val="en-GB" w:eastAsia="cs-CZ"/>
        </w:rPr>
        <w:t xml:space="preserve"> to</w:t>
      </w:r>
      <w:r w:rsidRPr="00177F0B">
        <w:rPr>
          <w:rFonts w:ascii="Calibri" w:eastAsia="Times New Roman" w:hAnsi="Calibri" w:cs="Calibri"/>
          <w:color w:val="000000"/>
          <w:lang w:val="en-GB" w:eastAsia="cs-CZ"/>
        </w:rPr>
        <w:t xml:space="preserve"> and approval by the Government, subsequent submission to the European Commission </w:t>
      </w:r>
      <w:r>
        <w:rPr>
          <w:rFonts w:ascii="Calibri" w:eastAsia="Times New Roman" w:hAnsi="Calibri" w:cs="Calibri"/>
          <w:color w:val="000000"/>
          <w:lang w:val="en-GB" w:eastAsia="cs-CZ"/>
        </w:rPr>
        <w:t>within</w:t>
      </w:r>
      <w:r w:rsidRPr="00177F0B">
        <w:rPr>
          <w:rFonts w:ascii="Calibri" w:eastAsia="Times New Roman" w:hAnsi="Calibri" w:cs="Calibri"/>
          <w:color w:val="000000"/>
          <w:lang w:val="en-GB" w:eastAsia="cs-CZ"/>
        </w:rPr>
        <w:t xml:space="preserve"> a formal dialogue to ensure their approval by the European Commission.</w:t>
      </w:r>
    </w:p>
    <w:p w:rsidR="009546FC" w:rsidRPr="007A1B09" w:rsidRDefault="009546FC" w:rsidP="009546FC">
      <w:pPr>
        <w:rPr>
          <w:lang w:val="en-GB"/>
        </w:rPr>
      </w:pPr>
    </w:p>
    <w:p w:rsidR="00AC5600" w:rsidRPr="007A1B09" w:rsidRDefault="00AC5600" w:rsidP="00AE51CF">
      <w:pPr>
        <w:spacing w:after="180"/>
        <w:rPr>
          <w:lang w:val="en-GB"/>
        </w:rPr>
      </w:pPr>
    </w:p>
    <w:p w:rsidR="0009671C" w:rsidRPr="007A1B09" w:rsidRDefault="0009671C" w:rsidP="00BA202E">
      <w:pPr>
        <w:spacing w:after="0"/>
        <w:jc w:val="left"/>
        <w:rPr>
          <w:lang w:val="en-GB"/>
        </w:rPr>
      </w:pPr>
      <w:r w:rsidRPr="007A1B09">
        <w:rPr>
          <w:lang w:val="en-GB"/>
        </w:rPr>
        <w:br w:type="page"/>
      </w:r>
    </w:p>
    <w:p w:rsidR="00AC5600" w:rsidRPr="007A1B09" w:rsidRDefault="005B4FA9" w:rsidP="0009671C">
      <w:pPr>
        <w:pStyle w:val="Nadpis1"/>
        <w:rPr>
          <w:lang w:val="en-GB"/>
        </w:rPr>
      </w:pPr>
      <w:bookmarkStart w:id="74" w:name="_Toc385946045"/>
      <w:r w:rsidRPr="007A1B09">
        <w:rPr>
          <w:lang w:val="en-GB"/>
        </w:rPr>
        <w:lastRenderedPageBreak/>
        <w:t>List of Annexes</w:t>
      </w:r>
      <w:bookmarkEnd w:id="74"/>
    </w:p>
    <w:p w:rsidR="0009671C" w:rsidRPr="007A1B09" w:rsidRDefault="00F95ED8" w:rsidP="0009671C">
      <w:pPr>
        <w:rPr>
          <w:lang w:val="en-GB"/>
        </w:rPr>
      </w:pPr>
      <w:r w:rsidRPr="007A1B09">
        <w:rPr>
          <w:lang w:val="en-GB"/>
        </w:rPr>
        <w:t>Annex No</w:t>
      </w:r>
      <w:r w:rsidR="0009671C" w:rsidRPr="007A1B09">
        <w:rPr>
          <w:lang w:val="en-GB"/>
        </w:rPr>
        <w:t xml:space="preserve">. 1: </w:t>
      </w:r>
      <w:r w:rsidRPr="007A1B09">
        <w:rPr>
          <w:lang w:val="en-GB"/>
        </w:rPr>
        <w:t>Overview of the government strategic and conceptual documents</w:t>
      </w:r>
    </w:p>
    <w:p w:rsidR="0009671C" w:rsidRPr="007A1B09" w:rsidRDefault="00F95ED8" w:rsidP="0009671C">
      <w:pPr>
        <w:rPr>
          <w:lang w:val="en-GB"/>
        </w:rPr>
      </w:pPr>
      <w:r w:rsidRPr="007A1B09">
        <w:rPr>
          <w:lang w:val="en-GB"/>
        </w:rPr>
        <w:t xml:space="preserve">Annex No. </w:t>
      </w:r>
      <w:r w:rsidR="0009671C" w:rsidRPr="007A1B09">
        <w:rPr>
          <w:lang w:val="en-GB"/>
        </w:rPr>
        <w:t xml:space="preserve">2: </w:t>
      </w:r>
      <w:r w:rsidRPr="007A1B09">
        <w:rPr>
          <w:lang w:val="en-GB"/>
        </w:rPr>
        <w:t>Overview of impacts and</w:t>
      </w:r>
      <w:r w:rsidR="0009671C" w:rsidRPr="007A1B09">
        <w:rPr>
          <w:lang w:val="en-GB"/>
        </w:rPr>
        <w:t xml:space="preserve"> </w:t>
      </w:r>
      <w:r w:rsidRPr="007A1B09">
        <w:rPr>
          <w:lang w:val="en-GB"/>
        </w:rPr>
        <w:t>the</w:t>
      </w:r>
      <w:r w:rsidR="0009671C" w:rsidRPr="007A1B09">
        <w:rPr>
          <w:lang w:val="en-GB"/>
        </w:rPr>
        <w:t xml:space="preserve"> </w:t>
      </w:r>
      <w:r w:rsidRPr="007A1B09">
        <w:rPr>
          <w:lang w:val="en-GB"/>
        </w:rPr>
        <w:t>time schedule of the implementation of Council Recommend</w:t>
      </w:r>
      <w:r w:rsidRPr="007A1B09">
        <w:rPr>
          <w:lang w:val="en-GB"/>
        </w:rPr>
        <w:t>a</w:t>
      </w:r>
      <w:r w:rsidRPr="007A1B09">
        <w:rPr>
          <w:lang w:val="en-GB"/>
        </w:rPr>
        <w:t>tions</w:t>
      </w:r>
    </w:p>
    <w:p w:rsidR="0009671C" w:rsidRPr="007A1B09" w:rsidRDefault="00F95ED8" w:rsidP="0009671C">
      <w:pPr>
        <w:rPr>
          <w:lang w:val="en-GB"/>
        </w:rPr>
      </w:pPr>
      <w:r w:rsidRPr="007A1B09">
        <w:rPr>
          <w:lang w:val="en-GB"/>
        </w:rPr>
        <w:t>Annex No.</w:t>
      </w:r>
      <w:r w:rsidR="0009671C" w:rsidRPr="007A1B09">
        <w:rPr>
          <w:lang w:val="en-GB"/>
        </w:rPr>
        <w:t xml:space="preserve"> 3: </w:t>
      </w:r>
      <w:r w:rsidRPr="007A1B09">
        <w:rPr>
          <w:lang w:val="en-GB"/>
        </w:rPr>
        <w:t>Overview of impacts and a time schedule of the implementation of other measures</w:t>
      </w:r>
    </w:p>
    <w:p w:rsidR="00D0158A" w:rsidRPr="007A1B09" w:rsidRDefault="00D0158A" w:rsidP="0009671C">
      <w:pPr>
        <w:rPr>
          <w:lang w:val="en-GB"/>
        </w:rPr>
      </w:pPr>
    </w:p>
    <w:p w:rsidR="00D0158A" w:rsidRPr="007A1B09" w:rsidRDefault="00D0158A" w:rsidP="0009671C">
      <w:pPr>
        <w:rPr>
          <w:lang w:val="en-GB"/>
        </w:rPr>
      </w:pPr>
    </w:p>
    <w:p w:rsidR="00B974C0" w:rsidRPr="007A1B09" w:rsidRDefault="00B974C0" w:rsidP="00B974C0">
      <w:pPr>
        <w:spacing w:after="0"/>
        <w:jc w:val="left"/>
        <w:rPr>
          <w:lang w:val="en-GB"/>
        </w:rPr>
      </w:pPr>
    </w:p>
    <w:p w:rsidR="00B974C0" w:rsidRPr="007A1B09" w:rsidRDefault="00B974C0">
      <w:pPr>
        <w:spacing w:after="0"/>
        <w:ind w:firstLine="360"/>
        <w:jc w:val="left"/>
        <w:rPr>
          <w:rFonts w:asciiTheme="majorHAnsi" w:eastAsiaTheme="majorEastAsia" w:hAnsiTheme="majorHAnsi" w:cstheme="majorBidi"/>
          <w:b/>
          <w:color w:val="9D3511" w:themeColor="accent1" w:themeShade="BF"/>
          <w:sz w:val="28"/>
          <w:szCs w:val="24"/>
          <w:lang w:val="en-GB"/>
        </w:rPr>
      </w:pPr>
      <w:bookmarkStart w:id="75" w:name="_Toc353553686"/>
      <w:r w:rsidRPr="007A1B09">
        <w:rPr>
          <w:lang w:val="en-GB"/>
        </w:rPr>
        <w:br w:type="page"/>
      </w:r>
    </w:p>
    <w:p w:rsidR="009426D4" w:rsidRPr="007A1B09" w:rsidRDefault="00BF192C" w:rsidP="004F5E82">
      <w:pPr>
        <w:pStyle w:val="Nadpis2"/>
        <w:rPr>
          <w:lang w:val="en-GB"/>
        </w:rPr>
      </w:pPr>
      <w:bookmarkStart w:id="76" w:name="_Toc385946046"/>
      <w:r>
        <w:rPr>
          <w:lang w:val="en-GB"/>
        </w:rPr>
        <w:lastRenderedPageBreak/>
        <w:t>Annex No.1</w:t>
      </w:r>
      <w:r w:rsidR="009426D4" w:rsidRPr="007A1B09">
        <w:rPr>
          <w:lang w:val="en-GB"/>
        </w:rPr>
        <w:t xml:space="preserve">: </w:t>
      </w:r>
      <w:bookmarkEnd w:id="75"/>
      <w:r w:rsidRPr="007A1B09">
        <w:rPr>
          <w:lang w:val="en-GB"/>
        </w:rPr>
        <w:t>Overview of the government strategic and conceptual documents</w:t>
      </w:r>
      <w:bookmarkEnd w:id="76"/>
    </w:p>
    <w:p w:rsidR="00B974C0" w:rsidRPr="007A1B09" w:rsidRDefault="00B974C0" w:rsidP="00B974C0">
      <w:pPr>
        <w:spacing w:after="0"/>
        <w:jc w:val="left"/>
        <w:rPr>
          <w:lang w:val="en-GB"/>
        </w:rPr>
      </w:pPr>
      <w:r w:rsidRPr="007A1B09">
        <w:rPr>
          <w:lang w:val="en-GB"/>
        </w:rPr>
        <w:t xml:space="preserve">This Annex provides a summary of the most important government strategic and conceptual documents related to the fulfilment of the goals of NPR 2014. The list of documents is not complete and exhaustive and many other individual contributions to the fulfilment of the objectives of the NPR 2014 and Europe 2020 Strategy can be found in a number of other documents. Neither does this summary contain the intersections with the International Competitiveness Strategy, which are listed in a separate annex. </w:t>
      </w:r>
    </w:p>
    <w:p w:rsidR="00B974C0" w:rsidRPr="007A1B09" w:rsidRDefault="00B974C0" w:rsidP="00B974C0">
      <w:pPr>
        <w:spacing w:after="0"/>
        <w:jc w:val="left"/>
        <w:rPr>
          <w:lang w:val="en-GB"/>
        </w:rPr>
      </w:pPr>
    </w:p>
    <w:p w:rsidR="00B974C0" w:rsidRPr="007A1B09" w:rsidRDefault="00B974C0" w:rsidP="00B974C0">
      <w:pPr>
        <w:spacing w:after="0"/>
        <w:jc w:val="left"/>
        <w:rPr>
          <w:lang w:val="en-GB"/>
        </w:rPr>
      </w:pPr>
      <w:r w:rsidRPr="007A1B09">
        <w:rPr>
          <w:lang w:val="en-GB"/>
        </w:rPr>
        <w:t>Current information on documents that have been approved is available in the Database Strategy system. The Database Strategy</w:t>
      </w:r>
      <w:r w:rsidR="00470F72" w:rsidRPr="007A1B09">
        <w:rPr>
          <w:lang w:val="en-GB"/>
        </w:rPr>
        <w:t xml:space="preserve"> (</w:t>
      </w:r>
      <w:hyperlink r:id="rId26" w:history="1">
        <w:r w:rsidR="00470F72" w:rsidRPr="007A1B09">
          <w:rPr>
            <w:rStyle w:val="Hypertextovodkaz"/>
            <w:lang w:val="en-GB"/>
          </w:rPr>
          <w:t>http://databaze-strategie.cz/</w:t>
        </w:r>
      </w:hyperlink>
      <w:r w:rsidR="00470F72" w:rsidRPr="007A1B09">
        <w:rPr>
          <w:lang w:val="en-GB"/>
        </w:rPr>
        <w:t xml:space="preserve">), </w:t>
      </w:r>
      <w:r w:rsidRPr="007A1B09">
        <w:rPr>
          <w:lang w:val="en-GB"/>
        </w:rPr>
        <w:t>system is a national information system for strategic, conceptual and component programme documents. It allows a clear view of documents, the topical and functional linking of strategic objectives, measures, responsibilities for implementation, indicators, and other specified parameters from an international level, through documents from ministries and national institutions, to the regional and local level.</w:t>
      </w:r>
    </w:p>
    <w:p w:rsidR="00B974C0" w:rsidRPr="007A1B09" w:rsidRDefault="00B974C0" w:rsidP="00252010">
      <w:pPr>
        <w:rPr>
          <w:lang w:val="en-GB"/>
        </w:rPr>
      </w:pPr>
    </w:p>
    <w:p w:rsidR="00252010" w:rsidRPr="007A1B09" w:rsidRDefault="00252010" w:rsidP="00252010">
      <w:pPr>
        <w:rPr>
          <w:lang w:val="en-GB"/>
        </w:rPr>
      </w:pPr>
    </w:p>
    <w:tbl>
      <w:tblPr>
        <w:tblStyle w:val="Svtlmkazvraznn2"/>
        <w:tblW w:w="0" w:type="auto"/>
        <w:tblLayout w:type="fixed"/>
        <w:tblLook w:val="06A0" w:firstRow="1" w:lastRow="0" w:firstColumn="1" w:lastColumn="0" w:noHBand="1" w:noVBand="1"/>
      </w:tblPr>
      <w:tblGrid>
        <w:gridCol w:w="2660"/>
        <w:gridCol w:w="3969"/>
        <w:gridCol w:w="1701"/>
        <w:gridCol w:w="958"/>
      </w:tblGrid>
      <w:tr w:rsidR="00CF42BD" w:rsidRPr="00E55936" w:rsidTr="00E5265C">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660" w:type="dxa"/>
          </w:tcPr>
          <w:p w:rsidR="009426D4" w:rsidRPr="00E55936" w:rsidRDefault="009426D4" w:rsidP="00CF42BD">
            <w:pPr>
              <w:spacing w:before="40" w:after="40"/>
              <w:contextualSpacing/>
              <w:rPr>
                <w:rFonts w:asciiTheme="minorHAnsi" w:hAnsiTheme="minorHAnsi"/>
                <w:sz w:val="20"/>
                <w:szCs w:val="18"/>
                <w:lang w:val="en-GB"/>
              </w:rPr>
            </w:pPr>
            <w:r w:rsidRPr="00E55936">
              <w:rPr>
                <w:rFonts w:asciiTheme="minorHAnsi" w:hAnsiTheme="minorHAnsi"/>
                <w:sz w:val="20"/>
                <w:szCs w:val="18"/>
                <w:lang w:val="en-GB"/>
              </w:rPr>
              <w:t>NPR</w:t>
            </w:r>
            <w:r w:rsidR="00470F72" w:rsidRPr="00E55936">
              <w:rPr>
                <w:rFonts w:asciiTheme="minorHAnsi" w:hAnsiTheme="minorHAnsi"/>
                <w:sz w:val="20"/>
                <w:szCs w:val="18"/>
                <w:lang w:val="en-GB"/>
              </w:rPr>
              <w:t xml:space="preserve"> Chapter</w:t>
            </w:r>
          </w:p>
        </w:tc>
        <w:tc>
          <w:tcPr>
            <w:tcW w:w="3969" w:type="dxa"/>
          </w:tcPr>
          <w:p w:rsidR="009426D4" w:rsidRPr="00E55936" w:rsidRDefault="00470F72"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lang w:val="en-GB"/>
              </w:rPr>
            </w:pPr>
            <w:r w:rsidRPr="00E55936">
              <w:rPr>
                <w:rFonts w:asciiTheme="minorHAnsi" w:hAnsiTheme="minorHAnsi"/>
                <w:sz w:val="20"/>
                <w:szCs w:val="18"/>
                <w:lang w:val="en-GB"/>
              </w:rPr>
              <w:t>Document name</w:t>
            </w:r>
          </w:p>
        </w:tc>
        <w:tc>
          <w:tcPr>
            <w:tcW w:w="1701" w:type="dxa"/>
          </w:tcPr>
          <w:p w:rsidR="009426D4" w:rsidRPr="00E55936" w:rsidRDefault="00470F72"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lang w:val="en-GB"/>
              </w:rPr>
            </w:pPr>
            <w:r w:rsidRPr="00E55936">
              <w:rPr>
                <w:rFonts w:asciiTheme="minorHAnsi" w:hAnsiTheme="minorHAnsi"/>
                <w:sz w:val="20"/>
                <w:szCs w:val="18"/>
                <w:lang w:val="en-GB"/>
              </w:rPr>
              <w:t>Document status</w:t>
            </w:r>
          </w:p>
        </w:tc>
        <w:tc>
          <w:tcPr>
            <w:tcW w:w="958" w:type="dxa"/>
          </w:tcPr>
          <w:p w:rsidR="009426D4" w:rsidRPr="00E55936" w:rsidRDefault="00470F72"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lang w:val="en-GB"/>
              </w:rPr>
            </w:pPr>
            <w:r w:rsidRPr="00E55936">
              <w:rPr>
                <w:rFonts w:asciiTheme="minorHAnsi" w:hAnsiTheme="minorHAnsi"/>
                <w:sz w:val="20"/>
                <w:szCs w:val="18"/>
                <w:lang w:val="en-GB"/>
              </w:rPr>
              <w:t>Coord</w:t>
            </w:r>
            <w:r w:rsidRPr="00E55936">
              <w:rPr>
                <w:rFonts w:asciiTheme="minorHAnsi" w:hAnsiTheme="minorHAnsi"/>
                <w:sz w:val="20"/>
                <w:szCs w:val="18"/>
                <w:lang w:val="en-GB"/>
              </w:rPr>
              <w:t>i</w:t>
            </w:r>
            <w:r w:rsidRPr="00E55936">
              <w:rPr>
                <w:rFonts w:asciiTheme="minorHAnsi" w:hAnsiTheme="minorHAnsi"/>
                <w:sz w:val="20"/>
                <w:szCs w:val="18"/>
                <w:lang w:val="en-GB"/>
              </w:rPr>
              <w:t>nator</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4569BA" w:rsidRPr="00E55936" w:rsidRDefault="004569BA" w:rsidP="00470F72">
            <w:pPr>
              <w:spacing w:before="40" w:after="40"/>
              <w:contextualSpacing/>
              <w:jc w:val="left"/>
              <w:rPr>
                <w:rFonts w:asciiTheme="minorHAnsi" w:hAnsiTheme="minorHAnsi"/>
                <w:sz w:val="18"/>
                <w:szCs w:val="18"/>
                <w:lang w:val="en-GB"/>
              </w:rPr>
            </w:pPr>
            <w:r w:rsidRPr="00E55936">
              <w:rPr>
                <w:rFonts w:asciiTheme="minorHAnsi" w:hAnsiTheme="minorHAnsi"/>
                <w:sz w:val="18"/>
                <w:szCs w:val="18"/>
                <w:lang w:val="en-GB"/>
              </w:rPr>
              <w:t xml:space="preserve">3. </w:t>
            </w:r>
            <w:r w:rsidR="00470F72" w:rsidRPr="00E55936">
              <w:rPr>
                <w:rFonts w:asciiTheme="minorHAnsi" w:hAnsiTheme="minorHAnsi"/>
                <w:sz w:val="18"/>
                <w:szCs w:val="18"/>
                <w:lang w:val="en-GB"/>
              </w:rPr>
              <w:t>Implementation of Council Recommendations</w:t>
            </w: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Convergence Programme of the Czech Republic 2014</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4569BA" w:rsidRPr="00E55936"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w:t>
            </w:r>
          </w:p>
        </w:tc>
      </w:tr>
      <w:tr w:rsidR="00CF42BD"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Macroeconomic Forecast of the Czech Republic – April 2014</w:t>
            </w:r>
          </w:p>
        </w:tc>
        <w:tc>
          <w:tcPr>
            <w:tcW w:w="1701" w:type="dxa"/>
          </w:tcPr>
          <w:p w:rsidR="004569BA" w:rsidRPr="00E55936" w:rsidRDefault="00CF42BD" w:rsidP="00813467">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Publi</w:t>
            </w:r>
            <w:r w:rsidR="00813467" w:rsidRPr="00E55936">
              <w:rPr>
                <w:sz w:val="18"/>
                <w:szCs w:val="18"/>
                <w:lang w:val="en-GB"/>
              </w:rPr>
              <w:t>shed</w:t>
            </w:r>
          </w:p>
        </w:tc>
        <w:tc>
          <w:tcPr>
            <w:tcW w:w="958" w:type="dxa"/>
          </w:tcPr>
          <w:p w:rsidR="004569BA" w:rsidRPr="00E55936"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Medium-term outlook for the state budget of the Czech Republic for the years 201</w:t>
            </w:r>
            <w:r>
              <w:rPr>
                <w:sz w:val="18"/>
                <w:szCs w:val="18"/>
                <w:lang w:val="en-GB"/>
              </w:rPr>
              <w:t>5</w:t>
            </w:r>
            <w:r w:rsidRPr="00E55936">
              <w:rPr>
                <w:sz w:val="18"/>
                <w:szCs w:val="18"/>
                <w:lang w:val="en-GB"/>
              </w:rPr>
              <w:t>-201</w:t>
            </w:r>
            <w:r>
              <w:rPr>
                <w:sz w:val="18"/>
                <w:szCs w:val="18"/>
                <w:lang w:val="en-GB"/>
              </w:rPr>
              <w:t>6</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4569BA" w:rsidRPr="00E55936"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w:t>
            </w:r>
          </w:p>
        </w:tc>
      </w:tr>
      <w:tr w:rsidR="00CF42BD"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Medium-term expenditure framework for the years 2015-2017</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4569BA" w:rsidRPr="00E55936"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Government strategy to combat corruption in the years 201</w:t>
            </w:r>
            <w:r>
              <w:rPr>
                <w:sz w:val="18"/>
                <w:szCs w:val="18"/>
                <w:lang w:val="en-GB"/>
              </w:rPr>
              <w:t>3</w:t>
            </w:r>
            <w:r w:rsidRPr="00E55936">
              <w:rPr>
                <w:sz w:val="18"/>
                <w:szCs w:val="18"/>
                <w:lang w:val="en-GB"/>
              </w:rPr>
              <w:t xml:space="preserve"> and 201</w:t>
            </w:r>
            <w:r>
              <w:rPr>
                <w:sz w:val="18"/>
                <w:szCs w:val="18"/>
                <w:lang w:val="en-GB"/>
              </w:rPr>
              <w:t>4</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C264CF"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C264CF" w:rsidRPr="00E55936" w:rsidRDefault="00C264CF" w:rsidP="00CF42BD">
            <w:pPr>
              <w:spacing w:before="40" w:after="40"/>
              <w:contextualSpacing/>
              <w:jc w:val="left"/>
              <w:rPr>
                <w:sz w:val="18"/>
                <w:szCs w:val="18"/>
                <w:lang w:val="en-GB"/>
              </w:rPr>
            </w:pPr>
          </w:p>
        </w:tc>
        <w:tc>
          <w:tcPr>
            <w:tcW w:w="3969" w:type="dxa"/>
          </w:tcPr>
          <w:p w:rsidR="00C264CF"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Strategy of computerization of public procurement</w:t>
            </w:r>
            <w:r w:rsidR="00252010" w:rsidRPr="00E55936">
              <w:rPr>
                <w:sz w:val="18"/>
                <w:szCs w:val="18"/>
                <w:lang w:val="en-GB"/>
              </w:rPr>
              <w:t xml:space="preserve"> 2011-2015</w:t>
            </w:r>
          </w:p>
        </w:tc>
        <w:tc>
          <w:tcPr>
            <w:tcW w:w="1701" w:type="dxa"/>
          </w:tcPr>
          <w:p w:rsidR="00C264C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C264C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CF42BD"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4569BA"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St</w:t>
            </w:r>
            <w:r w:rsidR="00E55936">
              <w:rPr>
                <w:sz w:val="18"/>
                <w:szCs w:val="18"/>
                <w:lang w:val="en-GB"/>
              </w:rPr>
              <w:t>ate</w:t>
            </w:r>
            <w:r w:rsidRPr="00E55936">
              <w:rPr>
                <w:sz w:val="18"/>
                <w:szCs w:val="18"/>
                <w:lang w:val="en-GB"/>
              </w:rPr>
              <w:t xml:space="preserve"> energ</w:t>
            </w:r>
            <w:r w:rsidR="00E55936">
              <w:rPr>
                <w:sz w:val="18"/>
                <w:szCs w:val="18"/>
                <w:lang w:val="en-GB"/>
              </w:rPr>
              <w:t xml:space="preserve">y concept </w:t>
            </w:r>
            <w:r w:rsidRPr="00E55936">
              <w:rPr>
                <w:sz w:val="18"/>
                <w:szCs w:val="18"/>
                <w:lang w:val="en-GB"/>
              </w:rPr>
              <w:t>2010-2030</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C264CF"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tcPr>
          <w:p w:rsidR="00C264CF" w:rsidRPr="00E55936" w:rsidRDefault="00C264CF" w:rsidP="00CF42BD">
            <w:pPr>
              <w:spacing w:before="40" w:after="40"/>
              <w:contextualSpacing/>
              <w:jc w:val="left"/>
              <w:rPr>
                <w:sz w:val="18"/>
                <w:szCs w:val="18"/>
                <w:lang w:val="en-GB"/>
              </w:rPr>
            </w:pPr>
          </w:p>
        </w:tc>
        <w:tc>
          <w:tcPr>
            <w:tcW w:w="3969" w:type="dxa"/>
          </w:tcPr>
          <w:p w:rsidR="00C264CF"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Action plan of the Czech Republic’s energy efficiency</w:t>
            </w:r>
          </w:p>
        </w:tc>
        <w:tc>
          <w:tcPr>
            <w:tcW w:w="1701" w:type="dxa"/>
          </w:tcPr>
          <w:p w:rsidR="00C264C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C264C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4569BA" w:rsidRPr="00E55936" w:rsidRDefault="004569BA" w:rsidP="00470F72">
            <w:pPr>
              <w:spacing w:before="40" w:after="40"/>
              <w:contextualSpacing/>
              <w:jc w:val="left"/>
              <w:rPr>
                <w:rFonts w:asciiTheme="minorHAnsi" w:hAnsiTheme="minorHAnsi"/>
                <w:sz w:val="18"/>
                <w:szCs w:val="18"/>
                <w:lang w:val="en-GB"/>
              </w:rPr>
            </w:pPr>
            <w:r w:rsidRPr="00E55936">
              <w:rPr>
                <w:rFonts w:asciiTheme="minorHAnsi" w:hAnsiTheme="minorHAnsi"/>
                <w:sz w:val="18"/>
                <w:szCs w:val="18"/>
                <w:lang w:val="en-GB"/>
              </w:rPr>
              <w:t xml:space="preserve">4.1. </w:t>
            </w:r>
            <w:r w:rsidR="00470F72" w:rsidRPr="00E55936">
              <w:rPr>
                <w:rFonts w:asciiTheme="minorHAnsi" w:hAnsiTheme="minorHAnsi"/>
                <w:sz w:val="18"/>
                <w:szCs w:val="18"/>
                <w:lang w:val="en-GB"/>
              </w:rPr>
              <w:t>Sustainable public finances and efficient institutions</w:t>
            </w: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 xml:space="preserve">The strategic framework for the development of </w:t>
            </w:r>
            <w:proofErr w:type="spellStart"/>
            <w:r w:rsidRPr="00E55936">
              <w:rPr>
                <w:sz w:val="18"/>
                <w:szCs w:val="18"/>
                <w:lang w:val="en-GB"/>
              </w:rPr>
              <w:t>eGovernment</w:t>
            </w:r>
            <w:proofErr w:type="spellEnd"/>
            <w:r w:rsidRPr="00E55936">
              <w:rPr>
                <w:sz w:val="18"/>
                <w:szCs w:val="18"/>
                <w:lang w:val="en-GB"/>
              </w:rPr>
              <w:t xml:space="preserve"> and Public Administration 2014+</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w:t>
            </w:r>
          </w:p>
        </w:tc>
      </w:tr>
      <w:tr w:rsidR="00FF7860"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FF7860" w:rsidRPr="00E55936" w:rsidRDefault="00FF7860" w:rsidP="00CF42BD">
            <w:pPr>
              <w:spacing w:before="40" w:after="40"/>
              <w:contextualSpacing/>
              <w:jc w:val="left"/>
              <w:rPr>
                <w:sz w:val="18"/>
                <w:szCs w:val="18"/>
                <w:lang w:val="en-GB"/>
              </w:rPr>
            </w:pPr>
          </w:p>
        </w:tc>
        <w:tc>
          <w:tcPr>
            <w:tcW w:w="3969" w:type="dxa"/>
          </w:tcPr>
          <w:p w:rsidR="00FF7860"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 xml:space="preserve">The strategic framework for the development of the public administration </w:t>
            </w:r>
            <w:r w:rsidR="00FF7860" w:rsidRPr="00E55936">
              <w:rPr>
                <w:sz w:val="18"/>
                <w:szCs w:val="18"/>
                <w:lang w:val="en-GB"/>
              </w:rPr>
              <w:t>2014+</w:t>
            </w:r>
          </w:p>
        </w:tc>
        <w:tc>
          <w:tcPr>
            <w:tcW w:w="1701" w:type="dxa"/>
          </w:tcPr>
          <w:p w:rsidR="00FF7860"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FF7860"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w:t>
            </w:r>
          </w:p>
        </w:tc>
      </w:tr>
      <w:tr w:rsidR="00CF42BD"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Effective Public Administration and Friendly Public Services (Smart Administration Strategy for the period 2007 - 2015)</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Government strategy to combat corruption in the years 2013 and 2014</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CF42BD"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Action Plan of the Czech Republic “Partnership for Open Governance” (2011)</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4569BA"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E55936" w:rsidRDefault="004569BA" w:rsidP="00CF42BD">
            <w:pPr>
              <w:spacing w:before="40" w:after="40"/>
              <w:contextualSpacing/>
              <w:jc w:val="left"/>
              <w:rPr>
                <w:rFonts w:asciiTheme="minorHAnsi" w:hAnsiTheme="minorHAnsi"/>
                <w:sz w:val="18"/>
                <w:szCs w:val="18"/>
                <w:lang w:val="en-GB"/>
              </w:rPr>
            </w:pPr>
          </w:p>
        </w:tc>
        <w:tc>
          <w:tcPr>
            <w:tcW w:w="3969" w:type="dxa"/>
          </w:tcPr>
          <w:p w:rsidR="004569BA"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Updated Action Plan of the Czech Republic “Partnership for Open Governance” for years 2014-2015</w:t>
            </w:r>
          </w:p>
        </w:tc>
        <w:tc>
          <w:tcPr>
            <w:tcW w:w="1701"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4569BA"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28008F"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28008F" w:rsidRPr="00E55936" w:rsidRDefault="0028008F" w:rsidP="00470F72">
            <w:pPr>
              <w:spacing w:before="40" w:after="40"/>
              <w:contextualSpacing/>
              <w:jc w:val="left"/>
              <w:rPr>
                <w:rFonts w:asciiTheme="minorHAnsi" w:hAnsiTheme="minorHAnsi"/>
                <w:sz w:val="18"/>
                <w:szCs w:val="18"/>
                <w:lang w:val="en-GB"/>
              </w:rPr>
            </w:pPr>
            <w:r w:rsidRPr="00E55936">
              <w:rPr>
                <w:rFonts w:asciiTheme="minorHAnsi" w:hAnsiTheme="minorHAnsi"/>
                <w:sz w:val="18"/>
                <w:szCs w:val="18"/>
                <w:lang w:val="en-GB"/>
              </w:rPr>
              <w:t xml:space="preserve">4.2. </w:t>
            </w:r>
            <w:r w:rsidR="00470F72" w:rsidRPr="00E55936">
              <w:rPr>
                <w:rFonts w:asciiTheme="minorHAnsi" w:hAnsiTheme="minorHAnsi"/>
                <w:sz w:val="18"/>
                <w:szCs w:val="18"/>
                <w:lang w:val="en-GB"/>
              </w:rPr>
              <w:t xml:space="preserve">Attractive business environment and the development of infrastructure </w:t>
            </w:r>
          </w:p>
        </w:tc>
        <w:tc>
          <w:tcPr>
            <w:tcW w:w="3969" w:type="dxa"/>
          </w:tcPr>
          <w:p w:rsidR="0028008F"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Export Strategy of the Czech Republic for the period 2012-2020</w:t>
            </w:r>
          </w:p>
        </w:tc>
        <w:tc>
          <w:tcPr>
            <w:tcW w:w="1701" w:type="dxa"/>
          </w:tcPr>
          <w:p w:rsidR="0028008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28008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28008F"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28008F" w:rsidRPr="00E55936" w:rsidRDefault="0028008F" w:rsidP="00CF42BD">
            <w:pPr>
              <w:spacing w:before="40" w:after="40"/>
              <w:contextualSpacing/>
              <w:jc w:val="left"/>
              <w:rPr>
                <w:rFonts w:asciiTheme="minorHAnsi" w:hAnsiTheme="minorHAnsi"/>
                <w:sz w:val="18"/>
                <w:szCs w:val="18"/>
                <w:lang w:val="en-GB"/>
              </w:rPr>
            </w:pPr>
          </w:p>
        </w:tc>
        <w:tc>
          <w:tcPr>
            <w:tcW w:w="3969" w:type="dxa"/>
          </w:tcPr>
          <w:p w:rsidR="0028008F"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The concept of support for small and medium-sized enterprises for the period 2014 – 2020</w:t>
            </w:r>
          </w:p>
        </w:tc>
        <w:tc>
          <w:tcPr>
            <w:tcW w:w="1701" w:type="dxa"/>
          </w:tcPr>
          <w:p w:rsidR="0028008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28008F"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E55936"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National Action Plan of Corporate Social Responsibility</w:t>
            </w:r>
          </w:p>
        </w:tc>
        <w:tc>
          <w:tcPr>
            <w:tcW w:w="1701" w:type="dxa"/>
          </w:tcPr>
          <w:p w:rsidR="007656C9" w:rsidRPr="00E55936" w:rsidRDefault="00813467"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 xml:space="preserve">Concept of Foreign Policy of the Czech Republic </w:t>
            </w:r>
            <w:r w:rsidRPr="00E55936">
              <w:rPr>
                <w:sz w:val="18"/>
                <w:szCs w:val="18"/>
                <w:lang w:val="en-GB"/>
              </w:rPr>
              <w:lastRenderedPageBreak/>
              <w:t>(2011)</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lastRenderedPageBreak/>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MFA</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Security Strategy of the Czech Republic 2011</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MFA</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National Innovation Strategy 2012-2020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National Research, Development and Innovation Policy in 2009 - 2015with outlook to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State Environmental Policy of the Czech Republic for the period 2012-2020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Waste Management Plan of the Czech Republic 2014-2020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The concept of addressing flood protection in the Czech Republic with technical and nature-friendly measures (2010)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MoA</w:t>
            </w:r>
            <w:proofErr w:type="spellEnd"/>
            <w:r w:rsidR="007656C9" w:rsidRPr="00E55936">
              <w:rPr>
                <w:sz w:val="18"/>
                <w:szCs w:val="18"/>
                <w:lang w:val="en-GB"/>
              </w:rPr>
              <w:t xml:space="preserve">, </w:t>
            </w: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The concept for housing in the Czech Republic to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National Emission Reduction Programme of the Czech Republic (2007)</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E5593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Strategic Framework for Sustainable Development of the Czech Republic 2010-2030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5593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Government Energy Policy 2010-2030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917632"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917632" w:rsidRPr="00E55936" w:rsidRDefault="00917632" w:rsidP="00CF42BD">
            <w:pPr>
              <w:spacing w:before="40" w:after="40"/>
              <w:contextualSpacing/>
              <w:jc w:val="left"/>
              <w:rPr>
                <w:rFonts w:asciiTheme="minorHAnsi" w:hAnsiTheme="minorHAnsi"/>
                <w:sz w:val="18"/>
                <w:szCs w:val="18"/>
                <w:lang w:val="en-GB"/>
              </w:rPr>
            </w:pPr>
          </w:p>
        </w:tc>
        <w:tc>
          <w:tcPr>
            <w:tcW w:w="3969" w:type="dxa"/>
          </w:tcPr>
          <w:p w:rsidR="00917632" w:rsidRPr="00917632" w:rsidRDefault="00917632" w:rsidP="005F310F">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eastAsia="ArialNarrow" w:cstheme="minorHAnsi"/>
                <w:sz w:val="18"/>
                <w:szCs w:val="18"/>
                <w:lang w:val="en-GB"/>
              </w:rPr>
            </w:pPr>
            <w:r w:rsidRPr="00917632">
              <w:rPr>
                <w:rFonts w:eastAsia="ArialNarrow" w:cstheme="minorHAnsi"/>
                <w:sz w:val="18"/>
                <w:szCs w:val="18"/>
                <w:lang w:val="en-GB"/>
              </w:rPr>
              <w:t>Regional Development Strategy of the Czech Republic 2007-2013</w:t>
            </w:r>
          </w:p>
        </w:tc>
        <w:tc>
          <w:tcPr>
            <w:tcW w:w="1701"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917632"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917632" w:rsidRPr="00E55936" w:rsidRDefault="00917632" w:rsidP="00CF42BD">
            <w:pPr>
              <w:spacing w:before="40" w:after="40"/>
              <w:contextualSpacing/>
              <w:jc w:val="left"/>
              <w:rPr>
                <w:rFonts w:asciiTheme="minorHAnsi" w:hAnsiTheme="minorHAnsi"/>
                <w:sz w:val="18"/>
                <w:szCs w:val="18"/>
                <w:lang w:val="en-GB"/>
              </w:rPr>
            </w:pPr>
          </w:p>
        </w:tc>
        <w:tc>
          <w:tcPr>
            <w:tcW w:w="3969" w:type="dxa"/>
          </w:tcPr>
          <w:p w:rsidR="00917632" w:rsidRPr="00917632" w:rsidRDefault="00917632" w:rsidP="005F310F">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eastAsia="ArialNarrow" w:cstheme="minorHAnsi"/>
                <w:sz w:val="18"/>
                <w:szCs w:val="18"/>
                <w:lang w:val="en-GB"/>
              </w:rPr>
            </w:pPr>
            <w:r w:rsidRPr="00917632">
              <w:rPr>
                <w:rFonts w:eastAsia="ArialNarrow" w:cstheme="minorHAnsi"/>
                <w:sz w:val="18"/>
                <w:szCs w:val="18"/>
                <w:lang w:val="en-GB"/>
              </w:rPr>
              <w:t>Potential to reduce emissions in the Czech Republic to 2020</w:t>
            </w:r>
          </w:p>
        </w:tc>
        <w:tc>
          <w:tcPr>
            <w:tcW w:w="1701"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917632"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917632" w:rsidRPr="00E55936" w:rsidRDefault="00917632" w:rsidP="00CF42BD">
            <w:pPr>
              <w:spacing w:before="40" w:after="40"/>
              <w:contextualSpacing/>
              <w:jc w:val="left"/>
              <w:rPr>
                <w:rFonts w:asciiTheme="minorHAnsi" w:hAnsiTheme="minorHAnsi"/>
                <w:sz w:val="18"/>
                <w:szCs w:val="18"/>
                <w:lang w:val="en-GB"/>
              </w:rPr>
            </w:pPr>
          </w:p>
        </w:tc>
        <w:tc>
          <w:tcPr>
            <w:tcW w:w="3969" w:type="dxa"/>
          </w:tcPr>
          <w:p w:rsidR="00917632" w:rsidRPr="00917632" w:rsidRDefault="00917632" w:rsidP="005F310F">
            <w:pPr>
              <w:cnfStyle w:val="000000000000" w:firstRow="0" w:lastRow="0" w:firstColumn="0" w:lastColumn="0" w:oddVBand="0" w:evenVBand="0" w:oddHBand="0" w:evenHBand="0" w:firstRowFirstColumn="0" w:firstRowLastColumn="0" w:lastRowFirstColumn="0" w:lastRowLastColumn="0"/>
              <w:rPr>
                <w:rFonts w:cstheme="minorHAnsi"/>
                <w:sz w:val="18"/>
                <w:szCs w:val="18"/>
                <w:lang w:val="en-GB"/>
              </w:rPr>
            </w:pPr>
            <w:r w:rsidRPr="00917632">
              <w:rPr>
                <w:rFonts w:eastAsia="ArialNarrow" w:cstheme="minorHAnsi"/>
                <w:sz w:val="18"/>
                <w:szCs w:val="18"/>
                <w:lang w:val="en-GB"/>
              </w:rPr>
              <w:t>Waste Prevention Programme for the Czech Republic</w:t>
            </w:r>
          </w:p>
        </w:tc>
        <w:tc>
          <w:tcPr>
            <w:tcW w:w="1701"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917632" w:rsidRPr="00E55936" w:rsidRDefault="00917632"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rFonts w:cs="Times New Roman"/>
                <w:sz w:val="18"/>
                <w:szCs w:val="18"/>
                <w:lang w:val="en-GB"/>
              </w:rPr>
              <w:t>The Plan of Main Catchment Areas</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r w:rsidR="007656C9" w:rsidRPr="00E55936">
              <w:rPr>
                <w:sz w:val="18"/>
                <w:szCs w:val="18"/>
                <w:lang w:val="en-GB"/>
              </w:rPr>
              <w:t xml:space="preserve"> </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GB"/>
              </w:rPr>
            </w:pPr>
            <w:r>
              <w:rPr>
                <w:rFonts w:cs="Times New Roman"/>
                <w:sz w:val="18"/>
                <w:szCs w:val="18"/>
                <w:lang w:val="en-GB"/>
              </w:rPr>
              <w:t>Programme of Improving Air Quality</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r w:rsidR="007656C9" w:rsidRPr="00E55936">
              <w:rPr>
                <w:sz w:val="18"/>
                <w:szCs w:val="18"/>
                <w:lang w:val="en-GB"/>
              </w:rPr>
              <w:t xml:space="preserve"> </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917632">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GB"/>
              </w:rPr>
            </w:pPr>
            <w:r>
              <w:rPr>
                <w:rFonts w:cs="Times New Roman"/>
                <w:sz w:val="18"/>
                <w:szCs w:val="18"/>
                <w:lang w:val="en-GB"/>
              </w:rPr>
              <w:t>Medium-term Strategy</w:t>
            </w:r>
            <w:r w:rsidR="007656C9" w:rsidRPr="00E55936">
              <w:rPr>
                <w:rFonts w:cs="Times New Roman"/>
                <w:sz w:val="18"/>
                <w:szCs w:val="18"/>
                <w:lang w:val="en-GB"/>
              </w:rPr>
              <w:t xml:space="preserve"> (</w:t>
            </w:r>
            <w:r>
              <w:rPr>
                <w:rFonts w:cs="Times New Roman"/>
                <w:sz w:val="18"/>
                <w:szCs w:val="18"/>
                <w:lang w:val="en-GB"/>
              </w:rPr>
              <w:t>until</w:t>
            </w:r>
            <w:r w:rsidR="007656C9" w:rsidRPr="00E55936">
              <w:rPr>
                <w:rFonts w:cs="Times New Roman"/>
                <w:sz w:val="18"/>
                <w:szCs w:val="18"/>
                <w:lang w:val="en-GB"/>
              </w:rPr>
              <w:t xml:space="preserve"> 2020) </w:t>
            </w:r>
            <w:r>
              <w:rPr>
                <w:rFonts w:cs="Times New Roman"/>
                <w:sz w:val="18"/>
                <w:szCs w:val="18"/>
                <w:lang w:val="en-GB"/>
              </w:rPr>
              <w:t>for Improving the Quality of Air in the Czech Republic</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rFonts w:cs="Times New Roman"/>
                <w:color w:val="000000"/>
                <w:sz w:val="18"/>
                <w:szCs w:val="18"/>
                <w:lang w:val="en-GB"/>
              </w:rPr>
              <w:t>In preparation</w:t>
            </w:r>
            <w:r w:rsidR="007656C9" w:rsidRPr="00E55936">
              <w:rPr>
                <w:rFonts w:cs="Times New Roman"/>
                <w:color w:val="000000"/>
                <w:sz w:val="18"/>
                <w:szCs w:val="18"/>
                <w:lang w:val="en-GB"/>
              </w:rPr>
              <w:t xml:space="preserve"> </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GB"/>
              </w:rPr>
            </w:pPr>
            <w:r>
              <w:rPr>
                <w:rFonts w:cs="Times New Roman"/>
                <w:sz w:val="18"/>
                <w:szCs w:val="18"/>
                <w:lang w:val="en-GB"/>
              </w:rPr>
              <w:t>Climate Change Strategy in the Czech Republic</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val="en-GB"/>
              </w:rPr>
            </w:pPr>
            <w:r w:rsidRPr="00E55936">
              <w:rPr>
                <w:rFonts w:cs="Times New Roman"/>
                <w:color w:val="000000"/>
                <w:sz w:val="18"/>
                <w:szCs w:val="18"/>
                <w:lang w:val="en-GB"/>
              </w:rPr>
              <w:t>In preparation</w:t>
            </w:r>
            <w:r w:rsidR="007656C9" w:rsidRPr="00E55936">
              <w:rPr>
                <w:rFonts w:cs="Times New Roman"/>
                <w:color w:val="000000"/>
                <w:sz w:val="18"/>
                <w:szCs w:val="18"/>
                <w:lang w:val="en-GB"/>
              </w:rPr>
              <w:t xml:space="preserve"> </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4C5D15">
            <w:pPr>
              <w:spacing w:after="0"/>
              <w:jc w:val="left"/>
              <w:cnfStyle w:val="000000000000" w:firstRow="0" w:lastRow="0" w:firstColumn="0" w:lastColumn="0" w:oddVBand="0" w:evenVBand="0" w:oddHBand="0" w:evenHBand="0" w:firstRowFirstColumn="0" w:firstRowLastColumn="0" w:lastRowFirstColumn="0" w:lastRowLastColumn="0"/>
              <w:rPr>
                <w:lang w:val="en-GB"/>
              </w:rPr>
            </w:pPr>
            <w:r>
              <w:rPr>
                <w:rFonts w:cs="Times New Roman"/>
                <w:sz w:val="18"/>
                <w:szCs w:val="18"/>
                <w:lang w:val="en-GB"/>
              </w:rPr>
              <w:t>Climate Protection Policy in the Czech Republic</w:t>
            </w:r>
            <w:r w:rsidR="007656C9" w:rsidRPr="00E55936">
              <w:rPr>
                <w:rFonts w:cs="Times New Roman"/>
                <w:sz w:val="18"/>
                <w:szCs w:val="18"/>
                <w:lang w:val="en-GB"/>
              </w:rPr>
              <w:t xml:space="preserve"> 2009-2020</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val="en-GB"/>
              </w:rPr>
            </w:pPr>
            <w:r w:rsidRPr="00E55936">
              <w:rPr>
                <w:rFonts w:cs="Times New Roman"/>
                <w:color w:val="000000"/>
                <w:sz w:val="18"/>
                <w:szCs w:val="18"/>
                <w:lang w:val="en-GB"/>
              </w:rPr>
              <w:t>Approved</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17632"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GB"/>
              </w:rPr>
            </w:pPr>
            <w:r>
              <w:rPr>
                <w:rFonts w:cs="Times New Roman"/>
                <w:sz w:val="18"/>
                <w:szCs w:val="18"/>
                <w:lang w:val="en-GB"/>
              </w:rPr>
              <w:t>Strategy of Protection of Biodiversity</w:t>
            </w:r>
          </w:p>
        </w:tc>
        <w:tc>
          <w:tcPr>
            <w:tcW w:w="1701"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val="en-GB"/>
              </w:rPr>
            </w:pPr>
            <w:r w:rsidRPr="00E55936">
              <w:rPr>
                <w:rFonts w:cs="Times New Roman"/>
                <w:color w:val="000000"/>
                <w:sz w:val="18"/>
                <w:szCs w:val="18"/>
                <w:lang w:val="en-GB"/>
              </w:rPr>
              <w:t>In preparation</w:t>
            </w:r>
            <w:r w:rsidR="007656C9" w:rsidRPr="00E55936">
              <w:rPr>
                <w:rFonts w:cs="Times New Roman"/>
                <w:color w:val="000000"/>
                <w:sz w:val="18"/>
                <w:szCs w:val="18"/>
                <w:lang w:val="en-GB"/>
              </w:rPr>
              <w:t xml:space="preserve"> </w:t>
            </w:r>
          </w:p>
        </w:tc>
        <w:tc>
          <w:tcPr>
            <w:tcW w:w="958" w:type="dxa"/>
          </w:tcPr>
          <w:p w:rsidR="007656C9" w:rsidRPr="00E55936" w:rsidRDefault="00813467"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917632">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National Action Plan of the Czec</w:t>
            </w:r>
            <w:r>
              <w:rPr>
                <w:sz w:val="18"/>
                <w:szCs w:val="18"/>
                <w:lang w:val="en-GB"/>
              </w:rPr>
              <w:t>h Republic for Renewable Energy (</w:t>
            </w:r>
            <w:r w:rsidRPr="00917632">
              <w:rPr>
                <w:sz w:val="18"/>
                <w:szCs w:val="18"/>
                <w:lang w:val="en-GB"/>
              </w:rPr>
              <w:t>2012-2020)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Czech Republic’s Resource Policy</w:t>
            </w:r>
          </w:p>
          <w:p w:rsidR="007656C9" w:rsidRPr="00E55936" w:rsidRDefault="007656C9" w:rsidP="00917632">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 xml:space="preserve">(I. </w:t>
            </w:r>
            <w:r w:rsidR="00917632">
              <w:rPr>
                <w:sz w:val="18"/>
                <w:szCs w:val="18"/>
                <w:lang w:val="en-GB"/>
              </w:rPr>
              <w:t>Policy for primary resources ,</w:t>
            </w:r>
            <w:r w:rsidRPr="00E55936">
              <w:rPr>
                <w:sz w:val="18"/>
                <w:szCs w:val="18"/>
                <w:lang w:val="en-GB"/>
              </w:rPr>
              <w:t xml:space="preserve"> II. </w:t>
            </w:r>
            <w:r w:rsidR="00917632">
              <w:rPr>
                <w:sz w:val="18"/>
                <w:szCs w:val="18"/>
                <w:lang w:val="en-GB"/>
              </w:rPr>
              <w:t>Policy for secondary resources</w:t>
            </w:r>
            <w:r w:rsidRPr="00E55936">
              <w:rPr>
                <w:sz w:val="18"/>
                <w:szCs w:val="18"/>
                <w:lang w:val="en-GB"/>
              </w:rPr>
              <w:t>)</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917632">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The updated pr</w:t>
            </w:r>
            <w:r>
              <w:rPr>
                <w:sz w:val="18"/>
                <w:szCs w:val="18"/>
                <w:lang w:val="en-GB"/>
              </w:rPr>
              <w:t xml:space="preserve">ogramme of support for </w:t>
            </w:r>
            <w:r w:rsidRPr="00917632">
              <w:rPr>
                <w:sz w:val="18"/>
                <w:szCs w:val="18"/>
                <w:lang w:val="en-GB"/>
              </w:rPr>
              <w:t>en</w:t>
            </w:r>
            <w:r>
              <w:rPr>
                <w:sz w:val="18"/>
                <w:szCs w:val="18"/>
                <w:lang w:val="en-GB"/>
              </w:rPr>
              <w:t xml:space="preserve">vironmental technologies in the </w:t>
            </w:r>
            <w:r w:rsidRPr="00917632">
              <w:rPr>
                <w:sz w:val="18"/>
                <w:szCs w:val="18"/>
                <w:lang w:val="en-GB"/>
              </w:rPr>
              <w:t>Czech Republic (2009)</w:t>
            </w:r>
          </w:p>
        </w:tc>
        <w:tc>
          <w:tcPr>
            <w:tcW w:w="1701"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 xml:space="preserve"> </w:t>
            </w:r>
            <w:r w:rsidR="00813467"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Biomass Action Plan for the Czech Republic for the period 2012–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MoA</w:t>
            </w:r>
            <w:proofErr w:type="spellEnd"/>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Digitalisation of Cultural Content Strategy for the years 2013-2020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MK</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917632">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 xml:space="preserve">State policy in electronic communications </w:t>
            </w:r>
            <w:r>
              <w:rPr>
                <w:sz w:val="18"/>
                <w:szCs w:val="18"/>
                <w:lang w:val="en-GB"/>
              </w:rPr>
              <w:t xml:space="preserve">– Digital Czech Republic v. 2.0 </w:t>
            </w:r>
            <w:r w:rsidRPr="00917632">
              <w:rPr>
                <w:sz w:val="18"/>
                <w:szCs w:val="18"/>
                <w:lang w:val="en-GB"/>
              </w:rPr>
              <w:t>(Journey to the digital economy) 2013-2020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917632">
              <w:rPr>
                <w:sz w:val="18"/>
                <w:szCs w:val="18"/>
              </w:rPr>
              <w:t>Updated</w:t>
            </w:r>
            <w:proofErr w:type="spellEnd"/>
            <w:r w:rsidRPr="00917632">
              <w:rPr>
                <w:sz w:val="18"/>
                <w:szCs w:val="18"/>
              </w:rPr>
              <w:t xml:space="preserve"> </w:t>
            </w:r>
            <w:proofErr w:type="spellStart"/>
            <w:r w:rsidRPr="00917632">
              <w:rPr>
                <w:sz w:val="18"/>
                <w:szCs w:val="18"/>
              </w:rPr>
              <w:t>State</w:t>
            </w:r>
            <w:proofErr w:type="spellEnd"/>
            <w:r w:rsidRPr="00917632">
              <w:rPr>
                <w:sz w:val="18"/>
                <w:szCs w:val="18"/>
              </w:rPr>
              <w:t xml:space="preserve"> </w:t>
            </w:r>
            <w:proofErr w:type="spellStart"/>
            <w:r w:rsidRPr="00917632">
              <w:rPr>
                <w:sz w:val="18"/>
                <w:szCs w:val="18"/>
              </w:rPr>
              <w:t>Cultural</w:t>
            </w:r>
            <w:proofErr w:type="spellEnd"/>
            <w:r w:rsidRPr="00917632">
              <w:rPr>
                <w:sz w:val="18"/>
                <w:szCs w:val="18"/>
              </w:rPr>
              <w:t xml:space="preserve"> </w:t>
            </w:r>
            <w:proofErr w:type="spellStart"/>
            <w:r w:rsidRPr="00917632">
              <w:rPr>
                <w:sz w:val="18"/>
                <w:szCs w:val="18"/>
              </w:rPr>
              <w:t>Policy</w:t>
            </w:r>
            <w:proofErr w:type="spellEnd"/>
            <w:r w:rsidRPr="00917632">
              <w:rPr>
                <w:sz w:val="18"/>
                <w:szCs w:val="18"/>
              </w:rPr>
              <w:t xml:space="preserve"> </w:t>
            </w:r>
            <w:proofErr w:type="spellStart"/>
            <w:r w:rsidRPr="00917632">
              <w:rPr>
                <w:sz w:val="18"/>
                <w:szCs w:val="18"/>
              </w:rPr>
              <w:t>for</w:t>
            </w:r>
            <w:proofErr w:type="spellEnd"/>
            <w:r w:rsidRPr="00917632">
              <w:rPr>
                <w:sz w:val="18"/>
                <w:szCs w:val="18"/>
              </w:rPr>
              <w:t xml:space="preserve"> 2013 and 2014 </w:t>
            </w:r>
            <w:proofErr w:type="spellStart"/>
            <w:r w:rsidRPr="00917632">
              <w:rPr>
                <w:sz w:val="18"/>
                <w:szCs w:val="18"/>
              </w:rPr>
              <w:t>with</w:t>
            </w:r>
            <w:proofErr w:type="spellEnd"/>
            <w:r w:rsidRPr="00917632">
              <w:rPr>
                <w:sz w:val="18"/>
                <w:szCs w:val="18"/>
              </w:rPr>
              <w:t xml:space="preserve"> a </w:t>
            </w:r>
            <w:proofErr w:type="spellStart"/>
            <w:r w:rsidRPr="00917632">
              <w:rPr>
                <w:sz w:val="18"/>
                <w:szCs w:val="18"/>
              </w:rPr>
              <w:t>view</w:t>
            </w:r>
            <w:proofErr w:type="spellEnd"/>
            <w:r w:rsidRPr="00917632">
              <w:rPr>
                <w:sz w:val="18"/>
                <w:szCs w:val="18"/>
              </w:rPr>
              <w:t xml:space="preserve"> to 2015-2020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MK</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rPr>
              <w:t xml:space="preserve">Transport </w:t>
            </w:r>
            <w:proofErr w:type="spellStart"/>
            <w:r w:rsidRPr="00917632">
              <w:rPr>
                <w:sz w:val="18"/>
                <w:szCs w:val="18"/>
              </w:rPr>
              <w:t>Policy</w:t>
            </w:r>
            <w:proofErr w:type="spellEnd"/>
            <w:r w:rsidRPr="00917632">
              <w:rPr>
                <w:sz w:val="18"/>
                <w:szCs w:val="18"/>
              </w:rPr>
              <w:t xml:space="preserve"> </w:t>
            </w:r>
            <w:proofErr w:type="spellStart"/>
            <w:r w:rsidRPr="00917632">
              <w:rPr>
                <w:sz w:val="18"/>
                <w:szCs w:val="18"/>
              </w:rPr>
              <w:t>of</w:t>
            </w:r>
            <w:proofErr w:type="spellEnd"/>
            <w:r w:rsidRPr="00917632">
              <w:rPr>
                <w:sz w:val="18"/>
                <w:szCs w:val="18"/>
              </w:rPr>
              <w:t xml:space="preserve"> </w:t>
            </w:r>
            <w:proofErr w:type="spellStart"/>
            <w:r w:rsidRPr="00917632">
              <w:rPr>
                <w:sz w:val="18"/>
                <w:szCs w:val="18"/>
              </w:rPr>
              <w:t>the</w:t>
            </w:r>
            <w:proofErr w:type="spellEnd"/>
            <w:r w:rsidRPr="00917632">
              <w:rPr>
                <w:sz w:val="18"/>
                <w:szCs w:val="18"/>
              </w:rPr>
              <w:t xml:space="preserve"> Czech Republic 2005 – 2013</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917632">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Transport Policy of the Czech Republic for t</w:t>
            </w:r>
            <w:r>
              <w:rPr>
                <w:sz w:val="18"/>
                <w:szCs w:val="18"/>
                <w:lang w:val="en-GB"/>
              </w:rPr>
              <w:t xml:space="preserve">he period 2014-2020 with a view </w:t>
            </w:r>
            <w:r w:rsidRPr="00917632">
              <w:rPr>
                <w:sz w:val="18"/>
                <w:szCs w:val="18"/>
                <w:lang w:val="en-GB"/>
              </w:rPr>
              <w:t>to 2050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17632"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17632">
              <w:rPr>
                <w:sz w:val="18"/>
                <w:szCs w:val="18"/>
                <w:lang w:val="en-GB"/>
              </w:rPr>
              <w:t>Sector Transport Policy 2014-2020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The concept of national tourism policy in th</w:t>
            </w:r>
            <w:r>
              <w:rPr>
                <w:sz w:val="18"/>
                <w:szCs w:val="18"/>
                <w:lang w:val="en-GB"/>
              </w:rPr>
              <w:t xml:space="preserve">e Czech Republic for the period </w:t>
            </w:r>
            <w:r w:rsidRPr="009D5316">
              <w:rPr>
                <w:sz w:val="18"/>
                <w:szCs w:val="18"/>
                <w:lang w:val="en-GB"/>
              </w:rPr>
              <w:t>2014 –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Strategy for the Safety of Food</w:t>
            </w:r>
            <w:r w:rsidR="007656C9" w:rsidRPr="00E55936">
              <w:rPr>
                <w:sz w:val="18"/>
                <w:szCs w:val="18"/>
                <w:lang w:val="en-GB"/>
              </w:rPr>
              <w:t xml:space="preserve"> 2014 –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MoA</w:t>
            </w:r>
            <w:proofErr w:type="spellEnd"/>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D5316" w:rsidP="0023491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Multi-year National Action Plan for Aquaculture</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MoA</w:t>
            </w:r>
            <w:proofErr w:type="spellEnd"/>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E55936" w:rsidRDefault="007656C9" w:rsidP="00470F72">
            <w:pPr>
              <w:spacing w:before="40" w:after="40"/>
              <w:contextualSpacing/>
              <w:jc w:val="left"/>
              <w:rPr>
                <w:sz w:val="18"/>
                <w:szCs w:val="18"/>
                <w:lang w:val="en-GB"/>
              </w:rPr>
            </w:pPr>
            <w:r w:rsidRPr="00E55936">
              <w:rPr>
                <w:rFonts w:asciiTheme="minorHAnsi" w:hAnsiTheme="minorHAnsi"/>
                <w:sz w:val="18"/>
                <w:szCs w:val="18"/>
                <w:lang w:val="en-GB"/>
              </w:rPr>
              <w:t xml:space="preserve">4.3. </w:t>
            </w:r>
            <w:r w:rsidR="00470F72" w:rsidRPr="00E55936">
              <w:rPr>
                <w:rFonts w:asciiTheme="minorHAnsi" w:hAnsiTheme="minorHAnsi"/>
                <w:sz w:val="18"/>
                <w:szCs w:val="18"/>
                <w:lang w:val="en-GB"/>
              </w:rPr>
              <w:t>Functional labour market, education and social inclusion</w:t>
            </w:r>
          </w:p>
        </w:tc>
        <w:tc>
          <w:tcPr>
            <w:tcW w:w="3969" w:type="dxa"/>
          </w:tcPr>
          <w:p w:rsidR="007656C9" w:rsidRPr="00E55936" w:rsidRDefault="009D5316" w:rsidP="0023491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Employment Policy Strategy until</w:t>
            </w:r>
            <w:r w:rsidR="007656C9" w:rsidRPr="00E55936">
              <w:rPr>
                <w:sz w:val="18"/>
                <w:szCs w:val="18"/>
                <w:lang w:val="en-GB"/>
              </w:rPr>
              <w:t xml:space="preserve">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MPSV</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9D531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National Action Plan to support positive aging for the period 2013-2017</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MPSV</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9D5316">
              <w:rPr>
                <w:sz w:val="18"/>
                <w:szCs w:val="18"/>
              </w:rPr>
              <w:t>Strateg</w:t>
            </w:r>
            <w:r>
              <w:rPr>
                <w:sz w:val="18"/>
                <w:szCs w:val="18"/>
              </w:rPr>
              <w:t>y</w:t>
            </w:r>
            <w:proofErr w:type="spellEnd"/>
            <w:r>
              <w:rPr>
                <w:sz w:val="18"/>
                <w:szCs w:val="18"/>
              </w:rPr>
              <w:t xml:space="preserve"> </w:t>
            </w:r>
            <w:r w:rsidRPr="009D5316">
              <w:rPr>
                <w:sz w:val="18"/>
                <w:szCs w:val="18"/>
              </w:rPr>
              <w:t xml:space="preserve">to </w:t>
            </w:r>
            <w:proofErr w:type="spellStart"/>
            <w:r w:rsidRPr="009D5316">
              <w:rPr>
                <w:sz w:val="18"/>
                <w:szCs w:val="18"/>
              </w:rPr>
              <w:t>combat</w:t>
            </w:r>
            <w:proofErr w:type="spellEnd"/>
            <w:r w:rsidRPr="009D5316">
              <w:rPr>
                <w:sz w:val="18"/>
                <w:szCs w:val="18"/>
              </w:rPr>
              <w:t xml:space="preserve"> </w:t>
            </w:r>
            <w:proofErr w:type="spellStart"/>
            <w:r w:rsidRPr="009D5316">
              <w:rPr>
                <w:sz w:val="18"/>
                <w:szCs w:val="18"/>
              </w:rPr>
              <w:t>social</w:t>
            </w:r>
            <w:proofErr w:type="spellEnd"/>
            <w:r w:rsidRPr="009D5316">
              <w:rPr>
                <w:sz w:val="18"/>
                <w:szCs w:val="18"/>
              </w:rPr>
              <w:t xml:space="preserve"> </w:t>
            </w:r>
            <w:proofErr w:type="spellStart"/>
            <w:r w:rsidRPr="009D5316">
              <w:rPr>
                <w:sz w:val="18"/>
                <w:szCs w:val="18"/>
              </w:rPr>
              <w:t>exclusion</w:t>
            </w:r>
            <w:proofErr w:type="spellEnd"/>
            <w:r w:rsidRPr="009D5316">
              <w:rPr>
                <w:sz w:val="18"/>
                <w:szCs w:val="18"/>
              </w:rPr>
              <w:t xml:space="preserve"> </w:t>
            </w:r>
            <w:proofErr w:type="spellStart"/>
            <w:r w:rsidRPr="009D5316">
              <w:rPr>
                <w:sz w:val="18"/>
                <w:szCs w:val="18"/>
              </w:rPr>
              <w:t>for</w:t>
            </w:r>
            <w:proofErr w:type="spellEnd"/>
            <w:r w:rsidRPr="009D5316">
              <w:rPr>
                <w:sz w:val="18"/>
                <w:szCs w:val="18"/>
              </w:rPr>
              <w:t xml:space="preserve"> </w:t>
            </w:r>
            <w:proofErr w:type="spellStart"/>
            <w:r w:rsidRPr="009D5316">
              <w:rPr>
                <w:sz w:val="18"/>
                <w:szCs w:val="18"/>
              </w:rPr>
              <w:t>the</w:t>
            </w:r>
            <w:proofErr w:type="spellEnd"/>
            <w:r w:rsidRPr="009D5316">
              <w:rPr>
                <w:sz w:val="18"/>
                <w:szCs w:val="18"/>
              </w:rPr>
              <w:t xml:space="preserve"> period 2011-2015</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9D5316">
              <w:rPr>
                <w:sz w:val="18"/>
                <w:szCs w:val="18"/>
              </w:rPr>
              <w:t>National</w:t>
            </w:r>
            <w:proofErr w:type="spellEnd"/>
            <w:r w:rsidRPr="009D5316">
              <w:rPr>
                <w:sz w:val="18"/>
                <w:szCs w:val="18"/>
              </w:rPr>
              <w:t xml:space="preserve"> </w:t>
            </w:r>
            <w:proofErr w:type="spellStart"/>
            <w:r w:rsidRPr="009D5316">
              <w:rPr>
                <w:sz w:val="18"/>
                <w:szCs w:val="18"/>
              </w:rPr>
              <w:t>Financial</w:t>
            </w:r>
            <w:proofErr w:type="spellEnd"/>
            <w:r w:rsidRPr="009D5316">
              <w:rPr>
                <w:sz w:val="18"/>
                <w:szCs w:val="18"/>
              </w:rPr>
              <w:t xml:space="preserve"> </w:t>
            </w:r>
            <w:proofErr w:type="spellStart"/>
            <w:r w:rsidRPr="009D5316">
              <w:rPr>
                <w:sz w:val="18"/>
                <w:szCs w:val="18"/>
              </w:rPr>
              <w:t>Education</w:t>
            </w:r>
            <w:proofErr w:type="spellEnd"/>
            <w:r w:rsidRPr="009D5316">
              <w:rPr>
                <w:sz w:val="18"/>
                <w:szCs w:val="18"/>
              </w:rPr>
              <w:t xml:space="preserve"> </w:t>
            </w:r>
            <w:proofErr w:type="spellStart"/>
            <w:r w:rsidRPr="009D5316">
              <w:rPr>
                <w:sz w:val="18"/>
                <w:szCs w:val="18"/>
              </w:rPr>
              <w:t>Strategy</w:t>
            </w:r>
            <w:proofErr w:type="spellEnd"/>
            <w:r w:rsidRPr="009D5316">
              <w:rPr>
                <w:sz w:val="18"/>
                <w:szCs w:val="18"/>
              </w:rPr>
              <w:t xml:space="preserve"> (2010-2015)</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MF</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Social Inclusion Strategy 2014 –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MLSA</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National Plan for Equal Opportunitie</w:t>
            </w:r>
            <w:r>
              <w:rPr>
                <w:sz w:val="18"/>
                <w:szCs w:val="18"/>
                <w:lang w:val="en-GB"/>
              </w:rPr>
              <w:t xml:space="preserve">s for Persons with Disabilities </w:t>
            </w:r>
            <w:r w:rsidRPr="009D5316">
              <w:rPr>
                <w:sz w:val="18"/>
                <w:szCs w:val="18"/>
                <w:lang w:val="en-GB"/>
              </w:rPr>
              <w:t>2010 – 2014</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Housing Concept until</w:t>
            </w:r>
            <w:r w:rsidR="007656C9" w:rsidRPr="00E55936">
              <w:rPr>
                <w:sz w:val="18"/>
                <w:szCs w:val="18"/>
                <w:lang w:val="en-GB"/>
              </w:rPr>
              <w:t xml:space="preserve">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Educational Policy Strategy of the Czech Republic to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In preparation</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MŠMT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 xml:space="preserve">Long-term Plan for Education and Development of </w:t>
            </w:r>
            <w:r>
              <w:rPr>
                <w:sz w:val="18"/>
                <w:szCs w:val="18"/>
                <w:lang w:val="en-GB"/>
              </w:rPr>
              <w:t xml:space="preserve">the Education System of the </w:t>
            </w:r>
            <w:r w:rsidRPr="009D5316">
              <w:rPr>
                <w:sz w:val="18"/>
                <w:szCs w:val="18"/>
                <w:lang w:val="en-GB"/>
              </w:rPr>
              <w:t>Czech Republic</w:t>
            </w:r>
            <w:r>
              <w:rPr>
                <w:sz w:val="18"/>
                <w:szCs w:val="18"/>
                <w:lang w:val="en-GB"/>
              </w:rPr>
              <w:t xml:space="preserve"> 2011-2015</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MŠMT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 xml:space="preserve">Action Plan to Support Vocational Education and Training </w:t>
            </w:r>
            <w:r w:rsidR="007656C9" w:rsidRPr="00E55936">
              <w:rPr>
                <w:sz w:val="18"/>
                <w:szCs w:val="18"/>
                <w:lang w:val="en-GB"/>
              </w:rPr>
              <w:t>(2008-2015)</w:t>
            </w:r>
            <w:r>
              <w:rPr>
                <w:sz w:val="18"/>
                <w:szCs w:val="18"/>
                <w:lang w:val="en-GB"/>
              </w:rPr>
              <w:t xml:space="preserve"> </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MŠMT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 xml:space="preserve">Lifelong Learning Strategy </w:t>
            </w:r>
            <w:r w:rsidR="007656C9" w:rsidRPr="00E55936">
              <w:rPr>
                <w:sz w:val="18"/>
                <w:szCs w:val="18"/>
                <w:lang w:val="en-GB"/>
              </w:rPr>
              <w:t>(2007-2015)</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MOEYS</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 xml:space="preserve">Concept of integration of foreigners </w:t>
            </w:r>
            <w:r w:rsidR="007656C9" w:rsidRPr="00E55936">
              <w:rPr>
                <w:sz w:val="18"/>
                <w:szCs w:val="18"/>
                <w:lang w:val="en-GB"/>
              </w:rPr>
              <w:t>(2011)</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Strategic Framework for Sustainable De</w:t>
            </w:r>
            <w:r>
              <w:rPr>
                <w:sz w:val="18"/>
                <w:szCs w:val="18"/>
                <w:lang w:val="en-GB"/>
              </w:rPr>
              <w:t xml:space="preserve">velopment in the Czech Republic </w:t>
            </w:r>
            <w:r w:rsidRPr="009D5316">
              <w:rPr>
                <w:sz w:val="18"/>
                <w:szCs w:val="18"/>
                <w:lang w:val="en-GB"/>
              </w:rPr>
              <w:t>2010-2030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D5316"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Strategy of the Reform of Psychiatric Care</w:t>
            </w:r>
          </w:p>
        </w:tc>
        <w:tc>
          <w:tcPr>
            <w:tcW w:w="1701" w:type="dxa"/>
          </w:tcPr>
          <w:p w:rsidR="007656C9" w:rsidRPr="00E55936" w:rsidRDefault="00813467"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MoH</w:t>
            </w:r>
            <w:proofErr w:type="spellEnd"/>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9D5316" w:rsidP="009D5316">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Health</w:t>
            </w:r>
            <w:r w:rsidR="007656C9" w:rsidRPr="00E55936">
              <w:rPr>
                <w:sz w:val="18"/>
                <w:szCs w:val="18"/>
                <w:lang w:val="en-GB"/>
              </w:rPr>
              <w:t xml:space="preserve"> 2020 –</w:t>
            </w:r>
            <w:r>
              <w:rPr>
                <w:sz w:val="18"/>
                <w:szCs w:val="18"/>
                <w:lang w:val="en-GB"/>
              </w:rPr>
              <w:t xml:space="preserve"> National Strategy of Protection and Support of Health and Disease Prevention</w:t>
            </w:r>
            <w:r w:rsidR="007656C9" w:rsidRPr="00E55936">
              <w:rPr>
                <w:sz w:val="18"/>
                <w:szCs w:val="18"/>
                <w:lang w:val="en-GB"/>
              </w:rPr>
              <w:t xml:space="preserve"> </w:t>
            </w:r>
          </w:p>
        </w:tc>
        <w:tc>
          <w:tcPr>
            <w:tcW w:w="1701" w:type="dxa"/>
          </w:tcPr>
          <w:p w:rsidR="007656C9" w:rsidRPr="00E55936" w:rsidRDefault="00813467"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MoH</w:t>
            </w:r>
            <w:proofErr w:type="spellEnd"/>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E55936" w:rsidRDefault="007656C9" w:rsidP="00470F72">
            <w:pPr>
              <w:spacing w:before="40" w:after="40"/>
              <w:contextualSpacing/>
              <w:jc w:val="left"/>
              <w:rPr>
                <w:rFonts w:asciiTheme="minorHAnsi" w:hAnsiTheme="minorHAnsi"/>
                <w:sz w:val="18"/>
                <w:szCs w:val="18"/>
                <w:lang w:val="en-GB"/>
              </w:rPr>
            </w:pPr>
            <w:r w:rsidRPr="00E55936">
              <w:rPr>
                <w:rFonts w:asciiTheme="minorHAnsi" w:hAnsiTheme="minorHAnsi"/>
                <w:sz w:val="18"/>
                <w:szCs w:val="18"/>
                <w:lang w:val="en-GB"/>
              </w:rPr>
              <w:t xml:space="preserve">4.4. </w:t>
            </w:r>
            <w:r w:rsidR="00470F72" w:rsidRPr="00E55936">
              <w:rPr>
                <w:rFonts w:asciiTheme="minorHAnsi" w:hAnsiTheme="minorHAnsi"/>
                <w:sz w:val="18"/>
                <w:szCs w:val="18"/>
                <w:lang w:val="en-GB"/>
              </w:rPr>
              <w:t>Growth based on research and innovation</w:t>
            </w: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Intelligent Specialization Strategy</w:t>
            </w:r>
            <w:r w:rsidR="007656C9" w:rsidRPr="00E55936">
              <w:rPr>
                <w:sz w:val="18"/>
                <w:szCs w:val="18"/>
                <w:lang w:val="en-GB"/>
              </w:rPr>
              <w:t xml:space="preserve"> 2014-2020 </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Pending approval</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MOEYS</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National priorities for oriented res</w:t>
            </w:r>
            <w:r>
              <w:rPr>
                <w:sz w:val="18"/>
                <w:szCs w:val="18"/>
                <w:lang w:val="en-GB"/>
              </w:rPr>
              <w:t xml:space="preserve">earch, experimental development </w:t>
            </w:r>
            <w:r w:rsidRPr="009D5316">
              <w:rPr>
                <w:sz w:val="18"/>
                <w:szCs w:val="18"/>
                <w:lang w:val="en-GB"/>
              </w:rPr>
              <w:t xml:space="preserve">and innovation </w:t>
            </w:r>
            <w:r w:rsidR="007656C9" w:rsidRPr="00E55936">
              <w:rPr>
                <w:sz w:val="18"/>
                <w:szCs w:val="18"/>
                <w:lang w:val="en-GB"/>
              </w:rPr>
              <w:t>(2012-2030)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OG</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National Research, Development and Innovati</w:t>
            </w:r>
            <w:r>
              <w:rPr>
                <w:sz w:val="18"/>
                <w:szCs w:val="18"/>
                <w:lang w:val="en-GB"/>
              </w:rPr>
              <w:t xml:space="preserve">on Policy of the Czech Republic </w:t>
            </w:r>
            <w:r w:rsidRPr="009D5316">
              <w:rPr>
                <w:sz w:val="18"/>
                <w:szCs w:val="18"/>
                <w:lang w:val="en-GB"/>
              </w:rPr>
              <w:t>for the period 2009-2015 with a view to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RVVI</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9D5316">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The concept of support for small and medium-s</w:t>
            </w:r>
            <w:r>
              <w:rPr>
                <w:sz w:val="18"/>
                <w:szCs w:val="18"/>
                <w:lang w:val="en-GB"/>
              </w:rPr>
              <w:t xml:space="preserve">ized enterprises for the period </w:t>
            </w:r>
            <w:r w:rsidRPr="009D5316">
              <w:rPr>
                <w:sz w:val="18"/>
                <w:szCs w:val="18"/>
                <w:lang w:val="en-GB"/>
              </w:rPr>
              <w:t>2014 - 2020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9D5316"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9D5316">
              <w:rPr>
                <w:sz w:val="18"/>
                <w:szCs w:val="18"/>
                <w:lang w:val="en-GB"/>
              </w:rPr>
              <w:t>National Innovation Strategy of the Czech Republic 2012-2020</w:t>
            </w:r>
          </w:p>
        </w:tc>
        <w:tc>
          <w:tcPr>
            <w:tcW w:w="1701"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MIT</w:t>
            </w:r>
            <w:r w:rsidR="007656C9" w:rsidRPr="00E55936">
              <w:rPr>
                <w:sz w:val="18"/>
                <w:szCs w:val="18"/>
                <w:lang w:val="en-GB"/>
              </w:rPr>
              <w:t xml:space="preserve">, </w:t>
            </w:r>
            <w:r w:rsidRPr="00E55936">
              <w:rPr>
                <w:sz w:val="18"/>
                <w:szCs w:val="18"/>
                <w:lang w:val="en-GB"/>
              </w:rPr>
              <w:t>MOEYS</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E55936" w:rsidRDefault="007656C9" w:rsidP="00092242">
            <w:pPr>
              <w:spacing w:before="40" w:after="40"/>
              <w:contextualSpacing/>
              <w:jc w:val="left"/>
              <w:rPr>
                <w:rFonts w:asciiTheme="minorHAnsi" w:hAnsiTheme="minorHAnsi"/>
                <w:sz w:val="18"/>
                <w:szCs w:val="18"/>
                <w:lang w:val="en-GB"/>
              </w:rPr>
            </w:pPr>
            <w:r w:rsidRPr="00E55936">
              <w:rPr>
                <w:rFonts w:asciiTheme="minorHAnsi" w:hAnsiTheme="minorHAnsi"/>
                <w:sz w:val="18"/>
                <w:szCs w:val="18"/>
                <w:lang w:val="en-GB"/>
              </w:rPr>
              <w:t xml:space="preserve">5. </w:t>
            </w:r>
            <w:r w:rsidR="00092242" w:rsidRPr="00E55936">
              <w:rPr>
                <w:rFonts w:asciiTheme="minorHAnsi" w:hAnsiTheme="minorHAnsi"/>
                <w:sz w:val="18"/>
                <w:szCs w:val="18"/>
                <w:lang w:val="en-GB"/>
              </w:rPr>
              <w:t>Implementation of the cohesion policy programmes and the use of European Structural and Investment Funds as tools for the implementation of the Europe 2020 priorities</w:t>
            </w:r>
          </w:p>
        </w:tc>
        <w:tc>
          <w:tcPr>
            <w:tcW w:w="3969" w:type="dxa"/>
          </w:tcPr>
          <w:p w:rsidR="007656C9" w:rsidRPr="00E55936" w:rsidRDefault="00E471C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471C7">
              <w:rPr>
                <w:sz w:val="18"/>
                <w:szCs w:val="18"/>
                <w:lang w:val="en-GB"/>
              </w:rPr>
              <w:t>National Strategic Reference Framework of the Czech Republic 2007 – 2013</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sz w:val="18"/>
                <w:szCs w:val="18"/>
                <w:lang w:val="en-GB"/>
              </w:rPr>
            </w:pPr>
          </w:p>
        </w:tc>
        <w:tc>
          <w:tcPr>
            <w:tcW w:w="3969" w:type="dxa"/>
          </w:tcPr>
          <w:p w:rsidR="007656C9" w:rsidRPr="00E55936" w:rsidRDefault="00E471C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471C7">
              <w:rPr>
                <w:sz w:val="18"/>
                <w:szCs w:val="18"/>
                <w:lang w:val="en-GB"/>
              </w:rPr>
              <w:t>Partnership Agreement 2014-2020</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471C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471C7">
              <w:rPr>
                <w:sz w:val="18"/>
                <w:szCs w:val="18"/>
                <w:lang w:val="en-GB"/>
              </w:rPr>
              <w:t>Regional Development Strategy of the Czech Republic for 2014-2020</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471C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471C7">
              <w:rPr>
                <w:sz w:val="18"/>
                <w:szCs w:val="18"/>
                <w:lang w:val="en-GB"/>
              </w:rPr>
              <w:t>Spatial Territorial Development Policy of the Czech Republic 2008</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p>
        </w:tc>
        <w:tc>
          <w:tcPr>
            <w:tcW w:w="958"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MLD</w:t>
            </w:r>
          </w:p>
        </w:tc>
      </w:tr>
      <w:tr w:rsidR="007656C9" w:rsidRPr="00E55936"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E55936" w:rsidRDefault="007656C9" w:rsidP="00CF42BD">
            <w:pPr>
              <w:spacing w:before="40" w:after="40"/>
              <w:contextualSpacing/>
              <w:jc w:val="left"/>
              <w:rPr>
                <w:rFonts w:asciiTheme="minorHAnsi" w:hAnsiTheme="minorHAnsi"/>
                <w:sz w:val="18"/>
                <w:szCs w:val="18"/>
                <w:lang w:val="en-GB"/>
              </w:rPr>
            </w:pPr>
          </w:p>
        </w:tc>
        <w:tc>
          <w:tcPr>
            <w:tcW w:w="3969" w:type="dxa"/>
          </w:tcPr>
          <w:p w:rsidR="007656C9" w:rsidRPr="00E55936" w:rsidRDefault="00E471C7" w:rsidP="00E471C7">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471C7">
              <w:rPr>
                <w:sz w:val="18"/>
                <w:szCs w:val="18"/>
                <w:lang w:val="en-GB"/>
              </w:rPr>
              <w:t>Strategies for growth – Czech Agricu</w:t>
            </w:r>
            <w:r>
              <w:rPr>
                <w:sz w:val="18"/>
                <w:szCs w:val="18"/>
                <w:lang w:val="en-GB"/>
              </w:rPr>
              <w:t xml:space="preserve">lture and Food under the Common </w:t>
            </w:r>
            <w:r w:rsidRPr="00E471C7">
              <w:rPr>
                <w:sz w:val="18"/>
                <w:szCs w:val="18"/>
                <w:lang w:val="en-GB"/>
              </w:rPr>
              <w:t>Agricultural Policy after 2013</w:t>
            </w:r>
          </w:p>
        </w:tc>
        <w:tc>
          <w:tcPr>
            <w:tcW w:w="1701"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r w:rsidRPr="00E55936">
              <w:rPr>
                <w:sz w:val="18"/>
                <w:szCs w:val="18"/>
                <w:lang w:val="en-GB"/>
              </w:rPr>
              <w:t>Approved</w:t>
            </w:r>
            <w:r w:rsidR="007656C9" w:rsidRPr="00E55936">
              <w:rPr>
                <w:sz w:val="18"/>
                <w:szCs w:val="18"/>
                <w:lang w:val="en-GB"/>
              </w:rPr>
              <w:t xml:space="preserve"> </w:t>
            </w:r>
          </w:p>
        </w:tc>
        <w:tc>
          <w:tcPr>
            <w:tcW w:w="958" w:type="dxa"/>
          </w:tcPr>
          <w:p w:rsidR="007656C9" w:rsidRPr="00E55936" w:rsidRDefault="00813467"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55936">
              <w:rPr>
                <w:sz w:val="18"/>
                <w:szCs w:val="18"/>
                <w:lang w:val="en-GB"/>
              </w:rPr>
              <w:t>MoA</w:t>
            </w:r>
            <w:proofErr w:type="spellEnd"/>
          </w:p>
        </w:tc>
      </w:tr>
    </w:tbl>
    <w:p w:rsidR="009426D4" w:rsidRPr="007A1B09" w:rsidRDefault="009426D4" w:rsidP="009426D4">
      <w:pPr>
        <w:rPr>
          <w:lang w:val="en-GB"/>
        </w:rPr>
      </w:pPr>
    </w:p>
    <w:p w:rsidR="009426D4" w:rsidRPr="007A1B09" w:rsidRDefault="009426D4" w:rsidP="009426D4">
      <w:pPr>
        <w:rPr>
          <w:lang w:val="en-GB"/>
        </w:rPr>
      </w:pPr>
    </w:p>
    <w:p w:rsidR="00D0158A" w:rsidRPr="007A1B09" w:rsidRDefault="00D0158A" w:rsidP="009426D4">
      <w:pPr>
        <w:rPr>
          <w:lang w:val="en-GB"/>
        </w:rPr>
      </w:pPr>
    </w:p>
    <w:sectPr w:rsidR="00D0158A" w:rsidRPr="007A1B09" w:rsidSect="005A0B08">
      <w:headerReference w:type="even" r:id="rId27"/>
      <w:headerReference w:type="default" r:id="rId28"/>
      <w:footerReference w:type="even" r:id="rId29"/>
      <w:footerReference w:type="default" r:id="rId30"/>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2" w:author="M27" w:date="2014-04-23T16:14:00Z" w:initials="M27">
    <w:p w:rsidR="00323F83" w:rsidRDefault="00323F83">
      <w:pPr>
        <w:pStyle w:val="Textkomente"/>
      </w:pPr>
      <w:r>
        <w:rPr>
          <w:rStyle w:val="Odkaznakoment"/>
        </w:rPr>
        <w:annotationRef/>
      </w:r>
      <w:r>
        <w:t>Změněno ve finální verzi.</w:t>
      </w:r>
    </w:p>
  </w:comment>
  <w:comment w:id="63" w:author="M27" w:date="2014-04-23T16:14:00Z" w:initials="M27">
    <w:p w:rsidR="00323F83" w:rsidRDefault="00323F83">
      <w:pPr>
        <w:pStyle w:val="Textkomente"/>
      </w:pPr>
      <w:r>
        <w:rPr>
          <w:rStyle w:val="Odkaznakoment"/>
        </w:rPr>
        <w:annotationRef/>
      </w:r>
      <w:r>
        <w:t>Změna ve finální verzi.</w:t>
      </w:r>
    </w:p>
  </w:comment>
  <w:comment w:id="64" w:author="M27" w:date="2014-04-23T16:14:00Z" w:initials="M27">
    <w:p w:rsidR="00323F83" w:rsidRDefault="00323F83">
      <w:pPr>
        <w:pStyle w:val="Textkomente"/>
      </w:pPr>
      <w:r>
        <w:rPr>
          <w:rStyle w:val="Odkaznakoment"/>
        </w:rPr>
        <w:annotationRef/>
      </w:r>
      <w:r>
        <w:t>Změna ve finální verzi.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C6F" w:rsidRDefault="00220C6F" w:rsidP="00946869">
      <w:pPr>
        <w:spacing w:after="0"/>
      </w:pPr>
      <w:r>
        <w:separator/>
      </w:r>
    </w:p>
  </w:endnote>
  <w:endnote w:type="continuationSeparator" w:id="0">
    <w:p w:rsidR="00220C6F" w:rsidRDefault="00220C6F" w:rsidP="009468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Narrow">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08" w:rsidRPr="00052508" w:rsidRDefault="00323F83" w:rsidP="00052508">
    <w:pPr>
      <w:pStyle w:val="Nadpis5"/>
      <w:jc w:val="center"/>
      <w:rPr>
        <w:sz w:val="18"/>
        <w:lang w:val="en-GB"/>
      </w:rPr>
    </w:pPr>
    <w:sdt>
      <w:sdtPr>
        <w:rPr>
          <w:sz w:val="18"/>
          <w:lang w:val="en-GB"/>
        </w:rPr>
        <w:alias w:val="Název"/>
        <w:id w:val="405572260"/>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AE5C15">
          <w:rPr>
            <w:sz w:val="18"/>
          </w:rPr>
          <w:t>National</w:t>
        </w:r>
        <w:proofErr w:type="spellEnd"/>
        <w:r w:rsidR="00AE5C15">
          <w:rPr>
            <w:sz w:val="18"/>
          </w:rPr>
          <w:t xml:space="preserve"> </w:t>
        </w:r>
        <w:proofErr w:type="spellStart"/>
        <w:r w:rsidR="00AE5C15">
          <w:rPr>
            <w:sz w:val="18"/>
          </w:rPr>
          <w:t>Reform</w:t>
        </w:r>
        <w:proofErr w:type="spellEnd"/>
        <w:r w:rsidR="00AE5C15">
          <w:rPr>
            <w:sz w:val="18"/>
          </w:rPr>
          <w:t xml:space="preserve"> </w:t>
        </w:r>
        <w:proofErr w:type="spellStart"/>
        <w:r w:rsidR="00AE5C15">
          <w:rPr>
            <w:sz w:val="18"/>
          </w:rPr>
          <w:t>Programme</w:t>
        </w:r>
        <w:proofErr w:type="spellEnd"/>
        <w:r w:rsidR="00AE5C15">
          <w:rPr>
            <w:sz w:val="18"/>
          </w:rPr>
          <w:t xml:space="preserve"> </w:t>
        </w:r>
        <w:proofErr w:type="spellStart"/>
        <w:r w:rsidR="00AE5C15">
          <w:rPr>
            <w:sz w:val="18"/>
          </w:rPr>
          <w:t>of</w:t>
        </w:r>
        <w:proofErr w:type="spellEnd"/>
        <w:r w:rsidR="00AE5C15">
          <w:rPr>
            <w:sz w:val="18"/>
          </w:rPr>
          <w:t xml:space="preserve"> </w:t>
        </w:r>
        <w:proofErr w:type="spellStart"/>
        <w:r w:rsidR="00AE5C15">
          <w:rPr>
            <w:sz w:val="18"/>
          </w:rPr>
          <w:t>the</w:t>
        </w:r>
        <w:proofErr w:type="spellEnd"/>
        <w:r w:rsidR="00AE5C15">
          <w:rPr>
            <w:sz w:val="18"/>
          </w:rPr>
          <w:t xml:space="preserve"> Czech Republic</w:t>
        </w:r>
      </w:sdtContent>
    </w:sdt>
  </w:p>
  <w:p w:rsidR="00E55936" w:rsidRPr="009565F1" w:rsidRDefault="00052508" w:rsidP="00052508">
    <w:pPr>
      <w:pStyle w:val="Nadpis5"/>
      <w:rPr>
        <w:sz w:val="18"/>
      </w:rPr>
    </w:pPr>
    <w:r w:rsidRPr="00052508">
      <w:rPr>
        <w:sz w:val="18"/>
      </w:rPr>
      <w:t xml:space="preserve"> </w:t>
    </w:r>
    <w:r w:rsidR="00E55936" w:rsidRPr="009565F1">
      <w:rPr>
        <w:sz w:val="18"/>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08" w:rsidRPr="00052508" w:rsidRDefault="00323F83" w:rsidP="00052508">
    <w:pPr>
      <w:pStyle w:val="Nadpis5"/>
      <w:jc w:val="center"/>
      <w:rPr>
        <w:sz w:val="18"/>
        <w:lang w:val="en-GB"/>
      </w:rPr>
    </w:pPr>
    <w:sdt>
      <w:sdtPr>
        <w:rPr>
          <w:sz w:val="18"/>
          <w:lang w:val="en-GB"/>
        </w:rPr>
        <w:alias w:val="Název"/>
        <w:id w:val="-553784699"/>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AE5C15">
          <w:rPr>
            <w:sz w:val="18"/>
          </w:rPr>
          <w:t>National</w:t>
        </w:r>
        <w:proofErr w:type="spellEnd"/>
        <w:r w:rsidR="00AE5C15">
          <w:rPr>
            <w:sz w:val="18"/>
          </w:rPr>
          <w:t xml:space="preserve"> </w:t>
        </w:r>
        <w:proofErr w:type="spellStart"/>
        <w:r w:rsidR="00AE5C15">
          <w:rPr>
            <w:sz w:val="18"/>
          </w:rPr>
          <w:t>Reform</w:t>
        </w:r>
        <w:proofErr w:type="spellEnd"/>
        <w:r w:rsidR="00AE5C15">
          <w:rPr>
            <w:sz w:val="18"/>
          </w:rPr>
          <w:t xml:space="preserve"> </w:t>
        </w:r>
        <w:proofErr w:type="spellStart"/>
        <w:r w:rsidR="00AE5C15">
          <w:rPr>
            <w:sz w:val="18"/>
          </w:rPr>
          <w:t>Programme</w:t>
        </w:r>
        <w:proofErr w:type="spellEnd"/>
        <w:r w:rsidR="00AE5C15">
          <w:rPr>
            <w:sz w:val="18"/>
          </w:rPr>
          <w:t xml:space="preserve"> </w:t>
        </w:r>
        <w:proofErr w:type="spellStart"/>
        <w:r w:rsidR="00AE5C15">
          <w:rPr>
            <w:sz w:val="18"/>
          </w:rPr>
          <w:t>of</w:t>
        </w:r>
        <w:proofErr w:type="spellEnd"/>
        <w:r w:rsidR="00AE5C15">
          <w:rPr>
            <w:sz w:val="18"/>
          </w:rPr>
          <w:t xml:space="preserve"> </w:t>
        </w:r>
        <w:proofErr w:type="spellStart"/>
        <w:r w:rsidR="00AE5C15">
          <w:rPr>
            <w:sz w:val="18"/>
          </w:rPr>
          <w:t>the</w:t>
        </w:r>
        <w:proofErr w:type="spellEnd"/>
        <w:r w:rsidR="00AE5C15">
          <w:rPr>
            <w:sz w:val="18"/>
          </w:rPr>
          <w:t xml:space="preserve"> Czech Republic</w:t>
        </w:r>
      </w:sdtContent>
    </w:sdt>
  </w:p>
  <w:p w:rsidR="00E55936" w:rsidRPr="009565F1" w:rsidRDefault="00052508" w:rsidP="00052508">
    <w:pPr>
      <w:pStyle w:val="Nadpis5"/>
      <w:rPr>
        <w:sz w:val="18"/>
      </w:rPr>
    </w:pPr>
    <w:r w:rsidRPr="00052508">
      <w:rPr>
        <w:sz w:val="18"/>
      </w:rPr>
      <w:t xml:space="preserve"> </w:t>
    </w:r>
    <w:r w:rsidR="00E55936" w:rsidRPr="009565F1">
      <w:rPr>
        <w:sz w:val="18"/>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C6F" w:rsidRDefault="00220C6F" w:rsidP="00946869">
      <w:pPr>
        <w:spacing w:after="0"/>
      </w:pPr>
      <w:r>
        <w:separator/>
      </w:r>
    </w:p>
  </w:footnote>
  <w:footnote w:type="continuationSeparator" w:id="0">
    <w:p w:rsidR="00220C6F" w:rsidRDefault="00220C6F" w:rsidP="00946869">
      <w:pPr>
        <w:spacing w:after="0"/>
      </w:pPr>
      <w:r>
        <w:continuationSeparator/>
      </w:r>
    </w:p>
  </w:footnote>
  <w:footnote w:id="1">
    <w:p w:rsidR="00E55936" w:rsidRPr="00944852" w:rsidRDefault="00E55936" w:rsidP="00B5563B">
      <w:pPr>
        <w:pStyle w:val="Textpoznpodarou"/>
        <w:rPr>
          <w:lang w:val="en-GB"/>
        </w:rPr>
      </w:pPr>
      <w:r w:rsidRPr="00944852">
        <w:rPr>
          <w:rStyle w:val="Znakapoznpodarou"/>
          <w:lang w:val="en-GB"/>
        </w:rPr>
        <w:footnoteRef/>
      </w:r>
      <w:r w:rsidRPr="00944852">
        <w:rPr>
          <w:lang w:val="en-GB"/>
        </w:rPr>
        <w:t xml:space="preserve"> </w:t>
      </w:r>
      <w:proofErr w:type="gramStart"/>
      <w:r w:rsidRPr="00944852">
        <w:rPr>
          <w:lang w:val="en-GB"/>
        </w:rPr>
        <w:t>Predicted by Eurostat as well as by national demographic institutions</w:t>
      </w:r>
      <w:r>
        <w:rPr>
          <w:lang w:val="en-GB"/>
        </w:rPr>
        <w:t>.</w:t>
      </w:r>
      <w:proofErr w:type="gramEnd"/>
    </w:p>
  </w:footnote>
  <w:footnote w:id="2">
    <w:p w:rsidR="00E55936" w:rsidRPr="003E5208" w:rsidRDefault="00E55936" w:rsidP="00000E3F">
      <w:pPr>
        <w:pStyle w:val="Textpoznpodarou"/>
        <w:rPr>
          <w:lang w:val="en-GB"/>
        </w:rPr>
      </w:pPr>
      <w:r w:rsidRPr="003E5208">
        <w:rPr>
          <w:rStyle w:val="Znakapoznpodarou"/>
          <w:lang w:val="en-GB"/>
        </w:rPr>
        <w:footnoteRef/>
      </w:r>
      <w:r w:rsidRPr="003E5208">
        <w:rPr>
          <w:lang w:val="en-GB"/>
        </w:rPr>
        <w:t xml:space="preserve"> As of 31.12.2013 the pre-pensions were paid to 274 persons, i.e. an annual expenditure of ca. 1 bn</w:t>
      </w:r>
      <w:r>
        <w:rPr>
          <w:lang w:val="en-GB"/>
        </w:rPr>
        <w:t>.</w:t>
      </w:r>
      <w:r w:rsidRPr="003E5208">
        <w:rPr>
          <w:lang w:val="en-GB"/>
        </w:rPr>
        <w:t xml:space="preserve"> CZK.</w:t>
      </w:r>
    </w:p>
  </w:footnote>
  <w:footnote w:id="3">
    <w:p w:rsidR="00E55936" w:rsidRPr="003E5208" w:rsidRDefault="00E55936" w:rsidP="00000E3F">
      <w:pPr>
        <w:pStyle w:val="Textpoznpodarou"/>
        <w:rPr>
          <w:lang w:val="en-US"/>
        </w:rPr>
      </w:pPr>
      <w:r w:rsidRPr="003E5208">
        <w:rPr>
          <w:rStyle w:val="Znakapoznpodarou"/>
          <w:lang w:val="en-GB"/>
        </w:rPr>
        <w:footnoteRef/>
      </w:r>
      <w:r w:rsidRPr="003E5208">
        <w:rPr>
          <w:lang w:val="en-GB"/>
        </w:rPr>
        <w:t xml:space="preserve"> It will be necessary to amend the Act No. 280/1992 Coll. on Departmental, </w:t>
      </w:r>
      <w:proofErr w:type="spellStart"/>
      <w:r w:rsidRPr="003E5208">
        <w:rPr>
          <w:lang w:val="en-GB"/>
        </w:rPr>
        <w:t>Sectoral</w:t>
      </w:r>
      <w:proofErr w:type="spellEnd"/>
      <w:r w:rsidRPr="003E5208">
        <w:rPr>
          <w:lang w:val="en-GB"/>
        </w:rPr>
        <w:t>, Company and Other Health Insurance and Act No. 551/1991 Coll. n the General Health Insurance Company of the Czech Republic</w:t>
      </w:r>
    </w:p>
  </w:footnote>
  <w:footnote w:id="4">
    <w:p w:rsidR="00E55936" w:rsidRPr="00475B99" w:rsidRDefault="00E55936" w:rsidP="00000E3F">
      <w:pPr>
        <w:pStyle w:val="Textpoznpodarou"/>
        <w:rPr>
          <w:lang w:val="en-US"/>
        </w:rPr>
      </w:pPr>
      <w:r>
        <w:rPr>
          <w:rStyle w:val="Znakapoznpodarou"/>
        </w:rPr>
        <w:footnoteRef/>
      </w:r>
      <w:r>
        <w:t xml:space="preserve"> </w:t>
      </w:r>
      <w:r>
        <w:rPr>
          <w:lang w:val="en-US"/>
        </w:rPr>
        <w:t>The authorization will have to be embedded in the amendment to the Act No. 372/2011 Coll. on Health Services</w:t>
      </w:r>
    </w:p>
  </w:footnote>
  <w:footnote w:id="5">
    <w:p w:rsidR="00E55936" w:rsidRPr="005F6605" w:rsidRDefault="00E55936" w:rsidP="00000E3F">
      <w:pPr>
        <w:pStyle w:val="Textpoznpodarou"/>
        <w:rPr>
          <w:lang w:val="en-US"/>
        </w:rPr>
      </w:pPr>
      <w:r>
        <w:rPr>
          <w:rStyle w:val="Znakapoznpodarou"/>
        </w:rPr>
        <w:footnoteRef/>
      </w:r>
      <w:r>
        <w:t xml:space="preserve"> 26 016 in 2012</w:t>
      </w:r>
    </w:p>
  </w:footnote>
  <w:footnote w:id="6">
    <w:p w:rsidR="00E55936" w:rsidRPr="005F6605" w:rsidRDefault="00E55936" w:rsidP="00000E3F">
      <w:pPr>
        <w:pStyle w:val="Textpoznpodarou"/>
        <w:rPr>
          <w:lang w:val="en-US"/>
        </w:rPr>
      </w:pPr>
      <w:r>
        <w:rPr>
          <w:rStyle w:val="Znakapoznpodarou"/>
        </w:rPr>
        <w:footnoteRef/>
      </w:r>
      <w:r>
        <w:t xml:space="preserve"> 11 380 in 2012</w:t>
      </w:r>
    </w:p>
  </w:footnote>
  <w:footnote w:id="7">
    <w:p w:rsidR="00E55936" w:rsidRPr="005F6605" w:rsidRDefault="00E55936" w:rsidP="00000E3F">
      <w:pPr>
        <w:pStyle w:val="Textpoznpodarou"/>
        <w:rPr>
          <w:lang w:val="en-US"/>
        </w:rPr>
      </w:pPr>
      <w:r>
        <w:rPr>
          <w:rStyle w:val="Znakapoznpodarou"/>
        </w:rPr>
        <w:footnoteRef/>
      </w:r>
      <w:r>
        <w:t xml:space="preserve"> 12 833 in 2012</w:t>
      </w:r>
    </w:p>
  </w:footnote>
  <w:footnote w:id="8">
    <w:p w:rsidR="00E55936" w:rsidRPr="00EF3FA2" w:rsidRDefault="00E55936" w:rsidP="00000E3F">
      <w:pPr>
        <w:pStyle w:val="Textpoznpodarou"/>
        <w:rPr>
          <w:lang w:val="en-US"/>
        </w:rPr>
      </w:pPr>
      <w:r>
        <w:rPr>
          <w:rStyle w:val="Znakapoznpodarou"/>
        </w:rPr>
        <w:footnoteRef/>
      </w:r>
      <w:r>
        <w:t xml:space="preserve"> </w:t>
      </w:r>
      <w:r w:rsidRPr="00EF3FA2">
        <w:rPr>
          <w:lang w:val="en-GB"/>
        </w:rPr>
        <w:t>Equal opportunities of women and men in the labour market and the harmonizing of work and family life</w:t>
      </w:r>
    </w:p>
  </w:footnote>
  <w:footnote w:id="9">
    <w:p w:rsidR="00E55936" w:rsidRPr="00FA703A" w:rsidRDefault="00E55936" w:rsidP="00000E3F">
      <w:pPr>
        <w:pStyle w:val="Textpoznpodarou"/>
        <w:rPr>
          <w:lang w:val="en-US"/>
        </w:rPr>
      </w:pPr>
      <w:r>
        <w:rPr>
          <w:rStyle w:val="Znakapoznpodarou"/>
        </w:rPr>
        <w:footnoteRef/>
      </w:r>
      <w:r>
        <w:t xml:space="preserve"> </w:t>
      </w:r>
      <w:r>
        <w:rPr>
          <w:lang w:val="en-US"/>
        </w:rPr>
        <w:t xml:space="preserve">The </w:t>
      </w:r>
      <w:r w:rsidRPr="00FA703A">
        <w:rPr>
          <w:lang w:val="en-US"/>
        </w:rPr>
        <w:t>directive of the European Parliament and of the Council</w:t>
      </w:r>
      <w:r>
        <w:rPr>
          <w:lang w:val="en-US"/>
        </w:rPr>
        <w:t xml:space="preserve"> on procurement (so-called classical directive) </w:t>
      </w:r>
      <w:r w:rsidRPr="00FA703A">
        <w:rPr>
          <w:lang w:val="en-US"/>
        </w:rPr>
        <w:t>directive of the European Parliament and of the Council on procurement by entities operating in the water, energy, transport and postal services sectors</w:t>
      </w:r>
      <w:r>
        <w:rPr>
          <w:lang w:val="en-US"/>
        </w:rPr>
        <w:t xml:space="preserve"> (sector directive), d</w:t>
      </w:r>
      <w:r w:rsidRPr="00FA703A">
        <w:rPr>
          <w:lang w:val="en-US"/>
        </w:rPr>
        <w:t>irective of the European Parliament and of the Council on the award of concession contracts</w:t>
      </w:r>
      <w:r>
        <w:rPr>
          <w:lang w:val="en-US"/>
        </w:rPr>
        <w:t xml:space="preserve"> (concession directive)</w:t>
      </w:r>
    </w:p>
  </w:footnote>
  <w:footnote w:id="10">
    <w:p w:rsidR="00E55936" w:rsidRPr="00A6420D" w:rsidRDefault="00E55936" w:rsidP="0016667B">
      <w:pPr>
        <w:pStyle w:val="Textpoznpodarou"/>
        <w:rPr>
          <w:lang w:val="en-US"/>
        </w:rPr>
      </w:pPr>
      <w:r>
        <w:rPr>
          <w:rStyle w:val="Znakapoznpodarou"/>
        </w:rPr>
        <w:footnoteRef/>
      </w:r>
      <w:r>
        <w:t xml:space="preserve"> </w:t>
      </w:r>
      <w:r>
        <w:rPr>
          <w:lang w:val="en-US"/>
        </w:rPr>
        <w:t xml:space="preserve">Preferential loans for house owners are provided within the </w:t>
      </w:r>
      <w:proofErr w:type="spellStart"/>
      <w:r>
        <w:rPr>
          <w:lang w:val="en-US"/>
        </w:rPr>
        <w:t>programme</w:t>
      </w:r>
      <w:proofErr w:type="spellEnd"/>
      <w:r>
        <w:rPr>
          <w:lang w:val="en-US"/>
        </w:rPr>
        <w:t xml:space="preserve"> until the end of 2015 for the purpose of reconstruction and modernization of houses and to provide modern social housing by revitalizing current buildings in the so-called deprived zones in 41 towns across the Czech Republic, which have prepared their IPRM for the 2007-2014 </w:t>
      </w:r>
      <w:proofErr w:type="gramStart"/>
      <w:r>
        <w:rPr>
          <w:lang w:val="en-US"/>
        </w:rPr>
        <w:t>period</w:t>
      </w:r>
      <w:proofErr w:type="gramEnd"/>
      <w:r>
        <w:rPr>
          <w:lang w:val="en-US"/>
        </w:rPr>
        <w:t>.</w:t>
      </w:r>
    </w:p>
  </w:footnote>
  <w:footnote w:id="11">
    <w:p w:rsidR="00E55936" w:rsidRPr="002A644D" w:rsidRDefault="00E55936" w:rsidP="0016667B">
      <w:pPr>
        <w:pStyle w:val="Textpoznpodarou"/>
        <w:rPr>
          <w:lang w:val="en-US"/>
        </w:rPr>
      </w:pPr>
      <w:r>
        <w:rPr>
          <w:rStyle w:val="Znakapoznpodarou"/>
        </w:rPr>
        <w:footnoteRef/>
      </w:r>
      <w:r>
        <w:t xml:space="preserve"> </w:t>
      </w:r>
      <w:r>
        <w:rPr>
          <w:lang w:val="en-US"/>
        </w:rPr>
        <w:t>A thorough analysis will be concluded to determine the setting of the financial engineering tools, based on which it shall be apparent into which specific measures, be it general or specific measures for energetic efficiency, these tools should be channeled.</w:t>
      </w:r>
    </w:p>
  </w:footnote>
  <w:footnote w:id="12">
    <w:p w:rsidR="00E55936" w:rsidRPr="00076FDB" w:rsidRDefault="00E55936" w:rsidP="0016667B">
      <w:pPr>
        <w:pStyle w:val="Textpoznpodarou"/>
        <w:rPr>
          <w:lang w:val="en-US"/>
        </w:rPr>
      </w:pPr>
      <w:r>
        <w:rPr>
          <w:rStyle w:val="Znakapoznpodarou"/>
        </w:rPr>
        <w:footnoteRef/>
      </w:r>
      <w:r>
        <w:t xml:space="preserve"> </w:t>
      </w:r>
      <w:r>
        <w:rPr>
          <w:lang w:val="en-US"/>
        </w:rPr>
        <w:t xml:space="preserve">Allocation of 1 bn. CZK from the State Environmental Fund </w:t>
      </w:r>
    </w:p>
  </w:footnote>
  <w:footnote w:id="13">
    <w:p w:rsidR="00E55936" w:rsidRPr="008E2B64" w:rsidRDefault="00E55936" w:rsidP="0016667B">
      <w:pPr>
        <w:pStyle w:val="Textpoznpodarou"/>
        <w:rPr>
          <w:lang w:val="en-US"/>
        </w:rPr>
      </w:pPr>
      <w:r>
        <w:rPr>
          <w:rStyle w:val="Znakapoznpodarou"/>
        </w:rPr>
        <w:footnoteRef/>
      </w:r>
      <w:r>
        <w:t xml:space="preserve"> </w:t>
      </w:r>
      <w:proofErr w:type="gramStart"/>
      <w:r>
        <w:rPr>
          <w:lang w:val="en-US"/>
        </w:rPr>
        <w:t>Allocation of 1 900 mil.</w:t>
      </w:r>
      <w:proofErr w:type="gramEnd"/>
      <w:r>
        <w:rPr>
          <w:lang w:val="en-US"/>
        </w:rPr>
        <w:t xml:space="preserve"> CZK (this amount is already included in the budget expenditures and the source is the share in the income from the sale of EUA emission allowances in 2013)</w:t>
      </w:r>
    </w:p>
  </w:footnote>
  <w:footnote w:id="14">
    <w:p w:rsidR="00E55936" w:rsidRPr="007F5450" w:rsidRDefault="00E55936" w:rsidP="0016667B">
      <w:pPr>
        <w:pStyle w:val="Textpoznpodarou"/>
        <w:rPr>
          <w:lang w:val="en-US"/>
        </w:rPr>
      </w:pPr>
      <w:r>
        <w:rPr>
          <w:rStyle w:val="Znakapoznpodarou"/>
        </w:rPr>
        <w:footnoteRef/>
      </w:r>
      <w:r>
        <w:t xml:space="preserve"> </w:t>
      </w:r>
      <w:r>
        <w:rPr>
          <w:lang w:val="en-US"/>
        </w:rPr>
        <w:t xml:space="preserve">Government Regulation No. 468/2012 Coll., on the Use of the </w:t>
      </w:r>
      <w:r w:rsidRPr="00177F0B">
        <w:rPr>
          <w:rFonts w:ascii="Calibri" w:eastAsia="Times New Roman" w:hAnsi="Calibri" w:cs="Calibri"/>
          <w:color w:val="000000"/>
          <w:lang w:val="en-GB" w:eastAsia="cs-CZ"/>
        </w:rPr>
        <w:t>State Housing Development Fund</w:t>
      </w:r>
    </w:p>
  </w:footnote>
  <w:footnote w:id="15">
    <w:p w:rsidR="00E55936" w:rsidRPr="002D6619" w:rsidRDefault="00E55936" w:rsidP="0016667B">
      <w:pPr>
        <w:pStyle w:val="Textpoznpodarou"/>
        <w:rPr>
          <w:lang w:val="en-US"/>
        </w:rPr>
      </w:pPr>
      <w:r>
        <w:rPr>
          <w:rStyle w:val="Znakapoznpodarou"/>
        </w:rPr>
        <w:footnoteRef/>
      </w:r>
      <w:r>
        <w:t xml:space="preserve"> </w:t>
      </w:r>
      <w:r>
        <w:rPr>
          <w:lang w:val="en-US"/>
        </w:rPr>
        <w:t>Government Regulation No. 284/2011 Coll., Government Regulation No. 468/2012 Coll.,</w:t>
      </w:r>
      <w:r w:rsidRPr="002D6619">
        <w:rPr>
          <w:lang w:val="en-US"/>
        </w:rPr>
        <w:t xml:space="preserve"> </w:t>
      </w:r>
      <w:r>
        <w:rPr>
          <w:lang w:val="en-US"/>
        </w:rPr>
        <w:t>Government Regulation No. 369/2001 Coll.,</w:t>
      </w:r>
      <w:r w:rsidRPr="002D6619">
        <w:rPr>
          <w:lang w:val="en-US"/>
        </w:rPr>
        <w:t xml:space="preserve"> </w:t>
      </w:r>
      <w:r>
        <w:rPr>
          <w:lang w:val="en-US"/>
        </w:rPr>
        <w:t>Government Regulation No. 28/2006 Coll.,</w:t>
      </w:r>
    </w:p>
  </w:footnote>
  <w:footnote w:id="16">
    <w:p w:rsidR="00E55936" w:rsidRPr="00195AC1" w:rsidRDefault="00E55936" w:rsidP="0059270B">
      <w:pPr>
        <w:pStyle w:val="Textpoznpodarou"/>
        <w:rPr>
          <w:lang w:val="en-US"/>
        </w:rPr>
      </w:pPr>
      <w:r>
        <w:rPr>
          <w:rStyle w:val="Znakapoznpodarou"/>
        </w:rPr>
        <w:footnoteRef/>
      </w:r>
      <w:r>
        <w:t xml:space="preserve"> </w:t>
      </w:r>
      <w:r>
        <w:rPr>
          <w:lang w:val="en-US"/>
        </w:rPr>
        <w:t>The current state of the national goals is the result of the Government Resolution No. 271 of 11</w:t>
      </w:r>
      <w:r w:rsidRPr="00195AC1">
        <w:rPr>
          <w:vertAlign w:val="superscript"/>
          <w:lang w:val="en-US"/>
        </w:rPr>
        <w:t>th</w:t>
      </w:r>
      <w:r>
        <w:rPr>
          <w:lang w:val="en-US"/>
        </w:rPr>
        <w:t xml:space="preserve"> April.</w:t>
      </w:r>
    </w:p>
  </w:footnote>
  <w:footnote w:id="17">
    <w:p w:rsidR="00E55936" w:rsidRDefault="00E55936">
      <w:pPr>
        <w:pStyle w:val="Textpoznpodarou"/>
      </w:pPr>
      <w:r>
        <w:rPr>
          <w:rStyle w:val="Znakapoznpodarou"/>
        </w:rPr>
        <w:footnoteRef/>
      </w:r>
      <w:r>
        <w:t xml:space="preserve"> </w:t>
      </w:r>
      <w:r w:rsidRPr="0059270B">
        <w:rPr>
          <w:lang w:val="en-GB"/>
        </w:rPr>
        <w:t xml:space="preserve">The data in the table show status: employment as of 1.10.2013, fight against poverty and social exclusion </w:t>
      </w:r>
      <w:r>
        <w:rPr>
          <w:lang w:val="en-GB"/>
        </w:rPr>
        <w:t>as of</w:t>
      </w:r>
      <w:r w:rsidRPr="0059270B">
        <w:rPr>
          <w:lang w:val="en-GB"/>
        </w:rPr>
        <w:t xml:space="preserve"> 31.12.2012, </w:t>
      </w:r>
      <w:r>
        <w:rPr>
          <w:lang w:val="en-GB"/>
        </w:rPr>
        <w:t>education as of</w:t>
      </w:r>
      <w:r w:rsidRPr="0059270B">
        <w:rPr>
          <w:lang w:val="en-GB"/>
        </w:rPr>
        <w:t xml:space="preserve"> 31.12.2013, </w:t>
      </w:r>
      <w:r>
        <w:rPr>
          <w:lang w:val="en-GB"/>
        </w:rPr>
        <w:t>business environment as of</w:t>
      </w:r>
      <w:r w:rsidRPr="0059270B">
        <w:rPr>
          <w:lang w:val="en-GB"/>
        </w:rPr>
        <w:t xml:space="preserve"> 31.12.2013, </w:t>
      </w:r>
      <w:r>
        <w:rPr>
          <w:lang w:val="en-GB"/>
        </w:rPr>
        <w:t>R&amp;D as of</w:t>
      </w:r>
      <w:r w:rsidRPr="0059270B">
        <w:rPr>
          <w:lang w:val="en-GB"/>
        </w:rPr>
        <w:t xml:space="preserve"> 2013. </w:t>
      </w:r>
      <w:r>
        <w:rPr>
          <w:lang w:val="en-GB"/>
        </w:rPr>
        <w:t>R&amp;D expenditures are listed including those covered by income from the EU and Norway/EEA Financial Mechanism</w:t>
      </w:r>
      <w:r w:rsidRPr="0059270B">
        <w:rPr>
          <w:lang w:val="en-GB"/>
        </w:rPr>
        <w:t>.</w:t>
      </w:r>
    </w:p>
  </w:footnote>
  <w:footnote w:id="18">
    <w:p w:rsidR="00E55936" w:rsidRPr="00435EB0" w:rsidRDefault="00E55936">
      <w:pPr>
        <w:pStyle w:val="Textpoznpodarou"/>
        <w:rPr>
          <w:lang w:val="en-GB"/>
        </w:rPr>
      </w:pPr>
      <w:r>
        <w:rPr>
          <w:rStyle w:val="Znakapoznpodarou"/>
        </w:rPr>
        <w:footnoteRef/>
      </w:r>
      <w:r>
        <w:t xml:space="preserve"> </w:t>
      </w:r>
      <w:r w:rsidRPr="00435EB0">
        <w:rPr>
          <w:lang w:val="en-GB"/>
        </w:rPr>
        <w:t xml:space="preserve">For 2013 these are educated guesses of predicted values, CSO and Eurostat have not yet published the </w:t>
      </w:r>
      <w:r>
        <w:rPr>
          <w:lang w:val="en-GB"/>
        </w:rPr>
        <w:t>data.</w:t>
      </w:r>
    </w:p>
  </w:footnote>
  <w:footnote w:id="19">
    <w:p w:rsidR="00E55936" w:rsidRDefault="00E55936" w:rsidP="00A91E1E">
      <w:pPr>
        <w:pStyle w:val="Textpoznpodarou"/>
      </w:pPr>
      <w:r w:rsidRPr="00435EB0">
        <w:rPr>
          <w:rStyle w:val="Znakapoznpodarou"/>
          <w:lang w:val="en-GB"/>
        </w:rPr>
        <w:footnoteRef/>
      </w:r>
      <w:r w:rsidRPr="00435EB0">
        <w:rPr>
          <w:lang w:val="en-GB"/>
        </w:rPr>
        <w:t xml:space="preserve"> For 2013 these are educated guesses of predicted values, CSO and Eurostat have not yet published the </w:t>
      </w:r>
      <w:r>
        <w:rPr>
          <w:lang w:val="en-GB"/>
        </w:rPr>
        <w:t>data(with the exception of youth unemployment rate)</w:t>
      </w:r>
    </w:p>
  </w:footnote>
  <w:footnote w:id="20">
    <w:p w:rsidR="00E55936" w:rsidRPr="00183837" w:rsidRDefault="00E55936" w:rsidP="00D3500C">
      <w:pPr>
        <w:pStyle w:val="Textpoznpodarou"/>
        <w:rPr>
          <w:lang w:val="en-US"/>
        </w:rPr>
      </w:pPr>
      <w:r>
        <w:rPr>
          <w:rStyle w:val="Znakapoznpodarou"/>
        </w:rPr>
        <w:footnoteRef/>
      </w:r>
      <w:r>
        <w:t xml:space="preserve"> </w:t>
      </w:r>
      <w:r>
        <w:rPr>
          <w:lang w:val="en-US"/>
        </w:rPr>
        <w:t>Including expenditures covered by income from EU and the EEA/Norway Financial Mechanism.</w:t>
      </w:r>
    </w:p>
  </w:footnote>
  <w:footnote w:id="21">
    <w:p w:rsidR="00E55936" w:rsidRPr="006D6966" w:rsidRDefault="00E55936" w:rsidP="00C8311B">
      <w:pPr>
        <w:pStyle w:val="Textpoznpodarou"/>
        <w:rPr>
          <w:lang w:val="en-US"/>
        </w:rPr>
      </w:pPr>
      <w:r>
        <w:rPr>
          <w:rStyle w:val="Znakapoznpodarou"/>
        </w:rPr>
        <w:footnoteRef/>
      </w:r>
      <w:r>
        <w:t xml:space="preserve"> </w:t>
      </w:r>
      <w:r>
        <w:rPr>
          <w:lang w:val="en-US"/>
        </w:rPr>
        <w:t>The measure is also a part of the Strategy of Combatting Corruption for 2013 and 2014.</w:t>
      </w:r>
    </w:p>
  </w:footnote>
  <w:footnote w:id="22">
    <w:p w:rsidR="00E55936" w:rsidRPr="00F92267" w:rsidRDefault="00E55936" w:rsidP="00C8311B">
      <w:pPr>
        <w:pStyle w:val="Textpoznpodarou"/>
        <w:rPr>
          <w:lang w:val="en-US"/>
        </w:rPr>
      </w:pPr>
      <w:r>
        <w:rPr>
          <w:rStyle w:val="Znakapoznpodarou"/>
        </w:rPr>
        <w:footnoteRef/>
      </w:r>
      <w:r>
        <w:t xml:space="preserve"> </w:t>
      </w:r>
      <w:r>
        <w:rPr>
          <w:lang w:val="en-US"/>
        </w:rPr>
        <w:t xml:space="preserve">In the last two years the Commission’s contribution has been reflected among others in the similar percentage of returned RIA of draft laws for additional work, where e.g. in 2013 this share was 74% of discussed final RIA reports (69) with a varying degree of severity of the comments. </w:t>
      </w:r>
    </w:p>
  </w:footnote>
  <w:footnote w:id="23">
    <w:p w:rsidR="00E55936" w:rsidRPr="00F747FE" w:rsidRDefault="00E55936" w:rsidP="00D04D6E">
      <w:pPr>
        <w:pStyle w:val="Textpoznpodarou"/>
        <w:rPr>
          <w:lang w:val="en-US"/>
        </w:rPr>
      </w:pPr>
      <w:r>
        <w:rPr>
          <w:rStyle w:val="Znakapoznpodarou"/>
        </w:rPr>
        <w:footnoteRef/>
      </w:r>
      <w:r>
        <w:t xml:space="preserve"> </w:t>
      </w:r>
      <w:r>
        <w:rPr>
          <w:lang w:val="en-GB"/>
        </w:rPr>
        <w:t>1. I</w:t>
      </w:r>
      <w:r w:rsidRPr="00F747FE">
        <w:rPr>
          <w:lang w:val="en-GB"/>
        </w:rPr>
        <w:t xml:space="preserve">mproving business environment, development </w:t>
      </w:r>
      <w:r>
        <w:rPr>
          <w:lang w:val="en-GB"/>
        </w:rPr>
        <w:t xml:space="preserve">of </w:t>
      </w:r>
      <w:r w:rsidRPr="00F747FE">
        <w:rPr>
          <w:lang w:val="en-GB"/>
        </w:rPr>
        <w:t xml:space="preserve">advisory services and </w:t>
      </w:r>
      <w:r>
        <w:rPr>
          <w:lang w:val="en-GB"/>
        </w:rPr>
        <w:t>education</w:t>
      </w:r>
      <w:r w:rsidRPr="00F747FE">
        <w:rPr>
          <w:lang w:val="en-GB"/>
        </w:rPr>
        <w:t xml:space="preserve"> for entrepreneurship; 2</w:t>
      </w:r>
      <w:r>
        <w:rPr>
          <w:lang w:val="en-GB"/>
        </w:rPr>
        <w:t>.</w:t>
      </w:r>
      <w:r w:rsidRPr="00F747FE">
        <w:rPr>
          <w:lang w:val="en-GB"/>
        </w:rPr>
        <w:t xml:space="preserve"> </w:t>
      </w:r>
      <w:r>
        <w:rPr>
          <w:lang w:val="en-GB"/>
        </w:rPr>
        <w:t>D</w:t>
      </w:r>
      <w:r w:rsidRPr="00F747FE">
        <w:rPr>
          <w:lang w:val="en-GB"/>
        </w:rPr>
        <w:t>evelopment</w:t>
      </w:r>
      <w:r>
        <w:rPr>
          <w:lang w:val="en-GB"/>
        </w:rPr>
        <w:t xml:space="preserve"> of businesses</w:t>
      </w:r>
      <w:r w:rsidRPr="00F747FE">
        <w:rPr>
          <w:lang w:val="en-GB"/>
        </w:rPr>
        <w:t xml:space="preserve"> based on the support of research, development and innovation, including innovation and business infrastructure; 3</w:t>
      </w:r>
      <w:r>
        <w:rPr>
          <w:lang w:val="en-GB"/>
        </w:rPr>
        <w:t>.</w:t>
      </w:r>
      <w:r w:rsidRPr="00F747FE">
        <w:rPr>
          <w:lang w:val="en-GB"/>
        </w:rPr>
        <w:t xml:space="preserve"> </w:t>
      </w:r>
      <w:proofErr w:type="gramStart"/>
      <w:r w:rsidRPr="00F747FE">
        <w:rPr>
          <w:lang w:val="en-GB"/>
        </w:rPr>
        <w:t>Support</w:t>
      </w:r>
      <w:r>
        <w:rPr>
          <w:lang w:val="en-GB"/>
        </w:rPr>
        <w:t xml:space="preserve"> of the internationalization </w:t>
      </w:r>
      <w:r w:rsidRPr="00F747FE">
        <w:rPr>
          <w:lang w:val="en-GB"/>
        </w:rPr>
        <w:t>of SME</w:t>
      </w:r>
      <w:r>
        <w:rPr>
          <w:lang w:val="en-GB"/>
        </w:rPr>
        <w:t>; 4.</w:t>
      </w:r>
      <w:proofErr w:type="gramEnd"/>
      <w:r w:rsidRPr="00F747FE">
        <w:rPr>
          <w:lang w:val="en-GB"/>
        </w:rPr>
        <w:t xml:space="preserve"> </w:t>
      </w:r>
      <w:proofErr w:type="gramStart"/>
      <w:r w:rsidRPr="00F747FE">
        <w:rPr>
          <w:lang w:val="en-GB"/>
        </w:rPr>
        <w:t>Sustainable energy development and energy innovation</w:t>
      </w:r>
      <w:r>
        <w:rPr>
          <w:lang w:val="en-GB"/>
        </w:rPr>
        <w:t>.</w:t>
      </w:r>
      <w:proofErr w:type="gramEnd"/>
    </w:p>
  </w:footnote>
  <w:footnote w:id="24">
    <w:p w:rsidR="00E55936" w:rsidRPr="00CD5865" w:rsidRDefault="00E55936" w:rsidP="00D04D6E">
      <w:pPr>
        <w:pStyle w:val="Textpoznpodarou"/>
        <w:rPr>
          <w:lang w:val="en-US"/>
        </w:rPr>
      </w:pPr>
      <w:r>
        <w:rPr>
          <w:rStyle w:val="Znakapoznpodarou"/>
        </w:rPr>
        <w:footnoteRef/>
      </w:r>
      <w:r>
        <w:t xml:space="preserve"> </w:t>
      </w:r>
      <w:r>
        <w:rPr>
          <w:lang w:val="en-US"/>
        </w:rPr>
        <w:t>The aim is to ensure the speed 30Mbit/s by 2020 for all inhabitants and 100 Mbit/s for at least half of the households.</w:t>
      </w:r>
    </w:p>
  </w:footnote>
  <w:footnote w:id="25">
    <w:p w:rsidR="00E55936" w:rsidRPr="00CD5865" w:rsidRDefault="00E55936" w:rsidP="00D04D6E">
      <w:pPr>
        <w:pStyle w:val="Textpoznpodarou"/>
        <w:rPr>
          <w:lang w:val="en-US"/>
        </w:rPr>
      </w:pPr>
      <w:r>
        <w:rPr>
          <w:rStyle w:val="Znakapoznpodarou"/>
        </w:rPr>
        <w:footnoteRef/>
      </w:r>
      <w:r>
        <w:t xml:space="preserve"> </w:t>
      </w:r>
      <w:r>
        <w:rPr>
          <w:lang w:val="en-US"/>
        </w:rPr>
        <w:t>The measures will be included in the Strategy of Radio Spectrum Administration</w:t>
      </w:r>
    </w:p>
  </w:footnote>
  <w:footnote w:id="26">
    <w:p w:rsidR="00E55936" w:rsidRPr="006B6394" w:rsidRDefault="00E55936" w:rsidP="00F700A9">
      <w:pPr>
        <w:pStyle w:val="Textpoznpodarou"/>
        <w:rPr>
          <w:lang w:val="en-US"/>
        </w:rPr>
      </w:pPr>
      <w:r>
        <w:rPr>
          <w:rStyle w:val="Znakapoznpodarou"/>
        </w:rPr>
        <w:footnoteRef/>
      </w:r>
      <w:r>
        <w:t xml:space="preserve"> </w:t>
      </w:r>
      <w:r>
        <w:rPr>
          <w:lang w:val="en-US"/>
        </w:rPr>
        <w:t>Directive 2008/98/EC on waste, Directive 94/62/EC on packaging and waste packaging, Directive 2000/53/EC on vehicles with finished life cycle, Directive 2006/66/EC on batteries and accumulators and waste batteries and accumulators, Directive 2012/19/EU on waste electric and electronic devices.</w:t>
      </w:r>
    </w:p>
  </w:footnote>
  <w:footnote w:id="27">
    <w:p w:rsidR="00E55936" w:rsidRPr="009F5183" w:rsidRDefault="00E55936" w:rsidP="00F700A9">
      <w:pPr>
        <w:pStyle w:val="Textpoznpodarou"/>
        <w:rPr>
          <w:lang w:val="en-US"/>
        </w:rPr>
      </w:pPr>
      <w:r>
        <w:rPr>
          <w:rStyle w:val="Znakapoznpodarou"/>
        </w:rPr>
        <w:footnoteRef/>
      </w:r>
      <w:r>
        <w:t xml:space="preserve"> </w:t>
      </w:r>
      <w:r>
        <w:rPr>
          <w:lang w:val="en-US"/>
        </w:rPr>
        <w:t>A task included in the Government Resolution No. 344 of 15</w:t>
      </w:r>
      <w:r w:rsidRPr="009F5183">
        <w:rPr>
          <w:vertAlign w:val="superscript"/>
          <w:lang w:val="en-US"/>
        </w:rPr>
        <w:t>th</w:t>
      </w:r>
      <w:r>
        <w:rPr>
          <w:lang w:val="en-US"/>
        </w:rPr>
        <w:t xml:space="preserve"> May 2013 regarding the Strategy of Regional Development of the Czech Republic 2014-2020.</w:t>
      </w:r>
    </w:p>
  </w:footnote>
  <w:footnote w:id="28">
    <w:p w:rsidR="00E55936" w:rsidRPr="00A816FB" w:rsidRDefault="00E55936" w:rsidP="00F700A9">
      <w:pPr>
        <w:pStyle w:val="Textpoznpodarou"/>
        <w:rPr>
          <w:lang w:val="en-US"/>
        </w:rPr>
      </w:pPr>
      <w:r>
        <w:rPr>
          <w:rStyle w:val="Znakapoznpodarou"/>
        </w:rPr>
        <w:footnoteRef/>
      </w:r>
      <w:r>
        <w:t xml:space="preserve"> </w:t>
      </w:r>
      <w:proofErr w:type="gramStart"/>
      <w:r w:rsidRPr="00A816FB">
        <w:rPr>
          <w:lang w:val="en-GB"/>
        </w:rPr>
        <w:t>Often related to semi-legal activities, such as e.g. unfavourable loan conditions and their extortion.</w:t>
      </w:r>
      <w:proofErr w:type="gramEnd"/>
      <w:r>
        <w:rPr>
          <w:lang w:val="en-US"/>
        </w:rPr>
        <w:t xml:space="preserve"> </w:t>
      </w:r>
    </w:p>
  </w:footnote>
  <w:footnote w:id="29">
    <w:p w:rsidR="00E55936" w:rsidRPr="002E2D9B" w:rsidRDefault="00E55936" w:rsidP="00E52DD5">
      <w:pPr>
        <w:pStyle w:val="Textpoznpodarou"/>
        <w:rPr>
          <w:lang w:val="en-US"/>
        </w:rPr>
      </w:pPr>
      <w:r>
        <w:rPr>
          <w:rStyle w:val="Znakapoznpodarou"/>
        </w:rPr>
        <w:footnoteRef/>
      </w:r>
      <w:r>
        <w:t xml:space="preserve"> </w:t>
      </w:r>
      <w:r>
        <w:rPr>
          <w:rStyle w:val="Znakapoznpodarou"/>
        </w:rPr>
        <w:footnoteRef/>
      </w:r>
      <w:r>
        <w:t xml:space="preserve"> </w:t>
      </w:r>
      <w:r w:rsidRPr="002E2D9B">
        <w:rPr>
          <w:lang w:val="en-GB"/>
        </w:rPr>
        <w:t xml:space="preserve">Of the total R&amp;D conducted in 2012 </w:t>
      </w:r>
      <w:r>
        <w:rPr>
          <w:lang w:val="en-GB"/>
        </w:rPr>
        <w:t>in the amount of 72.</w:t>
      </w:r>
      <w:r w:rsidRPr="002E2D9B">
        <w:rPr>
          <w:lang w:val="en-GB"/>
        </w:rPr>
        <w:t xml:space="preserve">36 </w:t>
      </w:r>
      <w:r>
        <w:rPr>
          <w:lang w:val="en-GB"/>
        </w:rPr>
        <w:t>bn. CZK</w:t>
      </w:r>
      <w:r w:rsidRPr="002E2D9B">
        <w:rPr>
          <w:lang w:val="en-GB"/>
        </w:rPr>
        <w:t xml:space="preserve"> </w:t>
      </w:r>
      <w:r>
        <w:rPr>
          <w:lang w:val="en-GB"/>
        </w:rPr>
        <w:t>53.</w:t>
      </w:r>
      <w:r w:rsidRPr="002E2D9B">
        <w:rPr>
          <w:lang w:val="en-GB"/>
        </w:rPr>
        <w:t xml:space="preserve">6 % </w:t>
      </w:r>
      <w:r>
        <w:rPr>
          <w:lang w:val="en-GB"/>
        </w:rPr>
        <w:t>was conducted in the corporate sector,</w:t>
      </w:r>
      <w:r w:rsidRPr="002E2D9B">
        <w:rPr>
          <w:lang w:val="en-GB"/>
        </w:rPr>
        <w:t xml:space="preserve"> 18</w:t>
      </w:r>
      <w:r>
        <w:rPr>
          <w:lang w:val="en-GB"/>
        </w:rPr>
        <w:t>.</w:t>
      </w:r>
      <w:r w:rsidRPr="002E2D9B">
        <w:rPr>
          <w:lang w:val="en-GB"/>
        </w:rPr>
        <w:t xml:space="preserve">4 % </w:t>
      </w:r>
      <w:r>
        <w:rPr>
          <w:lang w:val="en-GB"/>
        </w:rPr>
        <w:t xml:space="preserve">in the government sector and </w:t>
      </w:r>
      <w:r w:rsidRPr="002E2D9B">
        <w:rPr>
          <w:lang w:val="en-GB"/>
        </w:rPr>
        <w:t>27</w:t>
      </w:r>
      <w:r>
        <w:rPr>
          <w:lang w:val="en-GB"/>
        </w:rPr>
        <w:t>.</w:t>
      </w:r>
      <w:r w:rsidRPr="002E2D9B">
        <w:rPr>
          <w:lang w:val="en-GB"/>
        </w:rPr>
        <w:t>4 %</w:t>
      </w:r>
      <w:r>
        <w:rPr>
          <w:lang w:val="en-GB"/>
        </w:rPr>
        <w:t xml:space="preserve"> in the university sector</w:t>
      </w:r>
      <w:r w:rsidRPr="002E2D9B">
        <w:rPr>
          <w:lang w:val="en-GB"/>
        </w:rPr>
        <w:t xml:space="preserve">. </w:t>
      </w:r>
      <w:r>
        <w:rPr>
          <w:lang w:val="en-GB"/>
        </w:rPr>
        <w:t>The Corporate sector contributes</w:t>
      </w:r>
      <w:r w:rsidRPr="002E2D9B">
        <w:rPr>
          <w:lang w:val="en-GB"/>
        </w:rPr>
        <w:t xml:space="preserve"> 36</w:t>
      </w:r>
      <w:r>
        <w:rPr>
          <w:lang w:val="en-GB"/>
        </w:rPr>
        <w:t>.</w:t>
      </w:r>
      <w:r w:rsidRPr="002E2D9B">
        <w:rPr>
          <w:lang w:val="en-GB"/>
        </w:rPr>
        <w:t xml:space="preserve">4 % </w:t>
      </w:r>
      <w:r>
        <w:rPr>
          <w:lang w:val="en-GB"/>
        </w:rPr>
        <w:t>of total R&amp;D expenditures</w:t>
      </w:r>
      <w:r w:rsidRPr="002E2D9B">
        <w:rPr>
          <w:lang w:val="en-GB"/>
        </w:rPr>
        <w:t xml:space="preserve">, </w:t>
      </w:r>
      <w:r>
        <w:rPr>
          <w:lang w:val="en-GB"/>
        </w:rPr>
        <w:t>whereas this share is gradually increasing over the last decade.</w:t>
      </w:r>
    </w:p>
  </w:footnote>
  <w:footnote w:id="30">
    <w:p w:rsidR="00E55936" w:rsidRPr="009C3648" w:rsidRDefault="00E55936" w:rsidP="009802A5">
      <w:pPr>
        <w:pStyle w:val="Textpoznpodarou"/>
        <w:rPr>
          <w:lang w:val="en-US"/>
        </w:rPr>
      </w:pPr>
      <w:r>
        <w:rPr>
          <w:rStyle w:val="Znakapoznpodarou"/>
        </w:rPr>
        <w:footnoteRef/>
      </w:r>
      <w:r>
        <w:t xml:space="preserve"> </w:t>
      </w:r>
      <w:r>
        <w:rPr>
          <w:lang w:val="en-US"/>
        </w:rPr>
        <w:t>The only form currently available is subsidy, which causes problems when using revolving tools.</w:t>
      </w:r>
    </w:p>
  </w:footnote>
  <w:footnote w:id="31">
    <w:p w:rsidR="00E55936" w:rsidRPr="00C47076" w:rsidRDefault="00E55936" w:rsidP="00BA202E">
      <w:pPr>
        <w:pStyle w:val="Textpoznpodarou"/>
        <w:rPr>
          <w:lang w:val="en-US"/>
        </w:rPr>
      </w:pPr>
      <w:r>
        <w:rPr>
          <w:rStyle w:val="Znakapoznpodarou"/>
        </w:rPr>
        <w:footnoteRef/>
      </w:r>
      <w:r>
        <w:t xml:space="preserve"> </w:t>
      </w:r>
      <w:r w:rsidRPr="00C47076">
        <w:rPr>
          <w:lang w:val="en-GB"/>
        </w:rPr>
        <w:t>The opinion of the Commission’s departments regarding the preparation of the Partnership Agreement and programmes in the Czech Republic for the 2014-2020 period, November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36" w:rsidRPr="00900385" w:rsidRDefault="00E55936" w:rsidP="00900385">
    <w:pPr>
      <w:pStyle w:val="Zhlav"/>
    </w:pPr>
    <w:r>
      <w:rPr>
        <w:noProof/>
        <w:lang w:eastAsia="cs-CZ"/>
      </w:rPr>
      <mc:AlternateContent>
        <mc:Choice Requires="wps">
          <w:drawing>
            <wp:anchor distT="0" distB="0" distL="114300" distR="114300" simplePos="0" relativeHeight="251663360" behindDoc="0" locked="0" layoutInCell="0" allowOverlap="1" wp14:anchorId="24C66928" wp14:editId="6ABCF0EE">
              <wp:simplePos x="0" y="0"/>
              <wp:positionH relativeFrom="margin">
                <wp:align>left</wp:align>
              </wp:positionH>
              <wp:positionV relativeFrom="topMargin">
                <wp:align>center</wp:align>
              </wp:positionV>
              <wp:extent cx="5760720" cy="139700"/>
              <wp:effectExtent l="0" t="0" r="0" b="190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397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5936" w:rsidRPr="00154273" w:rsidRDefault="00E55936">
                          <w:pPr>
                            <w:spacing w:after="0"/>
                            <w:jc w:val="right"/>
                            <w:rPr>
                              <w:sz w:val="18"/>
                            </w:rPr>
                          </w:pPr>
                          <w:r w:rsidRPr="00154273">
                            <w:rPr>
                              <w:sz w:val="18"/>
                            </w:rPr>
                            <w:fldChar w:fldCharType="begin"/>
                          </w:r>
                          <w:r w:rsidRPr="00154273">
                            <w:rPr>
                              <w:sz w:val="18"/>
                            </w:rPr>
                            <w:instrText xml:space="preserve"> STYLEREF  "1" </w:instrText>
                          </w:r>
                          <w:r w:rsidRPr="00154273">
                            <w:rPr>
                              <w:sz w:val="18"/>
                            </w:rPr>
                            <w:fldChar w:fldCharType="separate"/>
                          </w:r>
                          <w:r w:rsidR="00323F83">
                            <w:rPr>
                              <w:noProof/>
                              <w:sz w:val="18"/>
                            </w:rPr>
                            <w:t>Implementation of Council recommendations</w:t>
                          </w:r>
                          <w:r w:rsidRPr="00154273">
                            <w:rPr>
                              <w:sz w:val="18"/>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34" type="#_x0000_t202" style="position:absolute;left:0;text-align:left;margin-left:0;margin-top:0;width:453.6pt;height:11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" o:allowincell="f" filled="f" stroked="f">
              <v:textbox style="mso-fit-shape-to-text:t" inset=",0,,0">
                <w:txbxContent>
                  <w:p w:rsidR="00E55936" w:rsidRPr="00154273" w:rsidRDefault="00E55936">
                    <w:pPr>
                      <w:spacing w:after="0"/>
                      <w:jc w:val="right"/>
                      <w:rPr>
                        <w:sz w:val="18"/>
                      </w:rPr>
                    </w:pPr>
                    <w:r w:rsidRPr="00154273">
                      <w:rPr>
                        <w:sz w:val="18"/>
                      </w:rPr>
                      <w:fldChar w:fldCharType="begin"/>
                    </w:r>
                    <w:r w:rsidRPr="00154273">
                      <w:rPr>
                        <w:sz w:val="18"/>
                      </w:rPr>
                      <w:instrText xml:space="preserve"> STYLEREF  "1" </w:instrText>
                    </w:r>
                    <w:r w:rsidRPr="00154273">
                      <w:rPr>
                        <w:sz w:val="18"/>
                      </w:rPr>
                      <w:fldChar w:fldCharType="separate"/>
                    </w:r>
                    <w:r w:rsidR="00323F83">
                      <w:rPr>
                        <w:noProof/>
                        <w:sz w:val="18"/>
                      </w:rPr>
                      <w:t>Implementation of Council recommendations</w:t>
                    </w:r>
                    <w:r w:rsidRPr="00154273">
                      <w:rPr>
                        <w:sz w:val="18"/>
                      </w:rPr>
                      <w:fldChar w:fldCharType="end"/>
                    </w:r>
                  </w:p>
                </w:txbxContent>
              </v:textbox>
              <w10:wrap anchorx="margin" anchory="margin"/>
            </v:shape>
          </w:pict>
        </mc:Fallback>
      </mc:AlternateContent>
    </w:r>
    <w:r>
      <w:rPr>
        <w:noProof/>
        <w:lang w:eastAsia="cs-CZ"/>
      </w:rPr>
      <mc:AlternateContent>
        <mc:Choice Requires="wps">
          <w:drawing>
            <wp:anchor distT="0" distB="0" distL="114300" distR="114300" simplePos="0" relativeHeight="251662336" behindDoc="0" locked="0" layoutInCell="0" allowOverlap="1" wp14:anchorId="6D73CCA6" wp14:editId="0E7EF59E">
              <wp:simplePos x="0" y="0"/>
              <wp:positionH relativeFrom="page">
                <wp:align>right</wp:align>
              </wp:positionH>
              <wp:positionV relativeFrom="topMargin">
                <wp:align>center</wp:align>
              </wp:positionV>
              <wp:extent cx="899795" cy="162560"/>
              <wp:effectExtent l="0" t="0" r="0" b="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2560"/>
                      </a:xfrm>
                      <a:prstGeom prst="rect">
                        <a:avLst/>
                      </a:prstGeom>
                      <a:solidFill>
                        <a:schemeClr val="accent1"/>
                      </a:solidFill>
                      <a:extLst/>
                    </wps:spPr>
                    <wps:txbx>
                      <w:txbxContent>
                        <w:p w:rsidR="00E55936" w:rsidRDefault="00E55936">
                          <w:pPr>
                            <w:spacing w:after="0"/>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323F83" w:rsidRPr="00323F83">
                            <w:rPr>
                              <w:noProof/>
                              <w:color w:val="FFFFFF" w:themeColor="background1"/>
                              <w14:numForm w14:val="lining"/>
                            </w:rPr>
                            <w:t>8</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ové pole 6" o:spid="_x0000_s1035" type="#_x0000_t202" style="position:absolute;left:0;text-align:left;margin-left:19.65pt;margin-top:0;width:70.85pt;height:12.8pt;z-index:25166233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" o:allowincell="f" fillcolor="#d34817 [3204]" stroked="f">
              <v:textbox style="mso-fit-shape-to-text:t" inset=",0,,0">
                <w:txbxContent>
                  <w:p w:rsidR="00E55936" w:rsidRDefault="00E55936">
                    <w:pPr>
                      <w:spacing w:after="0"/>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323F83" w:rsidRPr="00323F83">
                      <w:rPr>
                        <w:noProof/>
                        <w:color w:val="FFFFFF" w:themeColor="background1"/>
                        <w14:numForm w14:val="lining"/>
                      </w:rPr>
                      <w:t>8</w:t>
                    </w:r>
                    <w:r>
                      <w:rPr>
                        <w:color w:val="FFFFFF" w:themeColor="background1"/>
                        <w14:numForm w14:val="lining"/>
                      </w:rPr>
                      <w:fldChar w:fldCharType="end"/>
                    </w:r>
                  </w:p>
                </w:txbxContent>
              </v:textbox>
              <w10:wrap anchorx="page"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36" w:rsidRPr="00470F72" w:rsidRDefault="00E55936">
    <w:pPr>
      <w:pStyle w:val="Zhlav"/>
      <w:rPr>
        <w:color w:val="FF0000"/>
      </w:rPr>
    </w:pPr>
    <w:r w:rsidRPr="00470F72">
      <w:rPr>
        <w:noProof/>
        <w:color w:val="FF0000"/>
        <w:lang w:eastAsia="cs-CZ"/>
      </w:rPr>
      <mc:AlternateContent>
        <mc:Choice Requires="wps">
          <w:drawing>
            <wp:anchor distT="0" distB="0" distL="114300" distR="114300" simplePos="0" relativeHeight="251665408" behindDoc="0" locked="0" layoutInCell="0" allowOverlap="1" wp14:anchorId="37A164DF" wp14:editId="45A79AE0">
              <wp:simplePos x="0" y="0"/>
              <wp:positionH relativeFrom="page">
                <wp:align>left</wp:align>
              </wp:positionH>
              <wp:positionV relativeFrom="topMargin">
                <wp:align>center</wp:align>
              </wp:positionV>
              <wp:extent cx="899795" cy="162560"/>
              <wp:effectExtent l="0" t="0" r="0" b="0"/>
              <wp:wrapNone/>
              <wp:docPr id="474" name="Textové pol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2560"/>
                      </a:xfrm>
                      <a:prstGeom prst="rect">
                        <a:avLst/>
                      </a:prstGeom>
                      <a:solidFill>
                        <a:schemeClr val="accent1"/>
                      </a:solidFill>
                      <a:extLst/>
                    </wps:spPr>
                    <wps:txbx>
                      <w:txbxContent>
                        <w:p w:rsidR="00E55936" w:rsidRDefault="00E55936">
                          <w:pPr>
                            <w:spacing w:after="0"/>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323F83" w:rsidRPr="00323F83">
                            <w:rPr>
                              <w:noProof/>
                              <w:color w:val="FFFFFF" w:themeColor="background1"/>
                              <w14:numForm w14:val="lining"/>
                            </w:rPr>
                            <w:t>7</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474" o:spid="_x0000_s1036" type="#_x0000_t202" style="position:absolute;left:0;text-align:left;margin-left:0;margin-top:0;width:70.85pt;height:12.8pt;z-index:251665408;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" o:allowincell="f" fillcolor="#d34817 [3204]" stroked="f">
              <v:textbox style="mso-fit-shape-to-text:t" inset=",0,,0">
                <w:txbxContent>
                  <w:p w:rsidR="00E55936" w:rsidRDefault="00E55936">
                    <w:pPr>
                      <w:spacing w:after="0"/>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323F83" w:rsidRPr="00323F83">
                      <w:rPr>
                        <w:noProof/>
                        <w:color w:val="FFFFFF" w:themeColor="background1"/>
                        <w14:numForm w14:val="lining"/>
                      </w:rPr>
                      <w:t>7</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047C29FA"/>
    <w:multiLevelType w:val="hybridMultilevel"/>
    <w:tmpl w:val="4B4CF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D16CF1"/>
    <w:multiLevelType w:val="multilevel"/>
    <w:tmpl w:val="71B0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FE36C6"/>
    <w:multiLevelType w:val="multilevel"/>
    <w:tmpl w:val="040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1380E7F"/>
    <w:multiLevelType w:val="multilevel"/>
    <w:tmpl w:val="9C2600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EF1685"/>
    <w:multiLevelType w:val="hybridMultilevel"/>
    <w:tmpl w:val="27C29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407CEF"/>
    <w:multiLevelType w:val="multilevel"/>
    <w:tmpl w:val="6EEA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4C2BEE"/>
    <w:multiLevelType w:val="hybridMultilevel"/>
    <w:tmpl w:val="E7F41710"/>
    <w:lvl w:ilvl="0" w:tplc="D982DFBA">
      <w:numFmt w:val="bullet"/>
      <w:lvlText w:val="•"/>
      <w:lvlJc w:val="left"/>
      <w:pPr>
        <w:ind w:left="720" w:hanging="360"/>
      </w:pPr>
      <w:rPr>
        <w:rFonts w:ascii="Calibri" w:eastAsia="Times New Roman" w:hAnsi="Calibri"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28A62CB7"/>
    <w:multiLevelType w:val="hybridMultilevel"/>
    <w:tmpl w:val="6E46D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BD11FF"/>
    <w:multiLevelType w:val="multilevel"/>
    <w:tmpl w:val="1D72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3E47BD7"/>
    <w:multiLevelType w:val="multilevel"/>
    <w:tmpl w:val="80F2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BDD4551"/>
    <w:multiLevelType w:val="hybridMultilevel"/>
    <w:tmpl w:val="CA525CDC"/>
    <w:lvl w:ilvl="0" w:tplc="1228DD84">
      <w:start w:val="1"/>
      <w:numFmt w:val="bullet"/>
      <w:lvlText w:val=""/>
      <w:lvlJc w:val="left"/>
      <w:pPr>
        <w:ind w:left="720" w:hanging="360"/>
      </w:pPr>
      <w:rPr>
        <w:rFonts w:ascii="Symbol" w:hAnsi="Symbol"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063D12"/>
    <w:multiLevelType w:val="hybridMultilevel"/>
    <w:tmpl w:val="64A218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5A3744"/>
    <w:multiLevelType w:val="hybridMultilevel"/>
    <w:tmpl w:val="BC7201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2614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5E5B9F"/>
    <w:multiLevelType w:val="multilevel"/>
    <w:tmpl w:val="44C0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1168B5"/>
    <w:multiLevelType w:val="hybridMultilevel"/>
    <w:tmpl w:val="2E76EDD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48DB2C77"/>
    <w:multiLevelType w:val="hybridMultilevel"/>
    <w:tmpl w:val="35661628"/>
    <w:lvl w:ilvl="0" w:tplc="9AE854C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A6C5FEA"/>
    <w:multiLevelType w:val="hybridMultilevel"/>
    <w:tmpl w:val="C9D47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FB7110"/>
    <w:multiLevelType w:val="hybridMultilevel"/>
    <w:tmpl w:val="88664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7D83C6D"/>
    <w:multiLevelType w:val="hybridMultilevel"/>
    <w:tmpl w:val="C43C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A52F43"/>
    <w:multiLevelType w:val="hybridMultilevel"/>
    <w:tmpl w:val="F18C4F7A"/>
    <w:lvl w:ilvl="0" w:tplc="D982DFBA">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6152451F"/>
    <w:multiLevelType w:val="hybridMultilevel"/>
    <w:tmpl w:val="00C4D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277FED"/>
    <w:multiLevelType w:val="multilevel"/>
    <w:tmpl w:val="D32E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E4929A5"/>
    <w:multiLevelType w:val="hybridMultilevel"/>
    <w:tmpl w:val="D8DE51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1A520E4"/>
    <w:multiLevelType w:val="multilevel"/>
    <w:tmpl w:val="014ACB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B05821"/>
    <w:multiLevelType w:val="multilevel"/>
    <w:tmpl w:val="79341C1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B1D569B"/>
    <w:multiLevelType w:val="hybridMultilevel"/>
    <w:tmpl w:val="79B0C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E37C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16"/>
  </w:num>
  <w:num w:numId="3">
    <w:abstractNumId w:val="13"/>
  </w:num>
  <w:num w:numId="4">
    <w:abstractNumId w:val="2"/>
  </w:num>
  <w:num w:numId="5">
    <w:abstractNumId w:val="19"/>
  </w:num>
  <w:num w:numId="6">
    <w:abstractNumId w:val="20"/>
  </w:num>
  <w:num w:numId="7">
    <w:abstractNumId w:val="6"/>
  </w:num>
  <w:num w:numId="8">
    <w:abstractNumId w:val="14"/>
  </w:num>
  <w:num w:numId="9">
    <w:abstractNumId w:val="10"/>
  </w:num>
  <w:num w:numId="10">
    <w:abstractNumId w:val="23"/>
  </w:num>
  <w:num w:numId="11">
    <w:abstractNumId w:val="0"/>
  </w:num>
  <w:num w:numId="12">
    <w:abstractNumId w:val="17"/>
  </w:num>
  <w:num w:numId="13">
    <w:abstractNumId w:val="26"/>
  </w:num>
  <w:num w:numId="14">
    <w:abstractNumId w:val="18"/>
  </w:num>
  <w:num w:numId="15">
    <w:abstractNumId w:val="11"/>
  </w:num>
  <w:num w:numId="16">
    <w:abstractNumId w:val="7"/>
  </w:num>
  <w:num w:numId="17">
    <w:abstractNumId w:val="15"/>
  </w:num>
  <w:num w:numId="18">
    <w:abstractNumId w:val="4"/>
  </w:num>
  <w:num w:numId="19">
    <w:abstractNumId w:val="12"/>
  </w:num>
  <w:num w:numId="20">
    <w:abstractNumId w:val="21"/>
  </w:num>
  <w:num w:numId="21">
    <w:abstractNumId w:val="25"/>
  </w:num>
  <w:num w:numId="22">
    <w:abstractNumId w:val="24"/>
  </w:num>
  <w:num w:numId="23">
    <w:abstractNumId w:val="3"/>
  </w:num>
  <w:num w:numId="24">
    <w:abstractNumId w:val="8"/>
  </w:num>
  <w:num w:numId="25">
    <w:abstractNumId w:val="9"/>
  </w:num>
  <w:num w:numId="26">
    <w:abstractNumId w:val="5"/>
  </w:num>
  <w:num w:numId="27">
    <w:abstractNumId w:val="2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1134"/>
  <w:doNotHyphenateCaps/>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02"/>
    <w:rsid w:val="00000E3F"/>
    <w:rsid w:val="000031F8"/>
    <w:rsid w:val="000063F5"/>
    <w:rsid w:val="000069CD"/>
    <w:rsid w:val="00007CC6"/>
    <w:rsid w:val="0001082B"/>
    <w:rsid w:val="0001303C"/>
    <w:rsid w:val="00013219"/>
    <w:rsid w:val="00013A6B"/>
    <w:rsid w:val="00014914"/>
    <w:rsid w:val="00015E9D"/>
    <w:rsid w:val="00016306"/>
    <w:rsid w:val="00020E94"/>
    <w:rsid w:val="00022360"/>
    <w:rsid w:val="00026755"/>
    <w:rsid w:val="00027250"/>
    <w:rsid w:val="0003591C"/>
    <w:rsid w:val="00036958"/>
    <w:rsid w:val="00040354"/>
    <w:rsid w:val="00040742"/>
    <w:rsid w:val="00040BF1"/>
    <w:rsid w:val="00040F58"/>
    <w:rsid w:val="00043225"/>
    <w:rsid w:val="000436E6"/>
    <w:rsid w:val="00045D01"/>
    <w:rsid w:val="000463F0"/>
    <w:rsid w:val="0005131D"/>
    <w:rsid w:val="00052508"/>
    <w:rsid w:val="00054AAD"/>
    <w:rsid w:val="0005706A"/>
    <w:rsid w:val="00060C92"/>
    <w:rsid w:val="000616A2"/>
    <w:rsid w:val="00063020"/>
    <w:rsid w:val="00064C93"/>
    <w:rsid w:val="0006780C"/>
    <w:rsid w:val="00067D26"/>
    <w:rsid w:val="00070C80"/>
    <w:rsid w:val="00073235"/>
    <w:rsid w:val="0007701D"/>
    <w:rsid w:val="00077946"/>
    <w:rsid w:val="00080F88"/>
    <w:rsid w:val="0008156A"/>
    <w:rsid w:val="00083721"/>
    <w:rsid w:val="000838BC"/>
    <w:rsid w:val="000862A7"/>
    <w:rsid w:val="000878C1"/>
    <w:rsid w:val="000909C9"/>
    <w:rsid w:val="00092242"/>
    <w:rsid w:val="00093AC1"/>
    <w:rsid w:val="00095738"/>
    <w:rsid w:val="00095B60"/>
    <w:rsid w:val="00095FEF"/>
    <w:rsid w:val="0009671C"/>
    <w:rsid w:val="000A48C6"/>
    <w:rsid w:val="000A4BFA"/>
    <w:rsid w:val="000A6DA4"/>
    <w:rsid w:val="000B456D"/>
    <w:rsid w:val="000C2314"/>
    <w:rsid w:val="000C4741"/>
    <w:rsid w:val="000D1F63"/>
    <w:rsid w:val="000D34B6"/>
    <w:rsid w:val="000D3EDC"/>
    <w:rsid w:val="000D7014"/>
    <w:rsid w:val="000D759A"/>
    <w:rsid w:val="000E1B61"/>
    <w:rsid w:val="000E3930"/>
    <w:rsid w:val="000E5FAE"/>
    <w:rsid w:val="000E7441"/>
    <w:rsid w:val="000F25FD"/>
    <w:rsid w:val="000F4864"/>
    <w:rsid w:val="000F725E"/>
    <w:rsid w:val="000F7864"/>
    <w:rsid w:val="00101838"/>
    <w:rsid w:val="0010264B"/>
    <w:rsid w:val="00103C1E"/>
    <w:rsid w:val="001055FA"/>
    <w:rsid w:val="00105F12"/>
    <w:rsid w:val="00110B34"/>
    <w:rsid w:val="001111B8"/>
    <w:rsid w:val="001129D2"/>
    <w:rsid w:val="00112F2B"/>
    <w:rsid w:val="001148BE"/>
    <w:rsid w:val="001202C4"/>
    <w:rsid w:val="001215EC"/>
    <w:rsid w:val="00121EF3"/>
    <w:rsid w:val="00123883"/>
    <w:rsid w:val="00124087"/>
    <w:rsid w:val="00124512"/>
    <w:rsid w:val="001276A8"/>
    <w:rsid w:val="001325A4"/>
    <w:rsid w:val="0013420B"/>
    <w:rsid w:val="00140D92"/>
    <w:rsid w:val="00142095"/>
    <w:rsid w:val="0014554D"/>
    <w:rsid w:val="00154273"/>
    <w:rsid w:val="00154E4B"/>
    <w:rsid w:val="0015571D"/>
    <w:rsid w:val="00160A83"/>
    <w:rsid w:val="001612A6"/>
    <w:rsid w:val="00161937"/>
    <w:rsid w:val="00162806"/>
    <w:rsid w:val="00165AA2"/>
    <w:rsid w:val="0016667B"/>
    <w:rsid w:val="001717BD"/>
    <w:rsid w:val="00171D54"/>
    <w:rsid w:val="0017276E"/>
    <w:rsid w:val="00172CF8"/>
    <w:rsid w:val="00172F76"/>
    <w:rsid w:val="00177D3D"/>
    <w:rsid w:val="00180B61"/>
    <w:rsid w:val="00181F42"/>
    <w:rsid w:val="001853D2"/>
    <w:rsid w:val="00187C67"/>
    <w:rsid w:val="001974FE"/>
    <w:rsid w:val="001A0DCA"/>
    <w:rsid w:val="001A20ED"/>
    <w:rsid w:val="001A4425"/>
    <w:rsid w:val="001A4749"/>
    <w:rsid w:val="001A4B28"/>
    <w:rsid w:val="001A618F"/>
    <w:rsid w:val="001A66FA"/>
    <w:rsid w:val="001B1DC7"/>
    <w:rsid w:val="001C061C"/>
    <w:rsid w:val="001C5BD8"/>
    <w:rsid w:val="001D03E0"/>
    <w:rsid w:val="001D3E12"/>
    <w:rsid w:val="001D49CA"/>
    <w:rsid w:val="001D5BA8"/>
    <w:rsid w:val="001D5BEE"/>
    <w:rsid w:val="001D6600"/>
    <w:rsid w:val="001D71C4"/>
    <w:rsid w:val="001E050D"/>
    <w:rsid w:val="001E08E0"/>
    <w:rsid w:val="001E28C2"/>
    <w:rsid w:val="001E2999"/>
    <w:rsid w:val="001E5CF1"/>
    <w:rsid w:val="001E6783"/>
    <w:rsid w:val="001E6A12"/>
    <w:rsid w:val="001F07D5"/>
    <w:rsid w:val="001F09C0"/>
    <w:rsid w:val="001F7586"/>
    <w:rsid w:val="002013ED"/>
    <w:rsid w:val="0020243E"/>
    <w:rsid w:val="002025FA"/>
    <w:rsid w:val="0020368F"/>
    <w:rsid w:val="00204478"/>
    <w:rsid w:val="00204B7C"/>
    <w:rsid w:val="00205854"/>
    <w:rsid w:val="00205923"/>
    <w:rsid w:val="0021009B"/>
    <w:rsid w:val="00210EFC"/>
    <w:rsid w:val="00212D24"/>
    <w:rsid w:val="00212FEC"/>
    <w:rsid w:val="00215688"/>
    <w:rsid w:val="002164CB"/>
    <w:rsid w:val="00220C6F"/>
    <w:rsid w:val="002220AE"/>
    <w:rsid w:val="002224F7"/>
    <w:rsid w:val="00233BC2"/>
    <w:rsid w:val="0023491C"/>
    <w:rsid w:val="002376EE"/>
    <w:rsid w:val="002421C8"/>
    <w:rsid w:val="00243E51"/>
    <w:rsid w:val="00243FFA"/>
    <w:rsid w:val="00244888"/>
    <w:rsid w:val="00244DE9"/>
    <w:rsid w:val="00246277"/>
    <w:rsid w:val="002466E4"/>
    <w:rsid w:val="0024721C"/>
    <w:rsid w:val="00247D54"/>
    <w:rsid w:val="00250795"/>
    <w:rsid w:val="00252010"/>
    <w:rsid w:val="002538F4"/>
    <w:rsid w:val="00255FB0"/>
    <w:rsid w:val="002634B9"/>
    <w:rsid w:val="002639EE"/>
    <w:rsid w:val="00265747"/>
    <w:rsid w:val="002657DC"/>
    <w:rsid w:val="002739C4"/>
    <w:rsid w:val="0027753D"/>
    <w:rsid w:val="00277EC6"/>
    <w:rsid w:val="0028008F"/>
    <w:rsid w:val="00285453"/>
    <w:rsid w:val="00286028"/>
    <w:rsid w:val="002908F9"/>
    <w:rsid w:val="00290BC9"/>
    <w:rsid w:val="00295318"/>
    <w:rsid w:val="0029636E"/>
    <w:rsid w:val="002A19EC"/>
    <w:rsid w:val="002A338A"/>
    <w:rsid w:val="002B5140"/>
    <w:rsid w:val="002B5E52"/>
    <w:rsid w:val="002B6B57"/>
    <w:rsid w:val="002B6E48"/>
    <w:rsid w:val="002B71E0"/>
    <w:rsid w:val="002C00CB"/>
    <w:rsid w:val="002C193C"/>
    <w:rsid w:val="002C5B76"/>
    <w:rsid w:val="002C6B0F"/>
    <w:rsid w:val="002C6D6D"/>
    <w:rsid w:val="002C7045"/>
    <w:rsid w:val="002C79B2"/>
    <w:rsid w:val="002C7E5D"/>
    <w:rsid w:val="002D0F54"/>
    <w:rsid w:val="002D1DCF"/>
    <w:rsid w:val="002D30E2"/>
    <w:rsid w:val="002D50E0"/>
    <w:rsid w:val="002D532E"/>
    <w:rsid w:val="002D66B7"/>
    <w:rsid w:val="002D6978"/>
    <w:rsid w:val="002D6A39"/>
    <w:rsid w:val="002D6BA2"/>
    <w:rsid w:val="002D7074"/>
    <w:rsid w:val="002E01F9"/>
    <w:rsid w:val="002E06C4"/>
    <w:rsid w:val="002E1155"/>
    <w:rsid w:val="002E672B"/>
    <w:rsid w:val="002F0F97"/>
    <w:rsid w:val="002F442B"/>
    <w:rsid w:val="002F65D4"/>
    <w:rsid w:val="00300B5C"/>
    <w:rsid w:val="003036A1"/>
    <w:rsid w:val="00305FF5"/>
    <w:rsid w:val="00306C71"/>
    <w:rsid w:val="00310A8E"/>
    <w:rsid w:val="00310E1F"/>
    <w:rsid w:val="0031351F"/>
    <w:rsid w:val="00314264"/>
    <w:rsid w:val="003174B0"/>
    <w:rsid w:val="00317DE6"/>
    <w:rsid w:val="00320582"/>
    <w:rsid w:val="0032082E"/>
    <w:rsid w:val="00322122"/>
    <w:rsid w:val="003237CF"/>
    <w:rsid w:val="00323D02"/>
    <w:rsid w:val="00323F83"/>
    <w:rsid w:val="00326DE7"/>
    <w:rsid w:val="003304C3"/>
    <w:rsid w:val="00330AB9"/>
    <w:rsid w:val="00332B8C"/>
    <w:rsid w:val="00334C4C"/>
    <w:rsid w:val="0033706F"/>
    <w:rsid w:val="00337BBB"/>
    <w:rsid w:val="00337FBA"/>
    <w:rsid w:val="00342599"/>
    <w:rsid w:val="0034339E"/>
    <w:rsid w:val="00346053"/>
    <w:rsid w:val="00346762"/>
    <w:rsid w:val="003477B1"/>
    <w:rsid w:val="00350D80"/>
    <w:rsid w:val="00353FC5"/>
    <w:rsid w:val="00354F6B"/>
    <w:rsid w:val="0036190E"/>
    <w:rsid w:val="00361F51"/>
    <w:rsid w:val="0036230D"/>
    <w:rsid w:val="003648CA"/>
    <w:rsid w:val="003648E1"/>
    <w:rsid w:val="00365D07"/>
    <w:rsid w:val="00366073"/>
    <w:rsid w:val="00366DD7"/>
    <w:rsid w:val="00367EC9"/>
    <w:rsid w:val="00371909"/>
    <w:rsid w:val="00373E68"/>
    <w:rsid w:val="00374337"/>
    <w:rsid w:val="00375BE0"/>
    <w:rsid w:val="00376360"/>
    <w:rsid w:val="00380DEA"/>
    <w:rsid w:val="00381A5A"/>
    <w:rsid w:val="00384669"/>
    <w:rsid w:val="00394CBA"/>
    <w:rsid w:val="00397AFE"/>
    <w:rsid w:val="003A1086"/>
    <w:rsid w:val="003A1ED4"/>
    <w:rsid w:val="003A3E46"/>
    <w:rsid w:val="003A3E98"/>
    <w:rsid w:val="003A42AB"/>
    <w:rsid w:val="003A5E12"/>
    <w:rsid w:val="003A6B33"/>
    <w:rsid w:val="003A7004"/>
    <w:rsid w:val="003A72F9"/>
    <w:rsid w:val="003B300D"/>
    <w:rsid w:val="003B3101"/>
    <w:rsid w:val="003B35F0"/>
    <w:rsid w:val="003B4766"/>
    <w:rsid w:val="003C0490"/>
    <w:rsid w:val="003C1B3D"/>
    <w:rsid w:val="003C5F3D"/>
    <w:rsid w:val="003C6BA9"/>
    <w:rsid w:val="003C78DE"/>
    <w:rsid w:val="003D25F3"/>
    <w:rsid w:val="003D3A93"/>
    <w:rsid w:val="003D3B60"/>
    <w:rsid w:val="003D3EDF"/>
    <w:rsid w:val="003D63F9"/>
    <w:rsid w:val="003D747C"/>
    <w:rsid w:val="003E5967"/>
    <w:rsid w:val="003E6926"/>
    <w:rsid w:val="003E71B4"/>
    <w:rsid w:val="003F01BE"/>
    <w:rsid w:val="003F0689"/>
    <w:rsid w:val="003F2D2E"/>
    <w:rsid w:val="003F3E08"/>
    <w:rsid w:val="003F6E55"/>
    <w:rsid w:val="003F7207"/>
    <w:rsid w:val="00402599"/>
    <w:rsid w:val="00405E38"/>
    <w:rsid w:val="0040613F"/>
    <w:rsid w:val="004061E9"/>
    <w:rsid w:val="00407A7F"/>
    <w:rsid w:val="00414B7E"/>
    <w:rsid w:val="00414C5C"/>
    <w:rsid w:val="00417E52"/>
    <w:rsid w:val="00420C53"/>
    <w:rsid w:val="004262BE"/>
    <w:rsid w:val="00427EB8"/>
    <w:rsid w:val="004314AA"/>
    <w:rsid w:val="00434243"/>
    <w:rsid w:val="00435A78"/>
    <w:rsid w:val="00435EB0"/>
    <w:rsid w:val="004416C2"/>
    <w:rsid w:val="004468AD"/>
    <w:rsid w:val="0045329A"/>
    <w:rsid w:val="00454040"/>
    <w:rsid w:val="0045554F"/>
    <w:rsid w:val="004569BA"/>
    <w:rsid w:val="004576B5"/>
    <w:rsid w:val="004579F3"/>
    <w:rsid w:val="00457CF9"/>
    <w:rsid w:val="004624FC"/>
    <w:rsid w:val="00466126"/>
    <w:rsid w:val="004668D4"/>
    <w:rsid w:val="00466F59"/>
    <w:rsid w:val="00467489"/>
    <w:rsid w:val="0046756C"/>
    <w:rsid w:val="0047005C"/>
    <w:rsid w:val="00470F72"/>
    <w:rsid w:val="004714EC"/>
    <w:rsid w:val="004717D1"/>
    <w:rsid w:val="004724B0"/>
    <w:rsid w:val="0047362C"/>
    <w:rsid w:val="004737C5"/>
    <w:rsid w:val="0047537C"/>
    <w:rsid w:val="004801DF"/>
    <w:rsid w:val="004825D4"/>
    <w:rsid w:val="00482C89"/>
    <w:rsid w:val="00483D03"/>
    <w:rsid w:val="004851A5"/>
    <w:rsid w:val="004930FF"/>
    <w:rsid w:val="00493AA5"/>
    <w:rsid w:val="00493EE6"/>
    <w:rsid w:val="00494481"/>
    <w:rsid w:val="00494BA9"/>
    <w:rsid w:val="00495202"/>
    <w:rsid w:val="00495BE7"/>
    <w:rsid w:val="00496F69"/>
    <w:rsid w:val="004A2888"/>
    <w:rsid w:val="004A5263"/>
    <w:rsid w:val="004A6248"/>
    <w:rsid w:val="004A6AEC"/>
    <w:rsid w:val="004A6EDC"/>
    <w:rsid w:val="004B00D1"/>
    <w:rsid w:val="004B274D"/>
    <w:rsid w:val="004B2798"/>
    <w:rsid w:val="004B54B7"/>
    <w:rsid w:val="004B5806"/>
    <w:rsid w:val="004C319A"/>
    <w:rsid w:val="004C3FEF"/>
    <w:rsid w:val="004C45D4"/>
    <w:rsid w:val="004C5639"/>
    <w:rsid w:val="004C5D15"/>
    <w:rsid w:val="004D029B"/>
    <w:rsid w:val="004D03F9"/>
    <w:rsid w:val="004D483A"/>
    <w:rsid w:val="004D6D05"/>
    <w:rsid w:val="004E4907"/>
    <w:rsid w:val="004E69F0"/>
    <w:rsid w:val="004F48F3"/>
    <w:rsid w:val="004F5E82"/>
    <w:rsid w:val="004F7C62"/>
    <w:rsid w:val="00502972"/>
    <w:rsid w:val="00505A96"/>
    <w:rsid w:val="00505E77"/>
    <w:rsid w:val="00512B95"/>
    <w:rsid w:val="00516E6B"/>
    <w:rsid w:val="0052008D"/>
    <w:rsid w:val="00520EA8"/>
    <w:rsid w:val="0052128A"/>
    <w:rsid w:val="00522D68"/>
    <w:rsid w:val="005241CC"/>
    <w:rsid w:val="00524E37"/>
    <w:rsid w:val="00530692"/>
    <w:rsid w:val="00530DA4"/>
    <w:rsid w:val="00532230"/>
    <w:rsid w:val="00532AE6"/>
    <w:rsid w:val="005403FD"/>
    <w:rsid w:val="00541CDE"/>
    <w:rsid w:val="00543566"/>
    <w:rsid w:val="00547C6B"/>
    <w:rsid w:val="00550939"/>
    <w:rsid w:val="00551893"/>
    <w:rsid w:val="00552CB0"/>
    <w:rsid w:val="005657F9"/>
    <w:rsid w:val="00566182"/>
    <w:rsid w:val="00566532"/>
    <w:rsid w:val="00567000"/>
    <w:rsid w:val="00570600"/>
    <w:rsid w:val="00571F27"/>
    <w:rsid w:val="00572241"/>
    <w:rsid w:val="0057290F"/>
    <w:rsid w:val="00572FF8"/>
    <w:rsid w:val="00577478"/>
    <w:rsid w:val="00581B04"/>
    <w:rsid w:val="00582B50"/>
    <w:rsid w:val="00582E4F"/>
    <w:rsid w:val="00582F1E"/>
    <w:rsid w:val="00583F1B"/>
    <w:rsid w:val="00586100"/>
    <w:rsid w:val="00587F63"/>
    <w:rsid w:val="005907E3"/>
    <w:rsid w:val="00590A34"/>
    <w:rsid w:val="00590DAD"/>
    <w:rsid w:val="005914E8"/>
    <w:rsid w:val="00591E00"/>
    <w:rsid w:val="0059270B"/>
    <w:rsid w:val="00594342"/>
    <w:rsid w:val="00596A7A"/>
    <w:rsid w:val="005976AF"/>
    <w:rsid w:val="00597948"/>
    <w:rsid w:val="00597C03"/>
    <w:rsid w:val="005A0B08"/>
    <w:rsid w:val="005A465B"/>
    <w:rsid w:val="005B31A7"/>
    <w:rsid w:val="005B4FA9"/>
    <w:rsid w:val="005B7384"/>
    <w:rsid w:val="005C0CE6"/>
    <w:rsid w:val="005C30DD"/>
    <w:rsid w:val="005C79F2"/>
    <w:rsid w:val="005D48A3"/>
    <w:rsid w:val="005D5232"/>
    <w:rsid w:val="005D6606"/>
    <w:rsid w:val="005D7644"/>
    <w:rsid w:val="005E0D88"/>
    <w:rsid w:val="005E0E61"/>
    <w:rsid w:val="005E236D"/>
    <w:rsid w:val="005E2498"/>
    <w:rsid w:val="005E331B"/>
    <w:rsid w:val="005E54E2"/>
    <w:rsid w:val="005F1C33"/>
    <w:rsid w:val="005F1F91"/>
    <w:rsid w:val="005F2295"/>
    <w:rsid w:val="005F2D7A"/>
    <w:rsid w:val="005F377C"/>
    <w:rsid w:val="005F4DA5"/>
    <w:rsid w:val="005F4E06"/>
    <w:rsid w:val="006122B1"/>
    <w:rsid w:val="006138E1"/>
    <w:rsid w:val="0061419A"/>
    <w:rsid w:val="00615A63"/>
    <w:rsid w:val="00616CB6"/>
    <w:rsid w:val="00616DCD"/>
    <w:rsid w:val="00617E3F"/>
    <w:rsid w:val="006223E9"/>
    <w:rsid w:val="00624E5D"/>
    <w:rsid w:val="0062600F"/>
    <w:rsid w:val="00626474"/>
    <w:rsid w:val="006277DF"/>
    <w:rsid w:val="006277EA"/>
    <w:rsid w:val="0062799B"/>
    <w:rsid w:val="00632DAA"/>
    <w:rsid w:val="00634661"/>
    <w:rsid w:val="006359DF"/>
    <w:rsid w:val="00635F58"/>
    <w:rsid w:val="006401C9"/>
    <w:rsid w:val="006439FE"/>
    <w:rsid w:val="0064517D"/>
    <w:rsid w:val="00646985"/>
    <w:rsid w:val="0065144A"/>
    <w:rsid w:val="0065483A"/>
    <w:rsid w:val="00657A43"/>
    <w:rsid w:val="00660F95"/>
    <w:rsid w:val="00661C77"/>
    <w:rsid w:val="0066284B"/>
    <w:rsid w:val="006632A4"/>
    <w:rsid w:val="00665950"/>
    <w:rsid w:val="00666633"/>
    <w:rsid w:val="0066720C"/>
    <w:rsid w:val="0067162F"/>
    <w:rsid w:val="00672D16"/>
    <w:rsid w:val="00673548"/>
    <w:rsid w:val="00675A2E"/>
    <w:rsid w:val="0068244E"/>
    <w:rsid w:val="00682807"/>
    <w:rsid w:val="00684996"/>
    <w:rsid w:val="00684FC0"/>
    <w:rsid w:val="00685E35"/>
    <w:rsid w:val="00691079"/>
    <w:rsid w:val="00692390"/>
    <w:rsid w:val="00692DEB"/>
    <w:rsid w:val="00694D05"/>
    <w:rsid w:val="00694D37"/>
    <w:rsid w:val="0069516E"/>
    <w:rsid w:val="006A1733"/>
    <w:rsid w:val="006A23B5"/>
    <w:rsid w:val="006A4831"/>
    <w:rsid w:val="006A55C2"/>
    <w:rsid w:val="006B3A5A"/>
    <w:rsid w:val="006C09E0"/>
    <w:rsid w:val="006C1BE1"/>
    <w:rsid w:val="006C26EE"/>
    <w:rsid w:val="006C507D"/>
    <w:rsid w:val="006C55A6"/>
    <w:rsid w:val="006C723B"/>
    <w:rsid w:val="006D0D8D"/>
    <w:rsid w:val="006D1507"/>
    <w:rsid w:val="006D6DB9"/>
    <w:rsid w:val="006E57B2"/>
    <w:rsid w:val="006E6040"/>
    <w:rsid w:val="006E7AAE"/>
    <w:rsid w:val="006F1071"/>
    <w:rsid w:val="006F5218"/>
    <w:rsid w:val="006F5768"/>
    <w:rsid w:val="006F6D49"/>
    <w:rsid w:val="006F7D27"/>
    <w:rsid w:val="00701067"/>
    <w:rsid w:val="00701789"/>
    <w:rsid w:val="00703EFD"/>
    <w:rsid w:val="007068A3"/>
    <w:rsid w:val="00707108"/>
    <w:rsid w:val="00707EAC"/>
    <w:rsid w:val="0071388C"/>
    <w:rsid w:val="00714E71"/>
    <w:rsid w:val="00715C67"/>
    <w:rsid w:val="00717ED6"/>
    <w:rsid w:val="00721E66"/>
    <w:rsid w:val="007241D9"/>
    <w:rsid w:val="0073111A"/>
    <w:rsid w:val="007319B2"/>
    <w:rsid w:val="00732795"/>
    <w:rsid w:val="00733027"/>
    <w:rsid w:val="0073332B"/>
    <w:rsid w:val="007336B5"/>
    <w:rsid w:val="00733894"/>
    <w:rsid w:val="00734652"/>
    <w:rsid w:val="00735126"/>
    <w:rsid w:val="0073519B"/>
    <w:rsid w:val="007362EB"/>
    <w:rsid w:val="00743359"/>
    <w:rsid w:val="007453BE"/>
    <w:rsid w:val="0075289B"/>
    <w:rsid w:val="007541EC"/>
    <w:rsid w:val="007565EE"/>
    <w:rsid w:val="007602D2"/>
    <w:rsid w:val="007612F7"/>
    <w:rsid w:val="00764FA1"/>
    <w:rsid w:val="007656C9"/>
    <w:rsid w:val="0077152A"/>
    <w:rsid w:val="007766C3"/>
    <w:rsid w:val="00776AE6"/>
    <w:rsid w:val="00780A82"/>
    <w:rsid w:val="0078208F"/>
    <w:rsid w:val="00783D95"/>
    <w:rsid w:val="00785247"/>
    <w:rsid w:val="00786E6B"/>
    <w:rsid w:val="0078731D"/>
    <w:rsid w:val="00787650"/>
    <w:rsid w:val="0079098A"/>
    <w:rsid w:val="00795B10"/>
    <w:rsid w:val="007A1B09"/>
    <w:rsid w:val="007A26DF"/>
    <w:rsid w:val="007A2731"/>
    <w:rsid w:val="007A3422"/>
    <w:rsid w:val="007A5404"/>
    <w:rsid w:val="007A5B2B"/>
    <w:rsid w:val="007A741E"/>
    <w:rsid w:val="007B2EB3"/>
    <w:rsid w:val="007B4969"/>
    <w:rsid w:val="007B6BF2"/>
    <w:rsid w:val="007C2582"/>
    <w:rsid w:val="007C3E40"/>
    <w:rsid w:val="007C6AEB"/>
    <w:rsid w:val="007C6B9F"/>
    <w:rsid w:val="007D18A5"/>
    <w:rsid w:val="007D1942"/>
    <w:rsid w:val="007D195A"/>
    <w:rsid w:val="007D1FAA"/>
    <w:rsid w:val="007D2353"/>
    <w:rsid w:val="007D320A"/>
    <w:rsid w:val="007E1202"/>
    <w:rsid w:val="007E337B"/>
    <w:rsid w:val="007E5C6D"/>
    <w:rsid w:val="007E7629"/>
    <w:rsid w:val="007F108D"/>
    <w:rsid w:val="007F201B"/>
    <w:rsid w:val="007F3EF6"/>
    <w:rsid w:val="007F53BE"/>
    <w:rsid w:val="007F6C8D"/>
    <w:rsid w:val="008030B1"/>
    <w:rsid w:val="0080431C"/>
    <w:rsid w:val="0080476B"/>
    <w:rsid w:val="00805CD9"/>
    <w:rsid w:val="00810A17"/>
    <w:rsid w:val="008112D7"/>
    <w:rsid w:val="00813467"/>
    <w:rsid w:val="00813C1E"/>
    <w:rsid w:val="008144AC"/>
    <w:rsid w:val="0081610A"/>
    <w:rsid w:val="00820CBC"/>
    <w:rsid w:val="00821331"/>
    <w:rsid w:val="0082559C"/>
    <w:rsid w:val="008265B2"/>
    <w:rsid w:val="00826BFB"/>
    <w:rsid w:val="00842088"/>
    <w:rsid w:val="00843D62"/>
    <w:rsid w:val="008450A2"/>
    <w:rsid w:val="00851821"/>
    <w:rsid w:val="00854F13"/>
    <w:rsid w:val="00855666"/>
    <w:rsid w:val="008708C4"/>
    <w:rsid w:val="00873328"/>
    <w:rsid w:val="008739AB"/>
    <w:rsid w:val="00874030"/>
    <w:rsid w:val="008753DB"/>
    <w:rsid w:val="00881AD9"/>
    <w:rsid w:val="008838E0"/>
    <w:rsid w:val="00884BD5"/>
    <w:rsid w:val="00885E68"/>
    <w:rsid w:val="00887F62"/>
    <w:rsid w:val="00891287"/>
    <w:rsid w:val="00892B06"/>
    <w:rsid w:val="008951B4"/>
    <w:rsid w:val="008A516F"/>
    <w:rsid w:val="008B06C5"/>
    <w:rsid w:val="008B3A2F"/>
    <w:rsid w:val="008B4480"/>
    <w:rsid w:val="008B6860"/>
    <w:rsid w:val="008B6FB8"/>
    <w:rsid w:val="008C0FD0"/>
    <w:rsid w:val="008C154F"/>
    <w:rsid w:val="008C2337"/>
    <w:rsid w:val="008C4160"/>
    <w:rsid w:val="008C4413"/>
    <w:rsid w:val="008C59E2"/>
    <w:rsid w:val="008C6D20"/>
    <w:rsid w:val="008D0DB3"/>
    <w:rsid w:val="008D0FA4"/>
    <w:rsid w:val="008D2055"/>
    <w:rsid w:val="008D2ABF"/>
    <w:rsid w:val="008D596E"/>
    <w:rsid w:val="008D795B"/>
    <w:rsid w:val="008D7FF2"/>
    <w:rsid w:val="008E0F01"/>
    <w:rsid w:val="008E19A6"/>
    <w:rsid w:val="008E289A"/>
    <w:rsid w:val="008E2ACD"/>
    <w:rsid w:val="008E30D5"/>
    <w:rsid w:val="008E3BA4"/>
    <w:rsid w:val="008E53EE"/>
    <w:rsid w:val="008E6E74"/>
    <w:rsid w:val="008F1C7F"/>
    <w:rsid w:val="008F36FF"/>
    <w:rsid w:val="008F3F79"/>
    <w:rsid w:val="008F49E3"/>
    <w:rsid w:val="00900385"/>
    <w:rsid w:val="00902FE6"/>
    <w:rsid w:val="0090366E"/>
    <w:rsid w:val="00906119"/>
    <w:rsid w:val="00906A39"/>
    <w:rsid w:val="00911017"/>
    <w:rsid w:val="00915100"/>
    <w:rsid w:val="00916375"/>
    <w:rsid w:val="00917632"/>
    <w:rsid w:val="00921FD3"/>
    <w:rsid w:val="0092234B"/>
    <w:rsid w:val="0092303F"/>
    <w:rsid w:val="009269E5"/>
    <w:rsid w:val="009315A5"/>
    <w:rsid w:val="009331D1"/>
    <w:rsid w:val="00934CDE"/>
    <w:rsid w:val="00941992"/>
    <w:rsid w:val="009426D4"/>
    <w:rsid w:val="00946869"/>
    <w:rsid w:val="009473BC"/>
    <w:rsid w:val="00947585"/>
    <w:rsid w:val="0095137F"/>
    <w:rsid w:val="0095280D"/>
    <w:rsid w:val="009538E5"/>
    <w:rsid w:val="00953BC3"/>
    <w:rsid w:val="009546FC"/>
    <w:rsid w:val="00954952"/>
    <w:rsid w:val="009565F1"/>
    <w:rsid w:val="0096059B"/>
    <w:rsid w:val="00962AE0"/>
    <w:rsid w:val="0096509A"/>
    <w:rsid w:val="009660A8"/>
    <w:rsid w:val="00970C04"/>
    <w:rsid w:val="00970F07"/>
    <w:rsid w:val="0097572B"/>
    <w:rsid w:val="009802A5"/>
    <w:rsid w:val="00981DE3"/>
    <w:rsid w:val="009835FD"/>
    <w:rsid w:val="0098378A"/>
    <w:rsid w:val="00983BC6"/>
    <w:rsid w:val="00984D41"/>
    <w:rsid w:val="009932A6"/>
    <w:rsid w:val="00995253"/>
    <w:rsid w:val="009A28AC"/>
    <w:rsid w:val="009A364D"/>
    <w:rsid w:val="009A3943"/>
    <w:rsid w:val="009A4D59"/>
    <w:rsid w:val="009A75AE"/>
    <w:rsid w:val="009B04BF"/>
    <w:rsid w:val="009B4EC3"/>
    <w:rsid w:val="009B546B"/>
    <w:rsid w:val="009B66F5"/>
    <w:rsid w:val="009C1AE1"/>
    <w:rsid w:val="009C28DC"/>
    <w:rsid w:val="009C3A9D"/>
    <w:rsid w:val="009C6A23"/>
    <w:rsid w:val="009C7F18"/>
    <w:rsid w:val="009D5316"/>
    <w:rsid w:val="009D55E4"/>
    <w:rsid w:val="009D6431"/>
    <w:rsid w:val="009D694C"/>
    <w:rsid w:val="009D7F5C"/>
    <w:rsid w:val="009E0BB2"/>
    <w:rsid w:val="009E1049"/>
    <w:rsid w:val="009E1132"/>
    <w:rsid w:val="009E5492"/>
    <w:rsid w:val="009F1228"/>
    <w:rsid w:val="009F1CCD"/>
    <w:rsid w:val="009F64A0"/>
    <w:rsid w:val="009F66D4"/>
    <w:rsid w:val="00A01376"/>
    <w:rsid w:val="00A02074"/>
    <w:rsid w:val="00A03711"/>
    <w:rsid w:val="00A04564"/>
    <w:rsid w:val="00A04797"/>
    <w:rsid w:val="00A04935"/>
    <w:rsid w:val="00A05897"/>
    <w:rsid w:val="00A1087C"/>
    <w:rsid w:val="00A129C8"/>
    <w:rsid w:val="00A12B3D"/>
    <w:rsid w:val="00A14BC3"/>
    <w:rsid w:val="00A156FC"/>
    <w:rsid w:val="00A234F4"/>
    <w:rsid w:val="00A23CA8"/>
    <w:rsid w:val="00A2680E"/>
    <w:rsid w:val="00A3476E"/>
    <w:rsid w:val="00A35A22"/>
    <w:rsid w:val="00A37CB8"/>
    <w:rsid w:val="00A43269"/>
    <w:rsid w:val="00A4502A"/>
    <w:rsid w:val="00A47FF2"/>
    <w:rsid w:val="00A52E62"/>
    <w:rsid w:val="00A55DEC"/>
    <w:rsid w:val="00A6222D"/>
    <w:rsid w:val="00A64C1B"/>
    <w:rsid w:val="00A65D08"/>
    <w:rsid w:val="00A67880"/>
    <w:rsid w:val="00A73015"/>
    <w:rsid w:val="00A74F19"/>
    <w:rsid w:val="00A75008"/>
    <w:rsid w:val="00A760F8"/>
    <w:rsid w:val="00A812C8"/>
    <w:rsid w:val="00A82FC2"/>
    <w:rsid w:val="00A85004"/>
    <w:rsid w:val="00A8776D"/>
    <w:rsid w:val="00A904DE"/>
    <w:rsid w:val="00A91462"/>
    <w:rsid w:val="00A91E1E"/>
    <w:rsid w:val="00A9346F"/>
    <w:rsid w:val="00A95748"/>
    <w:rsid w:val="00A960BE"/>
    <w:rsid w:val="00AA2803"/>
    <w:rsid w:val="00AA2F1F"/>
    <w:rsid w:val="00AA544F"/>
    <w:rsid w:val="00AA5CD3"/>
    <w:rsid w:val="00AB06E8"/>
    <w:rsid w:val="00AB259E"/>
    <w:rsid w:val="00AB267A"/>
    <w:rsid w:val="00AB3572"/>
    <w:rsid w:val="00AB48FA"/>
    <w:rsid w:val="00AB5DF9"/>
    <w:rsid w:val="00AB61CA"/>
    <w:rsid w:val="00AB71A3"/>
    <w:rsid w:val="00AC5600"/>
    <w:rsid w:val="00AC6D99"/>
    <w:rsid w:val="00AD51AB"/>
    <w:rsid w:val="00AD6EE1"/>
    <w:rsid w:val="00AD7D21"/>
    <w:rsid w:val="00AE115F"/>
    <w:rsid w:val="00AE2388"/>
    <w:rsid w:val="00AE2794"/>
    <w:rsid w:val="00AE30E5"/>
    <w:rsid w:val="00AE398C"/>
    <w:rsid w:val="00AE4058"/>
    <w:rsid w:val="00AE51CF"/>
    <w:rsid w:val="00AE5C15"/>
    <w:rsid w:val="00AE647D"/>
    <w:rsid w:val="00AF0E3E"/>
    <w:rsid w:val="00AF1B38"/>
    <w:rsid w:val="00AF6117"/>
    <w:rsid w:val="00AF71E2"/>
    <w:rsid w:val="00B01B84"/>
    <w:rsid w:val="00B0535C"/>
    <w:rsid w:val="00B055D4"/>
    <w:rsid w:val="00B06105"/>
    <w:rsid w:val="00B0676E"/>
    <w:rsid w:val="00B10071"/>
    <w:rsid w:val="00B11440"/>
    <w:rsid w:val="00B135DC"/>
    <w:rsid w:val="00B1487B"/>
    <w:rsid w:val="00B1766A"/>
    <w:rsid w:val="00B21E05"/>
    <w:rsid w:val="00B220BC"/>
    <w:rsid w:val="00B26170"/>
    <w:rsid w:val="00B333A8"/>
    <w:rsid w:val="00B33A15"/>
    <w:rsid w:val="00B340C9"/>
    <w:rsid w:val="00B37A15"/>
    <w:rsid w:val="00B404BA"/>
    <w:rsid w:val="00B46DD7"/>
    <w:rsid w:val="00B51E9B"/>
    <w:rsid w:val="00B5374C"/>
    <w:rsid w:val="00B5563B"/>
    <w:rsid w:val="00B56385"/>
    <w:rsid w:val="00B60A99"/>
    <w:rsid w:val="00B60F3B"/>
    <w:rsid w:val="00B702B7"/>
    <w:rsid w:val="00B74E6D"/>
    <w:rsid w:val="00B77567"/>
    <w:rsid w:val="00B811E5"/>
    <w:rsid w:val="00B81377"/>
    <w:rsid w:val="00B81E15"/>
    <w:rsid w:val="00B825BF"/>
    <w:rsid w:val="00B83E99"/>
    <w:rsid w:val="00B914F1"/>
    <w:rsid w:val="00B95332"/>
    <w:rsid w:val="00B974C0"/>
    <w:rsid w:val="00BA202E"/>
    <w:rsid w:val="00BA2EA2"/>
    <w:rsid w:val="00BA537B"/>
    <w:rsid w:val="00BA7454"/>
    <w:rsid w:val="00BB380B"/>
    <w:rsid w:val="00BB715E"/>
    <w:rsid w:val="00BC4CBB"/>
    <w:rsid w:val="00BD515A"/>
    <w:rsid w:val="00BD58C3"/>
    <w:rsid w:val="00BD6EEA"/>
    <w:rsid w:val="00BE23EB"/>
    <w:rsid w:val="00BE2AEF"/>
    <w:rsid w:val="00BE6771"/>
    <w:rsid w:val="00BF0929"/>
    <w:rsid w:val="00BF192C"/>
    <w:rsid w:val="00BF6814"/>
    <w:rsid w:val="00BF7FAE"/>
    <w:rsid w:val="00C01DE3"/>
    <w:rsid w:val="00C03279"/>
    <w:rsid w:val="00C04289"/>
    <w:rsid w:val="00C04F16"/>
    <w:rsid w:val="00C06A66"/>
    <w:rsid w:val="00C06C86"/>
    <w:rsid w:val="00C124B5"/>
    <w:rsid w:val="00C12878"/>
    <w:rsid w:val="00C16585"/>
    <w:rsid w:val="00C176EE"/>
    <w:rsid w:val="00C20B25"/>
    <w:rsid w:val="00C257EE"/>
    <w:rsid w:val="00C2627A"/>
    <w:rsid w:val="00C264CF"/>
    <w:rsid w:val="00C26A0C"/>
    <w:rsid w:val="00C3145E"/>
    <w:rsid w:val="00C31D3F"/>
    <w:rsid w:val="00C335DE"/>
    <w:rsid w:val="00C34672"/>
    <w:rsid w:val="00C34E62"/>
    <w:rsid w:val="00C41E43"/>
    <w:rsid w:val="00C42B2C"/>
    <w:rsid w:val="00C46F00"/>
    <w:rsid w:val="00C47B07"/>
    <w:rsid w:val="00C51DBA"/>
    <w:rsid w:val="00C65FDF"/>
    <w:rsid w:val="00C666EA"/>
    <w:rsid w:val="00C66A63"/>
    <w:rsid w:val="00C66E4E"/>
    <w:rsid w:val="00C7079A"/>
    <w:rsid w:val="00C75266"/>
    <w:rsid w:val="00C76AA6"/>
    <w:rsid w:val="00C778EC"/>
    <w:rsid w:val="00C82E57"/>
    <w:rsid w:val="00C8310C"/>
    <w:rsid w:val="00C8311B"/>
    <w:rsid w:val="00C833B3"/>
    <w:rsid w:val="00C91512"/>
    <w:rsid w:val="00C95542"/>
    <w:rsid w:val="00C95997"/>
    <w:rsid w:val="00C95EE8"/>
    <w:rsid w:val="00C96058"/>
    <w:rsid w:val="00C97893"/>
    <w:rsid w:val="00CA554A"/>
    <w:rsid w:val="00CA7185"/>
    <w:rsid w:val="00CA7A11"/>
    <w:rsid w:val="00CB0F32"/>
    <w:rsid w:val="00CB2A68"/>
    <w:rsid w:val="00CB2DB1"/>
    <w:rsid w:val="00CB37CE"/>
    <w:rsid w:val="00CB4953"/>
    <w:rsid w:val="00CB7F6F"/>
    <w:rsid w:val="00CC1156"/>
    <w:rsid w:val="00CC2285"/>
    <w:rsid w:val="00CC27D7"/>
    <w:rsid w:val="00CD021E"/>
    <w:rsid w:val="00CD03EE"/>
    <w:rsid w:val="00CD10AD"/>
    <w:rsid w:val="00CD1551"/>
    <w:rsid w:val="00CD363D"/>
    <w:rsid w:val="00CD5DE8"/>
    <w:rsid w:val="00CD643C"/>
    <w:rsid w:val="00CD7A66"/>
    <w:rsid w:val="00CD7E70"/>
    <w:rsid w:val="00CF42BD"/>
    <w:rsid w:val="00CF49CE"/>
    <w:rsid w:val="00CF57E5"/>
    <w:rsid w:val="00CF57F4"/>
    <w:rsid w:val="00CF6450"/>
    <w:rsid w:val="00CF6CB4"/>
    <w:rsid w:val="00CF745F"/>
    <w:rsid w:val="00D000B5"/>
    <w:rsid w:val="00D007A8"/>
    <w:rsid w:val="00D00966"/>
    <w:rsid w:val="00D0158A"/>
    <w:rsid w:val="00D0293D"/>
    <w:rsid w:val="00D04D6E"/>
    <w:rsid w:val="00D06D56"/>
    <w:rsid w:val="00D07C6B"/>
    <w:rsid w:val="00D11ECA"/>
    <w:rsid w:val="00D15B05"/>
    <w:rsid w:val="00D175A2"/>
    <w:rsid w:val="00D2177E"/>
    <w:rsid w:val="00D24228"/>
    <w:rsid w:val="00D24F0E"/>
    <w:rsid w:val="00D25977"/>
    <w:rsid w:val="00D26121"/>
    <w:rsid w:val="00D3167C"/>
    <w:rsid w:val="00D32752"/>
    <w:rsid w:val="00D340E4"/>
    <w:rsid w:val="00D34878"/>
    <w:rsid w:val="00D3500C"/>
    <w:rsid w:val="00D4275C"/>
    <w:rsid w:val="00D50BCD"/>
    <w:rsid w:val="00D50C16"/>
    <w:rsid w:val="00D5234E"/>
    <w:rsid w:val="00D53328"/>
    <w:rsid w:val="00D54C6E"/>
    <w:rsid w:val="00D5584A"/>
    <w:rsid w:val="00D56FE9"/>
    <w:rsid w:val="00D57670"/>
    <w:rsid w:val="00D57EC7"/>
    <w:rsid w:val="00D602A5"/>
    <w:rsid w:val="00D6207A"/>
    <w:rsid w:val="00D64CEA"/>
    <w:rsid w:val="00D70996"/>
    <w:rsid w:val="00D739ED"/>
    <w:rsid w:val="00D76BA4"/>
    <w:rsid w:val="00D8058A"/>
    <w:rsid w:val="00D80620"/>
    <w:rsid w:val="00D80B15"/>
    <w:rsid w:val="00D80F25"/>
    <w:rsid w:val="00D81DD3"/>
    <w:rsid w:val="00D82BDB"/>
    <w:rsid w:val="00D842FD"/>
    <w:rsid w:val="00D8733B"/>
    <w:rsid w:val="00D94206"/>
    <w:rsid w:val="00D9605F"/>
    <w:rsid w:val="00D96AA7"/>
    <w:rsid w:val="00D96C95"/>
    <w:rsid w:val="00D97ADA"/>
    <w:rsid w:val="00D97C49"/>
    <w:rsid w:val="00D97D9D"/>
    <w:rsid w:val="00DA0B1E"/>
    <w:rsid w:val="00DA113E"/>
    <w:rsid w:val="00DA2BC7"/>
    <w:rsid w:val="00DA30D1"/>
    <w:rsid w:val="00DA4629"/>
    <w:rsid w:val="00DA7C0D"/>
    <w:rsid w:val="00DB043D"/>
    <w:rsid w:val="00DB167A"/>
    <w:rsid w:val="00DB400B"/>
    <w:rsid w:val="00DB5641"/>
    <w:rsid w:val="00DB5A14"/>
    <w:rsid w:val="00DB7202"/>
    <w:rsid w:val="00DC1FF8"/>
    <w:rsid w:val="00DC3489"/>
    <w:rsid w:val="00DC44FC"/>
    <w:rsid w:val="00DC612C"/>
    <w:rsid w:val="00DD1CC6"/>
    <w:rsid w:val="00DD45A5"/>
    <w:rsid w:val="00DD7623"/>
    <w:rsid w:val="00DE045F"/>
    <w:rsid w:val="00DE0DB3"/>
    <w:rsid w:val="00DE1E01"/>
    <w:rsid w:val="00DE2B77"/>
    <w:rsid w:val="00DE33BA"/>
    <w:rsid w:val="00DE46BB"/>
    <w:rsid w:val="00DE692D"/>
    <w:rsid w:val="00DF0228"/>
    <w:rsid w:val="00DF03AF"/>
    <w:rsid w:val="00DF2666"/>
    <w:rsid w:val="00DF31C3"/>
    <w:rsid w:val="00DF4A39"/>
    <w:rsid w:val="00DF4B71"/>
    <w:rsid w:val="00DF6845"/>
    <w:rsid w:val="00E0309A"/>
    <w:rsid w:val="00E03AEC"/>
    <w:rsid w:val="00E07D6F"/>
    <w:rsid w:val="00E13026"/>
    <w:rsid w:val="00E13999"/>
    <w:rsid w:val="00E15D0F"/>
    <w:rsid w:val="00E16489"/>
    <w:rsid w:val="00E20311"/>
    <w:rsid w:val="00E237E1"/>
    <w:rsid w:val="00E24571"/>
    <w:rsid w:val="00E26003"/>
    <w:rsid w:val="00E34BD2"/>
    <w:rsid w:val="00E34D32"/>
    <w:rsid w:val="00E36AE7"/>
    <w:rsid w:val="00E40531"/>
    <w:rsid w:val="00E40FDA"/>
    <w:rsid w:val="00E414FF"/>
    <w:rsid w:val="00E417FB"/>
    <w:rsid w:val="00E4180E"/>
    <w:rsid w:val="00E42F10"/>
    <w:rsid w:val="00E4475F"/>
    <w:rsid w:val="00E459F9"/>
    <w:rsid w:val="00E46D4C"/>
    <w:rsid w:val="00E471C7"/>
    <w:rsid w:val="00E504FB"/>
    <w:rsid w:val="00E5265C"/>
    <w:rsid w:val="00E52DD5"/>
    <w:rsid w:val="00E54029"/>
    <w:rsid w:val="00E55936"/>
    <w:rsid w:val="00E56590"/>
    <w:rsid w:val="00E6007B"/>
    <w:rsid w:val="00E611EC"/>
    <w:rsid w:val="00E61845"/>
    <w:rsid w:val="00E61991"/>
    <w:rsid w:val="00E641EE"/>
    <w:rsid w:val="00E65560"/>
    <w:rsid w:val="00E66925"/>
    <w:rsid w:val="00E72522"/>
    <w:rsid w:val="00E73597"/>
    <w:rsid w:val="00E76165"/>
    <w:rsid w:val="00E775E6"/>
    <w:rsid w:val="00E80537"/>
    <w:rsid w:val="00E8123F"/>
    <w:rsid w:val="00E82E51"/>
    <w:rsid w:val="00E8604E"/>
    <w:rsid w:val="00E865CF"/>
    <w:rsid w:val="00E867B0"/>
    <w:rsid w:val="00E90D92"/>
    <w:rsid w:val="00E92630"/>
    <w:rsid w:val="00E93BDB"/>
    <w:rsid w:val="00E95071"/>
    <w:rsid w:val="00E9710E"/>
    <w:rsid w:val="00EA1927"/>
    <w:rsid w:val="00EA7E44"/>
    <w:rsid w:val="00EB317F"/>
    <w:rsid w:val="00EB426D"/>
    <w:rsid w:val="00EB563E"/>
    <w:rsid w:val="00EB582D"/>
    <w:rsid w:val="00EB67CB"/>
    <w:rsid w:val="00EB7DA0"/>
    <w:rsid w:val="00EB7F42"/>
    <w:rsid w:val="00EC11F5"/>
    <w:rsid w:val="00EC7CC6"/>
    <w:rsid w:val="00ED11E3"/>
    <w:rsid w:val="00ED1566"/>
    <w:rsid w:val="00ED1F88"/>
    <w:rsid w:val="00ED621D"/>
    <w:rsid w:val="00ED77A5"/>
    <w:rsid w:val="00EE0474"/>
    <w:rsid w:val="00EE0ED1"/>
    <w:rsid w:val="00EE1159"/>
    <w:rsid w:val="00EE31B8"/>
    <w:rsid w:val="00EE658D"/>
    <w:rsid w:val="00EF0138"/>
    <w:rsid w:val="00EF1F81"/>
    <w:rsid w:val="00EF2492"/>
    <w:rsid w:val="00EF38D7"/>
    <w:rsid w:val="00EF38EC"/>
    <w:rsid w:val="00EF6D7F"/>
    <w:rsid w:val="00EF6DEB"/>
    <w:rsid w:val="00F01A27"/>
    <w:rsid w:val="00F01C24"/>
    <w:rsid w:val="00F0449E"/>
    <w:rsid w:val="00F0472E"/>
    <w:rsid w:val="00F0694B"/>
    <w:rsid w:val="00F06998"/>
    <w:rsid w:val="00F11F32"/>
    <w:rsid w:val="00F14DF5"/>
    <w:rsid w:val="00F14EEF"/>
    <w:rsid w:val="00F1645F"/>
    <w:rsid w:val="00F2040D"/>
    <w:rsid w:val="00F20B81"/>
    <w:rsid w:val="00F20D3B"/>
    <w:rsid w:val="00F240B4"/>
    <w:rsid w:val="00F251BB"/>
    <w:rsid w:val="00F30069"/>
    <w:rsid w:val="00F31425"/>
    <w:rsid w:val="00F314D8"/>
    <w:rsid w:val="00F32763"/>
    <w:rsid w:val="00F328C1"/>
    <w:rsid w:val="00F32FE2"/>
    <w:rsid w:val="00F346AF"/>
    <w:rsid w:val="00F34EA6"/>
    <w:rsid w:val="00F35146"/>
    <w:rsid w:val="00F35A7C"/>
    <w:rsid w:val="00F365CD"/>
    <w:rsid w:val="00F40554"/>
    <w:rsid w:val="00F44D91"/>
    <w:rsid w:val="00F45F99"/>
    <w:rsid w:val="00F51EB4"/>
    <w:rsid w:val="00F53D9E"/>
    <w:rsid w:val="00F57A2C"/>
    <w:rsid w:val="00F57E81"/>
    <w:rsid w:val="00F57F54"/>
    <w:rsid w:val="00F60A5D"/>
    <w:rsid w:val="00F67BF6"/>
    <w:rsid w:val="00F700A9"/>
    <w:rsid w:val="00F70838"/>
    <w:rsid w:val="00F72EA9"/>
    <w:rsid w:val="00F73E92"/>
    <w:rsid w:val="00F74556"/>
    <w:rsid w:val="00F76637"/>
    <w:rsid w:val="00F90B64"/>
    <w:rsid w:val="00F926F9"/>
    <w:rsid w:val="00F927CC"/>
    <w:rsid w:val="00F92D94"/>
    <w:rsid w:val="00F95ED8"/>
    <w:rsid w:val="00FA01DE"/>
    <w:rsid w:val="00FA32C8"/>
    <w:rsid w:val="00FA4142"/>
    <w:rsid w:val="00FA5673"/>
    <w:rsid w:val="00FA7E91"/>
    <w:rsid w:val="00FB016A"/>
    <w:rsid w:val="00FB2CA5"/>
    <w:rsid w:val="00FB521C"/>
    <w:rsid w:val="00FB5516"/>
    <w:rsid w:val="00FB6153"/>
    <w:rsid w:val="00FC3825"/>
    <w:rsid w:val="00FC3E9F"/>
    <w:rsid w:val="00FC4B40"/>
    <w:rsid w:val="00FC79EA"/>
    <w:rsid w:val="00FD2246"/>
    <w:rsid w:val="00FE15BD"/>
    <w:rsid w:val="00FE3827"/>
    <w:rsid w:val="00FE6716"/>
    <w:rsid w:val="00FE7AA4"/>
    <w:rsid w:val="00FF01BA"/>
    <w:rsid w:val="00FF0BC4"/>
    <w:rsid w:val="00FF17A7"/>
    <w:rsid w:val="00FF682F"/>
    <w:rsid w:val="00FF7069"/>
    <w:rsid w:val="00FF786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03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4D8"/>
    <w:pPr>
      <w:spacing w:after="120"/>
      <w:ind w:firstLine="0"/>
      <w:jc w:val="both"/>
    </w:pPr>
    <w:rPr>
      <w:sz w:val="21"/>
    </w:rPr>
  </w:style>
  <w:style w:type="paragraph" w:styleId="Nadpis1">
    <w:name w:val="heading 1"/>
    <w:basedOn w:val="Normln"/>
    <w:next w:val="Normln"/>
    <w:link w:val="Nadpis1Char"/>
    <w:uiPriority w:val="9"/>
    <w:qFormat/>
    <w:rsid w:val="002639EE"/>
    <w:pPr>
      <w:spacing w:before="600" w:after="480"/>
      <w:jc w:val="center"/>
      <w:outlineLvl w:val="0"/>
    </w:pPr>
    <w:rPr>
      <w:rFonts w:asciiTheme="majorHAnsi" w:eastAsiaTheme="majorEastAsia" w:hAnsiTheme="majorHAnsi" w:cstheme="majorBidi"/>
      <w:b/>
      <w:bCs/>
      <w:color w:val="9D3511" w:themeColor="accent1" w:themeShade="BF"/>
      <w:sz w:val="30"/>
      <w:szCs w:val="24"/>
    </w:rPr>
  </w:style>
  <w:style w:type="paragraph" w:styleId="Nadpis2">
    <w:name w:val="heading 2"/>
    <w:basedOn w:val="Normln"/>
    <w:next w:val="Normln"/>
    <w:link w:val="Nadpis2Char"/>
    <w:uiPriority w:val="9"/>
    <w:unhideWhenUsed/>
    <w:qFormat/>
    <w:rsid w:val="002639EE"/>
    <w:pPr>
      <w:spacing w:before="480" w:after="360"/>
      <w:outlineLvl w:val="1"/>
    </w:pPr>
    <w:rPr>
      <w:rFonts w:asciiTheme="majorHAnsi" w:eastAsiaTheme="majorEastAsia" w:hAnsiTheme="majorHAnsi" w:cstheme="majorBidi"/>
      <w:b/>
      <w:color w:val="9D3511" w:themeColor="accent1" w:themeShade="BF"/>
      <w:sz w:val="28"/>
      <w:szCs w:val="24"/>
    </w:rPr>
  </w:style>
  <w:style w:type="paragraph" w:styleId="Nadpis3">
    <w:name w:val="heading 3"/>
    <w:basedOn w:val="Normln"/>
    <w:next w:val="Normln"/>
    <w:link w:val="Nadpis3Char"/>
    <w:uiPriority w:val="9"/>
    <w:unhideWhenUsed/>
    <w:qFormat/>
    <w:rsid w:val="00ED621D"/>
    <w:pPr>
      <w:spacing w:before="360" w:after="160"/>
      <w:outlineLvl w:val="2"/>
    </w:pPr>
    <w:rPr>
      <w:rFonts w:asciiTheme="majorHAnsi" w:eastAsiaTheme="majorEastAsia" w:hAnsiTheme="majorHAnsi" w:cstheme="majorBidi"/>
      <w:b/>
      <w:color w:val="AF0101"/>
      <w:sz w:val="24"/>
      <w:szCs w:val="24"/>
    </w:rPr>
  </w:style>
  <w:style w:type="paragraph" w:styleId="Nadpis4">
    <w:name w:val="heading 4"/>
    <w:basedOn w:val="Normln"/>
    <w:next w:val="Normln"/>
    <w:link w:val="Nadpis4Char"/>
    <w:uiPriority w:val="9"/>
    <w:unhideWhenUsed/>
    <w:qFormat/>
    <w:rsid w:val="00ED621D"/>
    <w:pPr>
      <w:spacing w:before="200" w:after="80"/>
      <w:outlineLvl w:val="3"/>
    </w:pPr>
    <w:rPr>
      <w:rFonts w:asciiTheme="majorHAnsi" w:eastAsiaTheme="majorEastAsia" w:hAnsiTheme="majorHAnsi" w:cstheme="majorBidi"/>
      <w:b/>
      <w:i/>
      <w:iCs/>
      <w:color w:val="D41616"/>
      <w:szCs w:val="24"/>
    </w:rPr>
  </w:style>
  <w:style w:type="paragraph" w:styleId="Nadpis5">
    <w:name w:val="heading 5"/>
    <w:basedOn w:val="Normln"/>
    <w:next w:val="Normln"/>
    <w:link w:val="Nadpis5Char"/>
    <w:uiPriority w:val="9"/>
    <w:unhideWhenUsed/>
    <w:qFormat/>
    <w:rsid w:val="00946869"/>
    <w:pPr>
      <w:spacing w:before="200" w:after="80"/>
      <w:outlineLvl w:val="4"/>
    </w:pPr>
    <w:rPr>
      <w:rFonts w:asciiTheme="majorHAnsi" w:eastAsiaTheme="majorEastAsia" w:hAnsiTheme="majorHAnsi" w:cstheme="majorBidi"/>
      <w:color w:val="D34817" w:themeColor="accent1"/>
    </w:rPr>
  </w:style>
  <w:style w:type="paragraph" w:styleId="Nadpis6">
    <w:name w:val="heading 6"/>
    <w:basedOn w:val="Normln"/>
    <w:next w:val="Normln"/>
    <w:link w:val="Nadpis6Char"/>
    <w:uiPriority w:val="9"/>
    <w:unhideWhenUsed/>
    <w:qFormat/>
    <w:rsid w:val="00946869"/>
    <w:pPr>
      <w:spacing w:before="280" w:after="100"/>
      <w:outlineLvl w:val="5"/>
    </w:pPr>
    <w:rPr>
      <w:rFonts w:asciiTheme="majorHAnsi" w:eastAsiaTheme="majorEastAsia" w:hAnsiTheme="majorHAnsi" w:cstheme="majorBidi"/>
      <w:i/>
      <w:iCs/>
      <w:color w:val="D34817" w:themeColor="accent1"/>
    </w:rPr>
  </w:style>
  <w:style w:type="paragraph" w:styleId="Nadpis7">
    <w:name w:val="heading 7"/>
    <w:basedOn w:val="Normln"/>
    <w:next w:val="Normln"/>
    <w:link w:val="Nadpis7Char"/>
    <w:uiPriority w:val="9"/>
    <w:unhideWhenUsed/>
    <w:qFormat/>
    <w:rsid w:val="00946869"/>
    <w:pPr>
      <w:spacing w:before="320" w:after="100"/>
      <w:outlineLvl w:val="6"/>
    </w:pPr>
    <w:rPr>
      <w:rFonts w:asciiTheme="majorHAnsi" w:eastAsiaTheme="majorEastAsia" w:hAnsiTheme="majorHAnsi" w:cstheme="majorBidi"/>
      <w:b/>
      <w:bCs/>
      <w:color w:val="A28E6A" w:themeColor="accent3"/>
      <w:sz w:val="20"/>
      <w:szCs w:val="20"/>
    </w:rPr>
  </w:style>
  <w:style w:type="paragraph" w:styleId="Nadpis8">
    <w:name w:val="heading 8"/>
    <w:basedOn w:val="Normln"/>
    <w:next w:val="Normln"/>
    <w:link w:val="Nadpis8Char"/>
    <w:uiPriority w:val="9"/>
    <w:unhideWhenUsed/>
    <w:qFormat/>
    <w:rsid w:val="00946869"/>
    <w:pPr>
      <w:spacing w:before="320" w:after="100"/>
      <w:outlineLvl w:val="7"/>
    </w:pPr>
    <w:rPr>
      <w:rFonts w:asciiTheme="majorHAnsi" w:eastAsiaTheme="majorEastAsia" w:hAnsiTheme="majorHAnsi" w:cstheme="majorBidi"/>
      <w:b/>
      <w:bCs/>
      <w:i/>
      <w:iCs/>
      <w:color w:val="A28E6A" w:themeColor="accent3"/>
      <w:sz w:val="20"/>
      <w:szCs w:val="20"/>
    </w:rPr>
  </w:style>
  <w:style w:type="paragraph" w:styleId="Nadpis9">
    <w:name w:val="heading 9"/>
    <w:basedOn w:val="Normln"/>
    <w:next w:val="Normln"/>
    <w:link w:val="Nadpis9Char"/>
    <w:uiPriority w:val="9"/>
    <w:unhideWhenUsed/>
    <w:qFormat/>
    <w:rsid w:val="00946869"/>
    <w:pPr>
      <w:spacing w:before="320" w:after="100"/>
      <w:outlineLvl w:val="8"/>
    </w:pPr>
    <w:rPr>
      <w:rFonts w:asciiTheme="majorHAnsi" w:eastAsiaTheme="majorEastAsia" w:hAnsiTheme="majorHAnsi" w:cstheme="majorBidi"/>
      <w:i/>
      <w:iCs/>
      <w:color w:val="A28E6A"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639EE"/>
    <w:rPr>
      <w:rFonts w:asciiTheme="majorHAnsi" w:eastAsiaTheme="majorEastAsia" w:hAnsiTheme="majorHAnsi" w:cstheme="majorBidi"/>
      <w:b/>
      <w:color w:val="9D3511" w:themeColor="accent1" w:themeShade="BF"/>
      <w:sz w:val="28"/>
      <w:szCs w:val="24"/>
    </w:rPr>
  </w:style>
  <w:style w:type="character" w:customStyle="1" w:styleId="Nadpis1Char">
    <w:name w:val="Nadpis 1 Char"/>
    <w:basedOn w:val="Standardnpsmoodstavce"/>
    <w:link w:val="Nadpis1"/>
    <w:uiPriority w:val="9"/>
    <w:rsid w:val="002639EE"/>
    <w:rPr>
      <w:rFonts w:asciiTheme="majorHAnsi" w:eastAsiaTheme="majorEastAsia" w:hAnsiTheme="majorHAnsi" w:cstheme="majorBidi"/>
      <w:b/>
      <w:bCs/>
      <w:color w:val="9D3511" w:themeColor="accent1" w:themeShade="BF"/>
      <w:sz w:val="30"/>
      <w:szCs w:val="24"/>
    </w:rPr>
  </w:style>
  <w:style w:type="character" w:customStyle="1" w:styleId="Nadpis3Char">
    <w:name w:val="Nadpis 3 Char"/>
    <w:basedOn w:val="Standardnpsmoodstavce"/>
    <w:link w:val="Nadpis3"/>
    <w:uiPriority w:val="9"/>
    <w:rsid w:val="00ED621D"/>
    <w:rPr>
      <w:rFonts w:asciiTheme="majorHAnsi" w:eastAsiaTheme="majorEastAsia" w:hAnsiTheme="majorHAnsi" w:cstheme="majorBidi"/>
      <w:b/>
      <w:color w:val="AF0101"/>
      <w:sz w:val="24"/>
      <w:szCs w:val="24"/>
    </w:rPr>
  </w:style>
  <w:style w:type="character" w:customStyle="1" w:styleId="Nadpis4Char">
    <w:name w:val="Nadpis 4 Char"/>
    <w:basedOn w:val="Standardnpsmoodstavce"/>
    <w:link w:val="Nadpis4"/>
    <w:uiPriority w:val="9"/>
    <w:rsid w:val="00ED621D"/>
    <w:rPr>
      <w:rFonts w:asciiTheme="majorHAnsi" w:eastAsiaTheme="majorEastAsia" w:hAnsiTheme="majorHAnsi" w:cstheme="majorBidi"/>
      <w:b/>
      <w:i/>
      <w:iCs/>
      <w:color w:val="D41616"/>
      <w:sz w:val="21"/>
      <w:szCs w:val="24"/>
    </w:rPr>
  </w:style>
  <w:style w:type="character" w:customStyle="1" w:styleId="Nadpis5Char">
    <w:name w:val="Nadpis 5 Char"/>
    <w:basedOn w:val="Standardnpsmoodstavce"/>
    <w:link w:val="Nadpis5"/>
    <w:uiPriority w:val="9"/>
    <w:rsid w:val="00946869"/>
    <w:rPr>
      <w:rFonts w:asciiTheme="majorHAnsi" w:eastAsiaTheme="majorEastAsia" w:hAnsiTheme="majorHAnsi" w:cstheme="majorBidi"/>
      <w:color w:val="D34817" w:themeColor="accent1"/>
    </w:rPr>
  </w:style>
  <w:style w:type="character" w:customStyle="1" w:styleId="Nadpis6Char">
    <w:name w:val="Nadpis 6 Char"/>
    <w:basedOn w:val="Standardnpsmoodstavce"/>
    <w:link w:val="Nadpis6"/>
    <w:uiPriority w:val="9"/>
    <w:rsid w:val="00946869"/>
    <w:rPr>
      <w:rFonts w:asciiTheme="majorHAnsi" w:eastAsiaTheme="majorEastAsia" w:hAnsiTheme="majorHAnsi" w:cstheme="majorBidi"/>
      <w:i/>
      <w:iCs/>
      <w:color w:val="D34817" w:themeColor="accent1"/>
    </w:rPr>
  </w:style>
  <w:style w:type="character" w:customStyle="1" w:styleId="Nadpis7Char">
    <w:name w:val="Nadpis 7 Char"/>
    <w:basedOn w:val="Standardnpsmoodstavce"/>
    <w:link w:val="Nadpis7"/>
    <w:uiPriority w:val="9"/>
    <w:rsid w:val="00946869"/>
    <w:rPr>
      <w:rFonts w:asciiTheme="majorHAnsi" w:eastAsiaTheme="majorEastAsia" w:hAnsiTheme="majorHAnsi" w:cstheme="majorBidi"/>
      <w:b/>
      <w:bCs/>
      <w:color w:val="A28E6A" w:themeColor="accent3"/>
      <w:sz w:val="20"/>
      <w:szCs w:val="20"/>
    </w:rPr>
  </w:style>
  <w:style w:type="character" w:customStyle="1" w:styleId="Nadpis8Char">
    <w:name w:val="Nadpis 8 Char"/>
    <w:basedOn w:val="Standardnpsmoodstavce"/>
    <w:link w:val="Nadpis8"/>
    <w:uiPriority w:val="9"/>
    <w:rsid w:val="00946869"/>
    <w:rPr>
      <w:rFonts w:asciiTheme="majorHAnsi" w:eastAsiaTheme="majorEastAsia" w:hAnsiTheme="majorHAnsi" w:cstheme="majorBidi"/>
      <w:b/>
      <w:bCs/>
      <w:i/>
      <w:iCs/>
      <w:color w:val="A28E6A" w:themeColor="accent3"/>
      <w:sz w:val="20"/>
      <w:szCs w:val="20"/>
    </w:rPr>
  </w:style>
  <w:style w:type="character" w:customStyle="1" w:styleId="Nadpis9Char">
    <w:name w:val="Nadpis 9 Char"/>
    <w:basedOn w:val="Standardnpsmoodstavce"/>
    <w:link w:val="Nadpis9"/>
    <w:uiPriority w:val="9"/>
    <w:rsid w:val="00946869"/>
    <w:rPr>
      <w:rFonts w:asciiTheme="majorHAnsi" w:eastAsiaTheme="majorEastAsia" w:hAnsiTheme="majorHAnsi" w:cstheme="majorBidi"/>
      <w:i/>
      <w:iCs/>
      <w:color w:val="A28E6A" w:themeColor="accent3"/>
      <w:sz w:val="20"/>
      <w:szCs w:val="20"/>
    </w:rPr>
  </w:style>
  <w:style w:type="paragraph" w:styleId="Titulek">
    <w:name w:val="caption"/>
    <w:basedOn w:val="Normln"/>
    <w:next w:val="Normln"/>
    <w:uiPriority w:val="35"/>
    <w:unhideWhenUsed/>
    <w:qFormat/>
    <w:rsid w:val="00946869"/>
    <w:rPr>
      <w:b/>
      <w:bCs/>
      <w:sz w:val="18"/>
      <w:szCs w:val="18"/>
    </w:rPr>
  </w:style>
  <w:style w:type="paragraph" w:styleId="Nzev">
    <w:name w:val="Title"/>
    <w:basedOn w:val="Normln"/>
    <w:next w:val="Normln"/>
    <w:link w:val="NzevChar"/>
    <w:uiPriority w:val="10"/>
    <w:qFormat/>
    <w:rsid w:val="00946869"/>
    <w:pPr>
      <w:pBdr>
        <w:top w:val="single" w:sz="8" w:space="10" w:color="F19F82" w:themeColor="accent1" w:themeTint="7F"/>
        <w:bottom w:val="single" w:sz="24" w:space="15" w:color="A28E6A" w:themeColor="accent3"/>
      </w:pBdr>
      <w:jc w:val="center"/>
    </w:pPr>
    <w:rPr>
      <w:rFonts w:asciiTheme="majorHAnsi" w:eastAsiaTheme="majorEastAsia" w:hAnsiTheme="majorHAnsi" w:cstheme="majorBidi"/>
      <w:i/>
      <w:iCs/>
      <w:color w:val="68230B" w:themeColor="accent1" w:themeShade="7F"/>
      <w:sz w:val="60"/>
      <w:szCs w:val="60"/>
    </w:rPr>
  </w:style>
  <w:style w:type="character" w:customStyle="1" w:styleId="NzevChar">
    <w:name w:val="Název Char"/>
    <w:basedOn w:val="Standardnpsmoodstavce"/>
    <w:link w:val="Nzev"/>
    <w:uiPriority w:val="10"/>
    <w:rsid w:val="00946869"/>
    <w:rPr>
      <w:rFonts w:asciiTheme="majorHAnsi" w:eastAsiaTheme="majorEastAsia" w:hAnsiTheme="majorHAnsi" w:cstheme="majorBidi"/>
      <w:i/>
      <w:iCs/>
      <w:color w:val="68230B" w:themeColor="accent1" w:themeShade="7F"/>
      <w:sz w:val="60"/>
      <w:szCs w:val="60"/>
    </w:rPr>
  </w:style>
  <w:style w:type="paragraph" w:styleId="Podtitul">
    <w:name w:val="Subtitle"/>
    <w:basedOn w:val="Normln"/>
    <w:next w:val="Normln"/>
    <w:link w:val="PodtitulChar"/>
    <w:uiPriority w:val="11"/>
    <w:qFormat/>
    <w:rsid w:val="00946869"/>
    <w:pPr>
      <w:spacing w:before="200" w:after="900"/>
      <w:jc w:val="right"/>
    </w:pPr>
    <w:rPr>
      <w:i/>
      <w:iCs/>
      <w:sz w:val="24"/>
      <w:szCs w:val="24"/>
    </w:rPr>
  </w:style>
  <w:style w:type="character" w:customStyle="1" w:styleId="PodtitulChar">
    <w:name w:val="Podtitul Char"/>
    <w:basedOn w:val="Standardnpsmoodstavce"/>
    <w:link w:val="Podtitul"/>
    <w:uiPriority w:val="11"/>
    <w:rsid w:val="00946869"/>
    <w:rPr>
      <w:i/>
      <w:iCs/>
      <w:sz w:val="24"/>
      <w:szCs w:val="24"/>
    </w:rPr>
  </w:style>
  <w:style w:type="character" w:styleId="Siln">
    <w:name w:val="Strong"/>
    <w:basedOn w:val="Standardnpsmoodstavce"/>
    <w:uiPriority w:val="22"/>
    <w:qFormat/>
    <w:rsid w:val="00946869"/>
    <w:rPr>
      <w:b/>
      <w:bCs/>
      <w:spacing w:val="0"/>
    </w:rPr>
  </w:style>
  <w:style w:type="character" w:styleId="Zvraznn">
    <w:name w:val="Emphasis"/>
    <w:uiPriority w:val="20"/>
    <w:qFormat/>
    <w:rsid w:val="00946869"/>
    <w:rPr>
      <w:b/>
      <w:bCs/>
      <w:i/>
      <w:iCs/>
      <w:color w:val="5A5A5A" w:themeColor="text1" w:themeTint="A5"/>
    </w:rPr>
  </w:style>
  <w:style w:type="paragraph" w:styleId="Bezmezer">
    <w:name w:val="No Spacing"/>
    <w:basedOn w:val="Normln"/>
    <w:link w:val="BezmezerChar"/>
    <w:uiPriority w:val="1"/>
    <w:qFormat/>
    <w:rsid w:val="00946869"/>
  </w:style>
  <w:style w:type="paragraph" w:styleId="Odstavecseseznamem">
    <w:name w:val="List Paragraph"/>
    <w:basedOn w:val="Normln"/>
    <w:link w:val="OdstavecseseznamemChar"/>
    <w:uiPriority w:val="34"/>
    <w:qFormat/>
    <w:rsid w:val="00946869"/>
    <w:pPr>
      <w:ind w:left="720"/>
      <w:contextualSpacing/>
    </w:pPr>
  </w:style>
  <w:style w:type="paragraph" w:styleId="Citt">
    <w:name w:val="Quote"/>
    <w:basedOn w:val="Normln"/>
    <w:next w:val="Normln"/>
    <w:link w:val="CittChar"/>
    <w:uiPriority w:val="29"/>
    <w:qFormat/>
    <w:rsid w:val="00946869"/>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946869"/>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946869"/>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946869"/>
    <w:rPr>
      <w:rFonts w:asciiTheme="majorHAnsi" w:eastAsiaTheme="majorEastAsia" w:hAnsiTheme="majorHAnsi" w:cstheme="majorBidi"/>
      <w:i/>
      <w:iCs/>
      <w:color w:val="FFFFFF" w:themeColor="background1"/>
      <w:sz w:val="24"/>
      <w:szCs w:val="24"/>
      <w:shd w:val="clear" w:color="auto" w:fill="D34817" w:themeFill="accent1"/>
    </w:rPr>
  </w:style>
  <w:style w:type="character" w:styleId="Zdraznnjemn">
    <w:name w:val="Subtle Emphasis"/>
    <w:uiPriority w:val="19"/>
    <w:qFormat/>
    <w:rsid w:val="00946869"/>
    <w:rPr>
      <w:i/>
      <w:iCs/>
      <w:color w:val="5A5A5A" w:themeColor="text1" w:themeTint="A5"/>
    </w:rPr>
  </w:style>
  <w:style w:type="character" w:styleId="Zdraznnintenzivn">
    <w:name w:val="Intense Emphasis"/>
    <w:uiPriority w:val="21"/>
    <w:qFormat/>
    <w:rsid w:val="00946869"/>
    <w:rPr>
      <w:b/>
      <w:bCs/>
      <w:i/>
      <w:iCs/>
      <w:color w:val="D34817" w:themeColor="accent1"/>
      <w:sz w:val="22"/>
      <w:szCs w:val="22"/>
    </w:rPr>
  </w:style>
  <w:style w:type="character" w:styleId="Odkazjemn">
    <w:name w:val="Subtle Reference"/>
    <w:uiPriority w:val="31"/>
    <w:qFormat/>
    <w:rsid w:val="00946869"/>
    <w:rPr>
      <w:color w:val="auto"/>
      <w:u w:val="single" w:color="A28E6A" w:themeColor="accent3"/>
    </w:rPr>
  </w:style>
  <w:style w:type="character" w:styleId="Odkazintenzivn">
    <w:name w:val="Intense Reference"/>
    <w:basedOn w:val="Standardnpsmoodstavce"/>
    <w:uiPriority w:val="32"/>
    <w:qFormat/>
    <w:rsid w:val="00946869"/>
    <w:rPr>
      <w:b/>
      <w:bCs/>
      <w:color w:val="7B6A4D" w:themeColor="accent3" w:themeShade="BF"/>
      <w:u w:val="single" w:color="A28E6A" w:themeColor="accent3"/>
    </w:rPr>
  </w:style>
  <w:style w:type="character" w:styleId="Nzevknihy">
    <w:name w:val="Book Title"/>
    <w:basedOn w:val="Standardnpsmoodstavce"/>
    <w:uiPriority w:val="33"/>
    <w:qFormat/>
    <w:rsid w:val="00946869"/>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946869"/>
    <w:pPr>
      <w:outlineLvl w:val="9"/>
    </w:pPr>
    <w:rPr>
      <w:lang w:bidi="en-US"/>
    </w:rPr>
  </w:style>
  <w:style w:type="character" w:customStyle="1" w:styleId="BezmezerChar">
    <w:name w:val="Bez mezer Char"/>
    <w:basedOn w:val="Standardnpsmoodstavce"/>
    <w:link w:val="Bezmezer"/>
    <w:uiPriority w:val="1"/>
    <w:rsid w:val="00946869"/>
  </w:style>
  <w:style w:type="paragraph" w:styleId="Zhlav">
    <w:name w:val="header"/>
    <w:basedOn w:val="Normln"/>
    <w:link w:val="ZhlavChar"/>
    <w:uiPriority w:val="99"/>
    <w:unhideWhenUsed/>
    <w:rsid w:val="00946869"/>
    <w:pPr>
      <w:tabs>
        <w:tab w:val="center" w:pos="4536"/>
        <w:tab w:val="right" w:pos="9072"/>
      </w:tabs>
    </w:pPr>
  </w:style>
  <w:style w:type="character" w:customStyle="1" w:styleId="ZhlavChar">
    <w:name w:val="Záhlaví Char"/>
    <w:basedOn w:val="Standardnpsmoodstavce"/>
    <w:link w:val="Zhlav"/>
    <w:uiPriority w:val="99"/>
    <w:rsid w:val="00946869"/>
  </w:style>
  <w:style w:type="paragraph" w:styleId="Zpat">
    <w:name w:val="footer"/>
    <w:basedOn w:val="Normln"/>
    <w:link w:val="ZpatChar"/>
    <w:uiPriority w:val="99"/>
    <w:unhideWhenUsed/>
    <w:rsid w:val="00946869"/>
    <w:pPr>
      <w:tabs>
        <w:tab w:val="center" w:pos="4536"/>
        <w:tab w:val="right" w:pos="9072"/>
      </w:tabs>
    </w:pPr>
  </w:style>
  <w:style w:type="character" w:customStyle="1" w:styleId="ZpatChar">
    <w:name w:val="Zápatí Char"/>
    <w:basedOn w:val="Standardnpsmoodstavce"/>
    <w:link w:val="Zpat"/>
    <w:uiPriority w:val="99"/>
    <w:rsid w:val="00946869"/>
  </w:style>
  <w:style w:type="paragraph" w:customStyle="1" w:styleId="864311119EDA4C3CB552E5C8CD7B48CA">
    <w:name w:val="864311119EDA4C3CB552E5C8CD7B48CA"/>
    <w:rsid w:val="00946869"/>
    <w:pPr>
      <w:spacing w:after="200" w:line="276" w:lineRule="auto"/>
      <w:ind w:firstLine="0"/>
    </w:pPr>
    <w:rPr>
      <w:lang w:eastAsia="cs-CZ"/>
    </w:rPr>
  </w:style>
  <w:style w:type="paragraph" w:styleId="Textbubliny">
    <w:name w:val="Balloon Text"/>
    <w:basedOn w:val="Normln"/>
    <w:link w:val="TextbublinyChar"/>
    <w:uiPriority w:val="99"/>
    <w:semiHidden/>
    <w:unhideWhenUsed/>
    <w:rsid w:val="00946869"/>
    <w:rPr>
      <w:rFonts w:ascii="Tahoma" w:hAnsi="Tahoma" w:cs="Tahoma"/>
      <w:sz w:val="16"/>
      <w:szCs w:val="16"/>
    </w:rPr>
  </w:style>
  <w:style w:type="character" w:customStyle="1" w:styleId="TextbublinyChar">
    <w:name w:val="Text bubliny Char"/>
    <w:basedOn w:val="Standardnpsmoodstavce"/>
    <w:link w:val="Textbubliny"/>
    <w:uiPriority w:val="99"/>
    <w:semiHidden/>
    <w:rsid w:val="00946869"/>
    <w:rPr>
      <w:rFonts w:ascii="Tahoma" w:hAnsi="Tahoma" w:cs="Tahoma"/>
      <w:sz w:val="16"/>
      <w:szCs w:val="16"/>
    </w:rPr>
  </w:style>
  <w:style w:type="character" w:styleId="Odkaznakoment">
    <w:name w:val="annotation reference"/>
    <w:basedOn w:val="Standardnpsmoodstavce"/>
    <w:uiPriority w:val="99"/>
    <w:semiHidden/>
    <w:unhideWhenUsed/>
    <w:rsid w:val="004B00D1"/>
    <w:rPr>
      <w:sz w:val="16"/>
      <w:szCs w:val="16"/>
    </w:rPr>
  </w:style>
  <w:style w:type="paragraph" w:styleId="Textkomente">
    <w:name w:val="annotation text"/>
    <w:basedOn w:val="Normln"/>
    <w:link w:val="TextkomenteChar"/>
    <w:uiPriority w:val="99"/>
    <w:unhideWhenUsed/>
    <w:rsid w:val="004B00D1"/>
    <w:rPr>
      <w:sz w:val="20"/>
      <w:szCs w:val="20"/>
    </w:rPr>
  </w:style>
  <w:style w:type="character" w:customStyle="1" w:styleId="TextkomenteChar">
    <w:name w:val="Text komentáře Char"/>
    <w:basedOn w:val="Standardnpsmoodstavce"/>
    <w:link w:val="Textkomente"/>
    <w:uiPriority w:val="99"/>
    <w:rsid w:val="004B00D1"/>
    <w:rPr>
      <w:sz w:val="20"/>
      <w:szCs w:val="20"/>
    </w:rPr>
  </w:style>
  <w:style w:type="paragraph" w:styleId="Pedmtkomente">
    <w:name w:val="annotation subject"/>
    <w:basedOn w:val="Textkomente"/>
    <w:next w:val="Textkomente"/>
    <w:link w:val="PedmtkomenteChar"/>
    <w:uiPriority w:val="99"/>
    <w:semiHidden/>
    <w:unhideWhenUsed/>
    <w:rsid w:val="004B00D1"/>
    <w:rPr>
      <w:b/>
      <w:bCs/>
    </w:rPr>
  </w:style>
  <w:style w:type="character" w:customStyle="1" w:styleId="PedmtkomenteChar">
    <w:name w:val="Předmět komentáře Char"/>
    <w:basedOn w:val="TextkomenteChar"/>
    <w:link w:val="Pedmtkomente"/>
    <w:uiPriority w:val="99"/>
    <w:semiHidden/>
    <w:rsid w:val="004B00D1"/>
    <w:rPr>
      <w:b/>
      <w:bCs/>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70C04"/>
    <w:pPr>
      <w:spacing w:after="0"/>
    </w:pPr>
    <w:rPr>
      <w:sz w:val="16"/>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70C04"/>
    <w:rPr>
      <w:sz w:val="16"/>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unhideWhenUsed/>
    <w:rsid w:val="006C55A6"/>
    <w:rPr>
      <w:vertAlign w:val="superscript"/>
    </w:rPr>
  </w:style>
  <w:style w:type="paragraph" w:styleId="Normlnweb">
    <w:name w:val="Normal (Web)"/>
    <w:basedOn w:val="Normln"/>
    <w:uiPriority w:val="99"/>
    <w:unhideWhenUsed/>
    <w:rsid w:val="009E1049"/>
    <w:pPr>
      <w:spacing w:before="100" w:beforeAutospacing="1" w:after="100" w:afterAutospacing="1"/>
      <w:jc w:val="left"/>
    </w:pPr>
    <w:rPr>
      <w:rFonts w:ascii="Times New Roman" w:eastAsiaTheme="minorHAnsi" w:hAnsi="Times New Roman" w:cs="Times New Roman"/>
      <w:sz w:val="24"/>
      <w:szCs w:val="24"/>
      <w:lang w:eastAsia="cs-CZ"/>
    </w:rPr>
  </w:style>
  <w:style w:type="paragraph" w:customStyle="1" w:styleId="Odstavecseseznamem1">
    <w:name w:val="Odstavec se seznamem1"/>
    <w:basedOn w:val="Normln"/>
    <w:rsid w:val="003648E1"/>
    <w:pPr>
      <w:spacing w:before="120" w:after="200" w:line="276" w:lineRule="auto"/>
      <w:ind w:left="720"/>
      <w:contextualSpacing/>
    </w:pPr>
    <w:rPr>
      <w:rFonts w:ascii="Times New Roman" w:eastAsia="Times New Roman" w:hAnsi="Times New Roman" w:cs="Times New Roman"/>
      <w:sz w:val="20"/>
    </w:rPr>
  </w:style>
  <w:style w:type="paragraph" w:customStyle="1" w:styleId="ListParagraph1">
    <w:name w:val="List Paragraph1"/>
    <w:basedOn w:val="Normln"/>
    <w:rsid w:val="00FF17A7"/>
    <w:pPr>
      <w:spacing w:after="200" w:line="276" w:lineRule="auto"/>
      <w:ind w:left="720"/>
      <w:contextualSpacing/>
      <w:jc w:val="left"/>
    </w:pPr>
    <w:rPr>
      <w:rFonts w:ascii="Calibri" w:eastAsia="Times New Roman" w:hAnsi="Calibri" w:cs="Times New Roman"/>
    </w:rPr>
  </w:style>
  <w:style w:type="paragraph" w:customStyle="1" w:styleId="Default">
    <w:name w:val="Default"/>
    <w:rsid w:val="00FF17A7"/>
    <w:pPr>
      <w:autoSpaceDE w:val="0"/>
      <w:autoSpaceDN w:val="0"/>
      <w:adjustRightInd w:val="0"/>
      <w:ind w:firstLine="0"/>
    </w:pPr>
    <w:rPr>
      <w:rFonts w:ascii="Cambria" w:eastAsiaTheme="minorHAnsi" w:hAnsi="Cambria" w:cs="Cambria"/>
      <w:color w:val="000000"/>
      <w:sz w:val="24"/>
      <w:szCs w:val="24"/>
    </w:rPr>
  </w:style>
  <w:style w:type="paragraph" w:customStyle="1" w:styleId="TextNOK">
    <w:name w:val="Text NOK"/>
    <w:basedOn w:val="Normln"/>
    <w:link w:val="TextNOKChar"/>
    <w:rsid w:val="00AC5600"/>
    <w:pPr>
      <w:spacing w:before="120" w:line="312" w:lineRule="auto"/>
    </w:pPr>
    <w:rPr>
      <w:rFonts w:ascii="Calibri" w:eastAsia="Times New Roman" w:hAnsi="Calibri" w:cs="Times New Roman"/>
      <w:lang w:val="x-none" w:eastAsia="x-none"/>
    </w:rPr>
  </w:style>
  <w:style w:type="character" w:customStyle="1" w:styleId="TextNOKChar">
    <w:name w:val="Text NOK Char"/>
    <w:link w:val="TextNOK"/>
    <w:rsid w:val="00AC5600"/>
    <w:rPr>
      <w:rFonts w:ascii="Calibri" w:eastAsia="Times New Roman" w:hAnsi="Calibri" w:cs="Times New Roman"/>
      <w:lang w:val="x-none" w:eastAsia="x-none"/>
    </w:rPr>
  </w:style>
  <w:style w:type="character" w:customStyle="1" w:styleId="OdstavecseseznamemChar">
    <w:name w:val="Odstavec se seznamem Char"/>
    <w:link w:val="Odstavecseseznamem"/>
    <w:uiPriority w:val="34"/>
    <w:locked/>
    <w:rsid w:val="00AC5600"/>
  </w:style>
  <w:style w:type="table" w:styleId="Mkatabulky">
    <w:name w:val="Table Grid"/>
    <w:basedOn w:val="Normlntabulka"/>
    <w:uiPriority w:val="59"/>
    <w:rsid w:val="006E7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styleId="Svtlseznam">
    <w:name w:val="Light List"/>
    <w:basedOn w:val="Normlntabulka"/>
    <w:uiPriority w:val="61"/>
    <w:rsid w:val="006E7AA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000000" w:themeFill="text1"/>
      </w:tcPr>
    </w:tblStylePr>
    <w:tblStylePr w:type="lastRow">
      <w:pPr>
        <w:spacing w:before="0" w:after="0" w:line="240" w:lineRule="auto"/>
      </w:pPr>
      <w:rPr>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6E7AAE"/>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D34817" w:themeFill="accent1"/>
      </w:tcPr>
    </w:tblStylePr>
    <w:tblStylePr w:type="lastRow">
      <w:pPr>
        <w:spacing w:before="0" w:after="0" w:line="240" w:lineRule="auto"/>
      </w:pPr>
      <w:rPr>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tcBorders>
      </w:tcPr>
    </w:tblStylePr>
    <w:tblStylePr w:type="firstCol">
      <w:rPr>
        <w:b/>
        <w:bCs/>
      </w:rPr>
    </w:tblStylePr>
    <w:tblStylePr w:type="lastCol">
      <w:rPr>
        <w:b/>
        <w:bCs/>
      </w:r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style>
  <w:style w:type="table" w:styleId="Svtlstnovnzvraznn2">
    <w:name w:val="Light Shading Accent 2"/>
    <w:basedOn w:val="Normlntabulka"/>
    <w:uiPriority w:val="60"/>
    <w:rsid w:val="006E7AAE"/>
    <w:rPr>
      <w:color w:val="732117" w:themeColor="accent2" w:themeShade="BF"/>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la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left w:val="nil"/>
          <w:right w:val="nil"/>
          <w:insideH w:val="nil"/>
          <w:insideV w:val="nil"/>
        </w:tcBorders>
        <w:shd w:val="clear" w:color="auto" w:fill="F1C1BC" w:themeFill="accent2" w:themeFillTint="3F"/>
      </w:tcPr>
    </w:tblStylePr>
  </w:style>
  <w:style w:type="table" w:styleId="Svtlstnovnzvraznn1">
    <w:name w:val="Light Shading Accent 1"/>
    <w:basedOn w:val="Normlntabulka"/>
    <w:uiPriority w:val="60"/>
    <w:rsid w:val="006E7AAE"/>
    <w:rPr>
      <w:color w:val="9D3511" w:themeColor="accent1" w:themeShade="BF"/>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la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8CFC1" w:themeFill="accent1" w:themeFillTint="3F"/>
      </w:tcPr>
    </w:tblStylePr>
    <w:tblStylePr w:type="band1Horz">
      <w:tblPr/>
      <w:trPr>
        <w:hidden/>
      </w:trPr>
      <w:tcPr>
        <w:tcBorders>
          <w:left w:val="nil"/>
          <w:right w:val="nil"/>
          <w:insideH w:val="nil"/>
          <w:insideV w:val="nil"/>
        </w:tcBorders>
        <w:shd w:val="clear" w:color="auto" w:fill="F8CFC1" w:themeFill="accent1" w:themeFillTint="3F"/>
      </w:tcPr>
    </w:tblStylePr>
  </w:style>
  <w:style w:type="table" w:styleId="Stednseznam1zvraznn1">
    <w:name w:val="Medium List 1 Accent 1"/>
    <w:basedOn w:val="Normlntabulka"/>
    <w:uiPriority w:val="65"/>
    <w:rsid w:val="005C30DD"/>
    <w:rPr>
      <w:color w:val="000000" w:themeColor="text1"/>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D34817" w:themeColor="accent1"/>
        </w:tcBorders>
      </w:tcPr>
    </w:tblStylePr>
    <w:tblStylePr w:type="lastRow">
      <w:rPr>
        <w:b/>
        <w:bCs/>
        <w:color w:val="696464" w:themeColor="text2"/>
      </w:rPr>
      <w:tblPr/>
      <w:trPr>
        <w:hidden/>
      </w:trPr>
      <w:tcPr>
        <w:tcBorders>
          <w:top w:val="single" w:sz="8" w:space="0" w:color="D34817" w:themeColor="accent1"/>
          <w:bottom w:val="single" w:sz="8" w:space="0" w:color="D34817" w:themeColor="accent1"/>
        </w:tcBorders>
      </w:tcPr>
    </w:tblStylePr>
    <w:tblStylePr w:type="firstCol">
      <w:rPr>
        <w:b/>
        <w:bCs/>
      </w:rPr>
    </w:tblStylePr>
    <w:tblStylePr w:type="lastCol">
      <w:rPr>
        <w:b/>
        <w:bCs/>
      </w:rPr>
      <w:tblPr/>
      <w:trPr>
        <w:hidden/>
      </w:trPr>
      <w:tcPr>
        <w:tcBorders>
          <w:top w:val="single" w:sz="8" w:space="0" w:color="D34817" w:themeColor="accent1"/>
          <w:bottom w:val="single" w:sz="8" w:space="0" w:color="D34817" w:themeColor="accent1"/>
        </w:tcBorders>
      </w:tcPr>
    </w:tblStylePr>
    <w:tblStylePr w:type="band1Vert">
      <w:tblPr/>
      <w:trPr>
        <w:hidden/>
      </w:trPr>
      <w:tcPr>
        <w:shd w:val="clear" w:color="auto" w:fill="F8CFC1" w:themeFill="accent1" w:themeFillTint="3F"/>
      </w:tcPr>
    </w:tblStylePr>
    <w:tblStylePr w:type="band1Horz">
      <w:tblPr/>
      <w:trPr>
        <w:hidden/>
      </w:trPr>
      <w:tcPr>
        <w:shd w:val="clear" w:color="auto" w:fill="F8CFC1" w:themeFill="accent1" w:themeFillTint="3F"/>
      </w:tcPr>
    </w:tblStylePr>
  </w:style>
  <w:style w:type="table" w:styleId="Stednseznam1zvraznn2">
    <w:name w:val="Medium List 1 Accent 2"/>
    <w:basedOn w:val="Normlntabulka"/>
    <w:uiPriority w:val="65"/>
    <w:rsid w:val="005C30DD"/>
    <w:rPr>
      <w:color w:val="000000" w:themeColor="text1"/>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9B2D1F" w:themeColor="accent2"/>
        </w:tcBorders>
      </w:tcPr>
    </w:tblStylePr>
    <w:tblStylePr w:type="lastRow">
      <w:rPr>
        <w:b/>
        <w:bCs/>
        <w:color w:val="696464" w:themeColor="text2"/>
      </w:rPr>
      <w:tblPr/>
      <w:trPr>
        <w:hidden/>
      </w:trPr>
      <w:tcPr>
        <w:tcBorders>
          <w:top w:val="single" w:sz="8" w:space="0" w:color="9B2D1F" w:themeColor="accent2"/>
          <w:bottom w:val="single" w:sz="8" w:space="0" w:color="9B2D1F" w:themeColor="accent2"/>
        </w:tcBorders>
      </w:tcPr>
    </w:tblStylePr>
    <w:tblStylePr w:type="firstCol">
      <w:rPr>
        <w:b/>
        <w:bCs/>
      </w:rPr>
    </w:tblStylePr>
    <w:tblStylePr w:type="lastCol">
      <w:rPr>
        <w:b/>
        <w:bCs/>
      </w:rPr>
      <w:tblPr/>
      <w:trPr>
        <w:hidden/>
      </w:trPr>
      <w:tcPr>
        <w:tcBorders>
          <w:top w:val="single" w:sz="8" w:space="0" w:color="9B2D1F" w:themeColor="accent2"/>
          <w:bottom w:val="single" w:sz="8" w:space="0" w:color="9B2D1F" w:themeColor="accent2"/>
        </w:tcBorders>
      </w:tcPr>
    </w:tblStylePr>
    <w:tblStylePr w:type="band1Vert">
      <w:tblPr/>
      <w:trPr>
        <w:hidden/>
      </w:trPr>
      <w:tcPr>
        <w:shd w:val="clear" w:color="auto" w:fill="F1C1BC" w:themeFill="accent2" w:themeFillTint="3F"/>
      </w:tcPr>
    </w:tblStylePr>
    <w:tblStylePr w:type="band1Horz">
      <w:tblPr/>
      <w:trPr>
        <w:hidden/>
      </w:trPr>
      <w:tcPr>
        <w:shd w:val="clear" w:color="auto" w:fill="F1C1BC" w:themeFill="accent2" w:themeFillTint="3F"/>
      </w:tcPr>
    </w:tblStylePr>
  </w:style>
  <w:style w:type="table" w:styleId="Stednseznam2zvraznn2">
    <w:name w:val="Medium List 2 Accent 2"/>
    <w:basedOn w:val="Normlntabulka"/>
    <w:uiPriority w:val="66"/>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tblPr/>
      <w:trPr>
        <w:hidden/>
      </w:trPr>
      <w:tcPr>
        <w:tcBorders>
          <w:top w:val="single" w:sz="8" w:space="0" w:color="9B2D1F" w:themeColor="accent2"/>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B2D1F" w:themeColor="accent2"/>
          <w:insideH w:val="nil"/>
          <w:insideV w:val="nil"/>
        </w:tcBorders>
        <w:shd w:val="clear" w:color="auto" w:fill="FFFFFF" w:themeFill="background1"/>
      </w:tcPr>
    </w:tblStylePr>
    <w:tblStylePr w:type="lastCol">
      <w:tblPr/>
      <w:trPr>
        <w:hidden/>
      </w:trPr>
      <w:tcPr>
        <w:tcBorders>
          <w:top w:val="nil"/>
          <w:left w:val="single" w:sz="8" w:space="0" w:color="9B2D1F" w:themeColor="accent2"/>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top w:val="nil"/>
          <w:bottom w:val="nil"/>
          <w:insideH w:val="nil"/>
          <w:insideV w:val="nil"/>
        </w:tcBorders>
        <w:shd w:val="clear" w:color="auto" w:fill="F1C1BC" w:themeFill="accent2"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mka1zvraznn1">
    <w:name w:val="Medium Grid 1 Accent 1"/>
    <w:basedOn w:val="Normlntabulka"/>
    <w:uiPriority w:val="67"/>
    <w:rsid w:val="005C30DD"/>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CellMar>
        <w:top w:w="0" w:type="dxa"/>
        <w:left w:w="108" w:type="dxa"/>
        <w:bottom w:w="0" w:type="dxa"/>
        <w:right w:w="108" w:type="dxa"/>
      </w:tblCellMar>
    </w:tblPr>
    <w:trPr>
      <w:hidden/>
    </w:trPr>
    <w:tcPr>
      <w:shd w:val="clear" w:color="auto" w:fill="F8CFC1" w:themeFill="accent1" w:themeFillTint="3F"/>
    </w:tcPr>
    <w:tblStylePr w:type="firstRow">
      <w:rPr>
        <w:b/>
        <w:bCs/>
      </w:rPr>
    </w:tblStylePr>
    <w:tblStylePr w:type="lastRow">
      <w:rPr>
        <w:b/>
        <w:bCs/>
      </w:rPr>
      <w:tblPr/>
      <w:trPr>
        <w:hidden/>
      </w:trPr>
      <w:tcPr>
        <w:tcBorders>
          <w:top w:val="single" w:sz="18" w:space="0" w:color="EA6F44" w:themeColor="accent1" w:themeTint="BF"/>
        </w:tcBorders>
      </w:tcPr>
    </w:tblStylePr>
    <w:tblStylePr w:type="firstCol">
      <w:rPr>
        <w:b/>
        <w:bCs/>
      </w:rPr>
    </w:tblStylePr>
    <w:tblStylePr w:type="lastCol">
      <w:rPr>
        <w:b/>
        <w:bCs/>
      </w:r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Stednmka3zvraznn1">
    <w:name w:val="Medium Grid 3 Accent 1"/>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8CFC1" w:themeFill="accent1"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D34817" w:themeFill="accent1"/>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D34817" w:themeFill="accent1"/>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9F82" w:themeFill="accent1"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9F82" w:themeFill="accent1" w:themeFillTint="7F"/>
      </w:tcPr>
    </w:tblStylePr>
  </w:style>
  <w:style w:type="table" w:styleId="Stednmka3zvraznn2">
    <w:name w:val="Medium Grid 3 Accent 2"/>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1C1BC" w:themeFill="accent2"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9B2D1F" w:themeFill="accent2"/>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9B2D1F" w:themeFill="accent2"/>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48478" w:themeFill="accent2"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48478" w:themeFill="accent2" w:themeFillTint="7F"/>
      </w:tcPr>
    </w:tblStylePr>
  </w:style>
  <w:style w:type="table" w:styleId="Stednmka2zvraznn1">
    <w:name w:val="Medium Grid 2 Accent 1"/>
    <w:basedOn w:val="Normlntabulka"/>
    <w:uiPriority w:val="68"/>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cPr>
      <w:shd w:val="clear" w:color="auto" w:fill="F8CFC1" w:themeFill="accent1" w:themeFillTint="3F"/>
    </w:tcPr>
    <w:tblStylePr w:type="firstRow">
      <w:rPr>
        <w:b/>
        <w:bCs/>
        <w:color w:val="000000" w:themeColor="text1"/>
      </w:rPr>
      <w:tblPr/>
      <w:trPr>
        <w:hidden/>
      </w:trPr>
      <w:tcPr>
        <w:shd w:val="clear" w:color="auto" w:fill="FCECE6" w:themeFill="accent1" w:themeFillTint="19"/>
      </w:tcPr>
    </w:tblStylePr>
    <w:tblStylePr w:type="lastRow">
      <w:rPr>
        <w:b/>
        <w:bCs/>
        <w:color w:val="000000" w:themeColor="text1"/>
      </w:rPr>
      <w:tblPr/>
      <w:trPr>
        <w:hidden/>
      </w:t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rPr>
        <w:hidden/>
      </w:t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rPr>
        <w:hidden/>
      </w:trPr>
      <w:tcPr>
        <w:tcBorders>
          <w:top w:val="nil"/>
          <w:left w:val="nil"/>
          <w:bottom w:val="nil"/>
          <w:right w:val="nil"/>
          <w:insideH w:val="nil"/>
          <w:insideV w:val="nil"/>
        </w:tcBorders>
        <w:shd w:val="clear" w:color="auto" w:fill="F9D8CD" w:themeFill="accent1" w:themeFillTint="33"/>
      </w:tcPr>
    </w:tblStylePr>
    <w:tblStylePr w:type="band1Vert">
      <w:tblPr/>
      <w:trPr>
        <w:hidden/>
      </w:trPr>
      <w:tcPr>
        <w:shd w:val="clear" w:color="auto" w:fill="F19F82" w:themeFill="accent1" w:themeFillTint="7F"/>
      </w:tcPr>
    </w:tblStylePr>
    <w:tblStylePr w:type="band1Horz">
      <w:tblPr/>
      <w:trPr>
        <w:hidden/>
      </w:tr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rPr>
        <w:hidden/>
      </w:trPr>
      <w:tcPr>
        <w:shd w:val="clear" w:color="auto" w:fill="FFFFFF" w:themeFill="background1"/>
      </w:tcPr>
    </w:tblStylePr>
  </w:style>
  <w:style w:type="table" w:styleId="Barevnstnovnzvraznn1">
    <w:name w:val="Colorful Shading Accent 1"/>
    <w:basedOn w:val="Normlntabulka"/>
    <w:uiPriority w:val="71"/>
    <w:rsid w:val="005C30DD"/>
    <w:rPr>
      <w:color w:val="000000" w:themeColor="text1"/>
    </w:rPr>
    <w:tblPr>
      <w:tblStyleRowBandSize w:val="1"/>
      <w:tblStyleColBandSize w:val="1"/>
      <w:tblInd w:w="0" w:type="dxa"/>
      <w:tblBorders>
        <w:top w:val="single" w:sz="24" w:space="0" w:color="9B2D1F" w:themeColor="accent2"/>
        <w:left w:val="single" w:sz="4" w:space="0" w:color="D34817" w:themeColor="accent1"/>
        <w:bottom w:val="single" w:sz="4" w:space="0" w:color="D34817" w:themeColor="accent1"/>
        <w:right w:val="single" w:sz="4" w:space="0" w:color="D34817"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CECE6" w:themeFill="accen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7E2A0D" w:themeFill="accent1" w:themeFillShade="99"/>
      </w:tcPr>
    </w:tblStylePr>
    <w:tblStylePr w:type="firstCol">
      <w:rPr>
        <w:color w:val="FFFFFF" w:themeColor="background1"/>
      </w:rPr>
      <w:tblPr/>
      <w:trPr>
        <w:hidden/>
      </w:trPr>
      <w:tcPr>
        <w:tcBorders>
          <w:top w:val="nil"/>
          <w:left w:val="nil"/>
          <w:bottom w:val="nil"/>
          <w:right w:val="nil"/>
          <w:insideH w:val="single" w:sz="4" w:space="0" w:color="7E2A0D" w:themeColor="accent1" w:themeShade="99"/>
          <w:insideV w:val="nil"/>
        </w:tcBorders>
        <w:shd w:val="clear" w:color="auto" w:fill="7E2A0D" w:themeFill="accen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7E2A0D" w:themeFill="accent1" w:themeFillShade="99"/>
      </w:tcPr>
    </w:tblStylePr>
    <w:tblStylePr w:type="band1Vert">
      <w:tblPr/>
      <w:trPr>
        <w:hidden/>
      </w:trPr>
      <w:tcPr>
        <w:shd w:val="clear" w:color="auto" w:fill="F4B29B" w:themeFill="accent1" w:themeFillTint="66"/>
      </w:tcPr>
    </w:tblStylePr>
    <w:tblStylePr w:type="band1Horz">
      <w:tblPr/>
      <w:trPr>
        <w:hidden/>
      </w:trPr>
      <w:tcPr>
        <w:shd w:val="clear" w:color="auto" w:fill="F19F82" w:themeFill="accent1" w:themeFillTint="7F"/>
      </w:tcPr>
    </w:tblStylePr>
    <w:tblStylePr w:type="neCell">
      <w:rPr>
        <w:color w:val="000000" w:themeColor="text1"/>
      </w:rPr>
    </w:tblStylePr>
    <w:tblStylePr w:type="nwCell">
      <w:rPr>
        <w:color w:val="000000" w:themeColor="text1"/>
      </w:rPr>
    </w:tblStylePr>
  </w:style>
  <w:style w:type="table" w:styleId="Barevnmkazvraznn2">
    <w:name w:val="Colorful Grid Accent 2"/>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4CDC8" w:themeFill="accent2" w:themeFillTint="33"/>
    </w:tcPr>
    <w:tblStylePr w:type="firstRow">
      <w:rPr>
        <w:b/>
        <w:bCs/>
      </w:rPr>
      <w:tblPr/>
      <w:trPr>
        <w:hidden/>
      </w:trPr>
      <w:tcPr>
        <w:shd w:val="clear" w:color="auto" w:fill="E99C92" w:themeFill="accent2" w:themeFillTint="66"/>
      </w:tcPr>
    </w:tblStylePr>
    <w:tblStylePr w:type="lastRow">
      <w:rPr>
        <w:b/>
        <w:bCs/>
        <w:color w:val="000000" w:themeColor="text1"/>
      </w:rPr>
      <w:tblPr/>
      <w:trPr>
        <w:hidden/>
      </w:trPr>
      <w:tcPr>
        <w:shd w:val="clear" w:color="auto" w:fill="E99C92" w:themeFill="accent2" w:themeFillTint="66"/>
      </w:tcPr>
    </w:tblStylePr>
    <w:tblStylePr w:type="firstCol">
      <w:rPr>
        <w:color w:val="FFFFFF" w:themeColor="background1"/>
      </w:rPr>
      <w:tblPr/>
      <w:trPr>
        <w:hidden/>
      </w:trPr>
      <w:tcPr>
        <w:shd w:val="clear" w:color="auto" w:fill="732117" w:themeFill="accent2" w:themeFillShade="BF"/>
      </w:tcPr>
    </w:tblStylePr>
    <w:tblStylePr w:type="lastCol">
      <w:rPr>
        <w:color w:val="FFFFFF" w:themeColor="background1"/>
      </w:rPr>
      <w:tblPr/>
      <w:trPr>
        <w:hidden/>
      </w:trPr>
      <w:tcPr>
        <w:shd w:val="clear" w:color="auto" w:fill="732117" w:themeFill="accent2" w:themeFillShade="BF"/>
      </w:tcPr>
    </w:tblStylePr>
    <w:tblStylePr w:type="band1Vert">
      <w:tblPr/>
      <w:trPr>
        <w:hidden/>
      </w:trPr>
      <w:tcPr>
        <w:shd w:val="clear" w:color="auto" w:fill="E48478" w:themeFill="accent2" w:themeFillTint="7F"/>
      </w:tcPr>
    </w:tblStylePr>
    <w:tblStylePr w:type="band1Horz">
      <w:tblPr/>
      <w:trPr>
        <w:hidden/>
      </w:trPr>
      <w:tcPr>
        <w:shd w:val="clear" w:color="auto" w:fill="E48478" w:themeFill="accent2" w:themeFillTint="7F"/>
      </w:tcPr>
    </w:tblStylePr>
  </w:style>
  <w:style w:type="table" w:styleId="Barevnmkazvraznn1">
    <w:name w:val="Colorful Grid Accent 1"/>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9D8CD" w:themeFill="accent1" w:themeFillTint="33"/>
    </w:tcPr>
    <w:tblStylePr w:type="firstRow">
      <w:rPr>
        <w:b/>
        <w:bCs/>
      </w:rPr>
      <w:tblPr/>
      <w:trPr>
        <w:hidden/>
      </w:trPr>
      <w:tcPr>
        <w:shd w:val="clear" w:color="auto" w:fill="F4B29B" w:themeFill="accent1" w:themeFillTint="66"/>
      </w:tcPr>
    </w:tblStylePr>
    <w:tblStylePr w:type="lastRow">
      <w:rPr>
        <w:b/>
        <w:bCs/>
        <w:color w:val="000000" w:themeColor="text1"/>
      </w:rPr>
      <w:tblPr/>
      <w:trPr>
        <w:hidden/>
      </w:trPr>
      <w:tcPr>
        <w:shd w:val="clear" w:color="auto" w:fill="F4B29B" w:themeFill="accent1" w:themeFillTint="66"/>
      </w:tcPr>
    </w:tblStylePr>
    <w:tblStylePr w:type="firstCol">
      <w:rPr>
        <w:color w:val="FFFFFF" w:themeColor="background1"/>
      </w:rPr>
      <w:tblPr/>
      <w:trPr>
        <w:hidden/>
      </w:trPr>
      <w:tcPr>
        <w:shd w:val="clear" w:color="auto" w:fill="9D3511" w:themeFill="accent1" w:themeFillShade="BF"/>
      </w:tcPr>
    </w:tblStylePr>
    <w:tblStylePr w:type="lastCol">
      <w:rPr>
        <w:color w:val="FFFFFF" w:themeColor="background1"/>
      </w:rPr>
      <w:tblPr/>
      <w:trPr>
        <w:hidden/>
      </w:trPr>
      <w:tcPr>
        <w:shd w:val="clear" w:color="auto" w:fill="9D3511" w:themeFill="accent1" w:themeFillShade="BF"/>
      </w:tc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Barevnseznamzvraznn2">
    <w:name w:val="Colorful List Accent 2"/>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9E6E4" w:themeFill="accent2"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1C1BC" w:themeFill="accent2" w:themeFillTint="3F"/>
      </w:tcPr>
    </w:tblStylePr>
    <w:tblStylePr w:type="band1Horz">
      <w:tblPr/>
      <w:trPr>
        <w:hidden/>
      </w:trPr>
      <w:tcPr>
        <w:shd w:val="clear" w:color="auto" w:fill="F4CDC8" w:themeFill="accent2" w:themeFillTint="33"/>
      </w:tcPr>
    </w:tblStylePr>
  </w:style>
  <w:style w:type="table" w:styleId="Barevnseznamzvraznn1">
    <w:name w:val="Colorful List Accent 1"/>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CECE6" w:themeFill="accen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8CFC1" w:themeFill="accent1" w:themeFillTint="3F"/>
      </w:tcPr>
    </w:tblStylePr>
    <w:tblStylePr w:type="band1Horz">
      <w:tblPr/>
      <w:trPr>
        <w:hidden/>
      </w:trPr>
      <w:tcPr>
        <w:shd w:val="clear" w:color="auto" w:fill="F9D8CD" w:themeFill="accent1" w:themeFillTint="33"/>
      </w:tcPr>
    </w:tblStylePr>
  </w:style>
  <w:style w:type="table" w:styleId="Barevnseznam">
    <w:name w:val="Colorful List"/>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E6E6E6" w:themeFill="tex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C0C0C0" w:themeFill="text1" w:themeFillTint="3F"/>
      </w:tcPr>
    </w:tblStylePr>
    <w:tblStylePr w:type="band1Horz">
      <w:tblPr/>
      <w:trPr>
        <w:hidden/>
      </w:trPr>
      <w:tcPr>
        <w:shd w:val="clear" w:color="auto" w:fill="CCCCCC" w:themeFill="text1" w:themeFillTint="33"/>
      </w:tcPr>
    </w:tblStylePr>
  </w:style>
  <w:style w:type="table" w:styleId="Barevnstnovnzvraznn6">
    <w:name w:val="Colorful Shading Accent 6"/>
    <w:basedOn w:val="Normlntabulka"/>
    <w:uiPriority w:val="71"/>
    <w:rsid w:val="005C30DD"/>
    <w:rPr>
      <w:color w:val="000000" w:themeColor="text1"/>
    </w:rPr>
    <w:tblPr>
      <w:tblStyleRowBandSize w:val="1"/>
      <w:tblStyleColBandSize w:val="1"/>
      <w:tblInd w:w="0" w:type="dxa"/>
      <w:tblBorders>
        <w:top w:val="single" w:sz="24" w:space="0" w:color="918485" w:themeColor="accent5"/>
        <w:left w:val="single" w:sz="4" w:space="0" w:color="855D5D" w:themeColor="accent6"/>
        <w:bottom w:val="single" w:sz="4" w:space="0" w:color="855D5D" w:themeColor="accent6"/>
        <w:right w:val="single" w:sz="4" w:space="0" w:color="855D5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3EEEE" w:themeFill="accent6" w:themeFillTint="19"/>
    </w:tcPr>
    <w:tblStylePr w:type="firstRow">
      <w:rPr>
        <w:b/>
        <w:bCs/>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4F3737" w:themeFill="accent6" w:themeFillShade="99"/>
      </w:tcPr>
    </w:tblStylePr>
    <w:tblStylePr w:type="firstCol">
      <w:rPr>
        <w:color w:val="FFFFFF" w:themeColor="background1"/>
      </w:rPr>
      <w:tblPr/>
      <w:trPr>
        <w:hidden/>
      </w:trPr>
      <w:tcPr>
        <w:tcBorders>
          <w:top w:val="nil"/>
          <w:left w:val="nil"/>
          <w:bottom w:val="nil"/>
          <w:right w:val="nil"/>
          <w:insideH w:val="single" w:sz="4" w:space="0" w:color="4F3737" w:themeColor="accent6" w:themeShade="99"/>
          <w:insideV w:val="nil"/>
        </w:tcBorders>
        <w:shd w:val="clear" w:color="auto" w:fill="4F3737" w:themeFill="accent6"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4F3737" w:themeFill="accent6" w:themeFillShade="99"/>
      </w:tcPr>
    </w:tblStylePr>
    <w:tblStylePr w:type="band1Vert">
      <w:tblPr/>
      <w:trPr>
        <w:hidden/>
      </w:trPr>
      <w:tcPr>
        <w:shd w:val="clear" w:color="auto" w:fill="D0BCBC" w:themeFill="accent6" w:themeFillTint="66"/>
      </w:tcPr>
    </w:tblStylePr>
    <w:tblStylePr w:type="band1Horz">
      <w:tblPr/>
      <w:trPr>
        <w:hidden/>
      </w:trPr>
      <w:tcPr>
        <w:shd w:val="clear" w:color="auto" w:fill="C4ABAB" w:themeFill="accent6" w:themeFillTint="7F"/>
      </w:tcPr>
    </w:tblStylePr>
    <w:tblStylePr w:type="neCell">
      <w:rPr>
        <w:color w:val="000000" w:themeColor="text1"/>
      </w:rPr>
    </w:tblStylePr>
    <w:tblStylePr w:type="nwCell">
      <w:rPr>
        <w:color w:val="000000" w:themeColor="text1"/>
      </w:rPr>
    </w:tblStylePr>
  </w:style>
  <w:style w:type="character" w:customStyle="1" w:styleId="okbasic2">
    <w:name w:val="okbasic2"/>
    <w:basedOn w:val="Standardnpsmoodstavce"/>
    <w:rsid w:val="00AE647D"/>
  </w:style>
  <w:style w:type="table" w:styleId="Svtlstnovn">
    <w:name w:val="Light Shading"/>
    <w:basedOn w:val="Normlntabulka"/>
    <w:uiPriority w:val="60"/>
    <w:rsid w:val="00F766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C0C0C0" w:themeFill="text1" w:themeFillTint="3F"/>
      </w:tcPr>
    </w:tblStylePr>
    <w:tblStylePr w:type="band1Horz">
      <w:tblPr/>
      <w:trPr>
        <w:hidden/>
      </w:trPr>
      <w:tcPr>
        <w:tcBorders>
          <w:left w:val="nil"/>
          <w:right w:val="nil"/>
          <w:insideH w:val="nil"/>
          <w:insideV w:val="nil"/>
        </w:tcBorders>
        <w:shd w:val="clear" w:color="auto" w:fill="C0C0C0" w:themeFill="text1" w:themeFillTint="3F"/>
      </w:tcPr>
    </w:tblStylePr>
  </w:style>
  <w:style w:type="table" w:styleId="Svtlstnovnzvraznn4">
    <w:name w:val="Light Shading Accent 4"/>
    <w:basedOn w:val="Normlntabulka"/>
    <w:uiPriority w:val="60"/>
    <w:rsid w:val="001E6A12"/>
    <w:rPr>
      <w:color w:val="9B2D1F" w:themeColor="accent2"/>
    </w:rPr>
    <w:tblPr>
      <w:tblStyleRowBandSize w:val="1"/>
      <w:tblStyleColBandSize w:val="1"/>
      <w:tblInd w:w="0" w:type="dxa"/>
      <w:tblBorders>
        <w:top w:val="single" w:sz="8" w:space="0" w:color="956251" w:themeColor="accent4"/>
        <w:bottom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la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D7D2" w:themeFill="accent4" w:themeFillTint="3F"/>
      </w:tcPr>
    </w:tblStylePr>
    <w:tblStylePr w:type="band1Horz">
      <w:tblPr/>
      <w:trPr>
        <w:hidden/>
      </w:trPr>
      <w:tcPr>
        <w:tcBorders>
          <w:left w:val="nil"/>
          <w:right w:val="nil"/>
          <w:insideH w:val="nil"/>
          <w:insideV w:val="nil"/>
        </w:tcBorders>
        <w:shd w:val="clear" w:color="auto" w:fill="E6D7D2" w:themeFill="accent4" w:themeFillTint="3F"/>
      </w:tcPr>
    </w:tblStylePr>
  </w:style>
  <w:style w:type="table" w:styleId="Svtlstnovnzvraznn5">
    <w:name w:val="Light Shading Accent 5"/>
    <w:basedOn w:val="Normlntabulka"/>
    <w:uiPriority w:val="60"/>
    <w:rsid w:val="00F76637"/>
    <w:rPr>
      <w:color w:val="6D6262" w:themeColor="accent5" w:themeShade="BF"/>
    </w:rPr>
    <w:tblPr>
      <w:tblStyleRowBandSize w:val="1"/>
      <w:tblStyleColBandSize w:val="1"/>
      <w:tblInd w:w="0" w:type="dxa"/>
      <w:tblBorders>
        <w:top w:val="single" w:sz="8" w:space="0" w:color="918485" w:themeColor="accent5"/>
        <w:bottom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la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left w:val="nil"/>
          <w:right w:val="nil"/>
          <w:insideH w:val="nil"/>
          <w:insideV w:val="nil"/>
        </w:tcBorders>
        <w:shd w:val="clear" w:color="auto" w:fill="E3E0E0" w:themeFill="accent5" w:themeFillTint="3F"/>
      </w:tcPr>
    </w:tblStylePr>
  </w:style>
  <w:style w:type="table" w:styleId="Svtlstnovnzvraznn6">
    <w:name w:val="Light Shading Accent 6"/>
    <w:basedOn w:val="Normlntabulka"/>
    <w:uiPriority w:val="60"/>
    <w:rsid w:val="00F76637"/>
    <w:rPr>
      <w:color w:val="634545" w:themeColor="accent6" w:themeShade="BF"/>
    </w:rPr>
    <w:tblPr>
      <w:tblStyleRowBandSize w:val="1"/>
      <w:tblStyleColBandSize w:val="1"/>
      <w:tblInd w:w="0" w:type="dxa"/>
      <w:tblBorders>
        <w:top w:val="single" w:sz="8" w:space="0" w:color="855D5D" w:themeColor="accent6"/>
        <w:bottom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la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left w:val="nil"/>
          <w:right w:val="nil"/>
          <w:insideH w:val="nil"/>
          <w:insideV w:val="nil"/>
        </w:tcBorders>
        <w:shd w:val="clear" w:color="auto" w:fill="E2D5D5" w:themeFill="accent6" w:themeFillTint="3F"/>
      </w:tcPr>
    </w:tblStylePr>
  </w:style>
  <w:style w:type="table" w:styleId="Svtlstnovnzvraznn3">
    <w:name w:val="Light Shading Accent 3"/>
    <w:basedOn w:val="Normlntabulka"/>
    <w:uiPriority w:val="60"/>
    <w:rsid w:val="00D97C49"/>
    <w:rPr>
      <w:color w:val="7B6A4D" w:themeColor="accent3" w:themeShade="BF"/>
    </w:rPr>
    <w:tblPr>
      <w:tblStyleRowBandSize w:val="1"/>
      <w:tblStyleColBandSize w:val="1"/>
      <w:tblInd w:w="0" w:type="dxa"/>
      <w:tblBorders>
        <w:top w:val="single" w:sz="8" w:space="0" w:color="A28E6A" w:themeColor="accent3"/>
        <w:bottom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la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8E2DA" w:themeFill="accent3" w:themeFillTint="3F"/>
      </w:tcPr>
    </w:tblStylePr>
    <w:tblStylePr w:type="band1Horz">
      <w:tblPr/>
      <w:trPr>
        <w:hidden/>
      </w:trPr>
      <w:tcPr>
        <w:tcBorders>
          <w:left w:val="nil"/>
          <w:right w:val="nil"/>
          <w:insideH w:val="nil"/>
          <w:insideV w:val="nil"/>
        </w:tcBorders>
        <w:shd w:val="clear" w:color="auto" w:fill="E8E2DA" w:themeFill="accent3" w:themeFillTint="3F"/>
      </w:tcPr>
    </w:tblStylePr>
  </w:style>
  <w:style w:type="paragraph" w:styleId="Obsah1">
    <w:name w:val="toc 1"/>
    <w:basedOn w:val="Normln"/>
    <w:next w:val="Normln"/>
    <w:autoRedefine/>
    <w:uiPriority w:val="39"/>
    <w:unhideWhenUsed/>
    <w:rsid w:val="00E54029"/>
    <w:pPr>
      <w:spacing w:after="100"/>
    </w:pPr>
  </w:style>
  <w:style w:type="paragraph" w:styleId="Obsah2">
    <w:name w:val="toc 2"/>
    <w:basedOn w:val="Normln"/>
    <w:next w:val="Normln"/>
    <w:autoRedefine/>
    <w:uiPriority w:val="39"/>
    <w:unhideWhenUsed/>
    <w:rsid w:val="00E54029"/>
    <w:pPr>
      <w:spacing w:after="100"/>
      <w:ind w:left="210"/>
    </w:pPr>
  </w:style>
  <w:style w:type="paragraph" w:styleId="Obsah3">
    <w:name w:val="toc 3"/>
    <w:basedOn w:val="Normln"/>
    <w:next w:val="Normln"/>
    <w:autoRedefine/>
    <w:uiPriority w:val="39"/>
    <w:unhideWhenUsed/>
    <w:rsid w:val="00E54029"/>
    <w:pPr>
      <w:spacing w:after="100"/>
      <w:ind w:left="420"/>
    </w:pPr>
  </w:style>
  <w:style w:type="character" w:styleId="Hypertextovodkaz">
    <w:name w:val="Hyperlink"/>
    <w:basedOn w:val="Standardnpsmoodstavce"/>
    <w:uiPriority w:val="99"/>
    <w:unhideWhenUsed/>
    <w:rsid w:val="00E54029"/>
    <w:rPr>
      <w:color w:val="CC9900" w:themeColor="hyperlink"/>
      <w:u w:val="single"/>
    </w:rPr>
  </w:style>
  <w:style w:type="character" w:customStyle="1" w:styleId="bold">
    <w:name w:val="bold"/>
    <w:basedOn w:val="Standardnpsmoodstavce"/>
    <w:rsid w:val="00B333A8"/>
  </w:style>
  <w:style w:type="table" w:styleId="Svtlseznamzvraznn2">
    <w:name w:val="Light List Accent 2"/>
    <w:basedOn w:val="Normlntabulka"/>
    <w:uiPriority w:val="61"/>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B2D1F" w:themeFill="accent2"/>
      </w:tcPr>
    </w:tblStylePr>
    <w:tblStylePr w:type="lastRow">
      <w:pPr>
        <w:spacing w:before="0" w:after="0" w:line="240" w:lineRule="auto"/>
      </w:pPr>
      <w:rPr>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tcBorders>
      </w:tcPr>
    </w:tblStylePr>
    <w:tblStylePr w:type="firstCol">
      <w:rPr>
        <w:b/>
        <w:bCs/>
      </w:rPr>
    </w:tblStylePr>
    <w:tblStylePr w:type="lastCol">
      <w:rPr>
        <w:b/>
        <w:bCs/>
      </w:r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style>
  <w:style w:type="table" w:styleId="Svtlseznamzvraznn5">
    <w:name w:val="Light List Accent 5"/>
    <w:basedOn w:val="Normlntabulka"/>
    <w:uiPriority w:val="61"/>
    <w:rsid w:val="00D0158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18485" w:themeFill="accent5"/>
      </w:tcPr>
    </w:tblStylePr>
    <w:tblStylePr w:type="lastRow">
      <w:pPr>
        <w:spacing w:before="0" w:after="0" w:line="240" w:lineRule="auto"/>
      </w:pPr>
      <w:rPr>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tcBorders>
      </w:tcPr>
    </w:tblStylePr>
    <w:tblStylePr w:type="firstCol">
      <w:rPr>
        <w:b/>
        <w:bCs/>
      </w:rPr>
    </w:tblStylePr>
    <w:tblStylePr w:type="lastCol">
      <w:rPr>
        <w:b/>
        <w:bCs/>
      </w:r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style>
  <w:style w:type="table" w:styleId="Svtlseznamzvraznn6">
    <w:name w:val="Light List Accent 6"/>
    <w:basedOn w:val="Normlntabulka"/>
    <w:uiPriority w:val="61"/>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855D5D" w:themeFill="accent6"/>
      </w:tcPr>
    </w:tblStylePr>
    <w:tblStylePr w:type="lastRow">
      <w:pPr>
        <w:spacing w:before="0" w:after="0" w:line="240" w:lineRule="auto"/>
      </w:pPr>
      <w:rPr>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tcBorders>
      </w:tcPr>
    </w:tblStylePr>
    <w:tblStylePr w:type="firstCol">
      <w:rPr>
        <w:b/>
        <w:bCs/>
      </w:rPr>
    </w:tblStylePr>
    <w:tblStylePr w:type="lastCol">
      <w:rPr>
        <w:b/>
        <w:bCs/>
      </w:r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style>
  <w:style w:type="table" w:styleId="Stednstnovn1">
    <w:name w:val="Medium Shading 1"/>
    <w:basedOn w:val="Normlntabulka"/>
    <w:uiPriority w:val="63"/>
    <w:rsid w:val="00D0158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insideH w:val="nil"/>
          <w:insideV w:val="nil"/>
        </w:tcBorders>
        <w:shd w:val="clear" w:color="auto" w:fill="C0C0C0" w:themeFill="text1" w:themeFillTint="3F"/>
      </w:tcPr>
    </w:tblStylePr>
    <w:tblStylePr w:type="band2Horz">
      <w:tblPr/>
      <w:trPr>
        <w:hidden/>
      </w:trPr>
      <w:tcPr>
        <w:tcBorders>
          <w:insideH w:val="nil"/>
          <w:insideV w:val="nil"/>
        </w:tcBorders>
      </w:tcPr>
    </w:tblStylePr>
  </w:style>
  <w:style w:type="table" w:styleId="Svtlmkazvraznn6">
    <w:name w:val="Light Grid Accent 6"/>
    <w:basedOn w:val="Normlntabulka"/>
    <w:uiPriority w:val="62"/>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insideH w:val="single" w:sz="8" w:space="0" w:color="855D5D" w:themeColor="accent6"/>
        <w:insideV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18" w:space="0" w:color="855D5D" w:themeColor="accent6"/>
          <w:right w:val="single" w:sz="8" w:space="0" w:color="855D5D" w:themeColor="accent6"/>
          <w:insideH w:val="nil"/>
          <w:insideV w:val="single" w:sz="8" w:space="0" w:color="855D5D" w:themeColor="accent6"/>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insideH w:val="nil"/>
          <w:insideV w:val="single" w:sz="8" w:space="0" w:color="855D5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shd w:val="clear" w:color="auto" w:fill="E2D5D5" w:themeFill="accent6" w:themeFillTint="3F"/>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shd w:val="clear" w:color="auto" w:fill="E2D5D5" w:themeFill="accent6" w:themeFillTint="3F"/>
      </w:tcPr>
    </w:tblStylePr>
    <w:tblStylePr w:type="band2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tcPr>
    </w:tblStylePr>
  </w:style>
  <w:style w:type="table" w:styleId="Svtlmkazvraznn1">
    <w:name w:val="Light Grid Accent 1"/>
    <w:basedOn w:val="Normlntabulka"/>
    <w:uiPriority w:val="62"/>
    <w:rsid w:val="00D0158A"/>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18" w:space="0" w:color="D34817" w:themeColor="accent1"/>
          <w:right w:val="single" w:sz="8" w:space="0" w:color="D34817" w:themeColor="accent1"/>
          <w:insideH w:val="nil"/>
          <w:insideV w:val="single" w:sz="8" w:space="0" w:color="D34817"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insideH w:val="nil"/>
          <w:insideV w:val="single" w:sz="8" w:space="0" w:color="D3481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shd w:val="clear" w:color="auto" w:fill="F8CFC1" w:themeFill="accent1" w:themeFillTint="3F"/>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shd w:val="clear" w:color="auto" w:fill="F8CFC1" w:themeFill="accent1" w:themeFillTint="3F"/>
      </w:tcPr>
    </w:tblStylePr>
    <w:tblStylePr w:type="band2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tcPr>
    </w:tblStylePr>
  </w:style>
  <w:style w:type="table" w:styleId="Stednstnovn1zvraznn1">
    <w:name w:val="Medium Shading 1 Accent 1"/>
    <w:basedOn w:val="Normlntabulka"/>
    <w:uiPriority w:val="63"/>
    <w:rsid w:val="00D0158A"/>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shd w:val="clear" w:color="auto" w:fill="D34817" w:themeFill="accent1"/>
      </w:tcPr>
    </w:tblStylePr>
    <w:tblStylePr w:type="lastRow">
      <w:pPr>
        <w:spacing w:before="0" w:after="0" w:line="240" w:lineRule="auto"/>
      </w:pPr>
      <w:rPr>
        <w:b/>
        <w:bCs/>
      </w:rPr>
      <w:tblPr/>
      <w:trPr>
        <w:hidden/>
      </w:trPr>
      <w:tcPr>
        <w:tcBorders>
          <w:top w:val="double" w:sz="6"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F8CFC1" w:themeFill="accent1" w:themeFillTint="3F"/>
      </w:tcPr>
    </w:tblStylePr>
    <w:tblStylePr w:type="band1Horz">
      <w:tblPr/>
      <w:trPr>
        <w:hidden/>
      </w:trPr>
      <w:tcPr>
        <w:tcBorders>
          <w:insideH w:val="nil"/>
          <w:insideV w:val="nil"/>
        </w:tcBorders>
        <w:shd w:val="clear" w:color="auto" w:fill="F8CFC1" w:themeFill="accent1" w:themeFillTint="3F"/>
      </w:tcPr>
    </w:tblStylePr>
    <w:tblStylePr w:type="band2Horz">
      <w:tblPr/>
      <w:trPr>
        <w:hidden/>
      </w:trPr>
      <w:tcPr>
        <w:tcBorders>
          <w:insideH w:val="nil"/>
          <w:insideV w:val="nil"/>
        </w:tcBorders>
      </w:tcPr>
    </w:tblStylePr>
  </w:style>
  <w:style w:type="table" w:styleId="Stednstnovn2zvraznn1">
    <w:name w:val="Medium Shading 2 Accent 1"/>
    <w:basedOn w:val="Normlntabulka"/>
    <w:uiPriority w:val="64"/>
    <w:rsid w:val="00D0158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D34817" w:themeFill="accent1"/>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D34817" w:themeFill="accent1"/>
      </w:tcPr>
    </w:tblStylePr>
    <w:tblStylePr w:type="lastCol">
      <w:rPr>
        <w:b/>
        <w:bCs/>
        <w:color w:val="FFFFFF" w:themeColor="background1"/>
      </w:rPr>
      <w:tblPr/>
      <w:trPr>
        <w:hidden/>
      </w:trPr>
      <w:tcPr>
        <w:tcBorders>
          <w:left w:val="nil"/>
          <w:right w:val="nil"/>
          <w:insideH w:val="nil"/>
          <w:insideV w:val="nil"/>
        </w:tcBorders>
        <w:shd w:val="clear" w:color="auto" w:fill="D34817" w:themeFill="accent1"/>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vtlmkazvraznn4">
    <w:name w:val="Light Grid Accent 4"/>
    <w:basedOn w:val="Normlntabulka"/>
    <w:uiPriority w:val="62"/>
    <w:rsid w:val="00D0158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insideH w:val="single" w:sz="8" w:space="0" w:color="956251" w:themeColor="accent4"/>
        <w:insideV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18" w:space="0" w:color="956251" w:themeColor="accent4"/>
          <w:right w:val="single" w:sz="8" w:space="0" w:color="956251" w:themeColor="accent4"/>
          <w:insideH w:val="nil"/>
          <w:insideV w:val="single" w:sz="8" w:space="0" w:color="956251"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insideH w:val="nil"/>
          <w:insideV w:val="single" w:sz="8" w:space="0" w:color="95625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shd w:val="clear" w:color="auto" w:fill="E6D7D2" w:themeFill="accent4" w:themeFillTint="3F"/>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shd w:val="clear" w:color="auto" w:fill="E6D7D2" w:themeFill="accent4" w:themeFillTint="3F"/>
      </w:tcPr>
    </w:tblStylePr>
    <w:tblStylePr w:type="band2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tcPr>
    </w:tblStylePr>
  </w:style>
  <w:style w:type="table" w:styleId="Svtlmkazvraznn2">
    <w:name w:val="Light Grid Accent 2"/>
    <w:basedOn w:val="Normlntabulka"/>
    <w:uiPriority w:val="62"/>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insideH w:val="single" w:sz="8" w:space="0" w:color="9B2D1F" w:themeColor="accent2"/>
        <w:insideV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18" w:space="0" w:color="9B2D1F" w:themeColor="accent2"/>
          <w:right w:val="single" w:sz="8" w:space="0" w:color="9B2D1F" w:themeColor="accent2"/>
          <w:insideH w:val="nil"/>
          <w:insideV w:val="single" w:sz="8" w:space="0" w:color="9B2D1F" w:themeColor="accent2"/>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insideH w:val="nil"/>
          <w:insideV w:val="single" w:sz="8" w:space="0" w:color="9B2D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shd w:val="clear" w:color="auto" w:fill="F1C1BC" w:themeFill="accent2" w:themeFillTint="3F"/>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shd w:val="clear" w:color="auto" w:fill="F1C1BC" w:themeFill="accent2" w:themeFillTint="3F"/>
      </w:tcPr>
    </w:tblStylePr>
    <w:tblStylePr w:type="band2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tcPr>
    </w:tblStylePr>
  </w:style>
  <w:style w:type="table" w:styleId="Svtlmka">
    <w:name w:val="Light Grid"/>
    <w:basedOn w:val="Normlntabulka"/>
    <w:uiPriority w:val="62"/>
    <w:rsid w:val="009426D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3">
    <w:name w:val="Light Grid Accent 3"/>
    <w:basedOn w:val="Normlntabulka"/>
    <w:uiPriority w:val="62"/>
    <w:rsid w:val="009426D4"/>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insideH w:val="single" w:sz="8" w:space="0" w:color="A28E6A" w:themeColor="accent3"/>
        <w:insideV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18" w:space="0" w:color="A28E6A" w:themeColor="accent3"/>
          <w:right w:val="single" w:sz="8" w:space="0" w:color="A28E6A" w:themeColor="accent3"/>
          <w:insideH w:val="nil"/>
          <w:insideV w:val="single" w:sz="8" w:space="0" w:color="A28E6A" w:themeColor="accent3"/>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insideH w:val="nil"/>
          <w:insideV w:val="single" w:sz="8" w:space="0" w:color="A28E6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shd w:val="clear" w:color="auto" w:fill="E8E2DA" w:themeFill="accent3" w:themeFillTint="3F"/>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shd w:val="clear" w:color="auto" w:fill="E8E2DA" w:themeFill="accent3" w:themeFillTint="3F"/>
      </w:tcPr>
    </w:tblStylePr>
    <w:tblStylePr w:type="band2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tcPr>
    </w:tblStylePr>
  </w:style>
  <w:style w:type="table" w:styleId="Stednstnovn2zvraznn6">
    <w:name w:val="Medium Shading 2 Accent 6"/>
    <w:basedOn w:val="Normlntabulka"/>
    <w:uiPriority w:val="64"/>
    <w:rsid w:val="009426D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855D5D" w:themeFill="accent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855D5D" w:themeFill="accent6"/>
      </w:tcPr>
    </w:tblStylePr>
    <w:tblStylePr w:type="lastCol">
      <w:rPr>
        <w:b/>
        <w:bCs/>
        <w:color w:val="FFFFFF" w:themeColor="background1"/>
      </w:rPr>
      <w:tblPr/>
      <w:trPr>
        <w:hidden/>
      </w:trPr>
      <w:tcPr>
        <w:tcBorders>
          <w:left w:val="nil"/>
          <w:right w:val="nil"/>
          <w:insideH w:val="nil"/>
          <w:insideV w:val="nil"/>
        </w:tcBorders>
        <w:shd w:val="clear" w:color="auto" w:fill="855D5D" w:themeFill="accent6"/>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tednstnovn1zvraznn5">
    <w:name w:val="Medium Shading 1 Accent 5"/>
    <w:basedOn w:val="Normlntabulka"/>
    <w:uiPriority w:val="63"/>
    <w:rsid w:val="009426D4"/>
    <w:tblPr>
      <w:tblStyleRowBandSize w:val="1"/>
      <w:tblStyleColBandSize w:val="1"/>
      <w:tblInd w:w="0" w:type="dxa"/>
      <w:tbl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single" w:sz="8" w:space="0" w:color="ACA2A3" w:themeColor="accent5"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shd w:val="clear" w:color="auto" w:fill="918485" w:themeFill="accent5"/>
      </w:tcPr>
    </w:tblStylePr>
    <w:tblStylePr w:type="lastRow">
      <w:pPr>
        <w:spacing w:before="0" w:after="0" w:line="240" w:lineRule="auto"/>
      </w:pPr>
      <w:rPr>
        <w:b/>
        <w:bCs/>
      </w:rPr>
      <w:tblPr/>
      <w:trPr>
        <w:hidden/>
      </w:trPr>
      <w:tcPr>
        <w:tcBorders>
          <w:top w:val="double" w:sz="6"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3E0E0" w:themeFill="accent5" w:themeFillTint="3F"/>
      </w:tcPr>
    </w:tblStylePr>
    <w:tblStylePr w:type="band1Horz">
      <w:tblPr/>
      <w:trPr>
        <w:hidden/>
      </w:trPr>
      <w:tcPr>
        <w:tcBorders>
          <w:insideH w:val="nil"/>
          <w:insideV w:val="nil"/>
        </w:tcBorders>
        <w:shd w:val="clear" w:color="auto" w:fill="E3E0E0" w:themeFill="accent5" w:themeFillTint="3F"/>
      </w:tcPr>
    </w:tblStylePr>
    <w:tblStylePr w:type="band2Horz">
      <w:tblPr/>
      <w:trPr>
        <w:hidden/>
      </w:trPr>
      <w:tcPr>
        <w:tcBorders>
          <w:insideH w:val="nil"/>
          <w:insideV w:val="nil"/>
        </w:tcBorders>
      </w:tcPr>
    </w:tblStylePr>
  </w:style>
  <w:style w:type="table" w:styleId="Barevnstnovn">
    <w:name w:val="Colorful Shading"/>
    <w:basedOn w:val="Normlntabulka"/>
    <w:uiPriority w:val="71"/>
    <w:rsid w:val="009426D4"/>
    <w:rPr>
      <w:color w:val="000000" w:themeColor="text1"/>
    </w:rPr>
    <w:tblPr>
      <w:tblStyleRowBandSize w:val="1"/>
      <w:tblStyleColBandSize w:val="1"/>
      <w:tblInd w:w="0" w:type="dxa"/>
      <w:tblBorders>
        <w:top w:val="single" w:sz="24" w:space="0" w:color="9B2D1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E6E6E6" w:themeFill="tex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000000" w:themeFill="text1" w:themeFillShade="99"/>
      </w:tcPr>
    </w:tblStylePr>
    <w:tblStylePr w:type="firstCol">
      <w:rPr>
        <w:color w:val="FFFFFF" w:themeColor="background1"/>
      </w:rPr>
      <w:tblPr/>
      <w:trPr>
        <w:hidden/>
      </w:tr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000000" w:themeFill="text1" w:themeFillShade="BF"/>
      </w:tcPr>
    </w:tblStylePr>
    <w:tblStylePr w:type="band1Vert">
      <w:tblPr/>
      <w:trPr>
        <w:hidden/>
      </w:trPr>
      <w:tcPr>
        <w:shd w:val="clear" w:color="auto" w:fill="999999" w:themeFill="text1" w:themeFillTint="66"/>
      </w:tcPr>
    </w:tblStylePr>
    <w:tblStylePr w:type="band1Horz">
      <w:tblPr/>
      <w:trPr>
        <w:hidden/>
      </w:tr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mavseznamzvraznn6">
    <w:name w:val="Dark List Accent 6"/>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855D5D" w:themeFill="accent6"/>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22E2E" w:themeFill="accent6"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34545" w:themeFill="accent6"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34545" w:themeFill="accent6" w:themeFillShade="BF"/>
      </w:tcPr>
    </w:tblStylePr>
    <w:tblStylePr w:type="band1Vert">
      <w:tblPr/>
      <w:trPr>
        <w:hidden/>
      </w:trPr>
      <w:tcPr>
        <w:tcBorders>
          <w:top w:val="nil"/>
          <w:left w:val="nil"/>
          <w:bottom w:val="nil"/>
          <w:right w:val="nil"/>
          <w:insideH w:val="nil"/>
          <w:insideV w:val="nil"/>
        </w:tcBorders>
        <w:shd w:val="clear" w:color="auto" w:fill="634545" w:themeFill="accent6" w:themeFillShade="BF"/>
      </w:tcPr>
    </w:tblStylePr>
    <w:tblStylePr w:type="band1Horz">
      <w:tblPr/>
      <w:trPr>
        <w:hidden/>
      </w:trPr>
      <w:tcPr>
        <w:tcBorders>
          <w:top w:val="nil"/>
          <w:left w:val="nil"/>
          <w:bottom w:val="nil"/>
          <w:right w:val="nil"/>
          <w:insideH w:val="nil"/>
          <w:insideV w:val="nil"/>
        </w:tcBorders>
        <w:shd w:val="clear" w:color="auto" w:fill="634545" w:themeFill="accent6" w:themeFillShade="BF"/>
      </w:tcPr>
    </w:tblStylePr>
  </w:style>
  <w:style w:type="table" w:styleId="Tmavseznamzvraznn4">
    <w:name w:val="Dark List Accent 4"/>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956251" w:themeFill="accent4"/>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A3028" w:themeFill="accent4"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F493C" w:themeFill="accent4"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F493C" w:themeFill="accent4" w:themeFillShade="BF"/>
      </w:tcPr>
    </w:tblStylePr>
    <w:tblStylePr w:type="band1Vert">
      <w:tblPr/>
      <w:trPr>
        <w:hidden/>
      </w:trPr>
      <w:tcPr>
        <w:tcBorders>
          <w:top w:val="nil"/>
          <w:left w:val="nil"/>
          <w:bottom w:val="nil"/>
          <w:right w:val="nil"/>
          <w:insideH w:val="nil"/>
          <w:insideV w:val="nil"/>
        </w:tcBorders>
        <w:shd w:val="clear" w:color="auto" w:fill="6F493C" w:themeFill="accent4" w:themeFillShade="BF"/>
      </w:tcPr>
    </w:tblStylePr>
    <w:tblStylePr w:type="band1Horz">
      <w:tblPr/>
      <w:trPr>
        <w:hidden/>
      </w:trPr>
      <w:tcPr>
        <w:tcBorders>
          <w:top w:val="nil"/>
          <w:left w:val="nil"/>
          <w:bottom w:val="nil"/>
          <w:right w:val="nil"/>
          <w:insideH w:val="nil"/>
          <w:insideV w:val="nil"/>
        </w:tcBorders>
        <w:shd w:val="clear" w:color="auto" w:fill="6F493C" w:themeFill="accent4" w:themeFillShade="BF"/>
      </w:tcPr>
    </w:tblStylePr>
  </w:style>
  <w:style w:type="table" w:styleId="Stednmka1">
    <w:name w:val="Medium Grid 1"/>
    <w:basedOn w:val="Normlntabulka"/>
    <w:uiPriority w:val="67"/>
    <w:rsid w:val="009426D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rPr>
      <w:hidden/>
    </w:trPr>
    <w:tcPr>
      <w:shd w:val="clear" w:color="auto" w:fill="C0C0C0" w:themeFill="text1" w:themeFillTint="3F"/>
    </w:tcPr>
    <w:tblStylePr w:type="firstRow">
      <w:rPr>
        <w:b/>
        <w:bCs/>
      </w:rPr>
    </w:tblStylePr>
    <w:tblStylePr w:type="lastRow">
      <w:rPr>
        <w:b/>
        <w:bCs/>
      </w:rPr>
      <w:tblPr/>
      <w:trPr>
        <w:hidden/>
      </w:trPr>
      <w:tcPr>
        <w:tcBorders>
          <w:top w:val="single" w:sz="18" w:space="0" w:color="404040" w:themeColor="text1" w:themeTint="BF"/>
        </w:tcBorders>
      </w:tcPr>
    </w:tblStylePr>
    <w:tblStylePr w:type="firstCol">
      <w:rPr>
        <w:b/>
        <w:bCs/>
      </w:rPr>
    </w:tblStylePr>
    <w:tblStylePr w:type="lastCol">
      <w:rPr>
        <w:b/>
        <w:bCs/>
      </w:rPr>
    </w:tblStylePr>
    <w:tblStylePr w:type="band1Vert">
      <w:tblPr/>
      <w:trPr>
        <w:hidden/>
      </w:trPr>
      <w:tcPr>
        <w:shd w:val="clear" w:color="auto" w:fill="808080" w:themeFill="text1" w:themeFillTint="7F"/>
      </w:tcPr>
    </w:tblStylePr>
    <w:tblStylePr w:type="band1Horz">
      <w:tblPr/>
      <w:trPr>
        <w:hidden/>
      </w:trPr>
      <w:tcPr>
        <w:shd w:val="clear" w:color="auto" w:fill="808080" w:themeFill="text1" w:themeFillTint="7F"/>
      </w:tcPr>
    </w:tblStylePr>
  </w:style>
  <w:style w:type="table" w:styleId="Stednseznam2zvraznn6">
    <w:name w:val="Medium List 2 Accent 6"/>
    <w:basedOn w:val="Normlntabulka"/>
    <w:uiPriority w:val="66"/>
    <w:rsid w:val="009426D4"/>
    <w:rPr>
      <w:rFonts w:asciiTheme="majorHAnsi" w:eastAsiaTheme="majorEastAsia" w:hAnsiTheme="majorHAnsi" w:cstheme="majorBidi"/>
      <w:color w:val="000000" w:themeColor="text1"/>
    </w:rPr>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855D5D" w:themeColor="accent6"/>
          <w:right w:val="nil"/>
          <w:insideH w:val="nil"/>
          <w:insideV w:val="nil"/>
        </w:tcBorders>
        <w:shd w:val="clear" w:color="auto" w:fill="FFFFFF" w:themeFill="background1"/>
      </w:tcPr>
    </w:tblStylePr>
    <w:tblStylePr w:type="lastRow">
      <w:tblPr/>
      <w:trPr>
        <w:hidden/>
      </w:trPr>
      <w:tcPr>
        <w:tcBorders>
          <w:top w:val="single" w:sz="8" w:space="0" w:color="855D5D" w:themeColor="accent6"/>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855D5D" w:themeColor="accent6"/>
          <w:insideH w:val="nil"/>
          <w:insideV w:val="nil"/>
        </w:tcBorders>
        <w:shd w:val="clear" w:color="auto" w:fill="FFFFFF" w:themeFill="background1"/>
      </w:tcPr>
    </w:tblStylePr>
    <w:tblStylePr w:type="lastCol">
      <w:tblPr/>
      <w:trPr>
        <w:hidden/>
      </w:trPr>
      <w:tcPr>
        <w:tcBorders>
          <w:top w:val="nil"/>
          <w:left w:val="single" w:sz="8" w:space="0" w:color="855D5D" w:themeColor="accent6"/>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top w:val="nil"/>
          <w:bottom w:val="nil"/>
          <w:insideH w:val="nil"/>
          <w:insideV w:val="nil"/>
        </w:tcBorders>
        <w:shd w:val="clear" w:color="auto" w:fill="E2D5D5" w:themeFill="accent6"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stnovn1zvraznn4">
    <w:name w:val="Medium Shading 1 Accent 4"/>
    <w:basedOn w:val="Normlntabulka"/>
    <w:uiPriority w:val="63"/>
    <w:rsid w:val="009426D4"/>
    <w:tblPr>
      <w:tblStyleRowBandSize w:val="1"/>
      <w:tblStyleColBandSize w:val="1"/>
      <w:tblInd w:w="0" w:type="dxa"/>
      <w:tbl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single" w:sz="8" w:space="0" w:color="B58676" w:themeColor="accent4"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shd w:val="clear" w:color="auto" w:fill="956251" w:themeFill="accent4"/>
      </w:tcPr>
    </w:tblStylePr>
    <w:tblStylePr w:type="lastRow">
      <w:pPr>
        <w:spacing w:before="0" w:after="0" w:line="240" w:lineRule="auto"/>
      </w:pPr>
      <w:rPr>
        <w:b/>
        <w:bCs/>
      </w:rPr>
      <w:tblPr/>
      <w:trPr>
        <w:hidden/>
      </w:trPr>
      <w:tcPr>
        <w:tcBorders>
          <w:top w:val="double" w:sz="6"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6D7D2" w:themeFill="accent4" w:themeFillTint="3F"/>
      </w:tcPr>
    </w:tblStylePr>
    <w:tblStylePr w:type="band1Horz">
      <w:tblPr/>
      <w:trPr>
        <w:hidden/>
      </w:trPr>
      <w:tcPr>
        <w:tcBorders>
          <w:insideH w:val="nil"/>
          <w:insideV w:val="nil"/>
        </w:tcBorders>
        <w:shd w:val="clear" w:color="auto" w:fill="E6D7D2" w:themeFill="accent4" w:themeFillTint="3F"/>
      </w:tcPr>
    </w:tblStylePr>
    <w:tblStylePr w:type="band2Horz">
      <w:tblPr/>
      <w:trPr>
        <w:hidden/>
      </w:trPr>
      <w:tcPr>
        <w:tcBorders>
          <w:insideH w:val="nil"/>
          <w:insideV w:val="nil"/>
        </w:tcBorders>
      </w:tcPr>
    </w:tblStylePr>
  </w:style>
  <w:style w:type="table" w:styleId="Svtlseznamzvraznn3">
    <w:name w:val="Light List Accent 3"/>
    <w:basedOn w:val="Normlntabulka"/>
    <w:uiPriority w:val="61"/>
    <w:rsid w:val="004569BA"/>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A28E6A" w:themeFill="accent3"/>
      </w:tcPr>
    </w:tblStylePr>
    <w:tblStylePr w:type="lastRow">
      <w:pPr>
        <w:spacing w:before="0" w:after="0" w:line="240" w:lineRule="auto"/>
      </w:pPr>
      <w:rPr>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tcBorders>
      </w:tcPr>
    </w:tblStylePr>
    <w:tblStylePr w:type="firstCol">
      <w:rPr>
        <w:b/>
        <w:bCs/>
      </w:rPr>
    </w:tblStylePr>
    <w:tblStylePr w:type="lastCol">
      <w:rPr>
        <w:b/>
        <w:bCs/>
      </w:r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style>
  <w:style w:type="table" w:styleId="Svtlseznamzvraznn4">
    <w:name w:val="Light List Accent 4"/>
    <w:basedOn w:val="Normlntabulka"/>
    <w:uiPriority w:val="61"/>
    <w:rsid w:val="004569B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56251" w:themeFill="accent4"/>
      </w:tcPr>
    </w:tblStylePr>
    <w:tblStylePr w:type="lastRow">
      <w:pPr>
        <w:spacing w:before="0" w:after="0" w:line="240" w:lineRule="auto"/>
      </w:pPr>
      <w:rPr>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tcBorders>
      </w:tcPr>
    </w:tblStylePr>
    <w:tblStylePr w:type="firstCol">
      <w:rPr>
        <w:b/>
        <w:bCs/>
      </w:rPr>
    </w:tblStylePr>
    <w:tblStylePr w:type="lastCol">
      <w:rPr>
        <w:b/>
        <w:bCs/>
      </w:r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style>
  <w:style w:type="table" w:styleId="Stednseznam2zvraznn5">
    <w:name w:val="Medium List 2 Accent 5"/>
    <w:basedOn w:val="Normlntabulka"/>
    <w:uiPriority w:val="66"/>
    <w:rsid w:val="004569BA"/>
    <w:rPr>
      <w:rFonts w:asciiTheme="majorHAnsi" w:eastAsiaTheme="majorEastAsia" w:hAnsiTheme="majorHAnsi" w:cstheme="majorBidi"/>
      <w:color w:val="000000" w:themeColor="text1"/>
    </w:rPr>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tblPr/>
      <w:trPr>
        <w:hidden/>
      </w:trPr>
      <w:tcPr>
        <w:tcBorders>
          <w:top w:val="single" w:sz="8" w:space="0" w:color="918485" w:themeColor="accent5"/>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18485" w:themeColor="accent5"/>
          <w:insideH w:val="nil"/>
          <w:insideV w:val="nil"/>
        </w:tcBorders>
        <w:shd w:val="clear" w:color="auto" w:fill="FFFFFF" w:themeFill="background1"/>
      </w:tcPr>
    </w:tblStylePr>
    <w:tblStylePr w:type="lastCol">
      <w:tblPr/>
      <w:trPr>
        <w:hidden/>
      </w:trPr>
      <w:tcPr>
        <w:tcBorders>
          <w:top w:val="nil"/>
          <w:left w:val="single" w:sz="8" w:space="0" w:color="918485" w:themeColor="accent5"/>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top w:val="nil"/>
          <w:bottom w:val="nil"/>
          <w:insideH w:val="nil"/>
          <w:insideV w:val="nil"/>
        </w:tcBorders>
        <w:shd w:val="clear" w:color="auto" w:fill="E3E0E0" w:themeFill="accent5"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vtlmkazvraznn5">
    <w:name w:val="Light Grid Accent 5"/>
    <w:basedOn w:val="Normlntabulka"/>
    <w:uiPriority w:val="62"/>
    <w:rsid w:val="004569B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18" w:space="0" w:color="918485" w:themeColor="accent5"/>
          <w:right w:val="single" w:sz="8" w:space="0" w:color="918485" w:themeColor="accent5"/>
          <w:insideH w:val="nil"/>
          <w:insideV w:val="single" w:sz="8" w:space="0" w:color="918485" w:themeColor="accent5"/>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insideH w:val="nil"/>
          <w:insideV w:val="single" w:sz="8" w:space="0" w:color="91848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shd w:val="clear" w:color="auto" w:fill="E3E0E0" w:themeFill="accent5" w:themeFillTint="3F"/>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shd w:val="clear" w:color="auto" w:fill="E3E0E0" w:themeFill="accent5" w:themeFillTint="3F"/>
      </w:tcPr>
    </w:tblStylePr>
    <w:tblStylePr w:type="band2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4D8"/>
    <w:pPr>
      <w:spacing w:after="120"/>
      <w:ind w:firstLine="0"/>
      <w:jc w:val="both"/>
    </w:pPr>
    <w:rPr>
      <w:sz w:val="21"/>
    </w:rPr>
  </w:style>
  <w:style w:type="paragraph" w:styleId="Nadpis1">
    <w:name w:val="heading 1"/>
    <w:basedOn w:val="Normln"/>
    <w:next w:val="Normln"/>
    <w:link w:val="Nadpis1Char"/>
    <w:uiPriority w:val="9"/>
    <w:qFormat/>
    <w:rsid w:val="002639EE"/>
    <w:pPr>
      <w:spacing w:before="600" w:after="480"/>
      <w:jc w:val="center"/>
      <w:outlineLvl w:val="0"/>
    </w:pPr>
    <w:rPr>
      <w:rFonts w:asciiTheme="majorHAnsi" w:eastAsiaTheme="majorEastAsia" w:hAnsiTheme="majorHAnsi" w:cstheme="majorBidi"/>
      <w:b/>
      <w:bCs/>
      <w:color w:val="9D3511" w:themeColor="accent1" w:themeShade="BF"/>
      <w:sz w:val="30"/>
      <w:szCs w:val="24"/>
    </w:rPr>
  </w:style>
  <w:style w:type="paragraph" w:styleId="Nadpis2">
    <w:name w:val="heading 2"/>
    <w:basedOn w:val="Normln"/>
    <w:next w:val="Normln"/>
    <w:link w:val="Nadpis2Char"/>
    <w:uiPriority w:val="9"/>
    <w:unhideWhenUsed/>
    <w:qFormat/>
    <w:rsid w:val="002639EE"/>
    <w:pPr>
      <w:spacing w:before="480" w:after="360"/>
      <w:outlineLvl w:val="1"/>
    </w:pPr>
    <w:rPr>
      <w:rFonts w:asciiTheme="majorHAnsi" w:eastAsiaTheme="majorEastAsia" w:hAnsiTheme="majorHAnsi" w:cstheme="majorBidi"/>
      <w:b/>
      <w:color w:val="9D3511" w:themeColor="accent1" w:themeShade="BF"/>
      <w:sz w:val="28"/>
      <w:szCs w:val="24"/>
    </w:rPr>
  </w:style>
  <w:style w:type="paragraph" w:styleId="Nadpis3">
    <w:name w:val="heading 3"/>
    <w:basedOn w:val="Normln"/>
    <w:next w:val="Normln"/>
    <w:link w:val="Nadpis3Char"/>
    <w:uiPriority w:val="9"/>
    <w:unhideWhenUsed/>
    <w:qFormat/>
    <w:rsid w:val="00ED621D"/>
    <w:pPr>
      <w:spacing w:before="360" w:after="160"/>
      <w:outlineLvl w:val="2"/>
    </w:pPr>
    <w:rPr>
      <w:rFonts w:asciiTheme="majorHAnsi" w:eastAsiaTheme="majorEastAsia" w:hAnsiTheme="majorHAnsi" w:cstheme="majorBidi"/>
      <w:b/>
      <w:color w:val="AF0101"/>
      <w:sz w:val="24"/>
      <w:szCs w:val="24"/>
    </w:rPr>
  </w:style>
  <w:style w:type="paragraph" w:styleId="Nadpis4">
    <w:name w:val="heading 4"/>
    <w:basedOn w:val="Normln"/>
    <w:next w:val="Normln"/>
    <w:link w:val="Nadpis4Char"/>
    <w:uiPriority w:val="9"/>
    <w:unhideWhenUsed/>
    <w:qFormat/>
    <w:rsid w:val="00ED621D"/>
    <w:pPr>
      <w:spacing w:before="200" w:after="80"/>
      <w:outlineLvl w:val="3"/>
    </w:pPr>
    <w:rPr>
      <w:rFonts w:asciiTheme="majorHAnsi" w:eastAsiaTheme="majorEastAsia" w:hAnsiTheme="majorHAnsi" w:cstheme="majorBidi"/>
      <w:b/>
      <w:i/>
      <w:iCs/>
      <w:color w:val="D41616"/>
      <w:szCs w:val="24"/>
    </w:rPr>
  </w:style>
  <w:style w:type="paragraph" w:styleId="Nadpis5">
    <w:name w:val="heading 5"/>
    <w:basedOn w:val="Normln"/>
    <w:next w:val="Normln"/>
    <w:link w:val="Nadpis5Char"/>
    <w:uiPriority w:val="9"/>
    <w:unhideWhenUsed/>
    <w:qFormat/>
    <w:rsid w:val="00946869"/>
    <w:pPr>
      <w:spacing w:before="200" w:after="80"/>
      <w:outlineLvl w:val="4"/>
    </w:pPr>
    <w:rPr>
      <w:rFonts w:asciiTheme="majorHAnsi" w:eastAsiaTheme="majorEastAsia" w:hAnsiTheme="majorHAnsi" w:cstheme="majorBidi"/>
      <w:color w:val="D34817" w:themeColor="accent1"/>
    </w:rPr>
  </w:style>
  <w:style w:type="paragraph" w:styleId="Nadpis6">
    <w:name w:val="heading 6"/>
    <w:basedOn w:val="Normln"/>
    <w:next w:val="Normln"/>
    <w:link w:val="Nadpis6Char"/>
    <w:uiPriority w:val="9"/>
    <w:unhideWhenUsed/>
    <w:qFormat/>
    <w:rsid w:val="00946869"/>
    <w:pPr>
      <w:spacing w:before="280" w:after="100"/>
      <w:outlineLvl w:val="5"/>
    </w:pPr>
    <w:rPr>
      <w:rFonts w:asciiTheme="majorHAnsi" w:eastAsiaTheme="majorEastAsia" w:hAnsiTheme="majorHAnsi" w:cstheme="majorBidi"/>
      <w:i/>
      <w:iCs/>
      <w:color w:val="D34817" w:themeColor="accent1"/>
    </w:rPr>
  </w:style>
  <w:style w:type="paragraph" w:styleId="Nadpis7">
    <w:name w:val="heading 7"/>
    <w:basedOn w:val="Normln"/>
    <w:next w:val="Normln"/>
    <w:link w:val="Nadpis7Char"/>
    <w:uiPriority w:val="9"/>
    <w:unhideWhenUsed/>
    <w:qFormat/>
    <w:rsid w:val="00946869"/>
    <w:pPr>
      <w:spacing w:before="320" w:after="100"/>
      <w:outlineLvl w:val="6"/>
    </w:pPr>
    <w:rPr>
      <w:rFonts w:asciiTheme="majorHAnsi" w:eastAsiaTheme="majorEastAsia" w:hAnsiTheme="majorHAnsi" w:cstheme="majorBidi"/>
      <w:b/>
      <w:bCs/>
      <w:color w:val="A28E6A" w:themeColor="accent3"/>
      <w:sz w:val="20"/>
      <w:szCs w:val="20"/>
    </w:rPr>
  </w:style>
  <w:style w:type="paragraph" w:styleId="Nadpis8">
    <w:name w:val="heading 8"/>
    <w:basedOn w:val="Normln"/>
    <w:next w:val="Normln"/>
    <w:link w:val="Nadpis8Char"/>
    <w:uiPriority w:val="9"/>
    <w:unhideWhenUsed/>
    <w:qFormat/>
    <w:rsid w:val="00946869"/>
    <w:pPr>
      <w:spacing w:before="320" w:after="100"/>
      <w:outlineLvl w:val="7"/>
    </w:pPr>
    <w:rPr>
      <w:rFonts w:asciiTheme="majorHAnsi" w:eastAsiaTheme="majorEastAsia" w:hAnsiTheme="majorHAnsi" w:cstheme="majorBidi"/>
      <w:b/>
      <w:bCs/>
      <w:i/>
      <w:iCs/>
      <w:color w:val="A28E6A" w:themeColor="accent3"/>
      <w:sz w:val="20"/>
      <w:szCs w:val="20"/>
    </w:rPr>
  </w:style>
  <w:style w:type="paragraph" w:styleId="Nadpis9">
    <w:name w:val="heading 9"/>
    <w:basedOn w:val="Normln"/>
    <w:next w:val="Normln"/>
    <w:link w:val="Nadpis9Char"/>
    <w:uiPriority w:val="9"/>
    <w:unhideWhenUsed/>
    <w:qFormat/>
    <w:rsid w:val="00946869"/>
    <w:pPr>
      <w:spacing w:before="320" w:after="100"/>
      <w:outlineLvl w:val="8"/>
    </w:pPr>
    <w:rPr>
      <w:rFonts w:asciiTheme="majorHAnsi" w:eastAsiaTheme="majorEastAsia" w:hAnsiTheme="majorHAnsi" w:cstheme="majorBidi"/>
      <w:i/>
      <w:iCs/>
      <w:color w:val="A28E6A"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639EE"/>
    <w:rPr>
      <w:rFonts w:asciiTheme="majorHAnsi" w:eastAsiaTheme="majorEastAsia" w:hAnsiTheme="majorHAnsi" w:cstheme="majorBidi"/>
      <w:b/>
      <w:color w:val="9D3511" w:themeColor="accent1" w:themeShade="BF"/>
      <w:sz w:val="28"/>
      <w:szCs w:val="24"/>
    </w:rPr>
  </w:style>
  <w:style w:type="character" w:customStyle="1" w:styleId="Nadpis1Char">
    <w:name w:val="Nadpis 1 Char"/>
    <w:basedOn w:val="Standardnpsmoodstavce"/>
    <w:link w:val="Nadpis1"/>
    <w:uiPriority w:val="9"/>
    <w:rsid w:val="002639EE"/>
    <w:rPr>
      <w:rFonts w:asciiTheme="majorHAnsi" w:eastAsiaTheme="majorEastAsia" w:hAnsiTheme="majorHAnsi" w:cstheme="majorBidi"/>
      <w:b/>
      <w:bCs/>
      <w:color w:val="9D3511" w:themeColor="accent1" w:themeShade="BF"/>
      <w:sz w:val="30"/>
      <w:szCs w:val="24"/>
    </w:rPr>
  </w:style>
  <w:style w:type="character" w:customStyle="1" w:styleId="Nadpis3Char">
    <w:name w:val="Nadpis 3 Char"/>
    <w:basedOn w:val="Standardnpsmoodstavce"/>
    <w:link w:val="Nadpis3"/>
    <w:uiPriority w:val="9"/>
    <w:rsid w:val="00ED621D"/>
    <w:rPr>
      <w:rFonts w:asciiTheme="majorHAnsi" w:eastAsiaTheme="majorEastAsia" w:hAnsiTheme="majorHAnsi" w:cstheme="majorBidi"/>
      <w:b/>
      <w:color w:val="AF0101"/>
      <w:sz w:val="24"/>
      <w:szCs w:val="24"/>
    </w:rPr>
  </w:style>
  <w:style w:type="character" w:customStyle="1" w:styleId="Nadpis4Char">
    <w:name w:val="Nadpis 4 Char"/>
    <w:basedOn w:val="Standardnpsmoodstavce"/>
    <w:link w:val="Nadpis4"/>
    <w:uiPriority w:val="9"/>
    <w:rsid w:val="00ED621D"/>
    <w:rPr>
      <w:rFonts w:asciiTheme="majorHAnsi" w:eastAsiaTheme="majorEastAsia" w:hAnsiTheme="majorHAnsi" w:cstheme="majorBidi"/>
      <w:b/>
      <w:i/>
      <w:iCs/>
      <w:color w:val="D41616"/>
      <w:sz w:val="21"/>
      <w:szCs w:val="24"/>
    </w:rPr>
  </w:style>
  <w:style w:type="character" w:customStyle="1" w:styleId="Nadpis5Char">
    <w:name w:val="Nadpis 5 Char"/>
    <w:basedOn w:val="Standardnpsmoodstavce"/>
    <w:link w:val="Nadpis5"/>
    <w:uiPriority w:val="9"/>
    <w:rsid w:val="00946869"/>
    <w:rPr>
      <w:rFonts w:asciiTheme="majorHAnsi" w:eastAsiaTheme="majorEastAsia" w:hAnsiTheme="majorHAnsi" w:cstheme="majorBidi"/>
      <w:color w:val="D34817" w:themeColor="accent1"/>
    </w:rPr>
  </w:style>
  <w:style w:type="character" w:customStyle="1" w:styleId="Nadpis6Char">
    <w:name w:val="Nadpis 6 Char"/>
    <w:basedOn w:val="Standardnpsmoodstavce"/>
    <w:link w:val="Nadpis6"/>
    <w:uiPriority w:val="9"/>
    <w:rsid w:val="00946869"/>
    <w:rPr>
      <w:rFonts w:asciiTheme="majorHAnsi" w:eastAsiaTheme="majorEastAsia" w:hAnsiTheme="majorHAnsi" w:cstheme="majorBidi"/>
      <w:i/>
      <w:iCs/>
      <w:color w:val="D34817" w:themeColor="accent1"/>
    </w:rPr>
  </w:style>
  <w:style w:type="character" w:customStyle="1" w:styleId="Nadpis7Char">
    <w:name w:val="Nadpis 7 Char"/>
    <w:basedOn w:val="Standardnpsmoodstavce"/>
    <w:link w:val="Nadpis7"/>
    <w:uiPriority w:val="9"/>
    <w:rsid w:val="00946869"/>
    <w:rPr>
      <w:rFonts w:asciiTheme="majorHAnsi" w:eastAsiaTheme="majorEastAsia" w:hAnsiTheme="majorHAnsi" w:cstheme="majorBidi"/>
      <w:b/>
      <w:bCs/>
      <w:color w:val="A28E6A" w:themeColor="accent3"/>
      <w:sz w:val="20"/>
      <w:szCs w:val="20"/>
    </w:rPr>
  </w:style>
  <w:style w:type="character" w:customStyle="1" w:styleId="Nadpis8Char">
    <w:name w:val="Nadpis 8 Char"/>
    <w:basedOn w:val="Standardnpsmoodstavce"/>
    <w:link w:val="Nadpis8"/>
    <w:uiPriority w:val="9"/>
    <w:rsid w:val="00946869"/>
    <w:rPr>
      <w:rFonts w:asciiTheme="majorHAnsi" w:eastAsiaTheme="majorEastAsia" w:hAnsiTheme="majorHAnsi" w:cstheme="majorBidi"/>
      <w:b/>
      <w:bCs/>
      <w:i/>
      <w:iCs/>
      <w:color w:val="A28E6A" w:themeColor="accent3"/>
      <w:sz w:val="20"/>
      <w:szCs w:val="20"/>
    </w:rPr>
  </w:style>
  <w:style w:type="character" w:customStyle="1" w:styleId="Nadpis9Char">
    <w:name w:val="Nadpis 9 Char"/>
    <w:basedOn w:val="Standardnpsmoodstavce"/>
    <w:link w:val="Nadpis9"/>
    <w:uiPriority w:val="9"/>
    <w:rsid w:val="00946869"/>
    <w:rPr>
      <w:rFonts w:asciiTheme="majorHAnsi" w:eastAsiaTheme="majorEastAsia" w:hAnsiTheme="majorHAnsi" w:cstheme="majorBidi"/>
      <w:i/>
      <w:iCs/>
      <w:color w:val="A28E6A" w:themeColor="accent3"/>
      <w:sz w:val="20"/>
      <w:szCs w:val="20"/>
    </w:rPr>
  </w:style>
  <w:style w:type="paragraph" w:styleId="Titulek">
    <w:name w:val="caption"/>
    <w:basedOn w:val="Normln"/>
    <w:next w:val="Normln"/>
    <w:uiPriority w:val="35"/>
    <w:unhideWhenUsed/>
    <w:qFormat/>
    <w:rsid w:val="00946869"/>
    <w:rPr>
      <w:b/>
      <w:bCs/>
      <w:sz w:val="18"/>
      <w:szCs w:val="18"/>
    </w:rPr>
  </w:style>
  <w:style w:type="paragraph" w:styleId="Nzev">
    <w:name w:val="Title"/>
    <w:basedOn w:val="Normln"/>
    <w:next w:val="Normln"/>
    <w:link w:val="NzevChar"/>
    <w:uiPriority w:val="10"/>
    <w:qFormat/>
    <w:rsid w:val="00946869"/>
    <w:pPr>
      <w:pBdr>
        <w:top w:val="single" w:sz="8" w:space="10" w:color="F19F82" w:themeColor="accent1" w:themeTint="7F"/>
        <w:bottom w:val="single" w:sz="24" w:space="15" w:color="A28E6A" w:themeColor="accent3"/>
      </w:pBdr>
      <w:jc w:val="center"/>
    </w:pPr>
    <w:rPr>
      <w:rFonts w:asciiTheme="majorHAnsi" w:eastAsiaTheme="majorEastAsia" w:hAnsiTheme="majorHAnsi" w:cstheme="majorBidi"/>
      <w:i/>
      <w:iCs/>
      <w:color w:val="68230B" w:themeColor="accent1" w:themeShade="7F"/>
      <w:sz w:val="60"/>
      <w:szCs w:val="60"/>
    </w:rPr>
  </w:style>
  <w:style w:type="character" w:customStyle="1" w:styleId="NzevChar">
    <w:name w:val="Název Char"/>
    <w:basedOn w:val="Standardnpsmoodstavce"/>
    <w:link w:val="Nzev"/>
    <w:uiPriority w:val="10"/>
    <w:rsid w:val="00946869"/>
    <w:rPr>
      <w:rFonts w:asciiTheme="majorHAnsi" w:eastAsiaTheme="majorEastAsia" w:hAnsiTheme="majorHAnsi" w:cstheme="majorBidi"/>
      <w:i/>
      <w:iCs/>
      <w:color w:val="68230B" w:themeColor="accent1" w:themeShade="7F"/>
      <w:sz w:val="60"/>
      <w:szCs w:val="60"/>
    </w:rPr>
  </w:style>
  <w:style w:type="paragraph" w:styleId="Podtitul">
    <w:name w:val="Subtitle"/>
    <w:basedOn w:val="Normln"/>
    <w:next w:val="Normln"/>
    <w:link w:val="PodtitulChar"/>
    <w:uiPriority w:val="11"/>
    <w:qFormat/>
    <w:rsid w:val="00946869"/>
    <w:pPr>
      <w:spacing w:before="200" w:after="900"/>
      <w:jc w:val="right"/>
    </w:pPr>
    <w:rPr>
      <w:i/>
      <w:iCs/>
      <w:sz w:val="24"/>
      <w:szCs w:val="24"/>
    </w:rPr>
  </w:style>
  <w:style w:type="character" w:customStyle="1" w:styleId="PodtitulChar">
    <w:name w:val="Podtitul Char"/>
    <w:basedOn w:val="Standardnpsmoodstavce"/>
    <w:link w:val="Podtitul"/>
    <w:uiPriority w:val="11"/>
    <w:rsid w:val="00946869"/>
    <w:rPr>
      <w:i/>
      <w:iCs/>
      <w:sz w:val="24"/>
      <w:szCs w:val="24"/>
    </w:rPr>
  </w:style>
  <w:style w:type="character" w:styleId="Siln">
    <w:name w:val="Strong"/>
    <w:basedOn w:val="Standardnpsmoodstavce"/>
    <w:uiPriority w:val="22"/>
    <w:qFormat/>
    <w:rsid w:val="00946869"/>
    <w:rPr>
      <w:b/>
      <w:bCs/>
      <w:spacing w:val="0"/>
    </w:rPr>
  </w:style>
  <w:style w:type="character" w:styleId="Zvraznn">
    <w:name w:val="Emphasis"/>
    <w:uiPriority w:val="20"/>
    <w:qFormat/>
    <w:rsid w:val="00946869"/>
    <w:rPr>
      <w:b/>
      <w:bCs/>
      <w:i/>
      <w:iCs/>
      <w:color w:val="5A5A5A" w:themeColor="text1" w:themeTint="A5"/>
    </w:rPr>
  </w:style>
  <w:style w:type="paragraph" w:styleId="Bezmezer">
    <w:name w:val="No Spacing"/>
    <w:basedOn w:val="Normln"/>
    <w:link w:val="BezmezerChar"/>
    <w:uiPriority w:val="1"/>
    <w:qFormat/>
    <w:rsid w:val="00946869"/>
  </w:style>
  <w:style w:type="paragraph" w:styleId="Odstavecseseznamem">
    <w:name w:val="List Paragraph"/>
    <w:basedOn w:val="Normln"/>
    <w:link w:val="OdstavecseseznamemChar"/>
    <w:uiPriority w:val="34"/>
    <w:qFormat/>
    <w:rsid w:val="00946869"/>
    <w:pPr>
      <w:ind w:left="720"/>
      <w:contextualSpacing/>
    </w:pPr>
  </w:style>
  <w:style w:type="paragraph" w:styleId="Citt">
    <w:name w:val="Quote"/>
    <w:basedOn w:val="Normln"/>
    <w:next w:val="Normln"/>
    <w:link w:val="CittChar"/>
    <w:uiPriority w:val="29"/>
    <w:qFormat/>
    <w:rsid w:val="00946869"/>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946869"/>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946869"/>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946869"/>
    <w:rPr>
      <w:rFonts w:asciiTheme="majorHAnsi" w:eastAsiaTheme="majorEastAsia" w:hAnsiTheme="majorHAnsi" w:cstheme="majorBidi"/>
      <w:i/>
      <w:iCs/>
      <w:color w:val="FFFFFF" w:themeColor="background1"/>
      <w:sz w:val="24"/>
      <w:szCs w:val="24"/>
      <w:shd w:val="clear" w:color="auto" w:fill="D34817" w:themeFill="accent1"/>
    </w:rPr>
  </w:style>
  <w:style w:type="character" w:styleId="Zdraznnjemn">
    <w:name w:val="Subtle Emphasis"/>
    <w:uiPriority w:val="19"/>
    <w:qFormat/>
    <w:rsid w:val="00946869"/>
    <w:rPr>
      <w:i/>
      <w:iCs/>
      <w:color w:val="5A5A5A" w:themeColor="text1" w:themeTint="A5"/>
    </w:rPr>
  </w:style>
  <w:style w:type="character" w:styleId="Zdraznnintenzivn">
    <w:name w:val="Intense Emphasis"/>
    <w:uiPriority w:val="21"/>
    <w:qFormat/>
    <w:rsid w:val="00946869"/>
    <w:rPr>
      <w:b/>
      <w:bCs/>
      <w:i/>
      <w:iCs/>
      <w:color w:val="D34817" w:themeColor="accent1"/>
      <w:sz w:val="22"/>
      <w:szCs w:val="22"/>
    </w:rPr>
  </w:style>
  <w:style w:type="character" w:styleId="Odkazjemn">
    <w:name w:val="Subtle Reference"/>
    <w:uiPriority w:val="31"/>
    <w:qFormat/>
    <w:rsid w:val="00946869"/>
    <w:rPr>
      <w:color w:val="auto"/>
      <w:u w:val="single" w:color="A28E6A" w:themeColor="accent3"/>
    </w:rPr>
  </w:style>
  <w:style w:type="character" w:styleId="Odkazintenzivn">
    <w:name w:val="Intense Reference"/>
    <w:basedOn w:val="Standardnpsmoodstavce"/>
    <w:uiPriority w:val="32"/>
    <w:qFormat/>
    <w:rsid w:val="00946869"/>
    <w:rPr>
      <w:b/>
      <w:bCs/>
      <w:color w:val="7B6A4D" w:themeColor="accent3" w:themeShade="BF"/>
      <w:u w:val="single" w:color="A28E6A" w:themeColor="accent3"/>
    </w:rPr>
  </w:style>
  <w:style w:type="character" w:styleId="Nzevknihy">
    <w:name w:val="Book Title"/>
    <w:basedOn w:val="Standardnpsmoodstavce"/>
    <w:uiPriority w:val="33"/>
    <w:qFormat/>
    <w:rsid w:val="00946869"/>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946869"/>
    <w:pPr>
      <w:outlineLvl w:val="9"/>
    </w:pPr>
    <w:rPr>
      <w:lang w:bidi="en-US"/>
    </w:rPr>
  </w:style>
  <w:style w:type="character" w:customStyle="1" w:styleId="BezmezerChar">
    <w:name w:val="Bez mezer Char"/>
    <w:basedOn w:val="Standardnpsmoodstavce"/>
    <w:link w:val="Bezmezer"/>
    <w:uiPriority w:val="1"/>
    <w:rsid w:val="00946869"/>
  </w:style>
  <w:style w:type="paragraph" w:styleId="Zhlav">
    <w:name w:val="header"/>
    <w:basedOn w:val="Normln"/>
    <w:link w:val="ZhlavChar"/>
    <w:uiPriority w:val="99"/>
    <w:unhideWhenUsed/>
    <w:rsid w:val="00946869"/>
    <w:pPr>
      <w:tabs>
        <w:tab w:val="center" w:pos="4536"/>
        <w:tab w:val="right" w:pos="9072"/>
      </w:tabs>
    </w:pPr>
  </w:style>
  <w:style w:type="character" w:customStyle="1" w:styleId="ZhlavChar">
    <w:name w:val="Záhlaví Char"/>
    <w:basedOn w:val="Standardnpsmoodstavce"/>
    <w:link w:val="Zhlav"/>
    <w:uiPriority w:val="99"/>
    <w:rsid w:val="00946869"/>
  </w:style>
  <w:style w:type="paragraph" w:styleId="Zpat">
    <w:name w:val="footer"/>
    <w:basedOn w:val="Normln"/>
    <w:link w:val="ZpatChar"/>
    <w:uiPriority w:val="99"/>
    <w:unhideWhenUsed/>
    <w:rsid w:val="00946869"/>
    <w:pPr>
      <w:tabs>
        <w:tab w:val="center" w:pos="4536"/>
        <w:tab w:val="right" w:pos="9072"/>
      </w:tabs>
    </w:pPr>
  </w:style>
  <w:style w:type="character" w:customStyle="1" w:styleId="ZpatChar">
    <w:name w:val="Zápatí Char"/>
    <w:basedOn w:val="Standardnpsmoodstavce"/>
    <w:link w:val="Zpat"/>
    <w:uiPriority w:val="99"/>
    <w:rsid w:val="00946869"/>
  </w:style>
  <w:style w:type="paragraph" w:customStyle="1" w:styleId="864311119EDA4C3CB552E5C8CD7B48CA">
    <w:name w:val="864311119EDA4C3CB552E5C8CD7B48CA"/>
    <w:rsid w:val="00946869"/>
    <w:pPr>
      <w:spacing w:after="200" w:line="276" w:lineRule="auto"/>
      <w:ind w:firstLine="0"/>
    </w:pPr>
    <w:rPr>
      <w:lang w:eastAsia="cs-CZ"/>
    </w:rPr>
  </w:style>
  <w:style w:type="paragraph" w:styleId="Textbubliny">
    <w:name w:val="Balloon Text"/>
    <w:basedOn w:val="Normln"/>
    <w:link w:val="TextbublinyChar"/>
    <w:uiPriority w:val="99"/>
    <w:semiHidden/>
    <w:unhideWhenUsed/>
    <w:rsid w:val="00946869"/>
    <w:rPr>
      <w:rFonts w:ascii="Tahoma" w:hAnsi="Tahoma" w:cs="Tahoma"/>
      <w:sz w:val="16"/>
      <w:szCs w:val="16"/>
    </w:rPr>
  </w:style>
  <w:style w:type="character" w:customStyle="1" w:styleId="TextbublinyChar">
    <w:name w:val="Text bubliny Char"/>
    <w:basedOn w:val="Standardnpsmoodstavce"/>
    <w:link w:val="Textbubliny"/>
    <w:uiPriority w:val="99"/>
    <w:semiHidden/>
    <w:rsid w:val="00946869"/>
    <w:rPr>
      <w:rFonts w:ascii="Tahoma" w:hAnsi="Tahoma" w:cs="Tahoma"/>
      <w:sz w:val="16"/>
      <w:szCs w:val="16"/>
    </w:rPr>
  </w:style>
  <w:style w:type="character" w:styleId="Odkaznakoment">
    <w:name w:val="annotation reference"/>
    <w:basedOn w:val="Standardnpsmoodstavce"/>
    <w:uiPriority w:val="99"/>
    <w:semiHidden/>
    <w:unhideWhenUsed/>
    <w:rsid w:val="004B00D1"/>
    <w:rPr>
      <w:sz w:val="16"/>
      <w:szCs w:val="16"/>
    </w:rPr>
  </w:style>
  <w:style w:type="paragraph" w:styleId="Textkomente">
    <w:name w:val="annotation text"/>
    <w:basedOn w:val="Normln"/>
    <w:link w:val="TextkomenteChar"/>
    <w:uiPriority w:val="99"/>
    <w:unhideWhenUsed/>
    <w:rsid w:val="004B00D1"/>
    <w:rPr>
      <w:sz w:val="20"/>
      <w:szCs w:val="20"/>
    </w:rPr>
  </w:style>
  <w:style w:type="character" w:customStyle="1" w:styleId="TextkomenteChar">
    <w:name w:val="Text komentáře Char"/>
    <w:basedOn w:val="Standardnpsmoodstavce"/>
    <w:link w:val="Textkomente"/>
    <w:uiPriority w:val="99"/>
    <w:rsid w:val="004B00D1"/>
    <w:rPr>
      <w:sz w:val="20"/>
      <w:szCs w:val="20"/>
    </w:rPr>
  </w:style>
  <w:style w:type="paragraph" w:styleId="Pedmtkomente">
    <w:name w:val="annotation subject"/>
    <w:basedOn w:val="Textkomente"/>
    <w:next w:val="Textkomente"/>
    <w:link w:val="PedmtkomenteChar"/>
    <w:uiPriority w:val="99"/>
    <w:semiHidden/>
    <w:unhideWhenUsed/>
    <w:rsid w:val="004B00D1"/>
    <w:rPr>
      <w:b/>
      <w:bCs/>
    </w:rPr>
  </w:style>
  <w:style w:type="character" w:customStyle="1" w:styleId="PedmtkomenteChar">
    <w:name w:val="Předmět komentáře Char"/>
    <w:basedOn w:val="TextkomenteChar"/>
    <w:link w:val="Pedmtkomente"/>
    <w:uiPriority w:val="99"/>
    <w:semiHidden/>
    <w:rsid w:val="004B00D1"/>
    <w:rPr>
      <w:b/>
      <w:bCs/>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70C04"/>
    <w:pPr>
      <w:spacing w:after="0"/>
    </w:pPr>
    <w:rPr>
      <w:sz w:val="16"/>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70C04"/>
    <w:rPr>
      <w:sz w:val="16"/>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unhideWhenUsed/>
    <w:rsid w:val="006C55A6"/>
    <w:rPr>
      <w:vertAlign w:val="superscript"/>
    </w:rPr>
  </w:style>
  <w:style w:type="paragraph" w:styleId="Normlnweb">
    <w:name w:val="Normal (Web)"/>
    <w:basedOn w:val="Normln"/>
    <w:uiPriority w:val="99"/>
    <w:unhideWhenUsed/>
    <w:rsid w:val="009E1049"/>
    <w:pPr>
      <w:spacing w:before="100" w:beforeAutospacing="1" w:after="100" w:afterAutospacing="1"/>
      <w:jc w:val="left"/>
    </w:pPr>
    <w:rPr>
      <w:rFonts w:ascii="Times New Roman" w:eastAsiaTheme="minorHAnsi" w:hAnsi="Times New Roman" w:cs="Times New Roman"/>
      <w:sz w:val="24"/>
      <w:szCs w:val="24"/>
      <w:lang w:eastAsia="cs-CZ"/>
    </w:rPr>
  </w:style>
  <w:style w:type="paragraph" w:customStyle="1" w:styleId="Odstavecseseznamem1">
    <w:name w:val="Odstavec se seznamem1"/>
    <w:basedOn w:val="Normln"/>
    <w:rsid w:val="003648E1"/>
    <w:pPr>
      <w:spacing w:before="120" w:after="200" w:line="276" w:lineRule="auto"/>
      <w:ind w:left="720"/>
      <w:contextualSpacing/>
    </w:pPr>
    <w:rPr>
      <w:rFonts w:ascii="Times New Roman" w:eastAsia="Times New Roman" w:hAnsi="Times New Roman" w:cs="Times New Roman"/>
      <w:sz w:val="20"/>
    </w:rPr>
  </w:style>
  <w:style w:type="paragraph" w:customStyle="1" w:styleId="ListParagraph1">
    <w:name w:val="List Paragraph1"/>
    <w:basedOn w:val="Normln"/>
    <w:rsid w:val="00FF17A7"/>
    <w:pPr>
      <w:spacing w:after="200" w:line="276" w:lineRule="auto"/>
      <w:ind w:left="720"/>
      <w:contextualSpacing/>
      <w:jc w:val="left"/>
    </w:pPr>
    <w:rPr>
      <w:rFonts w:ascii="Calibri" w:eastAsia="Times New Roman" w:hAnsi="Calibri" w:cs="Times New Roman"/>
    </w:rPr>
  </w:style>
  <w:style w:type="paragraph" w:customStyle="1" w:styleId="Default">
    <w:name w:val="Default"/>
    <w:rsid w:val="00FF17A7"/>
    <w:pPr>
      <w:autoSpaceDE w:val="0"/>
      <w:autoSpaceDN w:val="0"/>
      <w:adjustRightInd w:val="0"/>
      <w:ind w:firstLine="0"/>
    </w:pPr>
    <w:rPr>
      <w:rFonts w:ascii="Cambria" w:eastAsiaTheme="minorHAnsi" w:hAnsi="Cambria" w:cs="Cambria"/>
      <w:color w:val="000000"/>
      <w:sz w:val="24"/>
      <w:szCs w:val="24"/>
    </w:rPr>
  </w:style>
  <w:style w:type="paragraph" w:customStyle="1" w:styleId="TextNOK">
    <w:name w:val="Text NOK"/>
    <w:basedOn w:val="Normln"/>
    <w:link w:val="TextNOKChar"/>
    <w:rsid w:val="00AC5600"/>
    <w:pPr>
      <w:spacing w:before="120" w:line="312" w:lineRule="auto"/>
    </w:pPr>
    <w:rPr>
      <w:rFonts w:ascii="Calibri" w:eastAsia="Times New Roman" w:hAnsi="Calibri" w:cs="Times New Roman"/>
      <w:lang w:val="x-none" w:eastAsia="x-none"/>
    </w:rPr>
  </w:style>
  <w:style w:type="character" w:customStyle="1" w:styleId="TextNOKChar">
    <w:name w:val="Text NOK Char"/>
    <w:link w:val="TextNOK"/>
    <w:rsid w:val="00AC5600"/>
    <w:rPr>
      <w:rFonts w:ascii="Calibri" w:eastAsia="Times New Roman" w:hAnsi="Calibri" w:cs="Times New Roman"/>
      <w:lang w:val="x-none" w:eastAsia="x-none"/>
    </w:rPr>
  </w:style>
  <w:style w:type="character" w:customStyle="1" w:styleId="OdstavecseseznamemChar">
    <w:name w:val="Odstavec se seznamem Char"/>
    <w:link w:val="Odstavecseseznamem"/>
    <w:uiPriority w:val="34"/>
    <w:locked/>
    <w:rsid w:val="00AC5600"/>
  </w:style>
  <w:style w:type="table" w:styleId="Mkatabulky">
    <w:name w:val="Table Grid"/>
    <w:basedOn w:val="Normlntabulka"/>
    <w:uiPriority w:val="59"/>
    <w:rsid w:val="006E7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styleId="Svtlseznam">
    <w:name w:val="Light List"/>
    <w:basedOn w:val="Normlntabulka"/>
    <w:uiPriority w:val="61"/>
    <w:rsid w:val="006E7AA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000000" w:themeFill="text1"/>
      </w:tcPr>
    </w:tblStylePr>
    <w:tblStylePr w:type="lastRow">
      <w:pPr>
        <w:spacing w:before="0" w:after="0" w:line="240" w:lineRule="auto"/>
      </w:pPr>
      <w:rPr>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6E7AAE"/>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D34817" w:themeFill="accent1"/>
      </w:tcPr>
    </w:tblStylePr>
    <w:tblStylePr w:type="lastRow">
      <w:pPr>
        <w:spacing w:before="0" w:after="0" w:line="240" w:lineRule="auto"/>
      </w:pPr>
      <w:rPr>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tcBorders>
      </w:tcPr>
    </w:tblStylePr>
    <w:tblStylePr w:type="firstCol">
      <w:rPr>
        <w:b/>
        <w:bCs/>
      </w:rPr>
    </w:tblStylePr>
    <w:tblStylePr w:type="lastCol">
      <w:rPr>
        <w:b/>
        <w:bCs/>
      </w:r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style>
  <w:style w:type="table" w:styleId="Svtlstnovnzvraznn2">
    <w:name w:val="Light Shading Accent 2"/>
    <w:basedOn w:val="Normlntabulka"/>
    <w:uiPriority w:val="60"/>
    <w:rsid w:val="006E7AAE"/>
    <w:rPr>
      <w:color w:val="732117" w:themeColor="accent2" w:themeShade="BF"/>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la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left w:val="nil"/>
          <w:right w:val="nil"/>
          <w:insideH w:val="nil"/>
          <w:insideV w:val="nil"/>
        </w:tcBorders>
        <w:shd w:val="clear" w:color="auto" w:fill="F1C1BC" w:themeFill="accent2" w:themeFillTint="3F"/>
      </w:tcPr>
    </w:tblStylePr>
  </w:style>
  <w:style w:type="table" w:styleId="Svtlstnovnzvraznn1">
    <w:name w:val="Light Shading Accent 1"/>
    <w:basedOn w:val="Normlntabulka"/>
    <w:uiPriority w:val="60"/>
    <w:rsid w:val="006E7AAE"/>
    <w:rPr>
      <w:color w:val="9D3511" w:themeColor="accent1" w:themeShade="BF"/>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la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8CFC1" w:themeFill="accent1" w:themeFillTint="3F"/>
      </w:tcPr>
    </w:tblStylePr>
    <w:tblStylePr w:type="band1Horz">
      <w:tblPr/>
      <w:trPr>
        <w:hidden/>
      </w:trPr>
      <w:tcPr>
        <w:tcBorders>
          <w:left w:val="nil"/>
          <w:right w:val="nil"/>
          <w:insideH w:val="nil"/>
          <w:insideV w:val="nil"/>
        </w:tcBorders>
        <w:shd w:val="clear" w:color="auto" w:fill="F8CFC1" w:themeFill="accent1" w:themeFillTint="3F"/>
      </w:tcPr>
    </w:tblStylePr>
  </w:style>
  <w:style w:type="table" w:styleId="Stednseznam1zvraznn1">
    <w:name w:val="Medium List 1 Accent 1"/>
    <w:basedOn w:val="Normlntabulka"/>
    <w:uiPriority w:val="65"/>
    <w:rsid w:val="005C30DD"/>
    <w:rPr>
      <w:color w:val="000000" w:themeColor="text1"/>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D34817" w:themeColor="accent1"/>
        </w:tcBorders>
      </w:tcPr>
    </w:tblStylePr>
    <w:tblStylePr w:type="lastRow">
      <w:rPr>
        <w:b/>
        <w:bCs/>
        <w:color w:val="696464" w:themeColor="text2"/>
      </w:rPr>
      <w:tblPr/>
      <w:trPr>
        <w:hidden/>
      </w:trPr>
      <w:tcPr>
        <w:tcBorders>
          <w:top w:val="single" w:sz="8" w:space="0" w:color="D34817" w:themeColor="accent1"/>
          <w:bottom w:val="single" w:sz="8" w:space="0" w:color="D34817" w:themeColor="accent1"/>
        </w:tcBorders>
      </w:tcPr>
    </w:tblStylePr>
    <w:tblStylePr w:type="firstCol">
      <w:rPr>
        <w:b/>
        <w:bCs/>
      </w:rPr>
    </w:tblStylePr>
    <w:tblStylePr w:type="lastCol">
      <w:rPr>
        <w:b/>
        <w:bCs/>
      </w:rPr>
      <w:tblPr/>
      <w:trPr>
        <w:hidden/>
      </w:trPr>
      <w:tcPr>
        <w:tcBorders>
          <w:top w:val="single" w:sz="8" w:space="0" w:color="D34817" w:themeColor="accent1"/>
          <w:bottom w:val="single" w:sz="8" w:space="0" w:color="D34817" w:themeColor="accent1"/>
        </w:tcBorders>
      </w:tcPr>
    </w:tblStylePr>
    <w:tblStylePr w:type="band1Vert">
      <w:tblPr/>
      <w:trPr>
        <w:hidden/>
      </w:trPr>
      <w:tcPr>
        <w:shd w:val="clear" w:color="auto" w:fill="F8CFC1" w:themeFill="accent1" w:themeFillTint="3F"/>
      </w:tcPr>
    </w:tblStylePr>
    <w:tblStylePr w:type="band1Horz">
      <w:tblPr/>
      <w:trPr>
        <w:hidden/>
      </w:trPr>
      <w:tcPr>
        <w:shd w:val="clear" w:color="auto" w:fill="F8CFC1" w:themeFill="accent1" w:themeFillTint="3F"/>
      </w:tcPr>
    </w:tblStylePr>
  </w:style>
  <w:style w:type="table" w:styleId="Stednseznam1zvraznn2">
    <w:name w:val="Medium List 1 Accent 2"/>
    <w:basedOn w:val="Normlntabulka"/>
    <w:uiPriority w:val="65"/>
    <w:rsid w:val="005C30DD"/>
    <w:rPr>
      <w:color w:val="000000" w:themeColor="text1"/>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9B2D1F" w:themeColor="accent2"/>
        </w:tcBorders>
      </w:tcPr>
    </w:tblStylePr>
    <w:tblStylePr w:type="lastRow">
      <w:rPr>
        <w:b/>
        <w:bCs/>
        <w:color w:val="696464" w:themeColor="text2"/>
      </w:rPr>
      <w:tblPr/>
      <w:trPr>
        <w:hidden/>
      </w:trPr>
      <w:tcPr>
        <w:tcBorders>
          <w:top w:val="single" w:sz="8" w:space="0" w:color="9B2D1F" w:themeColor="accent2"/>
          <w:bottom w:val="single" w:sz="8" w:space="0" w:color="9B2D1F" w:themeColor="accent2"/>
        </w:tcBorders>
      </w:tcPr>
    </w:tblStylePr>
    <w:tblStylePr w:type="firstCol">
      <w:rPr>
        <w:b/>
        <w:bCs/>
      </w:rPr>
    </w:tblStylePr>
    <w:tblStylePr w:type="lastCol">
      <w:rPr>
        <w:b/>
        <w:bCs/>
      </w:rPr>
      <w:tblPr/>
      <w:trPr>
        <w:hidden/>
      </w:trPr>
      <w:tcPr>
        <w:tcBorders>
          <w:top w:val="single" w:sz="8" w:space="0" w:color="9B2D1F" w:themeColor="accent2"/>
          <w:bottom w:val="single" w:sz="8" w:space="0" w:color="9B2D1F" w:themeColor="accent2"/>
        </w:tcBorders>
      </w:tcPr>
    </w:tblStylePr>
    <w:tblStylePr w:type="band1Vert">
      <w:tblPr/>
      <w:trPr>
        <w:hidden/>
      </w:trPr>
      <w:tcPr>
        <w:shd w:val="clear" w:color="auto" w:fill="F1C1BC" w:themeFill="accent2" w:themeFillTint="3F"/>
      </w:tcPr>
    </w:tblStylePr>
    <w:tblStylePr w:type="band1Horz">
      <w:tblPr/>
      <w:trPr>
        <w:hidden/>
      </w:trPr>
      <w:tcPr>
        <w:shd w:val="clear" w:color="auto" w:fill="F1C1BC" w:themeFill="accent2" w:themeFillTint="3F"/>
      </w:tcPr>
    </w:tblStylePr>
  </w:style>
  <w:style w:type="table" w:styleId="Stednseznam2zvraznn2">
    <w:name w:val="Medium List 2 Accent 2"/>
    <w:basedOn w:val="Normlntabulka"/>
    <w:uiPriority w:val="66"/>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tblPr/>
      <w:trPr>
        <w:hidden/>
      </w:trPr>
      <w:tcPr>
        <w:tcBorders>
          <w:top w:val="single" w:sz="8" w:space="0" w:color="9B2D1F" w:themeColor="accent2"/>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B2D1F" w:themeColor="accent2"/>
          <w:insideH w:val="nil"/>
          <w:insideV w:val="nil"/>
        </w:tcBorders>
        <w:shd w:val="clear" w:color="auto" w:fill="FFFFFF" w:themeFill="background1"/>
      </w:tcPr>
    </w:tblStylePr>
    <w:tblStylePr w:type="lastCol">
      <w:tblPr/>
      <w:trPr>
        <w:hidden/>
      </w:trPr>
      <w:tcPr>
        <w:tcBorders>
          <w:top w:val="nil"/>
          <w:left w:val="single" w:sz="8" w:space="0" w:color="9B2D1F" w:themeColor="accent2"/>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top w:val="nil"/>
          <w:bottom w:val="nil"/>
          <w:insideH w:val="nil"/>
          <w:insideV w:val="nil"/>
        </w:tcBorders>
        <w:shd w:val="clear" w:color="auto" w:fill="F1C1BC" w:themeFill="accent2"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mka1zvraznn1">
    <w:name w:val="Medium Grid 1 Accent 1"/>
    <w:basedOn w:val="Normlntabulka"/>
    <w:uiPriority w:val="67"/>
    <w:rsid w:val="005C30DD"/>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CellMar>
        <w:top w:w="0" w:type="dxa"/>
        <w:left w:w="108" w:type="dxa"/>
        <w:bottom w:w="0" w:type="dxa"/>
        <w:right w:w="108" w:type="dxa"/>
      </w:tblCellMar>
    </w:tblPr>
    <w:trPr>
      <w:hidden/>
    </w:trPr>
    <w:tcPr>
      <w:shd w:val="clear" w:color="auto" w:fill="F8CFC1" w:themeFill="accent1" w:themeFillTint="3F"/>
    </w:tcPr>
    <w:tblStylePr w:type="firstRow">
      <w:rPr>
        <w:b/>
        <w:bCs/>
      </w:rPr>
    </w:tblStylePr>
    <w:tblStylePr w:type="lastRow">
      <w:rPr>
        <w:b/>
        <w:bCs/>
      </w:rPr>
      <w:tblPr/>
      <w:trPr>
        <w:hidden/>
      </w:trPr>
      <w:tcPr>
        <w:tcBorders>
          <w:top w:val="single" w:sz="18" w:space="0" w:color="EA6F44" w:themeColor="accent1" w:themeTint="BF"/>
        </w:tcBorders>
      </w:tcPr>
    </w:tblStylePr>
    <w:tblStylePr w:type="firstCol">
      <w:rPr>
        <w:b/>
        <w:bCs/>
      </w:rPr>
    </w:tblStylePr>
    <w:tblStylePr w:type="lastCol">
      <w:rPr>
        <w:b/>
        <w:bCs/>
      </w:r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Stednmka3zvraznn1">
    <w:name w:val="Medium Grid 3 Accent 1"/>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8CFC1" w:themeFill="accent1"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D34817" w:themeFill="accent1"/>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D34817" w:themeFill="accent1"/>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9F82" w:themeFill="accent1"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9F82" w:themeFill="accent1" w:themeFillTint="7F"/>
      </w:tcPr>
    </w:tblStylePr>
  </w:style>
  <w:style w:type="table" w:styleId="Stednmka3zvraznn2">
    <w:name w:val="Medium Grid 3 Accent 2"/>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1C1BC" w:themeFill="accent2"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9B2D1F" w:themeFill="accent2"/>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9B2D1F" w:themeFill="accent2"/>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48478" w:themeFill="accent2"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48478" w:themeFill="accent2" w:themeFillTint="7F"/>
      </w:tcPr>
    </w:tblStylePr>
  </w:style>
  <w:style w:type="table" w:styleId="Stednmka2zvraznn1">
    <w:name w:val="Medium Grid 2 Accent 1"/>
    <w:basedOn w:val="Normlntabulka"/>
    <w:uiPriority w:val="68"/>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cPr>
      <w:shd w:val="clear" w:color="auto" w:fill="F8CFC1" w:themeFill="accent1" w:themeFillTint="3F"/>
    </w:tcPr>
    <w:tblStylePr w:type="firstRow">
      <w:rPr>
        <w:b/>
        <w:bCs/>
        <w:color w:val="000000" w:themeColor="text1"/>
      </w:rPr>
      <w:tblPr/>
      <w:trPr>
        <w:hidden/>
      </w:trPr>
      <w:tcPr>
        <w:shd w:val="clear" w:color="auto" w:fill="FCECE6" w:themeFill="accent1" w:themeFillTint="19"/>
      </w:tcPr>
    </w:tblStylePr>
    <w:tblStylePr w:type="lastRow">
      <w:rPr>
        <w:b/>
        <w:bCs/>
        <w:color w:val="000000" w:themeColor="text1"/>
      </w:rPr>
      <w:tblPr/>
      <w:trPr>
        <w:hidden/>
      </w:t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rPr>
        <w:hidden/>
      </w:t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rPr>
        <w:hidden/>
      </w:trPr>
      <w:tcPr>
        <w:tcBorders>
          <w:top w:val="nil"/>
          <w:left w:val="nil"/>
          <w:bottom w:val="nil"/>
          <w:right w:val="nil"/>
          <w:insideH w:val="nil"/>
          <w:insideV w:val="nil"/>
        </w:tcBorders>
        <w:shd w:val="clear" w:color="auto" w:fill="F9D8CD" w:themeFill="accent1" w:themeFillTint="33"/>
      </w:tcPr>
    </w:tblStylePr>
    <w:tblStylePr w:type="band1Vert">
      <w:tblPr/>
      <w:trPr>
        <w:hidden/>
      </w:trPr>
      <w:tcPr>
        <w:shd w:val="clear" w:color="auto" w:fill="F19F82" w:themeFill="accent1" w:themeFillTint="7F"/>
      </w:tcPr>
    </w:tblStylePr>
    <w:tblStylePr w:type="band1Horz">
      <w:tblPr/>
      <w:trPr>
        <w:hidden/>
      </w:tr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rPr>
        <w:hidden/>
      </w:trPr>
      <w:tcPr>
        <w:shd w:val="clear" w:color="auto" w:fill="FFFFFF" w:themeFill="background1"/>
      </w:tcPr>
    </w:tblStylePr>
  </w:style>
  <w:style w:type="table" w:styleId="Barevnstnovnzvraznn1">
    <w:name w:val="Colorful Shading Accent 1"/>
    <w:basedOn w:val="Normlntabulka"/>
    <w:uiPriority w:val="71"/>
    <w:rsid w:val="005C30DD"/>
    <w:rPr>
      <w:color w:val="000000" w:themeColor="text1"/>
    </w:rPr>
    <w:tblPr>
      <w:tblStyleRowBandSize w:val="1"/>
      <w:tblStyleColBandSize w:val="1"/>
      <w:tblInd w:w="0" w:type="dxa"/>
      <w:tblBorders>
        <w:top w:val="single" w:sz="24" w:space="0" w:color="9B2D1F" w:themeColor="accent2"/>
        <w:left w:val="single" w:sz="4" w:space="0" w:color="D34817" w:themeColor="accent1"/>
        <w:bottom w:val="single" w:sz="4" w:space="0" w:color="D34817" w:themeColor="accent1"/>
        <w:right w:val="single" w:sz="4" w:space="0" w:color="D34817"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CECE6" w:themeFill="accen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7E2A0D" w:themeFill="accent1" w:themeFillShade="99"/>
      </w:tcPr>
    </w:tblStylePr>
    <w:tblStylePr w:type="firstCol">
      <w:rPr>
        <w:color w:val="FFFFFF" w:themeColor="background1"/>
      </w:rPr>
      <w:tblPr/>
      <w:trPr>
        <w:hidden/>
      </w:trPr>
      <w:tcPr>
        <w:tcBorders>
          <w:top w:val="nil"/>
          <w:left w:val="nil"/>
          <w:bottom w:val="nil"/>
          <w:right w:val="nil"/>
          <w:insideH w:val="single" w:sz="4" w:space="0" w:color="7E2A0D" w:themeColor="accent1" w:themeShade="99"/>
          <w:insideV w:val="nil"/>
        </w:tcBorders>
        <w:shd w:val="clear" w:color="auto" w:fill="7E2A0D" w:themeFill="accen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7E2A0D" w:themeFill="accent1" w:themeFillShade="99"/>
      </w:tcPr>
    </w:tblStylePr>
    <w:tblStylePr w:type="band1Vert">
      <w:tblPr/>
      <w:trPr>
        <w:hidden/>
      </w:trPr>
      <w:tcPr>
        <w:shd w:val="clear" w:color="auto" w:fill="F4B29B" w:themeFill="accent1" w:themeFillTint="66"/>
      </w:tcPr>
    </w:tblStylePr>
    <w:tblStylePr w:type="band1Horz">
      <w:tblPr/>
      <w:trPr>
        <w:hidden/>
      </w:trPr>
      <w:tcPr>
        <w:shd w:val="clear" w:color="auto" w:fill="F19F82" w:themeFill="accent1" w:themeFillTint="7F"/>
      </w:tcPr>
    </w:tblStylePr>
    <w:tblStylePr w:type="neCell">
      <w:rPr>
        <w:color w:val="000000" w:themeColor="text1"/>
      </w:rPr>
    </w:tblStylePr>
    <w:tblStylePr w:type="nwCell">
      <w:rPr>
        <w:color w:val="000000" w:themeColor="text1"/>
      </w:rPr>
    </w:tblStylePr>
  </w:style>
  <w:style w:type="table" w:styleId="Barevnmkazvraznn2">
    <w:name w:val="Colorful Grid Accent 2"/>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4CDC8" w:themeFill="accent2" w:themeFillTint="33"/>
    </w:tcPr>
    <w:tblStylePr w:type="firstRow">
      <w:rPr>
        <w:b/>
        <w:bCs/>
      </w:rPr>
      <w:tblPr/>
      <w:trPr>
        <w:hidden/>
      </w:trPr>
      <w:tcPr>
        <w:shd w:val="clear" w:color="auto" w:fill="E99C92" w:themeFill="accent2" w:themeFillTint="66"/>
      </w:tcPr>
    </w:tblStylePr>
    <w:tblStylePr w:type="lastRow">
      <w:rPr>
        <w:b/>
        <w:bCs/>
        <w:color w:val="000000" w:themeColor="text1"/>
      </w:rPr>
      <w:tblPr/>
      <w:trPr>
        <w:hidden/>
      </w:trPr>
      <w:tcPr>
        <w:shd w:val="clear" w:color="auto" w:fill="E99C92" w:themeFill="accent2" w:themeFillTint="66"/>
      </w:tcPr>
    </w:tblStylePr>
    <w:tblStylePr w:type="firstCol">
      <w:rPr>
        <w:color w:val="FFFFFF" w:themeColor="background1"/>
      </w:rPr>
      <w:tblPr/>
      <w:trPr>
        <w:hidden/>
      </w:trPr>
      <w:tcPr>
        <w:shd w:val="clear" w:color="auto" w:fill="732117" w:themeFill="accent2" w:themeFillShade="BF"/>
      </w:tcPr>
    </w:tblStylePr>
    <w:tblStylePr w:type="lastCol">
      <w:rPr>
        <w:color w:val="FFFFFF" w:themeColor="background1"/>
      </w:rPr>
      <w:tblPr/>
      <w:trPr>
        <w:hidden/>
      </w:trPr>
      <w:tcPr>
        <w:shd w:val="clear" w:color="auto" w:fill="732117" w:themeFill="accent2" w:themeFillShade="BF"/>
      </w:tcPr>
    </w:tblStylePr>
    <w:tblStylePr w:type="band1Vert">
      <w:tblPr/>
      <w:trPr>
        <w:hidden/>
      </w:trPr>
      <w:tcPr>
        <w:shd w:val="clear" w:color="auto" w:fill="E48478" w:themeFill="accent2" w:themeFillTint="7F"/>
      </w:tcPr>
    </w:tblStylePr>
    <w:tblStylePr w:type="band1Horz">
      <w:tblPr/>
      <w:trPr>
        <w:hidden/>
      </w:trPr>
      <w:tcPr>
        <w:shd w:val="clear" w:color="auto" w:fill="E48478" w:themeFill="accent2" w:themeFillTint="7F"/>
      </w:tcPr>
    </w:tblStylePr>
  </w:style>
  <w:style w:type="table" w:styleId="Barevnmkazvraznn1">
    <w:name w:val="Colorful Grid Accent 1"/>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9D8CD" w:themeFill="accent1" w:themeFillTint="33"/>
    </w:tcPr>
    <w:tblStylePr w:type="firstRow">
      <w:rPr>
        <w:b/>
        <w:bCs/>
      </w:rPr>
      <w:tblPr/>
      <w:trPr>
        <w:hidden/>
      </w:trPr>
      <w:tcPr>
        <w:shd w:val="clear" w:color="auto" w:fill="F4B29B" w:themeFill="accent1" w:themeFillTint="66"/>
      </w:tcPr>
    </w:tblStylePr>
    <w:tblStylePr w:type="lastRow">
      <w:rPr>
        <w:b/>
        <w:bCs/>
        <w:color w:val="000000" w:themeColor="text1"/>
      </w:rPr>
      <w:tblPr/>
      <w:trPr>
        <w:hidden/>
      </w:trPr>
      <w:tcPr>
        <w:shd w:val="clear" w:color="auto" w:fill="F4B29B" w:themeFill="accent1" w:themeFillTint="66"/>
      </w:tcPr>
    </w:tblStylePr>
    <w:tblStylePr w:type="firstCol">
      <w:rPr>
        <w:color w:val="FFFFFF" w:themeColor="background1"/>
      </w:rPr>
      <w:tblPr/>
      <w:trPr>
        <w:hidden/>
      </w:trPr>
      <w:tcPr>
        <w:shd w:val="clear" w:color="auto" w:fill="9D3511" w:themeFill="accent1" w:themeFillShade="BF"/>
      </w:tcPr>
    </w:tblStylePr>
    <w:tblStylePr w:type="lastCol">
      <w:rPr>
        <w:color w:val="FFFFFF" w:themeColor="background1"/>
      </w:rPr>
      <w:tblPr/>
      <w:trPr>
        <w:hidden/>
      </w:trPr>
      <w:tcPr>
        <w:shd w:val="clear" w:color="auto" w:fill="9D3511" w:themeFill="accent1" w:themeFillShade="BF"/>
      </w:tc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Barevnseznamzvraznn2">
    <w:name w:val="Colorful List Accent 2"/>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9E6E4" w:themeFill="accent2"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1C1BC" w:themeFill="accent2" w:themeFillTint="3F"/>
      </w:tcPr>
    </w:tblStylePr>
    <w:tblStylePr w:type="band1Horz">
      <w:tblPr/>
      <w:trPr>
        <w:hidden/>
      </w:trPr>
      <w:tcPr>
        <w:shd w:val="clear" w:color="auto" w:fill="F4CDC8" w:themeFill="accent2" w:themeFillTint="33"/>
      </w:tcPr>
    </w:tblStylePr>
  </w:style>
  <w:style w:type="table" w:styleId="Barevnseznamzvraznn1">
    <w:name w:val="Colorful List Accent 1"/>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CECE6" w:themeFill="accen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8CFC1" w:themeFill="accent1" w:themeFillTint="3F"/>
      </w:tcPr>
    </w:tblStylePr>
    <w:tblStylePr w:type="band1Horz">
      <w:tblPr/>
      <w:trPr>
        <w:hidden/>
      </w:trPr>
      <w:tcPr>
        <w:shd w:val="clear" w:color="auto" w:fill="F9D8CD" w:themeFill="accent1" w:themeFillTint="33"/>
      </w:tcPr>
    </w:tblStylePr>
  </w:style>
  <w:style w:type="table" w:styleId="Barevnseznam">
    <w:name w:val="Colorful List"/>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E6E6E6" w:themeFill="tex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C0C0C0" w:themeFill="text1" w:themeFillTint="3F"/>
      </w:tcPr>
    </w:tblStylePr>
    <w:tblStylePr w:type="band1Horz">
      <w:tblPr/>
      <w:trPr>
        <w:hidden/>
      </w:trPr>
      <w:tcPr>
        <w:shd w:val="clear" w:color="auto" w:fill="CCCCCC" w:themeFill="text1" w:themeFillTint="33"/>
      </w:tcPr>
    </w:tblStylePr>
  </w:style>
  <w:style w:type="table" w:styleId="Barevnstnovnzvraznn6">
    <w:name w:val="Colorful Shading Accent 6"/>
    <w:basedOn w:val="Normlntabulka"/>
    <w:uiPriority w:val="71"/>
    <w:rsid w:val="005C30DD"/>
    <w:rPr>
      <w:color w:val="000000" w:themeColor="text1"/>
    </w:rPr>
    <w:tblPr>
      <w:tblStyleRowBandSize w:val="1"/>
      <w:tblStyleColBandSize w:val="1"/>
      <w:tblInd w:w="0" w:type="dxa"/>
      <w:tblBorders>
        <w:top w:val="single" w:sz="24" w:space="0" w:color="918485" w:themeColor="accent5"/>
        <w:left w:val="single" w:sz="4" w:space="0" w:color="855D5D" w:themeColor="accent6"/>
        <w:bottom w:val="single" w:sz="4" w:space="0" w:color="855D5D" w:themeColor="accent6"/>
        <w:right w:val="single" w:sz="4" w:space="0" w:color="855D5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3EEEE" w:themeFill="accent6" w:themeFillTint="19"/>
    </w:tcPr>
    <w:tblStylePr w:type="firstRow">
      <w:rPr>
        <w:b/>
        <w:bCs/>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4F3737" w:themeFill="accent6" w:themeFillShade="99"/>
      </w:tcPr>
    </w:tblStylePr>
    <w:tblStylePr w:type="firstCol">
      <w:rPr>
        <w:color w:val="FFFFFF" w:themeColor="background1"/>
      </w:rPr>
      <w:tblPr/>
      <w:trPr>
        <w:hidden/>
      </w:trPr>
      <w:tcPr>
        <w:tcBorders>
          <w:top w:val="nil"/>
          <w:left w:val="nil"/>
          <w:bottom w:val="nil"/>
          <w:right w:val="nil"/>
          <w:insideH w:val="single" w:sz="4" w:space="0" w:color="4F3737" w:themeColor="accent6" w:themeShade="99"/>
          <w:insideV w:val="nil"/>
        </w:tcBorders>
        <w:shd w:val="clear" w:color="auto" w:fill="4F3737" w:themeFill="accent6"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4F3737" w:themeFill="accent6" w:themeFillShade="99"/>
      </w:tcPr>
    </w:tblStylePr>
    <w:tblStylePr w:type="band1Vert">
      <w:tblPr/>
      <w:trPr>
        <w:hidden/>
      </w:trPr>
      <w:tcPr>
        <w:shd w:val="clear" w:color="auto" w:fill="D0BCBC" w:themeFill="accent6" w:themeFillTint="66"/>
      </w:tcPr>
    </w:tblStylePr>
    <w:tblStylePr w:type="band1Horz">
      <w:tblPr/>
      <w:trPr>
        <w:hidden/>
      </w:trPr>
      <w:tcPr>
        <w:shd w:val="clear" w:color="auto" w:fill="C4ABAB" w:themeFill="accent6" w:themeFillTint="7F"/>
      </w:tcPr>
    </w:tblStylePr>
    <w:tblStylePr w:type="neCell">
      <w:rPr>
        <w:color w:val="000000" w:themeColor="text1"/>
      </w:rPr>
    </w:tblStylePr>
    <w:tblStylePr w:type="nwCell">
      <w:rPr>
        <w:color w:val="000000" w:themeColor="text1"/>
      </w:rPr>
    </w:tblStylePr>
  </w:style>
  <w:style w:type="character" w:customStyle="1" w:styleId="okbasic2">
    <w:name w:val="okbasic2"/>
    <w:basedOn w:val="Standardnpsmoodstavce"/>
    <w:rsid w:val="00AE647D"/>
  </w:style>
  <w:style w:type="table" w:styleId="Svtlstnovn">
    <w:name w:val="Light Shading"/>
    <w:basedOn w:val="Normlntabulka"/>
    <w:uiPriority w:val="60"/>
    <w:rsid w:val="00F766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C0C0C0" w:themeFill="text1" w:themeFillTint="3F"/>
      </w:tcPr>
    </w:tblStylePr>
    <w:tblStylePr w:type="band1Horz">
      <w:tblPr/>
      <w:trPr>
        <w:hidden/>
      </w:trPr>
      <w:tcPr>
        <w:tcBorders>
          <w:left w:val="nil"/>
          <w:right w:val="nil"/>
          <w:insideH w:val="nil"/>
          <w:insideV w:val="nil"/>
        </w:tcBorders>
        <w:shd w:val="clear" w:color="auto" w:fill="C0C0C0" w:themeFill="text1" w:themeFillTint="3F"/>
      </w:tcPr>
    </w:tblStylePr>
  </w:style>
  <w:style w:type="table" w:styleId="Svtlstnovnzvraznn4">
    <w:name w:val="Light Shading Accent 4"/>
    <w:basedOn w:val="Normlntabulka"/>
    <w:uiPriority w:val="60"/>
    <w:rsid w:val="001E6A12"/>
    <w:rPr>
      <w:color w:val="9B2D1F" w:themeColor="accent2"/>
    </w:rPr>
    <w:tblPr>
      <w:tblStyleRowBandSize w:val="1"/>
      <w:tblStyleColBandSize w:val="1"/>
      <w:tblInd w:w="0" w:type="dxa"/>
      <w:tblBorders>
        <w:top w:val="single" w:sz="8" w:space="0" w:color="956251" w:themeColor="accent4"/>
        <w:bottom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la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D7D2" w:themeFill="accent4" w:themeFillTint="3F"/>
      </w:tcPr>
    </w:tblStylePr>
    <w:tblStylePr w:type="band1Horz">
      <w:tblPr/>
      <w:trPr>
        <w:hidden/>
      </w:trPr>
      <w:tcPr>
        <w:tcBorders>
          <w:left w:val="nil"/>
          <w:right w:val="nil"/>
          <w:insideH w:val="nil"/>
          <w:insideV w:val="nil"/>
        </w:tcBorders>
        <w:shd w:val="clear" w:color="auto" w:fill="E6D7D2" w:themeFill="accent4" w:themeFillTint="3F"/>
      </w:tcPr>
    </w:tblStylePr>
  </w:style>
  <w:style w:type="table" w:styleId="Svtlstnovnzvraznn5">
    <w:name w:val="Light Shading Accent 5"/>
    <w:basedOn w:val="Normlntabulka"/>
    <w:uiPriority w:val="60"/>
    <w:rsid w:val="00F76637"/>
    <w:rPr>
      <w:color w:val="6D6262" w:themeColor="accent5" w:themeShade="BF"/>
    </w:rPr>
    <w:tblPr>
      <w:tblStyleRowBandSize w:val="1"/>
      <w:tblStyleColBandSize w:val="1"/>
      <w:tblInd w:w="0" w:type="dxa"/>
      <w:tblBorders>
        <w:top w:val="single" w:sz="8" w:space="0" w:color="918485" w:themeColor="accent5"/>
        <w:bottom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la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left w:val="nil"/>
          <w:right w:val="nil"/>
          <w:insideH w:val="nil"/>
          <w:insideV w:val="nil"/>
        </w:tcBorders>
        <w:shd w:val="clear" w:color="auto" w:fill="E3E0E0" w:themeFill="accent5" w:themeFillTint="3F"/>
      </w:tcPr>
    </w:tblStylePr>
  </w:style>
  <w:style w:type="table" w:styleId="Svtlstnovnzvraznn6">
    <w:name w:val="Light Shading Accent 6"/>
    <w:basedOn w:val="Normlntabulka"/>
    <w:uiPriority w:val="60"/>
    <w:rsid w:val="00F76637"/>
    <w:rPr>
      <w:color w:val="634545" w:themeColor="accent6" w:themeShade="BF"/>
    </w:rPr>
    <w:tblPr>
      <w:tblStyleRowBandSize w:val="1"/>
      <w:tblStyleColBandSize w:val="1"/>
      <w:tblInd w:w="0" w:type="dxa"/>
      <w:tblBorders>
        <w:top w:val="single" w:sz="8" w:space="0" w:color="855D5D" w:themeColor="accent6"/>
        <w:bottom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la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left w:val="nil"/>
          <w:right w:val="nil"/>
          <w:insideH w:val="nil"/>
          <w:insideV w:val="nil"/>
        </w:tcBorders>
        <w:shd w:val="clear" w:color="auto" w:fill="E2D5D5" w:themeFill="accent6" w:themeFillTint="3F"/>
      </w:tcPr>
    </w:tblStylePr>
  </w:style>
  <w:style w:type="table" w:styleId="Svtlstnovnzvraznn3">
    <w:name w:val="Light Shading Accent 3"/>
    <w:basedOn w:val="Normlntabulka"/>
    <w:uiPriority w:val="60"/>
    <w:rsid w:val="00D97C49"/>
    <w:rPr>
      <w:color w:val="7B6A4D" w:themeColor="accent3" w:themeShade="BF"/>
    </w:rPr>
    <w:tblPr>
      <w:tblStyleRowBandSize w:val="1"/>
      <w:tblStyleColBandSize w:val="1"/>
      <w:tblInd w:w="0" w:type="dxa"/>
      <w:tblBorders>
        <w:top w:val="single" w:sz="8" w:space="0" w:color="A28E6A" w:themeColor="accent3"/>
        <w:bottom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la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8E2DA" w:themeFill="accent3" w:themeFillTint="3F"/>
      </w:tcPr>
    </w:tblStylePr>
    <w:tblStylePr w:type="band1Horz">
      <w:tblPr/>
      <w:trPr>
        <w:hidden/>
      </w:trPr>
      <w:tcPr>
        <w:tcBorders>
          <w:left w:val="nil"/>
          <w:right w:val="nil"/>
          <w:insideH w:val="nil"/>
          <w:insideV w:val="nil"/>
        </w:tcBorders>
        <w:shd w:val="clear" w:color="auto" w:fill="E8E2DA" w:themeFill="accent3" w:themeFillTint="3F"/>
      </w:tcPr>
    </w:tblStylePr>
  </w:style>
  <w:style w:type="paragraph" w:styleId="Obsah1">
    <w:name w:val="toc 1"/>
    <w:basedOn w:val="Normln"/>
    <w:next w:val="Normln"/>
    <w:autoRedefine/>
    <w:uiPriority w:val="39"/>
    <w:unhideWhenUsed/>
    <w:rsid w:val="00E54029"/>
    <w:pPr>
      <w:spacing w:after="100"/>
    </w:pPr>
  </w:style>
  <w:style w:type="paragraph" w:styleId="Obsah2">
    <w:name w:val="toc 2"/>
    <w:basedOn w:val="Normln"/>
    <w:next w:val="Normln"/>
    <w:autoRedefine/>
    <w:uiPriority w:val="39"/>
    <w:unhideWhenUsed/>
    <w:rsid w:val="00E54029"/>
    <w:pPr>
      <w:spacing w:after="100"/>
      <w:ind w:left="210"/>
    </w:pPr>
  </w:style>
  <w:style w:type="paragraph" w:styleId="Obsah3">
    <w:name w:val="toc 3"/>
    <w:basedOn w:val="Normln"/>
    <w:next w:val="Normln"/>
    <w:autoRedefine/>
    <w:uiPriority w:val="39"/>
    <w:unhideWhenUsed/>
    <w:rsid w:val="00E54029"/>
    <w:pPr>
      <w:spacing w:after="100"/>
      <w:ind w:left="420"/>
    </w:pPr>
  </w:style>
  <w:style w:type="character" w:styleId="Hypertextovodkaz">
    <w:name w:val="Hyperlink"/>
    <w:basedOn w:val="Standardnpsmoodstavce"/>
    <w:uiPriority w:val="99"/>
    <w:unhideWhenUsed/>
    <w:rsid w:val="00E54029"/>
    <w:rPr>
      <w:color w:val="CC9900" w:themeColor="hyperlink"/>
      <w:u w:val="single"/>
    </w:rPr>
  </w:style>
  <w:style w:type="character" w:customStyle="1" w:styleId="bold">
    <w:name w:val="bold"/>
    <w:basedOn w:val="Standardnpsmoodstavce"/>
    <w:rsid w:val="00B333A8"/>
  </w:style>
  <w:style w:type="table" w:styleId="Svtlseznamzvraznn2">
    <w:name w:val="Light List Accent 2"/>
    <w:basedOn w:val="Normlntabulka"/>
    <w:uiPriority w:val="61"/>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B2D1F" w:themeFill="accent2"/>
      </w:tcPr>
    </w:tblStylePr>
    <w:tblStylePr w:type="lastRow">
      <w:pPr>
        <w:spacing w:before="0" w:after="0" w:line="240" w:lineRule="auto"/>
      </w:pPr>
      <w:rPr>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tcBorders>
      </w:tcPr>
    </w:tblStylePr>
    <w:tblStylePr w:type="firstCol">
      <w:rPr>
        <w:b/>
        <w:bCs/>
      </w:rPr>
    </w:tblStylePr>
    <w:tblStylePr w:type="lastCol">
      <w:rPr>
        <w:b/>
        <w:bCs/>
      </w:r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style>
  <w:style w:type="table" w:styleId="Svtlseznamzvraznn5">
    <w:name w:val="Light List Accent 5"/>
    <w:basedOn w:val="Normlntabulka"/>
    <w:uiPriority w:val="61"/>
    <w:rsid w:val="00D0158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18485" w:themeFill="accent5"/>
      </w:tcPr>
    </w:tblStylePr>
    <w:tblStylePr w:type="lastRow">
      <w:pPr>
        <w:spacing w:before="0" w:after="0" w:line="240" w:lineRule="auto"/>
      </w:pPr>
      <w:rPr>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tcBorders>
      </w:tcPr>
    </w:tblStylePr>
    <w:tblStylePr w:type="firstCol">
      <w:rPr>
        <w:b/>
        <w:bCs/>
      </w:rPr>
    </w:tblStylePr>
    <w:tblStylePr w:type="lastCol">
      <w:rPr>
        <w:b/>
        <w:bCs/>
      </w:r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style>
  <w:style w:type="table" w:styleId="Svtlseznamzvraznn6">
    <w:name w:val="Light List Accent 6"/>
    <w:basedOn w:val="Normlntabulka"/>
    <w:uiPriority w:val="61"/>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855D5D" w:themeFill="accent6"/>
      </w:tcPr>
    </w:tblStylePr>
    <w:tblStylePr w:type="lastRow">
      <w:pPr>
        <w:spacing w:before="0" w:after="0" w:line="240" w:lineRule="auto"/>
      </w:pPr>
      <w:rPr>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tcBorders>
      </w:tcPr>
    </w:tblStylePr>
    <w:tblStylePr w:type="firstCol">
      <w:rPr>
        <w:b/>
        <w:bCs/>
      </w:rPr>
    </w:tblStylePr>
    <w:tblStylePr w:type="lastCol">
      <w:rPr>
        <w:b/>
        <w:bCs/>
      </w:r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style>
  <w:style w:type="table" w:styleId="Stednstnovn1">
    <w:name w:val="Medium Shading 1"/>
    <w:basedOn w:val="Normlntabulka"/>
    <w:uiPriority w:val="63"/>
    <w:rsid w:val="00D0158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insideH w:val="nil"/>
          <w:insideV w:val="nil"/>
        </w:tcBorders>
        <w:shd w:val="clear" w:color="auto" w:fill="C0C0C0" w:themeFill="text1" w:themeFillTint="3F"/>
      </w:tcPr>
    </w:tblStylePr>
    <w:tblStylePr w:type="band2Horz">
      <w:tblPr/>
      <w:trPr>
        <w:hidden/>
      </w:trPr>
      <w:tcPr>
        <w:tcBorders>
          <w:insideH w:val="nil"/>
          <w:insideV w:val="nil"/>
        </w:tcBorders>
      </w:tcPr>
    </w:tblStylePr>
  </w:style>
  <w:style w:type="table" w:styleId="Svtlmkazvraznn6">
    <w:name w:val="Light Grid Accent 6"/>
    <w:basedOn w:val="Normlntabulka"/>
    <w:uiPriority w:val="62"/>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insideH w:val="single" w:sz="8" w:space="0" w:color="855D5D" w:themeColor="accent6"/>
        <w:insideV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18" w:space="0" w:color="855D5D" w:themeColor="accent6"/>
          <w:right w:val="single" w:sz="8" w:space="0" w:color="855D5D" w:themeColor="accent6"/>
          <w:insideH w:val="nil"/>
          <w:insideV w:val="single" w:sz="8" w:space="0" w:color="855D5D" w:themeColor="accent6"/>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insideH w:val="nil"/>
          <w:insideV w:val="single" w:sz="8" w:space="0" w:color="855D5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shd w:val="clear" w:color="auto" w:fill="E2D5D5" w:themeFill="accent6" w:themeFillTint="3F"/>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shd w:val="clear" w:color="auto" w:fill="E2D5D5" w:themeFill="accent6" w:themeFillTint="3F"/>
      </w:tcPr>
    </w:tblStylePr>
    <w:tblStylePr w:type="band2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tcPr>
    </w:tblStylePr>
  </w:style>
  <w:style w:type="table" w:styleId="Svtlmkazvraznn1">
    <w:name w:val="Light Grid Accent 1"/>
    <w:basedOn w:val="Normlntabulka"/>
    <w:uiPriority w:val="62"/>
    <w:rsid w:val="00D0158A"/>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18" w:space="0" w:color="D34817" w:themeColor="accent1"/>
          <w:right w:val="single" w:sz="8" w:space="0" w:color="D34817" w:themeColor="accent1"/>
          <w:insideH w:val="nil"/>
          <w:insideV w:val="single" w:sz="8" w:space="0" w:color="D34817"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insideH w:val="nil"/>
          <w:insideV w:val="single" w:sz="8" w:space="0" w:color="D3481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shd w:val="clear" w:color="auto" w:fill="F8CFC1" w:themeFill="accent1" w:themeFillTint="3F"/>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shd w:val="clear" w:color="auto" w:fill="F8CFC1" w:themeFill="accent1" w:themeFillTint="3F"/>
      </w:tcPr>
    </w:tblStylePr>
    <w:tblStylePr w:type="band2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tcPr>
    </w:tblStylePr>
  </w:style>
  <w:style w:type="table" w:styleId="Stednstnovn1zvraznn1">
    <w:name w:val="Medium Shading 1 Accent 1"/>
    <w:basedOn w:val="Normlntabulka"/>
    <w:uiPriority w:val="63"/>
    <w:rsid w:val="00D0158A"/>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shd w:val="clear" w:color="auto" w:fill="D34817" w:themeFill="accent1"/>
      </w:tcPr>
    </w:tblStylePr>
    <w:tblStylePr w:type="lastRow">
      <w:pPr>
        <w:spacing w:before="0" w:after="0" w:line="240" w:lineRule="auto"/>
      </w:pPr>
      <w:rPr>
        <w:b/>
        <w:bCs/>
      </w:rPr>
      <w:tblPr/>
      <w:trPr>
        <w:hidden/>
      </w:trPr>
      <w:tcPr>
        <w:tcBorders>
          <w:top w:val="double" w:sz="6"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F8CFC1" w:themeFill="accent1" w:themeFillTint="3F"/>
      </w:tcPr>
    </w:tblStylePr>
    <w:tblStylePr w:type="band1Horz">
      <w:tblPr/>
      <w:trPr>
        <w:hidden/>
      </w:trPr>
      <w:tcPr>
        <w:tcBorders>
          <w:insideH w:val="nil"/>
          <w:insideV w:val="nil"/>
        </w:tcBorders>
        <w:shd w:val="clear" w:color="auto" w:fill="F8CFC1" w:themeFill="accent1" w:themeFillTint="3F"/>
      </w:tcPr>
    </w:tblStylePr>
    <w:tblStylePr w:type="band2Horz">
      <w:tblPr/>
      <w:trPr>
        <w:hidden/>
      </w:trPr>
      <w:tcPr>
        <w:tcBorders>
          <w:insideH w:val="nil"/>
          <w:insideV w:val="nil"/>
        </w:tcBorders>
      </w:tcPr>
    </w:tblStylePr>
  </w:style>
  <w:style w:type="table" w:styleId="Stednstnovn2zvraznn1">
    <w:name w:val="Medium Shading 2 Accent 1"/>
    <w:basedOn w:val="Normlntabulka"/>
    <w:uiPriority w:val="64"/>
    <w:rsid w:val="00D0158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D34817" w:themeFill="accent1"/>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D34817" w:themeFill="accent1"/>
      </w:tcPr>
    </w:tblStylePr>
    <w:tblStylePr w:type="lastCol">
      <w:rPr>
        <w:b/>
        <w:bCs/>
        <w:color w:val="FFFFFF" w:themeColor="background1"/>
      </w:rPr>
      <w:tblPr/>
      <w:trPr>
        <w:hidden/>
      </w:trPr>
      <w:tcPr>
        <w:tcBorders>
          <w:left w:val="nil"/>
          <w:right w:val="nil"/>
          <w:insideH w:val="nil"/>
          <w:insideV w:val="nil"/>
        </w:tcBorders>
        <w:shd w:val="clear" w:color="auto" w:fill="D34817" w:themeFill="accent1"/>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vtlmkazvraznn4">
    <w:name w:val="Light Grid Accent 4"/>
    <w:basedOn w:val="Normlntabulka"/>
    <w:uiPriority w:val="62"/>
    <w:rsid w:val="00D0158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insideH w:val="single" w:sz="8" w:space="0" w:color="956251" w:themeColor="accent4"/>
        <w:insideV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18" w:space="0" w:color="956251" w:themeColor="accent4"/>
          <w:right w:val="single" w:sz="8" w:space="0" w:color="956251" w:themeColor="accent4"/>
          <w:insideH w:val="nil"/>
          <w:insideV w:val="single" w:sz="8" w:space="0" w:color="956251"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insideH w:val="nil"/>
          <w:insideV w:val="single" w:sz="8" w:space="0" w:color="95625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shd w:val="clear" w:color="auto" w:fill="E6D7D2" w:themeFill="accent4" w:themeFillTint="3F"/>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shd w:val="clear" w:color="auto" w:fill="E6D7D2" w:themeFill="accent4" w:themeFillTint="3F"/>
      </w:tcPr>
    </w:tblStylePr>
    <w:tblStylePr w:type="band2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tcPr>
    </w:tblStylePr>
  </w:style>
  <w:style w:type="table" w:styleId="Svtlmkazvraznn2">
    <w:name w:val="Light Grid Accent 2"/>
    <w:basedOn w:val="Normlntabulka"/>
    <w:uiPriority w:val="62"/>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insideH w:val="single" w:sz="8" w:space="0" w:color="9B2D1F" w:themeColor="accent2"/>
        <w:insideV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18" w:space="0" w:color="9B2D1F" w:themeColor="accent2"/>
          <w:right w:val="single" w:sz="8" w:space="0" w:color="9B2D1F" w:themeColor="accent2"/>
          <w:insideH w:val="nil"/>
          <w:insideV w:val="single" w:sz="8" w:space="0" w:color="9B2D1F" w:themeColor="accent2"/>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insideH w:val="nil"/>
          <w:insideV w:val="single" w:sz="8" w:space="0" w:color="9B2D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shd w:val="clear" w:color="auto" w:fill="F1C1BC" w:themeFill="accent2" w:themeFillTint="3F"/>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shd w:val="clear" w:color="auto" w:fill="F1C1BC" w:themeFill="accent2" w:themeFillTint="3F"/>
      </w:tcPr>
    </w:tblStylePr>
    <w:tblStylePr w:type="band2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tcPr>
    </w:tblStylePr>
  </w:style>
  <w:style w:type="table" w:styleId="Svtlmka">
    <w:name w:val="Light Grid"/>
    <w:basedOn w:val="Normlntabulka"/>
    <w:uiPriority w:val="62"/>
    <w:rsid w:val="009426D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3">
    <w:name w:val="Light Grid Accent 3"/>
    <w:basedOn w:val="Normlntabulka"/>
    <w:uiPriority w:val="62"/>
    <w:rsid w:val="009426D4"/>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insideH w:val="single" w:sz="8" w:space="0" w:color="A28E6A" w:themeColor="accent3"/>
        <w:insideV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18" w:space="0" w:color="A28E6A" w:themeColor="accent3"/>
          <w:right w:val="single" w:sz="8" w:space="0" w:color="A28E6A" w:themeColor="accent3"/>
          <w:insideH w:val="nil"/>
          <w:insideV w:val="single" w:sz="8" w:space="0" w:color="A28E6A" w:themeColor="accent3"/>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insideH w:val="nil"/>
          <w:insideV w:val="single" w:sz="8" w:space="0" w:color="A28E6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shd w:val="clear" w:color="auto" w:fill="E8E2DA" w:themeFill="accent3" w:themeFillTint="3F"/>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shd w:val="clear" w:color="auto" w:fill="E8E2DA" w:themeFill="accent3" w:themeFillTint="3F"/>
      </w:tcPr>
    </w:tblStylePr>
    <w:tblStylePr w:type="band2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tcPr>
    </w:tblStylePr>
  </w:style>
  <w:style w:type="table" w:styleId="Stednstnovn2zvraznn6">
    <w:name w:val="Medium Shading 2 Accent 6"/>
    <w:basedOn w:val="Normlntabulka"/>
    <w:uiPriority w:val="64"/>
    <w:rsid w:val="009426D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855D5D" w:themeFill="accent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855D5D" w:themeFill="accent6"/>
      </w:tcPr>
    </w:tblStylePr>
    <w:tblStylePr w:type="lastCol">
      <w:rPr>
        <w:b/>
        <w:bCs/>
        <w:color w:val="FFFFFF" w:themeColor="background1"/>
      </w:rPr>
      <w:tblPr/>
      <w:trPr>
        <w:hidden/>
      </w:trPr>
      <w:tcPr>
        <w:tcBorders>
          <w:left w:val="nil"/>
          <w:right w:val="nil"/>
          <w:insideH w:val="nil"/>
          <w:insideV w:val="nil"/>
        </w:tcBorders>
        <w:shd w:val="clear" w:color="auto" w:fill="855D5D" w:themeFill="accent6"/>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tednstnovn1zvraznn5">
    <w:name w:val="Medium Shading 1 Accent 5"/>
    <w:basedOn w:val="Normlntabulka"/>
    <w:uiPriority w:val="63"/>
    <w:rsid w:val="009426D4"/>
    <w:tblPr>
      <w:tblStyleRowBandSize w:val="1"/>
      <w:tblStyleColBandSize w:val="1"/>
      <w:tblInd w:w="0" w:type="dxa"/>
      <w:tbl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single" w:sz="8" w:space="0" w:color="ACA2A3" w:themeColor="accent5"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shd w:val="clear" w:color="auto" w:fill="918485" w:themeFill="accent5"/>
      </w:tcPr>
    </w:tblStylePr>
    <w:tblStylePr w:type="lastRow">
      <w:pPr>
        <w:spacing w:before="0" w:after="0" w:line="240" w:lineRule="auto"/>
      </w:pPr>
      <w:rPr>
        <w:b/>
        <w:bCs/>
      </w:rPr>
      <w:tblPr/>
      <w:trPr>
        <w:hidden/>
      </w:trPr>
      <w:tcPr>
        <w:tcBorders>
          <w:top w:val="double" w:sz="6"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3E0E0" w:themeFill="accent5" w:themeFillTint="3F"/>
      </w:tcPr>
    </w:tblStylePr>
    <w:tblStylePr w:type="band1Horz">
      <w:tblPr/>
      <w:trPr>
        <w:hidden/>
      </w:trPr>
      <w:tcPr>
        <w:tcBorders>
          <w:insideH w:val="nil"/>
          <w:insideV w:val="nil"/>
        </w:tcBorders>
        <w:shd w:val="clear" w:color="auto" w:fill="E3E0E0" w:themeFill="accent5" w:themeFillTint="3F"/>
      </w:tcPr>
    </w:tblStylePr>
    <w:tblStylePr w:type="band2Horz">
      <w:tblPr/>
      <w:trPr>
        <w:hidden/>
      </w:trPr>
      <w:tcPr>
        <w:tcBorders>
          <w:insideH w:val="nil"/>
          <w:insideV w:val="nil"/>
        </w:tcBorders>
      </w:tcPr>
    </w:tblStylePr>
  </w:style>
  <w:style w:type="table" w:styleId="Barevnstnovn">
    <w:name w:val="Colorful Shading"/>
    <w:basedOn w:val="Normlntabulka"/>
    <w:uiPriority w:val="71"/>
    <w:rsid w:val="009426D4"/>
    <w:rPr>
      <w:color w:val="000000" w:themeColor="text1"/>
    </w:rPr>
    <w:tblPr>
      <w:tblStyleRowBandSize w:val="1"/>
      <w:tblStyleColBandSize w:val="1"/>
      <w:tblInd w:w="0" w:type="dxa"/>
      <w:tblBorders>
        <w:top w:val="single" w:sz="24" w:space="0" w:color="9B2D1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E6E6E6" w:themeFill="tex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000000" w:themeFill="text1" w:themeFillShade="99"/>
      </w:tcPr>
    </w:tblStylePr>
    <w:tblStylePr w:type="firstCol">
      <w:rPr>
        <w:color w:val="FFFFFF" w:themeColor="background1"/>
      </w:rPr>
      <w:tblPr/>
      <w:trPr>
        <w:hidden/>
      </w:tr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000000" w:themeFill="text1" w:themeFillShade="BF"/>
      </w:tcPr>
    </w:tblStylePr>
    <w:tblStylePr w:type="band1Vert">
      <w:tblPr/>
      <w:trPr>
        <w:hidden/>
      </w:trPr>
      <w:tcPr>
        <w:shd w:val="clear" w:color="auto" w:fill="999999" w:themeFill="text1" w:themeFillTint="66"/>
      </w:tcPr>
    </w:tblStylePr>
    <w:tblStylePr w:type="band1Horz">
      <w:tblPr/>
      <w:trPr>
        <w:hidden/>
      </w:tr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mavseznamzvraznn6">
    <w:name w:val="Dark List Accent 6"/>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855D5D" w:themeFill="accent6"/>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22E2E" w:themeFill="accent6"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34545" w:themeFill="accent6"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34545" w:themeFill="accent6" w:themeFillShade="BF"/>
      </w:tcPr>
    </w:tblStylePr>
    <w:tblStylePr w:type="band1Vert">
      <w:tblPr/>
      <w:trPr>
        <w:hidden/>
      </w:trPr>
      <w:tcPr>
        <w:tcBorders>
          <w:top w:val="nil"/>
          <w:left w:val="nil"/>
          <w:bottom w:val="nil"/>
          <w:right w:val="nil"/>
          <w:insideH w:val="nil"/>
          <w:insideV w:val="nil"/>
        </w:tcBorders>
        <w:shd w:val="clear" w:color="auto" w:fill="634545" w:themeFill="accent6" w:themeFillShade="BF"/>
      </w:tcPr>
    </w:tblStylePr>
    <w:tblStylePr w:type="band1Horz">
      <w:tblPr/>
      <w:trPr>
        <w:hidden/>
      </w:trPr>
      <w:tcPr>
        <w:tcBorders>
          <w:top w:val="nil"/>
          <w:left w:val="nil"/>
          <w:bottom w:val="nil"/>
          <w:right w:val="nil"/>
          <w:insideH w:val="nil"/>
          <w:insideV w:val="nil"/>
        </w:tcBorders>
        <w:shd w:val="clear" w:color="auto" w:fill="634545" w:themeFill="accent6" w:themeFillShade="BF"/>
      </w:tcPr>
    </w:tblStylePr>
  </w:style>
  <w:style w:type="table" w:styleId="Tmavseznamzvraznn4">
    <w:name w:val="Dark List Accent 4"/>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956251" w:themeFill="accent4"/>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A3028" w:themeFill="accent4"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F493C" w:themeFill="accent4"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F493C" w:themeFill="accent4" w:themeFillShade="BF"/>
      </w:tcPr>
    </w:tblStylePr>
    <w:tblStylePr w:type="band1Vert">
      <w:tblPr/>
      <w:trPr>
        <w:hidden/>
      </w:trPr>
      <w:tcPr>
        <w:tcBorders>
          <w:top w:val="nil"/>
          <w:left w:val="nil"/>
          <w:bottom w:val="nil"/>
          <w:right w:val="nil"/>
          <w:insideH w:val="nil"/>
          <w:insideV w:val="nil"/>
        </w:tcBorders>
        <w:shd w:val="clear" w:color="auto" w:fill="6F493C" w:themeFill="accent4" w:themeFillShade="BF"/>
      </w:tcPr>
    </w:tblStylePr>
    <w:tblStylePr w:type="band1Horz">
      <w:tblPr/>
      <w:trPr>
        <w:hidden/>
      </w:trPr>
      <w:tcPr>
        <w:tcBorders>
          <w:top w:val="nil"/>
          <w:left w:val="nil"/>
          <w:bottom w:val="nil"/>
          <w:right w:val="nil"/>
          <w:insideH w:val="nil"/>
          <w:insideV w:val="nil"/>
        </w:tcBorders>
        <w:shd w:val="clear" w:color="auto" w:fill="6F493C" w:themeFill="accent4" w:themeFillShade="BF"/>
      </w:tcPr>
    </w:tblStylePr>
  </w:style>
  <w:style w:type="table" w:styleId="Stednmka1">
    <w:name w:val="Medium Grid 1"/>
    <w:basedOn w:val="Normlntabulka"/>
    <w:uiPriority w:val="67"/>
    <w:rsid w:val="009426D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rPr>
      <w:hidden/>
    </w:trPr>
    <w:tcPr>
      <w:shd w:val="clear" w:color="auto" w:fill="C0C0C0" w:themeFill="text1" w:themeFillTint="3F"/>
    </w:tcPr>
    <w:tblStylePr w:type="firstRow">
      <w:rPr>
        <w:b/>
        <w:bCs/>
      </w:rPr>
    </w:tblStylePr>
    <w:tblStylePr w:type="lastRow">
      <w:rPr>
        <w:b/>
        <w:bCs/>
      </w:rPr>
      <w:tblPr/>
      <w:trPr>
        <w:hidden/>
      </w:trPr>
      <w:tcPr>
        <w:tcBorders>
          <w:top w:val="single" w:sz="18" w:space="0" w:color="404040" w:themeColor="text1" w:themeTint="BF"/>
        </w:tcBorders>
      </w:tcPr>
    </w:tblStylePr>
    <w:tblStylePr w:type="firstCol">
      <w:rPr>
        <w:b/>
        <w:bCs/>
      </w:rPr>
    </w:tblStylePr>
    <w:tblStylePr w:type="lastCol">
      <w:rPr>
        <w:b/>
        <w:bCs/>
      </w:rPr>
    </w:tblStylePr>
    <w:tblStylePr w:type="band1Vert">
      <w:tblPr/>
      <w:trPr>
        <w:hidden/>
      </w:trPr>
      <w:tcPr>
        <w:shd w:val="clear" w:color="auto" w:fill="808080" w:themeFill="text1" w:themeFillTint="7F"/>
      </w:tcPr>
    </w:tblStylePr>
    <w:tblStylePr w:type="band1Horz">
      <w:tblPr/>
      <w:trPr>
        <w:hidden/>
      </w:trPr>
      <w:tcPr>
        <w:shd w:val="clear" w:color="auto" w:fill="808080" w:themeFill="text1" w:themeFillTint="7F"/>
      </w:tcPr>
    </w:tblStylePr>
  </w:style>
  <w:style w:type="table" w:styleId="Stednseznam2zvraznn6">
    <w:name w:val="Medium List 2 Accent 6"/>
    <w:basedOn w:val="Normlntabulka"/>
    <w:uiPriority w:val="66"/>
    <w:rsid w:val="009426D4"/>
    <w:rPr>
      <w:rFonts w:asciiTheme="majorHAnsi" w:eastAsiaTheme="majorEastAsia" w:hAnsiTheme="majorHAnsi" w:cstheme="majorBidi"/>
      <w:color w:val="000000" w:themeColor="text1"/>
    </w:rPr>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855D5D" w:themeColor="accent6"/>
          <w:right w:val="nil"/>
          <w:insideH w:val="nil"/>
          <w:insideV w:val="nil"/>
        </w:tcBorders>
        <w:shd w:val="clear" w:color="auto" w:fill="FFFFFF" w:themeFill="background1"/>
      </w:tcPr>
    </w:tblStylePr>
    <w:tblStylePr w:type="lastRow">
      <w:tblPr/>
      <w:trPr>
        <w:hidden/>
      </w:trPr>
      <w:tcPr>
        <w:tcBorders>
          <w:top w:val="single" w:sz="8" w:space="0" w:color="855D5D" w:themeColor="accent6"/>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855D5D" w:themeColor="accent6"/>
          <w:insideH w:val="nil"/>
          <w:insideV w:val="nil"/>
        </w:tcBorders>
        <w:shd w:val="clear" w:color="auto" w:fill="FFFFFF" w:themeFill="background1"/>
      </w:tcPr>
    </w:tblStylePr>
    <w:tblStylePr w:type="lastCol">
      <w:tblPr/>
      <w:trPr>
        <w:hidden/>
      </w:trPr>
      <w:tcPr>
        <w:tcBorders>
          <w:top w:val="nil"/>
          <w:left w:val="single" w:sz="8" w:space="0" w:color="855D5D" w:themeColor="accent6"/>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top w:val="nil"/>
          <w:bottom w:val="nil"/>
          <w:insideH w:val="nil"/>
          <w:insideV w:val="nil"/>
        </w:tcBorders>
        <w:shd w:val="clear" w:color="auto" w:fill="E2D5D5" w:themeFill="accent6"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stnovn1zvraznn4">
    <w:name w:val="Medium Shading 1 Accent 4"/>
    <w:basedOn w:val="Normlntabulka"/>
    <w:uiPriority w:val="63"/>
    <w:rsid w:val="009426D4"/>
    <w:tblPr>
      <w:tblStyleRowBandSize w:val="1"/>
      <w:tblStyleColBandSize w:val="1"/>
      <w:tblInd w:w="0" w:type="dxa"/>
      <w:tbl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single" w:sz="8" w:space="0" w:color="B58676" w:themeColor="accent4"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shd w:val="clear" w:color="auto" w:fill="956251" w:themeFill="accent4"/>
      </w:tcPr>
    </w:tblStylePr>
    <w:tblStylePr w:type="lastRow">
      <w:pPr>
        <w:spacing w:before="0" w:after="0" w:line="240" w:lineRule="auto"/>
      </w:pPr>
      <w:rPr>
        <w:b/>
        <w:bCs/>
      </w:rPr>
      <w:tblPr/>
      <w:trPr>
        <w:hidden/>
      </w:trPr>
      <w:tcPr>
        <w:tcBorders>
          <w:top w:val="double" w:sz="6"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6D7D2" w:themeFill="accent4" w:themeFillTint="3F"/>
      </w:tcPr>
    </w:tblStylePr>
    <w:tblStylePr w:type="band1Horz">
      <w:tblPr/>
      <w:trPr>
        <w:hidden/>
      </w:trPr>
      <w:tcPr>
        <w:tcBorders>
          <w:insideH w:val="nil"/>
          <w:insideV w:val="nil"/>
        </w:tcBorders>
        <w:shd w:val="clear" w:color="auto" w:fill="E6D7D2" w:themeFill="accent4" w:themeFillTint="3F"/>
      </w:tcPr>
    </w:tblStylePr>
    <w:tblStylePr w:type="band2Horz">
      <w:tblPr/>
      <w:trPr>
        <w:hidden/>
      </w:trPr>
      <w:tcPr>
        <w:tcBorders>
          <w:insideH w:val="nil"/>
          <w:insideV w:val="nil"/>
        </w:tcBorders>
      </w:tcPr>
    </w:tblStylePr>
  </w:style>
  <w:style w:type="table" w:styleId="Svtlseznamzvraznn3">
    <w:name w:val="Light List Accent 3"/>
    <w:basedOn w:val="Normlntabulka"/>
    <w:uiPriority w:val="61"/>
    <w:rsid w:val="004569BA"/>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A28E6A" w:themeFill="accent3"/>
      </w:tcPr>
    </w:tblStylePr>
    <w:tblStylePr w:type="lastRow">
      <w:pPr>
        <w:spacing w:before="0" w:after="0" w:line="240" w:lineRule="auto"/>
      </w:pPr>
      <w:rPr>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tcBorders>
      </w:tcPr>
    </w:tblStylePr>
    <w:tblStylePr w:type="firstCol">
      <w:rPr>
        <w:b/>
        <w:bCs/>
      </w:rPr>
    </w:tblStylePr>
    <w:tblStylePr w:type="lastCol">
      <w:rPr>
        <w:b/>
        <w:bCs/>
      </w:r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style>
  <w:style w:type="table" w:styleId="Svtlseznamzvraznn4">
    <w:name w:val="Light List Accent 4"/>
    <w:basedOn w:val="Normlntabulka"/>
    <w:uiPriority w:val="61"/>
    <w:rsid w:val="004569B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56251" w:themeFill="accent4"/>
      </w:tcPr>
    </w:tblStylePr>
    <w:tblStylePr w:type="lastRow">
      <w:pPr>
        <w:spacing w:before="0" w:after="0" w:line="240" w:lineRule="auto"/>
      </w:pPr>
      <w:rPr>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tcBorders>
      </w:tcPr>
    </w:tblStylePr>
    <w:tblStylePr w:type="firstCol">
      <w:rPr>
        <w:b/>
        <w:bCs/>
      </w:rPr>
    </w:tblStylePr>
    <w:tblStylePr w:type="lastCol">
      <w:rPr>
        <w:b/>
        <w:bCs/>
      </w:r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style>
  <w:style w:type="table" w:styleId="Stednseznam2zvraznn5">
    <w:name w:val="Medium List 2 Accent 5"/>
    <w:basedOn w:val="Normlntabulka"/>
    <w:uiPriority w:val="66"/>
    <w:rsid w:val="004569BA"/>
    <w:rPr>
      <w:rFonts w:asciiTheme="majorHAnsi" w:eastAsiaTheme="majorEastAsia" w:hAnsiTheme="majorHAnsi" w:cstheme="majorBidi"/>
      <w:color w:val="000000" w:themeColor="text1"/>
    </w:rPr>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tblPr/>
      <w:trPr>
        <w:hidden/>
      </w:trPr>
      <w:tcPr>
        <w:tcBorders>
          <w:top w:val="single" w:sz="8" w:space="0" w:color="918485" w:themeColor="accent5"/>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18485" w:themeColor="accent5"/>
          <w:insideH w:val="nil"/>
          <w:insideV w:val="nil"/>
        </w:tcBorders>
        <w:shd w:val="clear" w:color="auto" w:fill="FFFFFF" w:themeFill="background1"/>
      </w:tcPr>
    </w:tblStylePr>
    <w:tblStylePr w:type="lastCol">
      <w:tblPr/>
      <w:trPr>
        <w:hidden/>
      </w:trPr>
      <w:tcPr>
        <w:tcBorders>
          <w:top w:val="nil"/>
          <w:left w:val="single" w:sz="8" w:space="0" w:color="918485" w:themeColor="accent5"/>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top w:val="nil"/>
          <w:bottom w:val="nil"/>
          <w:insideH w:val="nil"/>
          <w:insideV w:val="nil"/>
        </w:tcBorders>
        <w:shd w:val="clear" w:color="auto" w:fill="E3E0E0" w:themeFill="accent5"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vtlmkazvraznn5">
    <w:name w:val="Light Grid Accent 5"/>
    <w:basedOn w:val="Normlntabulka"/>
    <w:uiPriority w:val="62"/>
    <w:rsid w:val="004569B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18" w:space="0" w:color="918485" w:themeColor="accent5"/>
          <w:right w:val="single" w:sz="8" w:space="0" w:color="918485" w:themeColor="accent5"/>
          <w:insideH w:val="nil"/>
          <w:insideV w:val="single" w:sz="8" w:space="0" w:color="918485" w:themeColor="accent5"/>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insideH w:val="nil"/>
          <w:insideV w:val="single" w:sz="8" w:space="0" w:color="91848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shd w:val="clear" w:color="auto" w:fill="E3E0E0" w:themeFill="accent5" w:themeFillTint="3F"/>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shd w:val="clear" w:color="auto" w:fill="E3E0E0" w:themeFill="accent5" w:themeFillTint="3F"/>
      </w:tcPr>
    </w:tblStylePr>
    <w:tblStylePr w:type="band2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5795">
      <w:bodyDiv w:val="1"/>
      <w:marLeft w:val="0"/>
      <w:marRight w:val="0"/>
      <w:marTop w:val="0"/>
      <w:marBottom w:val="0"/>
      <w:divBdr>
        <w:top w:val="none" w:sz="0" w:space="0" w:color="auto"/>
        <w:left w:val="none" w:sz="0" w:space="0" w:color="auto"/>
        <w:bottom w:val="none" w:sz="0" w:space="0" w:color="auto"/>
        <w:right w:val="none" w:sz="0" w:space="0" w:color="auto"/>
      </w:divBdr>
      <w:divsChild>
        <w:div w:id="766004039">
          <w:marLeft w:val="0"/>
          <w:marRight w:val="0"/>
          <w:marTop w:val="0"/>
          <w:marBottom w:val="0"/>
          <w:divBdr>
            <w:top w:val="none" w:sz="0" w:space="0" w:color="auto"/>
            <w:left w:val="none" w:sz="0" w:space="0" w:color="auto"/>
            <w:bottom w:val="none" w:sz="0" w:space="0" w:color="auto"/>
            <w:right w:val="none" w:sz="0" w:space="0" w:color="auto"/>
          </w:divBdr>
          <w:divsChild>
            <w:div w:id="1490438741">
              <w:marLeft w:val="0"/>
              <w:marRight w:val="0"/>
              <w:marTop w:val="0"/>
              <w:marBottom w:val="0"/>
              <w:divBdr>
                <w:top w:val="none" w:sz="0" w:space="0" w:color="auto"/>
                <w:left w:val="none" w:sz="0" w:space="0" w:color="auto"/>
                <w:bottom w:val="none" w:sz="0" w:space="0" w:color="auto"/>
                <w:right w:val="none" w:sz="0" w:space="0" w:color="auto"/>
              </w:divBdr>
              <w:divsChild>
                <w:div w:id="977997407">
                  <w:marLeft w:val="0"/>
                  <w:marRight w:val="0"/>
                  <w:marTop w:val="0"/>
                  <w:marBottom w:val="0"/>
                  <w:divBdr>
                    <w:top w:val="none" w:sz="0" w:space="0" w:color="auto"/>
                    <w:left w:val="none" w:sz="0" w:space="0" w:color="auto"/>
                    <w:bottom w:val="none" w:sz="0" w:space="0" w:color="auto"/>
                    <w:right w:val="none" w:sz="0" w:space="0" w:color="auto"/>
                  </w:divBdr>
                  <w:divsChild>
                    <w:div w:id="1383561356">
                      <w:marLeft w:val="0"/>
                      <w:marRight w:val="0"/>
                      <w:marTop w:val="0"/>
                      <w:marBottom w:val="0"/>
                      <w:divBdr>
                        <w:top w:val="none" w:sz="0" w:space="0" w:color="auto"/>
                        <w:left w:val="none" w:sz="0" w:space="0" w:color="auto"/>
                        <w:bottom w:val="none" w:sz="0" w:space="0" w:color="auto"/>
                        <w:right w:val="none" w:sz="0" w:space="0" w:color="auto"/>
                      </w:divBdr>
                      <w:divsChild>
                        <w:div w:id="690716643">
                          <w:marLeft w:val="0"/>
                          <w:marRight w:val="0"/>
                          <w:marTop w:val="0"/>
                          <w:marBottom w:val="0"/>
                          <w:divBdr>
                            <w:top w:val="none" w:sz="0" w:space="0" w:color="auto"/>
                            <w:left w:val="none" w:sz="0" w:space="0" w:color="auto"/>
                            <w:bottom w:val="none" w:sz="0" w:space="0" w:color="auto"/>
                            <w:right w:val="none" w:sz="0" w:space="0" w:color="auto"/>
                          </w:divBdr>
                          <w:divsChild>
                            <w:div w:id="1155148063">
                              <w:marLeft w:val="0"/>
                              <w:marRight w:val="0"/>
                              <w:marTop w:val="0"/>
                              <w:marBottom w:val="0"/>
                              <w:divBdr>
                                <w:top w:val="none" w:sz="0" w:space="0" w:color="auto"/>
                                <w:left w:val="none" w:sz="0" w:space="0" w:color="auto"/>
                                <w:bottom w:val="none" w:sz="0" w:space="0" w:color="auto"/>
                                <w:right w:val="none" w:sz="0" w:space="0" w:color="auto"/>
                              </w:divBdr>
                              <w:divsChild>
                                <w:div w:id="953176529">
                                  <w:marLeft w:val="0"/>
                                  <w:marRight w:val="0"/>
                                  <w:marTop w:val="0"/>
                                  <w:marBottom w:val="0"/>
                                  <w:divBdr>
                                    <w:top w:val="none" w:sz="0" w:space="0" w:color="auto"/>
                                    <w:left w:val="none" w:sz="0" w:space="0" w:color="auto"/>
                                    <w:bottom w:val="none" w:sz="0" w:space="0" w:color="auto"/>
                                    <w:right w:val="none" w:sz="0" w:space="0" w:color="auto"/>
                                  </w:divBdr>
                                </w:div>
                                <w:div w:id="168023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592676">
      <w:bodyDiv w:val="1"/>
      <w:marLeft w:val="0"/>
      <w:marRight w:val="0"/>
      <w:marTop w:val="0"/>
      <w:marBottom w:val="0"/>
      <w:divBdr>
        <w:top w:val="none" w:sz="0" w:space="0" w:color="auto"/>
        <w:left w:val="none" w:sz="0" w:space="0" w:color="auto"/>
        <w:bottom w:val="none" w:sz="0" w:space="0" w:color="auto"/>
        <w:right w:val="none" w:sz="0" w:space="0" w:color="auto"/>
      </w:divBdr>
    </w:div>
    <w:div w:id="811870666">
      <w:bodyDiv w:val="1"/>
      <w:marLeft w:val="0"/>
      <w:marRight w:val="0"/>
      <w:marTop w:val="0"/>
      <w:marBottom w:val="0"/>
      <w:divBdr>
        <w:top w:val="none" w:sz="0" w:space="0" w:color="auto"/>
        <w:left w:val="none" w:sz="0" w:space="0" w:color="auto"/>
        <w:bottom w:val="none" w:sz="0" w:space="0" w:color="auto"/>
        <w:right w:val="none" w:sz="0" w:space="0" w:color="auto"/>
      </w:divBdr>
      <w:divsChild>
        <w:div w:id="895504441">
          <w:marLeft w:val="0"/>
          <w:marRight w:val="0"/>
          <w:marTop w:val="0"/>
          <w:marBottom w:val="0"/>
          <w:divBdr>
            <w:top w:val="none" w:sz="0" w:space="0" w:color="auto"/>
            <w:left w:val="none" w:sz="0" w:space="0" w:color="auto"/>
            <w:bottom w:val="none" w:sz="0" w:space="0" w:color="auto"/>
            <w:right w:val="none" w:sz="0" w:space="0" w:color="auto"/>
          </w:divBdr>
          <w:divsChild>
            <w:div w:id="321348082">
              <w:marLeft w:val="0"/>
              <w:marRight w:val="0"/>
              <w:marTop w:val="0"/>
              <w:marBottom w:val="0"/>
              <w:divBdr>
                <w:top w:val="none" w:sz="0" w:space="0" w:color="auto"/>
                <w:left w:val="none" w:sz="0" w:space="0" w:color="auto"/>
                <w:bottom w:val="none" w:sz="0" w:space="0" w:color="auto"/>
                <w:right w:val="none" w:sz="0" w:space="0" w:color="auto"/>
              </w:divBdr>
              <w:divsChild>
                <w:div w:id="407650979">
                  <w:marLeft w:val="0"/>
                  <w:marRight w:val="0"/>
                  <w:marTop w:val="0"/>
                  <w:marBottom w:val="0"/>
                  <w:divBdr>
                    <w:top w:val="none" w:sz="0" w:space="0" w:color="auto"/>
                    <w:left w:val="none" w:sz="0" w:space="0" w:color="auto"/>
                    <w:bottom w:val="none" w:sz="0" w:space="0" w:color="auto"/>
                    <w:right w:val="none" w:sz="0" w:space="0" w:color="auto"/>
                  </w:divBdr>
                  <w:divsChild>
                    <w:div w:id="1107236416">
                      <w:marLeft w:val="0"/>
                      <w:marRight w:val="0"/>
                      <w:marTop w:val="0"/>
                      <w:marBottom w:val="0"/>
                      <w:divBdr>
                        <w:top w:val="none" w:sz="0" w:space="0" w:color="auto"/>
                        <w:left w:val="none" w:sz="0" w:space="0" w:color="auto"/>
                        <w:bottom w:val="none" w:sz="0" w:space="0" w:color="auto"/>
                        <w:right w:val="none" w:sz="0" w:space="0" w:color="auto"/>
                      </w:divBdr>
                      <w:divsChild>
                        <w:div w:id="1055809838">
                          <w:marLeft w:val="0"/>
                          <w:marRight w:val="0"/>
                          <w:marTop w:val="0"/>
                          <w:marBottom w:val="0"/>
                          <w:divBdr>
                            <w:top w:val="none" w:sz="0" w:space="0" w:color="auto"/>
                            <w:left w:val="none" w:sz="0" w:space="0" w:color="auto"/>
                            <w:bottom w:val="none" w:sz="0" w:space="0" w:color="auto"/>
                            <w:right w:val="none" w:sz="0" w:space="0" w:color="auto"/>
                          </w:divBdr>
                          <w:divsChild>
                            <w:div w:id="1219319906">
                              <w:marLeft w:val="0"/>
                              <w:marRight w:val="0"/>
                              <w:marTop w:val="0"/>
                              <w:marBottom w:val="0"/>
                              <w:divBdr>
                                <w:top w:val="none" w:sz="0" w:space="0" w:color="auto"/>
                                <w:left w:val="none" w:sz="0" w:space="0" w:color="auto"/>
                                <w:bottom w:val="none" w:sz="0" w:space="0" w:color="auto"/>
                                <w:right w:val="none" w:sz="0" w:space="0" w:color="auto"/>
                              </w:divBdr>
                              <w:divsChild>
                                <w:div w:id="71195843">
                                  <w:marLeft w:val="0"/>
                                  <w:marRight w:val="0"/>
                                  <w:marTop w:val="0"/>
                                  <w:marBottom w:val="0"/>
                                  <w:divBdr>
                                    <w:top w:val="none" w:sz="0" w:space="0" w:color="auto"/>
                                    <w:left w:val="none" w:sz="0" w:space="0" w:color="auto"/>
                                    <w:bottom w:val="none" w:sz="0" w:space="0" w:color="auto"/>
                                    <w:right w:val="none" w:sz="0" w:space="0" w:color="auto"/>
                                  </w:divBdr>
                                  <w:divsChild>
                                    <w:div w:id="1919512277">
                                      <w:marLeft w:val="0"/>
                                      <w:marRight w:val="0"/>
                                      <w:marTop w:val="0"/>
                                      <w:marBottom w:val="0"/>
                                      <w:divBdr>
                                        <w:top w:val="none" w:sz="0" w:space="0" w:color="auto"/>
                                        <w:left w:val="none" w:sz="0" w:space="0" w:color="auto"/>
                                        <w:bottom w:val="none" w:sz="0" w:space="0" w:color="auto"/>
                                        <w:right w:val="none" w:sz="0" w:space="0" w:color="auto"/>
                                      </w:divBdr>
                                      <w:divsChild>
                                        <w:div w:id="213760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1443739">
      <w:bodyDiv w:val="1"/>
      <w:marLeft w:val="0"/>
      <w:marRight w:val="0"/>
      <w:marTop w:val="0"/>
      <w:marBottom w:val="0"/>
      <w:divBdr>
        <w:top w:val="none" w:sz="0" w:space="0" w:color="auto"/>
        <w:left w:val="none" w:sz="0" w:space="0" w:color="auto"/>
        <w:bottom w:val="none" w:sz="0" w:space="0" w:color="auto"/>
        <w:right w:val="none" w:sz="0" w:space="0" w:color="auto"/>
      </w:divBdr>
    </w:div>
    <w:div w:id="1110585307">
      <w:bodyDiv w:val="1"/>
      <w:marLeft w:val="0"/>
      <w:marRight w:val="0"/>
      <w:marTop w:val="0"/>
      <w:marBottom w:val="0"/>
      <w:divBdr>
        <w:top w:val="none" w:sz="0" w:space="0" w:color="auto"/>
        <w:left w:val="none" w:sz="0" w:space="0" w:color="auto"/>
        <w:bottom w:val="none" w:sz="0" w:space="0" w:color="auto"/>
        <w:right w:val="none" w:sz="0" w:space="0" w:color="auto"/>
      </w:divBdr>
    </w:div>
    <w:div w:id="1692606774">
      <w:bodyDiv w:val="1"/>
      <w:marLeft w:val="0"/>
      <w:marRight w:val="0"/>
      <w:marTop w:val="0"/>
      <w:marBottom w:val="0"/>
      <w:divBdr>
        <w:top w:val="none" w:sz="0" w:space="0" w:color="auto"/>
        <w:left w:val="none" w:sz="0" w:space="0" w:color="auto"/>
        <w:bottom w:val="none" w:sz="0" w:space="0" w:color="auto"/>
        <w:right w:val="none" w:sz="0" w:space="0" w:color="auto"/>
      </w:divBdr>
      <w:divsChild>
        <w:div w:id="1043092995">
          <w:marLeft w:val="0"/>
          <w:marRight w:val="0"/>
          <w:marTop w:val="0"/>
          <w:marBottom w:val="0"/>
          <w:divBdr>
            <w:top w:val="none" w:sz="0" w:space="0" w:color="auto"/>
            <w:left w:val="single" w:sz="6" w:space="0" w:color="A7A7A7"/>
            <w:bottom w:val="none" w:sz="0" w:space="0" w:color="auto"/>
            <w:right w:val="single" w:sz="6" w:space="0" w:color="A7A7A7"/>
          </w:divBdr>
          <w:divsChild>
            <w:div w:id="720788905">
              <w:marLeft w:val="0"/>
              <w:marRight w:val="0"/>
              <w:marTop w:val="0"/>
              <w:marBottom w:val="0"/>
              <w:divBdr>
                <w:top w:val="none" w:sz="0" w:space="0" w:color="auto"/>
                <w:left w:val="none" w:sz="0" w:space="0" w:color="auto"/>
                <w:bottom w:val="none" w:sz="0" w:space="0" w:color="auto"/>
                <w:right w:val="none" w:sz="0" w:space="0" w:color="auto"/>
              </w:divBdr>
              <w:divsChild>
                <w:div w:id="184709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40505">
      <w:bodyDiv w:val="1"/>
      <w:marLeft w:val="0"/>
      <w:marRight w:val="0"/>
      <w:marTop w:val="0"/>
      <w:marBottom w:val="0"/>
      <w:divBdr>
        <w:top w:val="none" w:sz="0" w:space="0" w:color="auto"/>
        <w:left w:val="none" w:sz="0" w:space="0" w:color="auto"/>
        <w:bottom w:val="none" w:sz="0" w:space="0" w:color="auto"/>
        <w:right w:val="none" w:sz="0" w:space="0" w:color="auto"/>
      </w:divBdr>
    </w:div>
    <w:div w:id="1900509868">
      <w:bodyDiv w:val="1"/>
      <w:marLeft w:val="0"/>
      <w:marRight w:val="0"/>
      <w:marTop w:val="0"/>
      <w:marBottom w:val="0"/>
      <w:divBdr>
        <w:top w:val="none" w:sz="0" w:space="0" w:color="auto"/>
        <w:left w:val="none" w:sz="0" w:space="0" w:color="auto"/>
        <w:bottom w:val="none" w:sz="0" w:space="0" w:color="auto"/>
        <w:right w:val="none" w:sz="0" w:space="0" w:color="auto"/>
      </w:divBdr>
    </w:div>
    <w:div w:id="1951819353">
      <w:bodyDiv w:val="1"/>
      <w:marLeft w:val="0"/>
      <w:marRight w:val="0"/>
      <w:marTop w:val="0"/>
      <w:marBottom w:val="0"/>
      <w:divBdr>
        <w:top w:val="none" w:sz="0" w:space="0" w:color="auto"/>
        <w:left w:val="none" w:sz="0" w:space="0" w:color="auto"/>
        <w:bottom w:val="none" w:sz="0" w:space="0" w:color="auto"/>
        <w:right w:val="none" w:sz="0" w:space="0" w:color="auto"/>
      </w:divBdr>
    </w:div>
    <w:div w:id="1989436205">
      <w:bodyDiv w:val="1"/>
      <w:marLeft w:val="0"/>
      <w:marRight w:val="0"/>
      <w:marTop w:val="0"/>
      <w:marBottom w:val="0"/>
      <w:divBdr>
        <w:top w:val="none" w:sz="0" w:space="0" w:color="auto"/>
        <w:left w:val="none" w:sz="0" w:space="0" w:color="auto"/>
        <w:bottom w:val="none" w:sz="0" w:space="0" w:color="auto"/>
        <w:right w:val="none" w:sz="0" w:space="0" w:color="auto"/>
      </w:divBdr>
      <w:divsChild>
        <w:div w:id="1276903434">
          <w:marLeft w:val="0"/>
          <w:marRight w:val="0"/>
          <w:marTop w:val="0"/>
          <w:marBottom w:val="0"/>
          <w:divBdr>
            <w:top w:val="none" w:sz="0" w:space="0" w:color="auto"/>
            <w:left w:val="none" w:sz="0" w:space="0" w:color="auto"/>
            <w:bottom w:val="none" w:sz="0" w:space="0" w:color="auto"/>
            <w:right w:val="none" w:sz="0" w:space="0" w:color="auto"/>
          </w:divBdr>
          <w:divsChild>
            <w:div w:id="1950426090">
              <w:marLeft w:val="0"/>
              <w:marRight w:val="0"/>
              <w:marTop w:val="0"/>
              <w:marBottom w:val="0"/>
              <w:divBdr>
                <w:top w:val="none" w:sz="0" w:space="0" w:color="auto"/>
                <w:left w:val="none" w:sz="0" w:space="0" w:color="auto"/>
                <w:bottom w:val="none" w:sz="0" w:space="0" w:color="auto"/>
                <w:right w:val="none" w:sz="0" w:space="0" w:color="auto"/>
              </w:divBdr>
              <w:divsChild>
                <w:div w:id="430006709">
                  <w:marLeft w:val="0"/>
                  <w:marRight w:val="0"/>
                  <w:marTop w:val="0"/>
                  <w:marBottom w:val="0"/>
                  <w:divBdr>
                    <w:top w:val="none" w:sz="0" w:space="0" w:color="auto"/>
                    <w:left w:val="none" w:sz="0" w:space="0" w:color="auto"/>
                    <w:bottom w:val="none" w:sz="0" w:space="0" w:color="auto"/>
                    <w:right w:val="none" w:sz="0" w:space="0" w:color="auto"/>
                  </w:divBdr>
                  <w:divsChild>
                    <w:div w:id="989167505">
                      <w:marLeft w:val="0"/>
                      <w:marRight w:val="0"/>
                      <w:marTop w:val="0"/>
                      <w:marBottom w:val="0"/>
                      <w:divBdr>
                        <w:top w:val="none" w:sz="0" w:space="0" w:color="auto"/>
                        <w:left w:val="none" w:sz="0" w:space="0" w:color="auto"/>
                        <w:bottom w:val="none" w:sz="0" w:space="0" w:color="auto"/>
                        <w:right w:val="none" w:sz="0" w:space="0" w:color="auto"/>
                      </w:divBdr>
                      <w:divsChild>
                        <w:div w:id="182199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yperlink" Target="http://databaze-strategie.cz/" TargetMode="External"/><Relationship Id="rId3" Type="http://schemas.openxmlformats.org/officeDocument/2006/relationships/numbering" Target="numbering.xml"/><Relationship Id="rId21" Type="http://schemas.openxmlformats.org/officeDocument/2006/relationships/chart" Target="charts/chart10.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3.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chart" Target="charts/chart12.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header" Target="header2.xml"/><Relationship Id="rId10" Type="http://schemas.openxmlformats.org/officeDocument/2006/relationships/image" Target="media/image1.gif"/><Relationship Id="rId19" Type="http://schemas.openxmlformats.org/officeDocument/2006/relationships/chart" Target="charts/chart8.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3.xml"/><Relationship Id="rId22" Type="http://schemas.openxmlformats.org/officeDocument/2006/relationships/comments" Target="comments.xml"/><Relationship Id="rId27" Type="http://schemas.openxmlformats.org/officeDocument/2006/relationships/header" Target="header1.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S\VTP\OKE\_strategie%20Evropa%202020\_evropsk&#253;%20semestr%202014\NPR%202014\_P&#345;&#237;prava%20-%20materi&#225;ly\Data%20NP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voboda\AppData\Local\Temp\notesFCBCEE\Data_saldo.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Struktura%20uchaze&#269;&#367;%20o%20zam&#283;stn&#225;n&#23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Deficit!$C$3</c:f>
              <c:strCache>
                <c:ptCount val="1"/>
                <c:pt idx="0">
                  <c:v>Cyklická složka</c:v>
                </c:pt>
              </c:strCache>
            </c:strRef>
          </c:tx>
          <c:spPr>
            <a:solidFill>
              <a:srgbClr val="92D05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Deficit!$D$3:$P$3</c:f>
              <c:numCache>
                <c:formatCode>0.0%</c:formatCode>
                <c:ptCount val="13"/>
                <c:pt idx="0">
                  <c:v>0</c:v>
                </c:pt>
                <c:pt idx="1">
                  <c:v>8.9999999999999993E-3</c:v>
                </c:pt>
                <c:pt idx="2">
                  <c:v>1.2999999999999999E-2</c:v>
                </c:pt>
                <c:pt idx="3">
                  <c:v>1.2999999999999999E-2</c:v>
                </c:pt>
                <c:pt idx="4">
                  <c:v>-1.0999999999999999E-2</c:v>
                </c:pt>
                <c:pt idx="5">
                  <c:v>-5.0000000000000001E-3</c:v>
                </c:pt>
                <c:pt idx="6">
                  <c:v>-1E-3</c:v>
                </c:pt>
                <c:pt idx="7">
                  <c:v>-5.0000000000000001E-3</c:v>
                </c:pt>
                <c:pt idx="8">
                  <c:v>-0.01</c:v>
                </c:pt>
                <c:pt idx="9">
                  <c:v>-6.0000000000000001E-3</c:v>
                </c:pt>
                <c:pt idx="10">
                  <c:v>-4.0000000000000001E-3</c:v>
                </c:pt>
                <c:pt idx="11">
                  <c:v>-2E-3</c:v>
                </c:pt>
                <c:pt idx="12">
                  <c:v>1E-3</c:v>
                </c:pt>
              </c:numCache>
            </c:numRef>
          </c:val>
        </c:ser>
        <c:ser>
          <c:idx val="1"/>
          <c:order val="1"/>
          <c:tx>
            <c:strRef>
              <c:f>Deficit!$C$4</c:f>
              <c:strCache>
                <c:ptCount val="1"/>
                <c:pt idx="0">
                  <c:v>Jednorázové operace</c:v>
                </c:pt>
              </c:strCache>
            </c:strRef>
          </c:tx>
          <c:spPr>
            <a:solidFill>
              <a:srgbClr val="00B0F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Deficit!$D$4:$P$4</c:f>
              <c:numCache>
                <c:formatCode>0.0%</c:formatCode>
                <c:ptCount val="13"/>
                <c:pt idx="0">
                  <c:v>-1.4999999999999999E-2</c:v>
                </c:pt>
                <c:pt idx="1">
                  <c:v>-7.0000000000000001E-3</c:v>
                </c:pt>
                <c:pt idx="2">
                  <c:v>-3.0000000000000001E-3</c:v>
                </c:pt>
                <c:pt idx="3">
                  <c:v>-1E-3</c:v>
                </c:pt>
                <c:pt idx="4">
                  <c:v>0</c:v>
                </c:pt>
                <c:pt idx="5">
                  <c:v>0</c:v>
                </c:pt>
                <c:pt idx="6">
                  <c:v>-2E-3</c:v>
                </c:pt>
                <c:pt idx="7">
                  <c:v>-2.1000000000000001E-2</c:v>
                </c:pt>
                <c:pt idx="8">
                  <c:v>-2E-3</c:v>
                </c:pt>
                <c:pt idx="9">
                  <c:v>1E-3</c:v>
                </c:pt>
                <c:pt idx="10">
                  <c:v>-1E-3</c:v>
                </c:pt>
                <c:pt idx="11">
                  <c:v>-1E-3</c:v>
                </c:pt>
                <c:pt idx="12">
                  <c:v>0</c:v>
                </c:pt>
              </c:numCache>
            </c:numRef>
          </c:val>
        </c:ser>
        <c:ser>
          <c:idx val="2"/>
          <c:order val="2"/>
          <c:tx>
            <c:strRef>
              <c:f>Deficit!$C$5</c:f>
              <c:strCache>
                <c:ptCount val="1"/>
                <c:pt idx="0">
                  <c:v>Strukturální saldo</c:v>
                </c:pt>
              </c:strCache>
            </c:strRef>
          </c:tx>
          <c:spPr>
            <a:solidFill>
              <a:srgbClr val="FF000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Deficit!$D$5:$P$5</c:f>
              <c:numCache>
                <c:formatCode>0.0%</c:formatCode>
                <c:ptCount val="13"/>
                <c:pt idx="0">
                  <c:v>-1.7999999999999999E-2</c:v>
                </c:pt>
                <c:pt idx="1">
                  <c:v>-2.5000000000000001E-2</c:v>
                </c:pt>
                <c:pt idx="2">
                  <c:v>-1.7999999999999999E-2</c:v>
                </c:pt>
                <c:pt idx="3">
                  <c:v>-3.4000000000000002E-2</c:v>
                </c:pt>
                <c:pt idx="4">
                  <c:v>-4.8000000000000001E-2</c:v>
                </c:pt>
                <c:pt idx="5">
                  <c:v>-4.2999999999999997E-2</c:v>
                </c:pt>
                <c:pt idx="6">
                  <c:v>-2.9000000000000001E-2</c:v>
                </c:pt>
                <c:pt idx="7">
                  <c:v>-1.6E-2</c:v>
                </c:pt>
                <c:pt idx="8">
                  <c:v>-3.0000000000000001E-3</c:v>
                </c:pt>
                <c:pt idx="9">
                  <c:v>-1.2999999999999999E-2</c:v>
                </c:pt>
                <c:pt idx="10">
                  <c:v>-1.9E-2</c:v>
                </c:pt>
                <c:pt idx="11">
                  <c:v>-2.1000000000000001E-2</c:v>
                </c:pt>
                <c:pt idx="12">
                  <c:v>-2.1000000000000001E-2</c:v>
                </c:pt>
              </c:numCache>
            </c:numRef>
          </c:val>
        </c:ser>
        <c:dLbls>
          <c:showLegendKey val="0"/>
          <c:showVal val="0"/>
          <c:showCatName val="0"/>
          <c:showSerName val="0"/>
          <c:showPercent val="0"/>
          <c:showBubbleSize val="0"/>
        </c:dLbls>
        <c:gapWidth val="75"/>
        <c:overlap val="100"/>
        <c:axId val="93496832"/>
        <c:axId val="93498368"/>
      </c:barChart>
      <c:catAx>
        <c:axId val="93496832"/>
        <c:scaling>
          <c:orientation val="minMax"/>
        </c:scaling>
        <c:delete val="0"/>
        <c:axPos val="b"/>
        <c:numFmt formatCode="General" sourceLinked="1"/>
        <c:majorTickMark val="none"/>
        <c:minorTickMark val="none"/>
        <c:tickLblPos val="high"/>
        <c:txPr>
          <a:bodyPr/>
          <a:lstStyle/>
          <a:p>
            <a:pPr>
              <a:defRPr b="1"/>
            </a:pPr>
            <a:endParaRPr lang="cs-CZ"/>
          </a:p>
        </c:txPr>
        <c:crossAx val="93498368"/>
        <c:crosses val="autoZero"/>
        <c:auto val="0"/>
        <c:lblAlgn val="ctr"/>
        <c:lblOffset val="100"/>
        <c:noMultiLvlLbl val="0"/>
      </c:catAx>
      <c:valAx>
        <c:axId val="93498368"/>
        <c:scaling>
          <c:orientation val="minMax"/>
        </c:scaling>
        <c:delete val="0"/>
        <c:axPos val="l"/>
        <c:majorGridlines/>
        <c:numFmt formatCode="0.0%" sourceLinked="1"/>
        <c:majorTickMark val="none"/>
        <c:minorTickMark val="none"/>
        <c:tickLblPos val="nextTo"/>
        <c:spPr>
          <a:ln w="9525">
            <a:noFill/>
          </a:ln>
        </c:spPr>
        <c:txPr>
          <a:bodyPr/>
          <a:lstStyle/>
          <a:p>
            <a:pPr>
              <a:defRPr b="1"/>
            </a:pPr>
            <a:endParaRPr lang="cs-CZ"/>
          </a:p>
        </c:txPr>
        <c:crossAx val="9349683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v>Soukromé domácí</c:v>
          </c:tx>
          <c:spPr>
            <a:solidFill>
              <a:srgbClr val="FF000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VAV!$B$29:$I$29</c:f>
              <c:numCache>
                <c:formatCode>#,##0" "</c:formatCode>
                <c:ptCount val="8"/>
                <c:pt idx="0">
                  <c:v>18384.453049999989</c:v>
                </c:pt>
                <c:pt idx="1">
                  <c:v>21233.919014999981</c:v>
                </c:pt>
                <c:pt idx="2">
                  <c:v>23591.785959999961</c:v>
                </c:pt>
                <c:pt idx="3">
                  <c:v>22467.27616499997</c:v>
                </c:pt>
                <c:pt idx="4">
                  <c:v>20225.73529000003</c:v>
                </c:pt>
                <c:pt idx="5">
                  <c:v>21596.861050000021</c:v>
                </c:pt>
                <c:pt idx="6">
                  <c:v>23647.648589999979</c:v>
                </c:pt>
                <c:pt idx="7">
                  <c:v>26328.087510000019</c:v>
                </c:pt>
              </c:numCache>
            </c:numRef>
          </c:val>
        </c:ser>
        <c:ser>
          <c:idx val="1"/>
          <c:order val="1"/>
          <c:tx>
            <c:v>Soukromé zahraniční</c:v>
          </c:tx>
          <c:spPr>
            <a:solidFill>
              <a:srgbClr val="00B0F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VAV!$B$30:$I$30</c:f>
              <c:numCache>
                <c:formatCode>#,##0" "</c:formatCode>
                <c:ptCount val="8"/>
                <c:pt idx="0">
                  <c:v>1391.6234400000001</c:v>
                </c:pt>
                <c:pt idx="1">
                  <c:v>1340.7064049999999</c:v>
                </c:pt>
                <c:pt idx="2">
                  <c:v>2707.24143</c:v>
                </c:pt>
                <c:pt idx="3">
                  <c:v>3467.0507349999998</c:v>
                </c:pt>
                <c:pt idx="4">
                  <c:v>4431.1332499999999</c:v>
                </c:pt>
                <c:pt idx="5">
                  <c:v>5160.3967000000002</c:v>
                </c:pt>
                <c:pt idx="6">
                  <c:v>6242.422910000002</c:v>
                </c:pt>
                <c:pt idx="7">
                  <c:v>7136.2200900000007</c:v>
                </c:pt>
              </c:numCache>
            </c:numRef>
          </c:val>
        </c:ser>
        <c:ser>
          <c:idx val="2"/>
          <c:order val="2"/>
          <c:tx>
            <c:v>Veřejné domácí</c:v>
          </c:tx>
          <c:spPr>
            <a:solidFill>
              <a:srgbClr val="00B05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VAV!$B$31:$I$31</c:f>
              <c:numCache>
                <c:formatCode>#,##0" "</c:formatCode>
                <c:ptCount val="8"/>
                <c:pt idx="0">
                  <c:v>17248.266360000009</c:v>
                </c:pt>
                <c:pt idx="1">
                  <c:v>19445.161820000001</c:v>
                </c:pt>
                <c:pt idx="2">
                  <c:v>22361.96748000001</c:v>
                </c:pt>
                <c:pt idx="3">
                  <c:v>22342.191260000011</c:v>
                </c:pt>
                <c:pt idx="4">
                  <c:v>24300.86122000001</c:v>
                </c:pt>
                <c:pt idx="5">
                  <c:v>23538.875410000001</c:v>
                </c:pt>
                <c:pt idx="6">
                  <c:v>26179.053029999999</c:v>
                </c:pt>
                <c:pt idx="7">
                  <c:v>26616.46185</c:v>
                </c:pt>
              </c:numCache>
            </c:numRef>
          </c:val>
        </c:ser>
        <c:ser>
          <c:idx val="3"/>
          <c:order val="3"/>
          <c:tx>
            <c:v>Veřejné zahraniční</c:v>
          </c:tx>
          <c:spPr>
            <a:solidFill>
              <a:srgbClr val="FFC00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VAV!$B$32:$I$32</c:f>
              <c:numCache>
                <c:formatCode>#,##0" "</c:formatCode>
                <c:ptCount val="8"/>
                <c:pt idx="0">
                  <c:v>665.64731999999981</c:v>
                </c:pt>
                <c:pt idx="1">
                  <c:v>720.93416999999988</c:v>
                </c:pt>
                <c:pt idx="2">
                  <c:v>925.17300000000034</c:v>
                </c:pt>
                <c:pt idx="3">
                  <c:v>964.08</c:v>
                </c:pt>
                <c:pt idx="4">
                  <c:v>1305.18426</c:v>
                </c:pt>
                <c:pt idx="5">
                  <c:v>2216.0030700000002</c:v>
                </c:pt>
                <c:pt idx="6">
                  <c:v>6093.1831400000001</c:v>
                </c:pt>
                <c:pt idx="7">
                  <c:v>11622.015259999989</c:v>
                </c:pt>
              </c:numCache>
            </c:numRef>
          </c:val>
        </c:ser>
        <c:ser>
          <c:idx val="4"/>
          <c:order val="4"/>
          <c:tx>
            <c:v>Ostatní</c:v>
          </c:tx>
          <c:spPr>
            <a:solidFill>
              <a:schemeClr val="tx1"/>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VAV!$B$33:$I$33</c:f>
              <c:numCache>
                <c:formatCode>#,##0" "</c:formatCode>
                <c:ptCount val="8"/>
                <c:pt idx="0">
                  <c:v>455.75516999999991</c:v>
                </c:pt>
                <c:pt idx="1">
                  <c:v>527.53204999999991</c:v>
                </c:pt>
                <c:pt idx="2">
                  <c:v>422.72005999999988</c:v>
                </c:pt>
                <c:pt idx="3">
                  <c:v>631.37899999999979</c:v>
                </c:pt>
                <c:pt idx="4">
                  <c:v>611.70500000000015</c:v>
                </c:pt>
                <c:pt idx="5">
                  <c:v>461.43143000000009</c:v>
                </c:pt>
                <c:pt idx="6">
                  <c:v>591.09530999999981</c:v>
                </c:pt>
                <c:pt idx="7">
                  <c:v>657.52267999999958</c:v>
                </c:pt>
              </c:numCache>
            </c:numRef>
          </c:val>
        </c:ser>
        <c:dLbls>
          <c:showLegendKey val="0"/>
          <c:showVal val="0"/>
          <c:showCatName val="0"/>
          <c:showSerName val="0"/>
          <c:showPercent val="0"/>
          <c:showBubbleSize val="0"/>
        </c:dLbls>
        <c:gapWidth val="75"/>
        <c:overlap val="100"/>
        <c:axId val="111803008"/>
        <c:axId val="111817088"/>
      </c:barChart>
      <c:catAx>
        <c:axId val="111803008"/>
        <c:scaling>
          <c:orientation val="minMax"/>
        </c:scaling>
        <c:delete val="0"/>
        <c:axPos val="b"/>
        <c:numFmt formatCode="####&quot; &quot;" sourceLinked="1"/>
        <c:majorTickMark val="none"/>
        <c:minorTickMark val="none"/>
        <c:tickLblPos val="nextTo"/>
        <c:crossAx val="111817088"/>
        <c:crosses val="autoZero"/>
        <c:auto val="1"/>
        <c:lblAlgn val="ctr"/>
        <c:lblOffset val="100"/>
        <c:noMultiLvlLbl val="0"/>
      </c:catAx>
      <c:valAx>
        <c:axId val="111817088"/>
        <c:scaling>
          <c:orientation val="minMax"/>
        </c:scaling>
        <c:delete val="0"/>
        <c:axPos val="l"/>
        <c:majorGridlines/>
        <c:title>
          <c:tx>
            <c:rich>
              <a:bodyPr rot="-5400000" vert="horz"/>
              <a:lstStyle/>
              <a:p>
                <a:pPr>
                  <a:defRPr/>
                </a:pPr>
                <a:r>
                  <a:rPr lang="cs-CZ"/>
                  <a:t>mil. Kč</a:t>
                </a:r>
              </a:p>
            </c:rich>
          </c:tx>
          <c:layout/>
          <c:overlay val="0"/>
        </c:title>
        <c:numFmt formatCode="#,##0&quot; &quot;" sourceLinked="1"/>
        <c:majorTickMark val="none"/>
        <c:minorTickMark val="none"/>
        <c:tickLblPos val="nextTo"/>
        <c:spPr>
          <a:ln w="9525">
            <a:noFill/>
          </a:ln>
        </c:spPr>
        <c:crossAx val="111803008"/>
        <c:crosses val="autoZero"/>
        <c:crossBetween val="between"/>
      </c:valAx>
    </c:plotArea>
    <c:legend>
      <c:legendPos val="b"/>
      <c:layout/>
      <c:overlay val="0"/>
    </c:legend>
    <c:plotVisOnly val="1"/>
    <c:dispBlanksAs val="gap"/>
    <c:showDLblsOverMax val="0"/>
  </c:chart>
  <c:txPr>
    <a:bodyPr/>
    <a:lstStyle/>
    <a:p>
      <a:pPr>
        <a:defRPr sz="900"/>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List3!$A$4</c:f>
              <c:strCache>
                <c:ptCount val="1"/>
                <c:pt idx="0">
                  <c:v>Podnikatelský </c:v>
                </c:pt>
              </c:strCache>
            </c:strRef>
          </c:tx>
          <c:spPr>
            <a:solidFill>
              <a:srgbClr val="FF000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List3!$B$4:$I$4</c:f>
              <c:numCache>
                <c:formatCode>#,##0" "</c:formatCode>
                <c:ptCount val="8"/>
                <c:pt idx="0">
                  <c:v>22603.909840000011</c:v>
                </c:pt>
                <c:pt idx="1">
                  <c:v>25837.503300000011</c:v>
                </c:pt>
                <c:pt idx="2">
                  <c:v>29345.052070000009</c:v>
                </c:pt>
                <c:pt idx="3">
                  <c:v>29249.219470000011</c:v>
                </c:pt>
                <c:pt idx="4">
                  <c:v>28742.75530000003</c:v>
                </c:pt>
                <c:pt idx="5">
                  <c:v>30564.212680000001</c:v>
                </c:pt>
                <c:pt idx="6">
                  <c:v>34716.926579999999</c:v>
                </c:pt>
                <c:pt idx="7">
                  <c:v>38790.181750000003</c:v>
                </c:pt>
              </c:numCache>
            </c:numRef>
          </c:val>
        </c:ser>
        <c:ser>
          <c:idx val="1"/>
          <c:order val="1"/>
          <c:tx>
            <c:strRef>
              <c:f>List3!$A$8</c:f>
              <c:strCache>
                <c:ptCount val="1"/>
                <c:pt idx="0">
                  <c:v>Vládní </c:v>
                </c:pt>
              </c:strCache>
            </c:strRef>
          </c:tx>
          <c:spPr>
            <a:solidFill>
              <a:srgbClr val="00B05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List3!$B$8:$I$8</c:f>
              <c:numCache>
                <c:formatCode>#,##0" "</c:formatCode>
                <c:ptCount val="8"/>
                <c:pt idx="0">
                  <c:v>8440.8549799999982</c:v>
                </c:pt>
                <c:pt idx="1">
                  <c:v>9308.84</c:v>
                </c:pt>
                <c:pt idx="2">
                  <c:v>11306.490999999991</c:v>
                </c:pt>
                <c:pt idx="3">
                  <c:v>11324.80899999999</c:v>
                </c:pt>
                <c:pt idx="4">
                  <c:v>11835.925679999989</c:v>
                </c:pt>
                <c:pt idx="5">
                  <c:v>11469.111000000001</c:v>
                </c:pt>
                <c:pt idx="6">
                  <c:v>12402.783030000001</c:v>
                </c:pt>
                <c:pt idx="7">
                  <c:v>13322.197999999989</c:v>
                </c:pt>
              </c:numCache>
            </c:numRef>
          </c:val>
        </c:ser>
        <c:ser>
          <c:idx val="2"/>
          <c:order val="2"/>
          <c:tx>
            <c:strRef>
              <c:f>List3!$A$13</c:f>
              <c:strCache>
                <c:ptCount val="1"/>
                <c:pt idx="0">
                  <c:v>Vysokoškolský </c:v>
                </c:pt>
              </c:strCache>
            </c:strRef>
          </c:tx>
          <c:spPr>
            <a:solidFill>
              <a:srgbClr val="FFC00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List3!$B$13:$I$13</c:f>
              <c:numCache>
                <c:formatCode>#,##0" "</c:formatCode>
                <c:ptCount val="8"/>
                <c:pt idx="0">
                  <c:v>6907.46695</c:v>
                </c:pt>
                <c:pt idx="1">
                  <c:v>7918.3319999999976</c:v>
                </c:pt>
                <c:pt idx="2">
                  <c:v>9158.4010000000017</c:v>
                </c:pt>
                <c:pt idx="3">
                  <c:v>9089.8519999999953</c:v>
                </c:pt>
                <c:pt idx="4">
                  <c:v>10022.1</c:v>
                </c:pt>
                <c:pt idx="5">
                  <c:v>10616.060999999991</c:v>
                </c:pt>
                <c:pt idx="6">
                  <c:v>15288.401</c:v>
                </c:pt>
                <c:pt idx="7">
                  <c:v>19878.532999999999</c:v>
                </c:pt>
              </c:numCache>
            </c:numRef>
          </c:val>
        </c:ser>
        <c:ser>
          <c:idx val="3"/>
          <c:order val="3"/>
          <c:tx>
            <c:strRef>
              <c:f>List3!$A$17</c:f>
              <c:strCache>
                <c:ptCount val="1"/>
                <c:pt idx="0">
                  <c:v>Soukromý neziskový</c:v>
                </c:pt>
              </c:strCache>
            </c:strRef>
          </c:tx>
          <c:spPr>
            <a:solidFill>
              <a:schemeClr val="tx1"/>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List3!$B$17:$I$17</c:f>
              <c:numCache>
                <c:formatCode>#,##0" "</c:formatCode>
                <c:ptCount val="8"/>
                <c:pt idx="0">
                  <c:v>193.5135699999999</c:v>
                </c:pt>
                <c:pt idx="1">
                  <c:v>203.57816</c:v>
                </c:pt>
                <c:pt idx="2">
                  <c:v>198.94386</c:v>
                </c:pt>
                <c:pt idx="3">
                  <c:v>208.09669</c:v>
                </c:pt>
                <c:pt idx="4">
                  <c:v>273.83803999999981</c:v>
                </c:pt>
                <c:pt idx="5">
                  <c:v>324.18295000000001</c:v>
                </c:pt>
                <c:pt idx="6">
                  <c:v>345.29234999999989</c:v>
                </c:pt>
                <c:pt idx="7">
                  <c:v>369.39463000000001</c:v>
                </c:pt>
              </c:numCache>
            </c:numRef>
          </c:val>
        </c:ser>
        <c:dLbls>
          <c:showLegendKey val="0"/>
          <c:showVal val="0"/>
          <c:showCatName val="0"/>
          <c:showSerName val="0"/>
          <c:showPercent val="0"/>
          <c:showBubbleSize val="0"/>
        </c:dLbls>
        <c:gapWidth val="75"/>
        <c:overlap val="100"/>
        <c:axId val="111859968"/>
        <c:axId val="111861760"/>
      </c:barChart>
      <c:catAx>
        <c:axId val="111859968"/>
        <c:scaling>
          <c:orientation val="minMax"/>
        </c:scaling>
        <c:delete val="0"/>
        <c:axPos val="b"/>
        <c:numFmt formatCode="####&quot; &quot;" sourceLinked="1"/>
        <c:majorTickMark val="none"/>
        <c:minorTickMark val="none"/>
        <c:tickLblPos val="nextTo"/>
        <c:crossAx val="111861760"/>
        <c:crosses val="autoZero"/>
        <c:auto val="1"/>
        <c:lblAlgn val="ctr"/>
        <c:lblOffset val="100"/>
        <c:noMultiLvlLbl val="0"/>
      </c:catAx>
      <c:valAx>
        <c:axId val="111861760"/>
        <c:scaling>
          <c:orientation val="minMax"/>
        </c:scaling>
        <c:delete val="0"/>
        <c:axPos val="l"/>
        <c:majorGridlines/>
        <c:numFmt formatCode="0%" sourceLinked="1"/>
        <c:majorTickMark val="none"/>
        <c:minorTickMark val="none"/>
        <c:tickLblPos val="nextTo"/>
        <c:spPr>
          <a:ln w="9525">
            <a:noFill/>
          </a:ln>
        </c:spPr>
        <c:crossAx val="111859968"/>
        <c:crosses val="autoZero"/>
        <c:crossBetween val="between"/>
      </c:valAx>
    </c:plotArea>
    <c:legend>
      <c:legendPos val="b"/>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v>Soukromé domácí</c:v>
          </c:tx>
          <c:spPr>
            <a:solidFill>
              <a:srgbClr val="FF0000"/>
            </a:solidFill>
          </c:spPr>
          <c:invertIfNegative val="0"/>
          <c:cat>
            <c:strRef>
              <c:f>(VAV!$A$4;VAV!$A$10;VAV!$A$16)</c:f>
              <c:strCache>
                <c:ptCount val="3"/>
                <c:pt idx="0">
                  <c:v>Podnikatelský</c:v>
                </c:pt>
                <c:pt idx="1">
                  <c:v>Vládní</c:v>
                </c:pt>
                <c:pt idx="2">
                  <c:v>Vysokoškolský</c:v>
                </c:pt>
              </c:strCache>
            </c:strRef>
          </c:cat>
          <c:val>
            <c:numRef>
              <c:f>(VAV!$I$5;VAV!$I$11;VAV!$I$17)</c:f>
              <c:numCache>
                <c:formatCode>#,##0" "</c:formatCode>
                <c:ptCount val="3"/>
                <c:pt idx="0">
                  <c:v>25513.39480000002</c:v>
                </c:pt>
                <c:pt idx="1">
                  <c:v>534.49900000000002</c:v>
                </c:pt>
                <c:pt idx="2">
                  <c:v>158.41499999999999</c:v>
                </c:pt>
              </c:numCache>
            </c:numRef>
          </c:val>
        </c:ser>
        <c:ser>
          <c:idx val="1"/>
          <c:order val="1"/>
          <c:tx>
            <c:v>Soukromé zahraniční</c:v>
          </c:tx>
          <c:spPr>
            <a:solidFill>
              <a:srgbClr val="00B0F0"/>
            </a:solidFill>
          </c:spPr>
          <c:invertIfNegative val="0"/>
          <c:cat>
            <c:strRef>
              <c:f>(VAV!$A$4;VAV!$A$10;VAV!$A$16)</c:f>
              <c:strCache>
                <c:ptCount val="3"/>
                <c:pt idx="0">
                  <c:v>Podnikatelský</c:v>
                </c:pt>
                <c:pt idx="1">
                  <c:v>Vládní</c:v>
                </c:pt>
                <c:pt idx="2">
                  <c:v>Vysokoškolský</c:v>
                </c:pt>
              </c:strCache>
            </c:strRef>
          </c:cat>
          <c:val>
            <c:numRef>
              <c:f>(VAV!$I$6;VAV!$I$12;VAV!$I$18)</c:f>
              <c:numCache>
                <c:formatCode>#,##0" "</c:formatCode>
                <c:ptCount val="3"/>
                <c:pt idx="0">
                  <c:v>5953.5290900000009</c:v>
                </c:pt>
                <c:pt idx="1">
                  <c:v>1179.691</c:v>
                </c:pt>
                <c:pt idx="2">
                  <c:v>3</c:v>
                </c:pt>
              </c:numCache>
            </c:numRef>
          </c:val>
        </c:ser>
        <c:ser>
          <c:idx val="2"/>
          <c:order val="2"/>
          <c:tx>
            <c:v>Veřejné domácí</c:v>
          </c:tx>
          <c:spPr>
            <a:solidFill>
              <a:srgbClr val="00B050"/>
            </a:solidFill>
          </c:spPr>
          <c:invertIfNegative val="0"/>
          <c:cat>
            <c:strRef>
              <c:f>(VAV!$A$4;VAV!$A$10;VAV!$A$16)</c:f>
              <c:strCache>
                <c:ptCount val="3"/>
                <c:pt idx="0">
                  <c:v>Podnikatelský</c:v>
                </c:pt>
                <c:pt idx="1">
                  <c:v>Vládní</c:v>
                </c:pt>
                <c:pt idx="2">
                  <c:v>Vysokoškolský</c:v>
                </c:pt>
              </c:strCache>
            </c:strRef>
          </c:cat>
          <c:val>
            <c:numRef>
              <c:f>(VAV!$I$7;VAV!$I$13;VAV!$I$19)</c:f>
              <c:numCache>
                <c:formatCode>#,##0" "</c:formatCode>
                <c:ptCount val="3"/>
                <c:pt idx="0">
                  <c:v>5327.6870600000047</c:v>
                </c:pt>
                <c:pt idx="1">
                  <c:v>9483.1959999999963</c:v>
                </c:pt>
                <c:pt idx="2">
                  <c:v>11640.232999999989</c:v>
                </c:pt>
              </c:numCache>
            </c:numRef>
          </c:val>
        </c:ser>
        <c:ser>
          <c:idx val="3"/>
          <c:order val="3"/>
          <c:tx>
            <c:v>Veřejné zahraniční</c:v>
          </c:tx>
          <c:spPr>
            <a:solidFill>
              <a:srgbClr val="FFC000"/>
            </a:solidFill>
          </c:spPr>
          <c:invertIfNegative val="0"/>
          <c:cat>
            <c:strRef>
              <c:f>(VAV!$A$4;VAV!$A$10;VAV!$A$16)</c:f>
              <c:strCache>
                <c:ptCount val="3"/>
                <c:pt idx="0">
                  <c:v>Podnikatelský</c:v>
                </c:pt>
                <c:pt idx="1">
                  <c:v>Vládní</c:v>
                </c:pt>
                <c:pt idx="2">
                  <c:v>Vysokoškolský</c:v>
                </c:pt>
              </c:strCache>
            </c:strRef>
          </c:cat>
          <c:val>
            <c:numRef>
              <c:f>(VAV!$I$8;VAV!$I$14;VAV!$I$20)</c:f>
              <c:numCache>
                <c:formatCode>#,##0" "</c:formatCode>
                <c:ptCount val="3"/>
                <c:pt idx="0">
                  <c:v>1979.2783799999991</c:v>
                </c:pt>
                <c:pt idx="1">
                  <c:v>2118.366</c:v>
                </c:pt>
                <c:pt idx="2">
                  <c:v>7442.9139999999961</c:v>
                </c:pt>
              </c:numCache>
            </c:numRef>
          </c:val>
        </c:ser>
        <c:ser>
          <c:idx val="4"/>
          <c:order val="4"/>
          <c:tx>
            <c:v>Ostatní</c:v>
          </c:tx>
          <c:spPr>
            <a:solidFill>
              <a:schemeClr val="tx1"/>
            </a:solidFill>
          </c:spPr>
          <c:invertIfNegative val="0"/>
          <c:cat>
            <c:strRef>
              <c:f>(VAV!$A$4;VAV!$A$10;VAV!$A$16)</c:f>
              <c:strCache>
                <c:ptCount val="3"/>
                <c:pt idx="0">
                  <c:v>Podnikatelský</c:v>
                </c:pt>
                <c:pt idx="1">
                  <c:v>Vládní</c:v>
                </c:pt>
                <c:pt idx="2">
                  <c:v>Vysokoškolský</c:v>
                </c:pt>
              </c:strCache>
            </c:strRef>
          </c:cat>
          <c:val>
            <c:numRef>
              <c:f>(VAV!$I$9;VAV!$I$15;VAV!$I$21)</c:f>
              <c:numCache>
                <c:formatCode>#,##0" "</c:formatCode>
                <c:ptCount val="3"/>
                <c:pt idx="0">
                  <c:v>16.29243</c:v>
                </c:pt>
                <c:pt idx="1">
                  <c:v>6.4459999999999997</c:v>
                </c:pt>
                <c:pt idx="2">
                  <c:v>633.97099999999966</c:v>
                </c:pt>
              </c:numCache>
            </c:numRef>
          </c:val>
        </c:ser>
        <c:dLbls>
          <c:showLegendKey val="0"/>
          <c:showVal val="0"/>
          <c:showCatName val="0"/>
          <c:showSerName val="0"/>
          <c:showPercent val="0"/>
          <c:showBubbleSize val="0"/>
        </c:dLbls>
        <c:gapWidth val="75"/>
        <c:overlap val="100"/>
        <c:axId val="95324800"/>
        <c:axId val="95334784"/>
      </c:barChart>
      <c:catAx>
        <c:axId val="95324800"/>
        <c:scaling>
          <c:orientation val="minMax"/>
        </c:scaling>
        <c:delete val="0"/>
        <c:axPos val="b"/>
        <c:majorTickMark val="none"/>
        <c:minorTickMark val="none"/>
        <c:tickLblPos val="nextTo"/>
        <c:crossAx val="95334784"/>
        <c:crosses val="autoZero"/>
        <c:auto val="1"/>
        <c:lblAlgn val="ctr"/>
        <c:lblOffset val="100"/>
        <c:noMultiLvlLbl val="0"/>
      </c:catAx>
      <c:valAx>
        <c:axId val="95334784"/>
        <c:scaling>
          <c:orientation val="minMax"/>
        </c:scaling>
        <c:delete val="0"/>
        <c:axPos val="l"/>
        <c:majorGridlines/>
        <c:numFmt formatCode="0%" sourceLinked="1"/>
        <c:majorTickMark val="none"/>
        <c:minorTickMark val="none"/>
        <c:tickLblPos val="nextTo"/>
        <c:spPr>
          <a:ln w="9525">
            <a:noFill/>
          </a:ln>
        </c:spPr>
        <c:crossAx val="95324800"/>
        <c:crosses val="autoZero"/>
        <c:crossBetween val="between"/>
      </c:valAx>
    </c:plotArea>
    <c:legend>
      <c:legendPos val="b"/>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69345567341301"/>
          <c:y val="4.9831775965167698E-2"/>
          <c:w val="0.84406412008416298"/>
          <c:h val="0.70625237501877902"/>
        </c:manualLayout>
      </c:layout>
      <c:barChart>
        <c:barDir val="col"/>
        <c:grouping val="clustered"/>
        <c:varyColors val="0"/>
        <c:ser>
          <c:idx val="0"/>
          <c:order val="0"/>
          <c:invertIfNegative val="0"/>
          <c:dPt>
            <c:idx val="0"/>
            <c:invertIfNegative val="0"/>
            <c:bubble3D val="0"/>
            <c:spPr>
              <a:solidFill>
                <a:srgbClr val="FFC000"/>
              </a:solidFill>
            </c:spPr>
          </c:dPt>
          <c:dPt>
            <c:idx val="1"/>
            <c:invertIfNegative val="0"/>
            <c:bubble3D val="0"/>
            <c:spPr>
              <a:solidFill>
                <a:srgbClr val="FFC000"/>
              </a:solidFill>
            </c:spPr>
          </c:dPt>
          <c:dPt>
            <c:idx val="2"/>
            <c:invertIfNegative val="0"/>
            <c:bubble3D val="0"/>
            <c:spPr>
              <a:solidFill>
                <a:srgbClr val="FFC000"/>
              </a:solidFill>
            </c:spPr>
          </c:dPt>
          <c:dPt>
            <c:idx val="3"/>
            <c:invertIfNegative val="0"/>
            <c:bubble3D val="0"/>
            <c:spPr>
              <a:solidFill>
                <a:srgbClr val="FF0000"/>
              </a:solidFill>
            </c:spPr>
          </c:dPt>
          <c:dPt>
            <c:idx val="4"/>
            <c:invertIfNegative val="0"/>
            <c:bubble3D val="0"/>
            <c:spPr>
              <a:solidFill>
                <a:srgbClr val="FF0000"/>
              </a:solidFill>
            </c:spPr>
          </c:dPt>
          <c:dPt>
            <c:idx val="5"/>
            <c:invertIfNegative val="0"/>
            <c:bubble3D val="0"/>
            <c:spPr>
              <a:solidFill>
                <a:srgbClr val="FF0000"/>
              </a:solidFill>
            </c:spPr>
          </c:dPt>
          <c:dPt>
            <c:idx val="6"/>
            <c:invertIfNegative val="0"/>
            <c:bubble3D val="0"/>
            <c:spPr>
              <a:solidFill>
                <a:srgbClr val="FF0000"/>
              </a:solidFill>
            </c:spPr>
          </c:dPt>
          <c:dPt>
            <c:idx val="7"/>
            <c:invertIfNegative val="0"/>
            <c:bubble3D val="0"/>
            <c:spPr>
              <a:solidFill>
                <a:srgbClr val="FF0000"/>
              </a:solidFill>
            </c:spPr>
          </c:dPt>
          <c:dPt>
            <c:idx val="8"/>
            <c:invertIfNegative val="0"/>
            <c:bubble3D val="0"/>
            <c:spPr>
              <a:solidFill>
                <a:srgbClr val="FF0000"/>
              </a:solidFill>
            </c:spPr>
          </c:dPt>
          <c:dPt>
            <c:idx val="9"/>
            <c:invertIfNegative val="0"/>
            <c:bubble3D val="0"/>
            <c:spPr>
              <a:solidFill>
                <a:srgbClr val="FF0000"/>
              </a:solidFill>
            </c:spPr>
          </c:dPt>
          <c:dPt>
            <c:idx val="10"/>
            <c:invertIfNegative val="0"/>
            <c:bubble3D val="0"/>
            <c:spPr>
              <a:solidFill>
                <a:srgbClr val="FF0000"/>
              </a:solidFill>
            </c:spPr>
          </c:dPt>
          <c:dPt>
            <c:idx val="11"/>
            <c:invertIfNegative val="0"/>
            <c:bubble3D val="0"/>
            <c:spPr>
              <a:solidFill>
                <a:srgbClr val="FF0000"/>
              </a:solidFill>
            </c:spPr>
          </c:dPt>
          <c:dPt>
            <c:idx val="12"/>
            <c:invertIfNegative val="0"/>
            <c:bubble3D val="0"/>
            <c:spPr>
              <a:solidFill>
                <a:srgbClr val="FF0000"/>
              </a:solidFill>
              <a:ln w="12700">
                <a:noFill/>
              </a:ln>
            </c:spPr>
          </c:dPt>
          <c:dPt>
            <c:idx val="13"/>
            <c:invertIfNegative val="0"/>
            <c:bubble3D val="0"/>
            <c:spPr>
              <a:solidFill>
                <a:srgbClr val="FF0000"/>
              </a:solidFill>
            </c:spPr>
          </c:dPt>
          <c:dPt>
            <c:idx val="14"/>
            <c:invertIfNegative val="0"/>
            <c:bubble3D val="0"/>
            <c:spPr>
              <a:solidFill>
                <a:srgbClr val="0070C0"/>
              </a:solidFill>
            </c:spPr>
          </c:dPt>
          <c:dPt>
            <c:idx val="15"/>
            <c:invertIfNegative val="0"/>
            <c:bubble3D val="0"/>
            <c:spPr>
              <a:solidFill>
                <a:srgbClr val="0070C0"/>
              </a:solidFill>
            </c:spPr>
          </c:dPt>
          <c:dPt>
            <c:idx val="16"/>
            <c:invertIfNegative val="0"/>
            <c:bubble3D val="0"/>
            <c:spPr>
              <a:solidFill>
                <a:srgbClr val="0070C0"/>
              </a:solidFill>
            </c:spPr>
          </c:dPt>
          <c:dPt>
            <c:idx val="17"/>
            <c:invertIfNegative val="0"/>
            <c:bubble3D val="0"/>
            <c:spPr>
              <a:solidFill>
                <a:schemeClr val="tx1"/>
              </a:solidFill>
            </c:spPr>
          </c:dPt>
          <c:dPt>
            <c:idx val="18"/>
            <c:invertIfNegative val="0"/>
            <c:bubble3D val="0"/>
            <c:spPr>
              <a:solidFill>
                <a:srgbClr val="0070C0"/>
              </a:solidFill>
            </c:spPr>
          </c:dPt>
          <c:dPt>
            <c:idx val="19"/>
            <c:invertIfNegative val="0"/>
            <c:bubble3D val="0"/>
            <c:spPr>
              <a:solidFill>
                <a:srgbClr val="0070C0"/>
              </a:solidFill>
            </c:spPr>
          </c:dPt>
          <c:dPt>
            <c:idx val="20"/>
            <c:invertIfNegative val="0"/>
            <c:bubble3D val="0"/>
            <c:spPr>
              <a:solidFill>
                <a:srgbClr val="0070C0"/>
              </a:solidFill>
            </c:spPr>
          </c:dPt>
          <c:dPt>
            <c:idx val="21"/>
            <c:invertIfNegative val="0"/>
            <c:bubble3D val="0"/>
            <c:spPr>
              <a:solidFill>
                <a:srgbClr val="0070C0"/>
              </a:solidFill>
            </c:spPr>
          </c:dPt>
          <c:dPt>
            <c:idx val="22"/>
            <c:invertIfNegative val="0"/>
            <c:bubble3D val="0"/>
            <c:spPr>
              <a:solidFill>
                <a:srgbClr val="0070C0"/>
              </a:solidFill>
            </c:spPr>
          </c:dPt>
          <c:dPt>
            <c:idx val="23"/>
            <c:invertIfNegative val="0"/>
            <c:bubble3D val="0"/>
            <c:spPr>
              <a:solidFill>
                <a:srgbClr val="0070C0"/>
              </a:solidFill>
            </c:spPr>
          </c:dPt>
          <c:dPt>
            <c:idx val="24"/>
            <c:invertIfNegative val="0"/>
            <c:bubble3D val="0"/>
            <c:spPr>
              <a:solidFill>
                <a:srgbClr val="0070C0"/>
              </a:solidFill>
            </c:spPr>
          </c:dPt>
          <c:dPt>
            <c:idx val="25"/>
            <c:invertIfNegative val="0"/>
            <c:bubble3D val="0"/>
            <c:spPr>
              <a:solidFill>
                <a:srgbClr val="00B050"/>
              </a:solidFill>
            </c:spPr>
          </c:dPt>
          <c:dPt>
            <c:idx val="26"/>
            <c:invertIfNegative val="0"/>
            <c:bubble3D val="0"/>
            <c:spPr>
              <a:solidFill>
                <a:srgbClr val="00B050"/>
              </a:solidFill>
            </c:spPr>
          </c:dPt>
          <c:dPt>
            <c:idx val="27"/>
            <c:invertIfNegative val="0"/>
            <c:bubble3D val="0"/>
            <c:spPr>
              <a:solidFill>
                <a:srgbClr val="00B050"/>
              </a:solidFill>
            </c:spPr>
          </c:dPt>
          <c:dPt>
            <c:idx val="28"/>
            <c:invertIfNegative val="0"/>
            <c:bubble3D val="0"/>
            <c:spPr>
              <a:solidFill>
                <a:srgbClr val="00B050"/>
              </a:solidFill>
            </c:spPr>
          </c:dPt>
          <c:cat>
            <c:strRef>
              <c:f>List4!$A$2:$A$30</c:f>
              <c:strCache>
                <c:ptCount val="29"/>
                <c:pt idx="0">
                  <c:v>BG</c:v>
                </c:pt>
                <c:pt idx="1">
                  <c:v>LV</c:v>
                </c:pt>
                <c:pt idx="2">
                  <c:v>RO</c:v>
                </c:pt>
                <c:pt idx="3">
                  <c:v>PL</c:v>
                </c:pt>
                <c:pt idx="4">
                  <c:v>LT</c:v>
                </c:pt>
                <c:pt idx="5">
                  <c:v>HR</c:v>
                </c:pt>
                <c:pt idx="6">
                  <c:v>MT</c:v>
                </c:pt>
                <c:pt idx="7">
                  <c:v>SK</c:v>
                </c:pt>
                <c:pt idx="8">
                  <c:v>HU</c:v>
                </c:pt>
                <c:pt idx="9">
                  <c:v>EL</c:v>
                </c:pt>
                <c:pt idx="10">
                  <c:v>PT</c:v>
                </c:pt>
                <c:pt idx="11">
                  <c:v>ES</c:v>
                </c:pt>
                <c:pt idx="12">
                  <c:v>CZ</c:v>
                </c:pt>
                <c:pt idx="13">
                  <c:v>IT</c:v>
                </c:pt>
                <c:pt idx="14">
                  <c:v>CY</c:v>
                </c:pt>
                <c:pt idx="15">
                  <c:v>EE</c:v>
                </c:pt>
                <c:pt idx="16">
                  <c:v>SI</c:v>
                </c:pt>
                <c:pt idx="17">
                  <c:v>EU</c:v>
                </c:pt>
                <c:pt idx="18">
                  <c:v>FR</c:v>
                </c:pt>
                <c:pt idx="19">
                  <c:v>AT</c:v>
                </c:pt>
                <c:pt idx="20">
                  <c:v>IE</c:v>
                </c:pt>
                <c:pt idx="21">
                  <c:v>UK</c:v>
                </c:pt>
                <c:pt idx="22">
                  <c:v>BE</c:v>
                </c:pt>
                <c:pt idx="23">
                  <c:v>NL</c:v>
                </c:pt>
                <c:pt idx="24">
                  <c:v>LU</c:v>
                </c:pt>
                <c:pt idx="25">
                  <c:v>FI</c:v>
                </c:pt>
                <c:pt idx="26">
                  <c:v>DE</c:v>
                </c:pt>
                <c:pt idx="27">
                  <c:v>DK</c:v>
                </c:pt>
                <c:pt idx="28">
                  <c:v>SE</c:v>
                </c:pt>
              </c:strCache>
            </c:strRef>
          </c:cat>
          <c:val>
            <c:numRef>
              <c:f>List4!$B$2:$B$30</c:f>
              <c:numCache>
                <c:formatCode>0.000</c:formatCode>
                <c:ptCount val="29"/>
                <c:pt idx="0">
                  <c:v>0.18808550037335101</c:v>
                </c:pt>
                <c:pt idx="1">
                  <c:v>0.22098977399603301</c:v>
                </c:pt>
                <c:pt idx="2">
                  <c:v>0.23675015023881699</c:v>
                </c:pt>
                <c:pt idx="3">
                  <c:v>0.279459435889712</c:v>
                </c:pt>
                <c:pt idx="4">
                  <c:v>0.28855554948165701</c:v>
                </c:pt>
                <c:pt idx="5">
                  <c:v>0.30594849856383199</c:v>
                </c:pt>
                <c:pt idx="6">
                  <c:v>0.31915428439737398</c:v>
                </c:pt>
                <c:pt idx="7">
                  <c:v>0.32839909699738301</c:v>
                </c:pt>
                <c:pt idx="8">
                  <c:v>0.35143812671514102</c:v>
                </c:pt>
                <c:pt idx="9">
                  <c:v>0.38441011607827702</c:v>
                </c:pt>
                <c:pt idx="10">
                  <c:v>0.409612768626265</c:v>
                </c:pt>
                <c:pt idx="11">
                  <c:v>0.41384187505748998</c:v>
                </c:pt>
                <c:pt idx="12">
                  <c:v>0.42178993919841501</c:v>
                </c:pt>
                <c:pt idx="13">
                  <c:v>0.442923105225003</c:v>
                </c:pt>
                <c:pt idx="14">
                  <c:v>0.50068190831830595</c:v>
                </c:pt>
                <c:pt idx="15">
                  <c:v>0.50216944913373995</c:v>
                </c:pt>
                <c:pt idx="16">
                  <c:v>0.51275681814675</c:v>
                </c:pt>
                <c:pt idx="17">
                  <c:v>0.55386229818231403</c:v>
                </c:pt>
                <c:pt idx="18">
                  <c:v>0.57074033912856004</c:v>
                </c:pt>
                <c:pt idx="19">
                  <c:v>0.59909146637092603</c:v>
                </c:pt>
                <c:pt idx="20">
                  <c:v>0.60587268248579695</c:v>
                </c:pt>
                <c:pt idx="21">
                  <c:v>0.61296170133263805</c:v>
                </c:pt>
                <c:pt idx="22">
                  <c:v>0.62700206454644802</c:v>
                </c:pt>
                <c:pt idx="23">
                  <c:v>0.62886710482651298</c:v>
                </c:pt>
                <c:pt idx="24">
                  <c:v>0.64599300080998401</c:v>
                </c:pt>
                <c:pt idx="25">
                  <c:v>0.68370264737159003</c:v>
                </c:pt>
                <c:pt idx="26">
                  <c:v>0.70876573464082104</c:v>
                </c:pt>
                <c:pt idx="27">
                  <c:v>0.72829263647188003</c:v>
                </c:pt>
                <c:pt idx="28">
                  <c:v>0.75018579329785695</c:v>
                </c:pt>
              </c:numCache>
            </c:numRef>
          </c:val>
        </c:ser>
        <c:dLbls>
          <c:showLegendKey val="0"/>
          <c:showVal val="0"/>
          <c:showCatName val="0"/>
          <c:showSerName val="0"/>
          <c:showPercent val="0"/>
          <c:showBubbleSize val="0"/>
        </c:dLbls>
        <c:gapWidth val="75"/>
        <c:overlap val="-25"/>
        <c:axId val="111980544"/>
        <c:axId val="111982080"/>
      </c:barChart>
      <c:catAx>
        <c:axId val="111980544"/>
        <c:scaling>
          <c:orientation val="minMax"/>
        </c:scaling>
        <c:delete val="0"/>
        <c:axPos val="b"/>
        <c:majorTickMark val="none"/>
        <c:minorTickMark val="none"/>
        <c:tickLblPos val="nextTo"/>
        <c:txPr>
          <a:bodyPr/>
          <a:lstStyle/>
          <a:p>
            <a:pPr>
              <a:defRPr sz="800"/>
            </a:pPr>
            <a:endParaRPr lang="cs-CZ"/>
          </a:p>
        </c:txPr>
        <c:crossAx val="111982080"/>
        <c:crosses val="autoZero"/>
        <c:auto val="1"/>
        <c:lblAlgn val="ctr"/>
        <c:lblOffset val="100"/>
        <c:noMultiLvlLbl val="0"/>
      </c:catAx>
      <c:valAx>
        <c:axId val="111982080"/>
        <c:scaling>
          <c:orientation val="minMax"/>
        </c:scaling>
        <c:delete val="0"/>
        <c:axPos val="l"/>
        <c:majorGridlines/>
        <c:title>
          <c:tx>
            <c:rich>
              <a:bodyPr rot="-5400000" vert="horz"/>
              <a:lstStyle/>
              <a:p>
                <a:pPr>
                  <a:defRPr/>
                </a:pPr>
                <a:r>
                  <a:rPr lang="cs-CZ"/>
                  <a:t>Inovační index</a:t>
                </a:r>
              </a:p>
            </c:rich>
          </c:tx>
          <c:overlay val="0"/>
        </c:title>
        <c:numFmt formatCode="0.000" sourceLinked="1"/>
        <c:majorTickMark val="none"/>
        <c:minorTickMark val="none"/>
        <c:tickLblPos val="nextTo"/>
        <c:spPr>
          <a:ln w="9525">
            <a:noFill/>
          </a:ln>
        </c:spPr>
        <c:crossAx val="111980544"/>
        <c:crosses val="autoZero"/>
        <c:crossBetween val="between"/>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57150">
              <a:solidFill>
                <a:srgbClr val="FF0000"/>
              </a:solidFill>
            </a:ln>
          </c:spPr>
          <c:marker>
            <c:symbol val="none"/>
          </c:marker>
          <c:cat>
            <c:numRef>
              <c:f>List1!$B$1:$BT$1</c:f>
              <c:numCache>
                <c:formatCode>General</c:formatCode>
                <c:ptCount val="71"/>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pt idx="15">
                  <c:v>2025</c:v>
                </c:pt>
                <c:pt idx="16">
                  <c:v>2026</c:v>
                </c:pt>
                <c:pt idx="17">
                  <c:v>2027</c:v>
                </c:pt>
                <c:pt idx="18">
                  <c:v>2028</c:v>
                </c:pt>
                <c:pt idx="19">
                  <c:v>2029</c:v>
                </c:pt>
                <c:pt idx="20">
                  <c:v>2030</c:v>
                </c:pt>
                <c:pt idx="21">
                  <c:v>2031</c:v>
                </c:pt>
                <c:pt idx="22">
                  <c:v>2032</c:v>
                </c:pt>
                <c:pt idx="23">
                  <c:v>2033</c:v>
                </c:pt>
                <c:pt idx="24">
                  <c:v>2034</c:v>
                </c:pt>
                <c:pt idx="25">
                  <c:v>2035</c:v>
                </c:pt>
                <c:pt idx="26">
                  <c:v>2036</c:v>
                </c:pt>
                <c:pt idx="27">
                  <c:v>2037</c:v>
                </c:pt>
                <c:pt idx="28">
                  <c:v>2038</c:v>
                </c:pt>
                <c:pt idx="29">
                  <c:v>2039</c:v>
                </c:pt>
                <c:pt idx="30">
                  <c:v>2040</c:v>
                </c:pt>
                <c:pt idx="31">
                  <c:v>2041</c:v>
                </c:pt>
                <c:pt idx="32">
                  <c:v>2042</c:v>
                </c:pt>
                <c:pt idx="33">
                  <c:v>2043</c:v>
                </c:pt>
                <c:pt idx="34">
                  <c:v>2044</c:v>
                </c:pt>
                <c:pt idx="35">
                  <c:v>2045</c:v>
                </c:pt>
                <c:pt idx="36">
                  <c:v>2046</c:v>
                </c:pt>
                <c:pt idx="37">
                  <c:v>2047</c:v>
                </c:pt>
                <c:pt idx="38">
                  <c:v>2048</c:v>
                </c:pt>
                <c:pt idx="39">
                  <c:v>2049</c:v>
                </c:pt>
                <c:pt idx="40">
                  <c:v>2050</c:v>
                </c:pt>
                <c:pt idx="41">
                  <c:v>2051</c:v>
                </c:pt>
                <c:pt idx="42">
                  <c:v>2052</c:v>
                </c:pt>
                <c:pt idx="43">
                  <c:v>2053</c:v>
                </c:pt>
                <c:pt idx="44">
                  <c:v>2054</c:v>
                </c:pt>
                <c:pt idx="45">
                  <c:v>2055</c:v>
                </c:pt>
                <c:pt idx="46">
                  <c:v>2056</c:v>
                </c:pt>
                <c:pt idx="47">
                  <c:v>2057</c:v>
                </c:pt>
                <c:pt idx="48">
                  <c:v>2058</c:v>
                </c:pt>
                <c:pt idx="49">
                  <c:v>2059</c:v>
                </c:pt>
                <c:pt idx="50">
                  <c:v>2060</c:v>
                </c:pt>
                <c:pt idx="51">
                  <c:v>2061</c:v>
                </c:pt>
                <c:pt idx="52">
                  <c:v>2062</c:v>
                </c:pt>
                <c:pt idx="53">
                  <c:v>2063</c:v>
                </c:pt>
                <c:pt idx="54">
                  <c:v>2064</c:v>
                </c:pt>
                <c:pt idx="55">
                  <c:v>2065</c:v>
                </c:pt>
                <c:pt idx="56">
                  <c:v>2066</c:v>
                </c:pt>
                <c:pt idx="57">
                  <c:v>2067</c:v>
                </c:pt>
                <c:pt idx="58">
                  <c:v>2068</c:v>
                </c:pt>
                <c:pt idx="59">
                  <c:v>2069</c:v>
                </c:pt>
                <c:pt idx="60">
                  <c:v>2070</c:v>
                </c:pt>
                <c:pt idx="61">
                  <c:v>2071</c:v>
                </c:pt>
                <c:pt idx="62">
                  <c:v>2072</c:v>
                </c:pt>
                <c:pt idx="63">
                  <c:v>2073</c:v>
                </c:pt>
                <c:pt idx="64">
                  <c:v>2074</c:v>
                </c:pt>
                <c:pt idx="65">
                  <c:v>2075</c:v>
                </c:pt>
                <c:pt idx="66">
                  <c:v>2076</c:v>
                </c:pt>
                <c:pt idx="67">
                  <c:v>2077</c:v>
                </c:pt>
                <c:pt idx="68">
                  <c:v>2078</c:v>
                </c:pt>
                <c:pt idx="69">
                  <c:v>2079</c:v>
                </c:pt>
                <c:pt idx="70">
                  <c:v>2080</c:v>
                </c:pt>
              </c:numCache>
            </c:numRef>
          </c:cat>
          <c:val>
            <c:numRef>
              <c:f>List1!$B$2:$BT$2</c:f>
              <c:numCache>
                <c:formatCode>General</c:formatCode>
                <c:ptCount val="71"/>
                <c:pt idx="0">
                  <c:v>-0.96394252270954905</c:v>
                </c:pt>
                <c:pt idx="1">
                  <c:v>-1.174146160961103</c:v>
                </c:pt>
                <c:pt idx="2" formatCode="#,##0.00">
                  <c:v>-1.320785051398871</c:v>
                </c:pt>
                <c:pt idx="3" formatCode="#,##0.00">
                  <c:v>-1.156308860583799</c:v>
                </c:pt>
                <c:pt idx="4" formatCode="#,##0.00">
                  <c:v>-0.97541684956034902</c:v>
                </c:pt>
                <c:pt idx="5" formatCode="#,##0.00">
                  <c:v>-0.87288901203380898</c:v>
                </c:pt>
                <c:pt idx="6" formatCode="#,##0.00">
                  <c:v>-0.689211314961372</c:v>
                </c:pt>
                <c:pt idx="7" formatCode="#,##0.00">
                  <c:v>-0.55256691983824902</c:v>
                </c:pt>
                <c:pt idx="8" formatCode="#,##0.00">
                  <c:v>-0.52011778644907602</c:v>
                </c:pt>
                <c:pt idx="9" formatCode="#,##0.00">
                  <c:v>-0.41281368839667099</c:v>
                </c:pt>
                <c:pt idx="10" formatCode="#,##0.00">
                  <c:v>-0.41476375525370801</c:v>
                </c:pt>
                <c:pt idx="11" formatCode="#,##0.00">
                  <c:v>-0.31045469132090198</c:v>
                </c:pt>
                <c:pt idx="12" formatCode="#,##0.00">
                  <c:v>-0.27275677288661399</c:v>
                </c:pt>
                <c:pt idx="13" formatCode="#,##0.00">
                  <c:v>-0.18777824505898999</c:v>
                </c:pt>
                <c:pt idx="14" formatCode="#,##0.00">
                  <c:v>-0.16715920835763201</c:v>
                </c:pt>
                <c:pt idx="15" formatCode="#,##0.00">
                  <c:v>-8.1734139936813693E-2</c:v>
                </c:pt>
                <c:pt idx="16" formatCode="#,##0.00">
                  <c:v>-1.1851361397196499E-2</c:v>
                </c:pt>
                <c:pt idx="17" formatCode="#,##0.00">
                  <c:v>9.7528461607977499E-2</c:v>
                </c:pt>
                <c:pt idx="18" formatCode="#,##0.00">
                  <c:v>0.11472212482774299</c:v>
                </c:pt>
                <c:pt idx="19" formatCode="#,##0.00">
                  <c:v>0.174960410611633</c:v>
                </c:pt>
                <c:pt idx="20" formatCode="#,##0.00">
                  <c:v>0.23649620954176101</c:v>
                </c:pt>
                <c:pt idx="21" formatCode="#,##0.00">
                  <c:v>0.33261087687261298</c:v>
                </c:pt>
                <c:pt idx="22" formatCode="#,##0.00">
                  <c:v>0.37030988001024101</c:v>
                </c:pt>
                <c:pt idx="23" formatCode="#,##0.00">
                  <c:v>0.42780974301089297</c:v>
                </c:pt>
                <c:pt idx="24" formatCode="#,##0.00">
                  <c:v>0.46920956052371299</c:v>
                </c:pt>
                <c:pt idx="25" formatCode="#,##0.00">
                  <c:v>0.48566911425761</c:v>
                </c:pt>
                <c:pt idx="26" formatCode="#,##0.00">
                  <c:v>0.45297777530212602</c:v>
                </c:pt>
                <c:pt idx="27" formatCode="#,##0.00">
                  <c:v>0.38268255409555102</c:v>
                </c:pt>
                <c:pt idx="28" formatCode="#,##0.00">
                  <c:v>0.35050509645872102</c:v>
                </c:pt>
                <c:pt idx="29" formatCode="#,##0.00">
                  <c:v>0.22812824015201399</c:v>
                </c:pt>
                <c:pt idx="30" formatCode="#,##0.00">
                  <c:v>9.3669618768356805E-2</c:v>
                </c:pt>
                <c:pt idx="31" formatCode="#,##0.00">
                  <c:v>9.6259196122837704E-2</c:v>
                </c:pt>
                <c:pt idx="32" formatCode="#,##0.00">
                  <c:v>-5.58330599797809E-2</c:v>
                </c:pt>
                <c:pt idx="33" formatCode="#,##0.00">
                  <c:v>-0.16120799155392601</c:v>
                </c:pt>
                <c:pt idx="34" formatCode="#,##0.00">
                  <c:v>-0.36085854079034702</c:v>
                </c:pt>
                <c:pt idx="35" formatCode="#,##0.00">
                  <c:v>-0.49811275023005003</c:v>
                </c:pt>
                <c:pt idx="36" formatCode="#,##0.00">
                  <c:v>-0.65269127214575395</c:v>
                </c:pt>
                <c:pt idx="37" formatCode="#,##0.00">
                  <c:v>-0.75841663655003</c:v>
                </c:pt>
                <c:pt idx="38" formatCode="#,##0.00">
                  <c:v>-0.78904352615334405</c:v>
                </c:pt>
                <c:pt idx="39" formatCode="#,##0.00">
                  <c:v>-0.86501386938240599</c:v>
                </c:pt>
                <c:pt idx="40" formatCode="#,##0.00">
                  <c:v>-0.87373926132512503</c:v>
                </c:pt>
                <c:pt idx="41" formatCode="#,##0.00">
                  <c:v>-0.93718813940259704</c:v>
                </c:pt>
                <c:pt idx="42" formatCode="#,##0.00">
                  <c:v>-1.022907711429464</c:v>
                </c:pt>
                <c:pt idx="43" formatCode="#,##0.00">
                  <c:v>-1.098995569776992</c:v>
                </c:pt>
                <c:pt idx="44" formatCode="#,##0.00">
                  <c:v>-1.0934455502949361</c:v>
                </c:pt>
                <c:pt idx="45" formatCode="#,##0.00">
                  <c:v>-1.1402315692932701</c:v>
                </c:pt>
                <c:pt idx="46" formatCode="#,##0.00">
                  <c:v>-1.1552387253535621</c:v>
                </c:pt>
                <c:pt idx="47" formatCode="#,##0.00">
                  <c:v>-1.2212174563000791</c:v>
                </c:pt>
                <c:pt idx="48" formatCode="#,##0.00">
                  <c:v>-1.275607099110291</c:v>
                </c:pt>
                <c:pt idx="49" formatCode="#,##0.00">
                  <c:v>-1.350074817929324</c:v>
                </c:pt>
                <c:pt idx="50" formatCode="#,##0.00">
                  <c:v>-1.4275196152506491</c:v>
                </c:pt>
                <c:pt idx="51" formatCode="#,##0.00">
                  <c:v>-1.4227959051274801</c:v>
                </c:pt>
                <c:pt idx="52" formatCode="#,##0.00">
                  <c:v>-1.3222289197933179</c:v>
                </c:pt>
                <c:pt idx="53" formatCode="#,##0.00">
                  <c:v>-1.3025336150738609</c:v>
                </c:pt>
                <c:pt idx="54" formatCode="#,##0.00">
                  <c:v>-1.208054945562707</c:v>
                </c:pt>
                <c:pt idx="55" formatCode="#,##0.00">
                  <c:v>-1.153528241517364</c:v>
                </c:pt>
                <c:pt idx="56" formatCode="#,##0.00">
                  <c:v>-1.137809324095576</c:v>
                </c:pt>
                <c:pt idx="57" formatCode="#,##0.00">
                  <c:v>-1.029714581529102</c:v>
                </c:pt>
                <c:pt idx="58" formatCode="#,##0.00">
                  <c:v>-0.92394473464913396</c:v>
                </c:pt>
                <c:pt idx="59" formatCode="#,##0.00">
                  <c:v>-0.89211713363548795</c:v>
                </c:pt>
                <c:pt idx="60" formatCode="#,##0.00">
                  <c:v>-0.86649272604976202</c:v>
                </c:pt>
                <c:pt idx="61" formatCode="#,##0.00">
                  <c:v>-0.85939688235642397</c:v>
                </c:pt>
                <c:pt idx="62" formatCode="#,##0.00">
                  <c:v>-0.90593173031959895</c:v>
                </c:pt>
                <c:pt idx="63" formatCode="#,##0.00">
                  <c:v>-0.88000410656592298</c:v>
                </c:pt>
                <c:pt idx="64" formatCode="#,##0.00">
                  <c:v>-0.87507300609998795</c:v>
                </c:pt>
                <c:pt idx="65" formatCode="#,##0.00">
                  <c:v>-0.831069197276331</c:v>
                </c:pt>
                <c:pt idx="66" formatCode="#,##0.00">
                  <c:v>-0.86217619138354895</c:v>
                </c:pt>
                <c:pt idx="67" formatCode="#,##0.00">
                  <c:v>-0.78859398722513896</c:v>
                </c:pt>
                <c:pt idx="68" formatCode="#,##0.00">
                  <c:v>-0.83175927587166598</c:v>
                </c:pt>
                <c:pt idx="69" formatCode="#,##0.00">
                  <c:v>-0.90123777849672704</c:v>
                </c:pt>
                <c:pt idx="70" formatCode="#,##0.00">
                  <c:v>-1.0647529861246461</c:v>
                </c:pt>
              </c:numCache>
            </c:numRef>
          </c:val>
          <c:smooth val="0"/>
        </c:ser>
        <c:dLbls>
          <c:showLegendKey val="0"/>
          <c:showVal val="0"/>
          <c:showCatName val="0"/>
          <c:showSerName val="0"/>
          <c:showPercent val="0"/>
          <c:showBubbleSize val="0"/>
        </c:dLbls>
        <c:marker val="1"/>
        <c:smooth val="0"/>
        <c:axId val="93506176"/>
        <c:axId val="93516160"/>
      </c:lineChart>
      <c:catAx>
        <c:axId val="93506176"/>
        <c:scaling>
          <c:orientation val="minMax"/>
        </c:scaling>
        <c:delete val="0"/>
        <c:axPos val="b"/>
        <c:numFmt formatCode="General" sourceLinked="1"/>
        <c:majorTickMark val="cross"/>
        <c:minorTickMark val="none"/>
        <c:tickLblPos val="nextTo"/>
        <c:crossAx val="93516160"/>
        <c:crossesAt val="-2"/>
        <c:auto val="1"/>
        <c:lblAlgn val="ctr"/>
        <c:lblOffset val="100"/>
        <c:tickLblSkip val="5"/>
        <c:tickMarkSkip val="5"/>
        <c:noMultiLvlLbl val="0"/>
      </c:catAx>
      <c:valAx>
        <c:axId val="93516160"/>
        <c:scaling>
          <c:orientation val="minMax"/>
          <c:max val="0.5"/>
          <c:min val="-1.5"/>
        </c:scaling>
        <c:delete val="0"/>
        <c:axPos val="l"/>
        <c:majorGridlines/>
        <c:title>
          <c:tx>
            <c:rich>
              <a:bodyPr/>
              <a:lstStyle/>
              <a:p>
                <a:pPr>
                  <a:defRPr/>
                </a:pPr>
                <a:r>
                  <a:rPr lang="cs-CZ" sz="1100" b="1" i="0" u="none" strike="noStrike" baseline="0">
                    <a:effectLst/>
                  </a:rPr>
                  <a:t>% HDP</a:t>
                </a:r>
                <a:endParaRPr lang="cs-CZ"/>
              </a:p>
            </c:rich>
          </c:tx>
          <c:overlay val="0"/>
        </c:title>
        <c:numFmt formatCode="General" sourceLinked="1"/>
        <c:majorTickMark val="none"/>
        <c:minorTickMark val="none"/>
        <c:tickLblPos val="nextTo"/>
        <c:txPr>
          <a:bodyPr/>
          <a:lstStyle/>
          <a:p>
            <a:pPr>
              <a:defRPr sz="1100"/>
            </a:pPr>
            <a:endParaRPr lang="cs-CZ"/>
          </a:p>
        </c:txPr>
        <c:crossAx val="93506176"/>
        <c:crosses val="autoZero"/>
        <c:crossBetween val="between"/>
      </c:valAx>
    </c:plotArea>
    <c:plotVisOnly val="1"/>
    <c:dispBlanksAs val="gap"/>
    <c:showDLblsOverMax val="0"/>
  </c:chart>
  <c:txPr>
    <a:bodyPr/>
    <a:lstStyle/>
    <a:p>
      <a:pPr>
        <a:defRPr sz="1100"/>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barChart>
        <c:barDir val="col"/>
        <c:grouping val="stacked"/>
        <c:varyColors val="0"/>
        <c:ser>
          <c:idx val="0"/>
          <c:order val="0"/>
          <c:tx>
            <c:v>Do 25 let</c:v>
          </c:tx>
          <c:spPr>
            <a:solidFill>
              <a:srgbClr val="FF0000"/>
            </a:solidFill>
            <a:ln>
              <a:solidFill>
                <a:schemeClr val="tx1"/>
              </a:solidFill>
            </a:ln>
          </c:spPr>
          <c:invertIfNegative val="0"/>
          <c:cat>
            <c:numRef>
              <c:f>celkem!$B$4:$H$5</c:f>
              <c:numCache>
                <c:formatCode>General</c:formatCode>
                <c:ptCount val="7"/>
                <c:pt idx="0">
                  <c:v>2007</c:v>
                </c:pt>
                <c:pt idx="1">
                  <c:v>2008</c:v>
                </c:pt>
                <c:pt idx="2">
                  <c:v>2009</c:v>
                </c:pt>
                <c:pt idx="3">
                  <c:v>2010</c:v>
                </c:pt>
                <c:pt idx="4">
                  <c:v>2011</c:v>
                </c:pt>
                <c:pt idx="5">
                  <c:v>2012</c:v>
                </c:pt>
                <c:pt idx="6">
                  <c:v>2013</c:v>
                </c:pt>
              </c:numCache>
            </c:numRef>
          </c:cat>
          <c:val>
            <c:numRef>
              <c:f>celkem!$B$15:$H$15</c:f>
              <c:numCache>
                <c:formatCode>General</c:formatCode>
                <c:ptCount val="7"/>
                <c:pt idx="0">
                  <c:v>54835</c:v>
                </c:pt>
                <c:pt idx="1">
                  <c:v>60686</c:v>
                </c:pt>
                <c:pt idx="2">
                  <c:v>97709</c:v>
                </c:pt>
                <c:pt idx="3">
                  <c:v>94874</c:v>
                </c:pt>
                <c:pt idx="4">
                  <c:v>91942</c:v>
                </c:pt>
                <c:pt idx="5">
                  <c:v>98729</c:v>
                </c:pt>
                <c:pt idx="6">
                  <c:v>100032</c:v>
                </c:pt>
              </c:numCache>
            </c:numRef>
          </c:val>
        </c:ser>
        <c:ser>
          <c:idx val="2"/>
          <c:order val="1"/>
          <c:tx>
            <c:strRef>
              <c:f>celkem!$A$27</c:f>
              <c:strCache>
                <c:ptCount val="1"/>
                <c:pt idx="0">
                  <c:v>26 až 54 let</c:v>
                </c:pt>
              </c:strCache>
            </c:strRef>
          </c:tx>
          <c:spPr>
            <a:solidFill>
              <a:srgbClr val="92D050"/>
            </a:solidFill>
            <a:ln>
              <a:solidFill>
                <a:schemeClr val="tx1"/>
              </a:solidFill>
            </a:ln>
          </c:spPr>
          <c:invertIfNegative val="0"/>
          <c:val>
            <c:numRef>
              <c:f>celkem!$B$27:$H$27</c:f>
              <c:numCache>
                <c:formatCode>#,##0</c:formatCode>
                <c:ptCount val="7"/>
                <c:pt idx="0">
                  <c:v>244963</c:v>
                </c:pt>
                <c:pt idx="1">
                  <c:v>188501</c:v>
                </c:pt>
                <c:pt idx="2">
                  <c:v>296835</c:v>
                </c:pt>
                <c:pt idx="3">
                  <c:v>311053</c:v>
                </c:pt>
                <c:pt idx="4">
                  <c:v>284184</c:v>
                </c:pt>
                <c:pt idx="5">
                  <c:v>301943</c:v>
                </c:pt>
                <c:pt idx="6">
                  <c:v>334671</c:v>
                </c:pt>
              </c:numCache>
            </c:numRef>
          </c:val>
        </c:ser>
        <c:ser>
          <c:idx val="1"/>
          <c:order val="2"/>
          <c:tx>
            <c:strRef>
              <c:f>celkem!$A$20</c:f>
              <c:strCache>
                <c:ptCount val="1"/>
                <c:pt idx="0">
                  <c:v>Nad 55 let</c:v>
                </c:pt>
              </c:strCache>
            </c:strRef>
          </c:tx>
          <c:spPr>
            <a:solidFill>
              <a:srgbClr val="00B0F0"/>
            </a:solidFill>
            <a:ln>
              <a:solidFill>
                <a:schemeClr val="tx1"/>
              </a:solidFill>
            </a:ln>
          </c:spPr>
          <c:invertIfNegative val="0"/>
          <c:val>
            <c:numRef>
              <c:f>celkem!$B$20:$H$20</c:f>
              <c:numCache>
                <c:formatCode>#,##0</c:formatCode>
                <c:ptCount val="7"/>
                <c:pt idx="0">
                  <c:v>55080</c:v>
                </c:pt>
                <c:pt idx="1">
                  <c:v>53915</c:v>
                </c:pt>
                <c:pt idx="2">
                  <c:v>77126</c:v>
                </c:pt>
                <c:pt idx="3">
                  <c:v>88080</c:v>
                </c:pt>
                <c:pt idx="4">
                  <c:v>72379</c:v>
                </c:pt>
                <c:pt idx="5">
                  <c:v>84776</c:v>
                </c:pt>
                <c:pt idx="6">
                  <c:v>98372</c:v>
                </c:pt>
              </c:numCache>
            </c:numRef>
          </c:val>
        </c:ser>
        <c:dLbls>
          <c:showLegendKey val="0"/>
          <c:showVal val="0"/>
          <c:showCatName val="0"/>
          <c:showSerName val="0"/>
          <c:showPercent val="0"/>
          <c:showBubbleSize val="0"/>
        </c:dLbls>
        <c:gapWidth val="75"/>
        <c:overlap val="100"/>
        <c:axId val="89445888"/>
        <c:axId val="89447424"/>
      </c:barChart>
      <c:catAx>
        <c:axId val="89445888"/>
        <c:scaling>
          <c:orientation val="minMax"/>
        </c:scaling>
        <c:delete val="0"/>
        <c:axPos val="b"/>
        <c:numFmt formatCode="General" sourceLinked="1"/>
        <c:majorTickMark val="none"/>
        <c:minorTickMark val="none"/>
        <c:tickLblPos val="nextTo"/>
        <c:crossAx val="89447424"/>
        <c:crosses val="autoZero"/>
        <c:auto val="1"/>
        <c:lblAlgn val="ctr"/>
        <c:lblOffset val="100"/>
        <c:noMultiLvlLbl val="0"/>
      </c:catAx>
      <c:valAx>
        <c:axId val="89447424"/>
        <c:scaling>
          <c:orientation val="minMax"/>
        </c:scaling>
        <c:delete val="0"/>
        <c:axPos val="l"/>
        <c:majorGridlines/>
        <c:numFmt formatCode="General" sourceLinked="1"/>
        <c:majorTickMark val="none"/>
        <c:minorTickMark val="none"/>
        <c:tickLblPos val="nextTo"/>
        <c:spPr>
          <a:ln w="9525">
            <a:noFill/>
          </a:ln>
        </c:spPr>
        <c:crossAx val="89445888"/>
        <c:crosses val="autoZero"/>
        <c:crossBetween val="between"/>
      </c:valAx>
    </c:plotArea>
    <c:legend>
      <c:legendPos val="b"/>
      <c:overlay val="0"/>
      <c:txPr>
        <a:bodyPr/>
        <a:lstStyle/>
        <a:p>
          <a:pPr>
            <a:defRPr sz="900" b="1"/>
          </a:pPr>
          <a:endParaRPr lang="cs-CZ"/>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List2!$C$4</c:f>
              <c:strCache>
                <c:ptCount val="1"/>
                <c:pt idx="0">
                  <c:v>Zemědělství a lesnictví</c:v>
                </c:pt>
              </c:strCache>
            </c:strRef>
          </c:tx>
          <c:spPr>
            <a:solidFill>
              <a:srgbClr val="00B05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List2!$C$5:$C$17</c:f>
              <c:numCache>
                <c:formatCode>General</c:formatCode>
                <c:ptCount val="13"/>
                <c:pt idx="0">
                  <c:v>768.9</c:v>
                </c:pt>
                <c:pt idx="1">
                  <c:v>712.3</c:v>
                </c:pt>
                <c:pt idx="2">
                  <c:v>712.8</c:v>
                </c:pt>
                <c:pt idx="3">
                  <c:v>371</c:v>
                </c:pt>
                <c:pt idx="4">
                  <c:v>336.2</c:v>
                </c:pt>
                <c:pt idx="5">
                  <c:v>306.5</c:v>
                </c:pt>
                <c:pt idx="6">
                  <c:v>348.3</c:v>
                </c:pt>
                <c:pt idx="7">
                  <c:v>370.3</c:v>
                </c:pt>
                <c:pt idx="8">
                  <c:v>436.5</c:v>
                </c:pt>
                <c:pt idx="9">
                  <c:v>405.8</c:v>
                </c:pt>
                <c:pt idx="10">
                  <c:v>325.60000000000002</c:v>
                </c:pt>
                <c:pt idx="11">
                  <c:v>478.8</c:v>
                </c:pt>
                <c:pt idx="12">
                  <c:v>458.3</c:v>
                </c:pt>
              </c:numCache>
            </c:numRef>
          </c:val>
        </c:ser>
        <c:ser>
          <c:idx val="1"/>
          <c:order val="1"/>
          <c:tx>
            <c:strRef>
              <c:f>List2!$D$4</c:f>
              <c:strCache>
                <c:ptCount val="1"/>
                <c:pt idx="0">
                  <c:v>Průmysl</c:v>
                </c:pt>
              </c:strCache>
            </c:strRef>
          </c:tx>
          <c:spPr>
            <a:solidFill>
              <a:srgbClr val="FF000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List2!$D$5:$D$17</c:f>
              <c:numCache>
                <c:formatCode>General</c:formatCode>
                <c:ptCount val="13"/>
                <c:pt idx="0">
                  <c:v>834</c:v>
                </c:pt>
                <c:pt idx="1">
                  <c:v>719.7</c:v>
                </c:pt>
                <c:pt idx="2">
                  <c:v>712.6</c:v>
                </c:pt>
                <c:pt idx="3">
                  <c:v>675</c:v>
                </c:pt>
                <c:pt idx="4">
                  <c:v>668.3</c:v>
                </c:pt>
                <c:pt idx="5">
                  <c:v>622.6</c:v>
                </c:pt>
                <c:pt idx="6">
                  <c:v>548.4</c:v>
                </c:pt>
                <c:pt idx="7">
                  <c:v>468.9</c:v>
                </c:pt>
                <c:pt idx="8">
                  <c:v>442.3</c:v>
                </c:pt>
                <c:pt idx="9">
                  <c:v>373.7</c:v>
                </c:pt>
                <c:pt idx="10">
                  <c:v>348.6</c:v>
                </c:pt>
                <c:pt idx="11">
                  <c:v>375.7</c:v>
                </c:pt>
                <c:pt idx="12">
                  <c:v>334.6</c:v>
                </c:pt>
              </c:numCache>
            </c:numRef>
          </c:val>
        </c:ser>
        <c:ser>
          <c:idx val="2"/>
          <c:order val="2"/>
          <c:tx>
            <c:strRef>
              <c:f>List2!$E$4</c:f>
              <c:strCache>
                <c:ptCount val="1"/>
                <c:pt idx="0">
                  <c:v>Stavebnictví</c:v>
                </c:pt>
              </c:strCache>
            </c:strRef>
          </c:tx>
          <c:spPr>
            <a:solidFill>
              <a:srgbClr val="FFFF0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List2!$E$5:$E$17</c:f>
              <c:numCache>
                <c:formatCode>General</c:formatCode>
                <c:ptCount val="13"/>
                <c:pt idx="0">
                  <c:v>194.4</c:v>
                </c:pt>
                <c:pt idx="1">
                  <c:v>163.5</c:v>
                </c:pt>
                <c:pt idx="2">
                  <c:v>121.4</c:v>
                </c:pt>
                <c:pt idx="3">
                  <c:v>76.900000000000006</c:v>
                </c:pt>
                <c:pt idx="4">
                  <c:v>81.400000000000006</c:v>
                </c:pt>
                <c:pt idx="5">
                  <c:v>79.3</c:v>
                </c:pt>
                <c:pt idx="6">
                  <c:v>55.7</c:v>
                </c:pt>
                <c:pt idx="7">
                  <c:v>56.7</c:v>
                </c:pt>
                <c:pt idx="8">
                  <c:v>52.3</c:v>
                </c:pt>
                <c:pt idx="9">
                  <c:v>50</c:v>
                </c:pt>
                <c:pt idx="10">
                  <c:v>45.2</c:v>
                </c:pt>
                <c:pt idx="11">
                  <c:v>40.4</c:v>
                </c:pt>
                <c:pt idx="12">
                  <c:v>36.5</c:v>
                </c:pt>
              </c:numCache>
            </c:numRef>
          </c:val>
        </c:ser>
        <c:ser>
          <c:idx val="3"/>
          <c:order val="3"/>
          <c:tx>
            <c:strRef>
              <c:f>List2!$F$4</c:f>
              <c:strCache>
                <c:ptCount val="1"/>
                <c:pt idx="0">
                  <c:v>Doprava</c:v>
                </c:pt>
              </c:strCache>
            </c:strRef>
          </c:tx>
          <c:spPr>
            <a:solidFill>
              <a:srgbClr val="00B0F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List2!$F$5:$F$17</c:f>
              <c:numCache>
                <c:formatCode>General</c:formatCode>
                <c:ptCount val="13"/>
                <c:pt idx="0">
                  <c:v>871.3</c:v>
                </c:pt>
                <c:pt idx="1">
                  <c:v>860.4</c:v>
                </c:pt>
                <c:pt idx="2">
                  <c:v>888.6</c:v>
                </c:pt>
                <c:pt idx="3" formatCode="#,##0.00">
                  <c:v>1034.4000000000001</c:v>
                </c:pt>
                <c:pt idx="4" formatCode="#,##0.00">
                  <c:v>1117</c:v>
                </c:pt>
                <c:pt idx="5" formatCode="#,##0.00">
                  <c:v>1235.8</c:v>
                </c:pt>
                <c:pt idx="6" formatCode="#,##0.00">
                  <c:v>1320.6</c:v>
                </c:pt>
                <c:pt idx="7" formatCode="#,##0.00">
                  <c:v>1231.3</c:v>
                </c:pt>
                <c:pt idx="8" formatCode="#,##0.00">
                  <c:v>1247.7</c:v>
                </c:pt>
                <c:pt idx="9" formatCode="#,##0.00">
                  <c:v>1221.0999999999999</c:v>
                </c:pt>
                <c:pt idx="10" formatCode="#,##0.00">
                  <c:v>1349</c:v>
                </c:pt>
                <c:pt idx="11" formatCode="#,##0.00">
                  <c:v>1218</c:v>
                </c:pt>
                <c:pt idx="12" formatCode="#,##0.00">
                  <c:v>1270.7</c:v>
                </c:pt>
              </c:numCache>
            </c:numRef>
          </c:val>
        </c:ser>
        <c:ser>
          <c:idx val="4"/>
          <c:order val="4"/>
          <c:tx>
            <c:strRef>
              <c:f>List2!$G$4</c:f>
              <c:strCache>
                <c:ptCount val="1"/>
                <c:pt idx="0">
                  <c:v>Ostatní odvětví</c:v>
                </c:pt>
              </c:strCache>
            </c:strRef>
          </c:tx>
          <c:spPr>
            <a:solidFill>
              <a:schemeClr val="tx1"/>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List2!$G$5:$G$17</c:f>
              <c:numCache>
                <c:formatCode>General</c:formatCode>
                <c:ptCount val="13"/>
                <c:pt idx="0">
                  <c:v>79.7</c:v>
                </c:pt>
                <c:pt idx="1">
                  <c:v>79.599999999999994</c:v>
                </c:pt>
                <c:pt idx="2">
                  <c:v>85.2</c:v>
                </c:pt>
                <c:pt idx="3">
                  <c:v>80.7</c:v>
                </c:pt>
                <c:pt idx="4">
                  <c:v>81.599999999999994</c:v>
                </c:pt>
                <c:pt idx="5">
                  <c:v>87.6</c:v>
                </c:pt>
                <c:pt idx="6">
                  <c:v>81.2</c:v>
                </c:pt>
                <c:pt idx="7">
                  <c:v>71.7</c:v>
                </c:pt>
                <c:pt idx="8">
                  <c:v>71</c:v>
                </c:pt>
                <c:pt idx="9">
                  <c:v>65.2</c:v>
                </c:pt>
                <c:pt idx="10">
                  <c:v>65.8</c:v>
                </c:pt>
                <c:pt idx="11">
                  <c:v>75.7</c:v>
                </c:pt>
                <c:pt idx="12">
                  <c:v>64.8</c:v>
                </c:pt>
              </c:numCache>
            </c:numRef>
          </c:val>
        </c:ser>
        <c:dLbls>
          <c:showLegendKey val="0"/>
          <c:showVal val="0"/>
          <c:showCatName val="0"/>
          <c:showSerName val="0"/>
          <c:showPercent val="0"/>
          <c:showBubbleSize val="0"/>
        </c:dLbls>
        <c:gapWidth val="75"/>
        <c:overlap val="100"/>
        <c:axId val="45615744"/>
        <c:axId val="45629824"/>
      </c:barChart>
      <c:catAx>
        <c:axId val="45615744"/>
        <c:scaling>
          <c:orientation val="minMax"/>
        </c:scaling>
        <c:delete val="0"/>
        <c:axPos val="b"/>
        <c:numFmt formatCode="General" sourceLinked="1"/>
        <c:majorTickMark val="none"/>
        <c:minorTickMark val="none"/>
        <c:tickLblPos val="nextTo"/>
        <c:crossAx val="45629824"/>
        <c:crosses val="autoZero"/>
        <c:auto val="1"/>
        <c:lblAlgn val="ctr"/>
        <c:lblOffset val="100"/>
        <c:noMultiLvlLbl val="0"/>
      </c:catAx>
      <c:valAx>
        <c:axId val="45629824"/>
        <c:scaling>
          <c:orientation val="minMax"/>
        </c:scaling>
        <c:delete val="0"/>
        <c:axPos val="l"/>
        <c:majorGridlines/>
        <c:title>
          <c:tx>
            <c:rich>
              <a:bodyPr rot="-5400000" vert="horz"/>
              <a:lstStyle/>
              <a:p>
                <a:pPr>
                  <a:defRPr/>
                </a:pPr>
                <a:r>
                  <a:rPr lang="cs-CZ" sz="1000" b="1" i="0" u="none" strike="noStrike" baseline="0">
                    <a:effectLst/>
                  </a:rPr>
                  <a:t>MJ/tis. Kč</a:t>
                </a:r>
                <a:endParaRPr lang="cs-CZ"/>
              </a:p>
            </c:rich>
          </c:tx>
          <c:overlay val="0"/>
        </c:title>
        <c:numFmt formatCode="General" sourceLinked="1"/>
        <c:majorTickMark val="none"/>
        <c:minorTickMark val="none"/>
        <c:tickLblPos val="nextTo"/>
        <c:spPr>
          <a:ln w="9525">
            <a:noFill/>
          </a:ln>
        </c:spPr>
        <c:crossAx val="4561574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MPSV!$K$5</c:f>
              <c:strCache>
                <c:ptCount val="1"/>
                <c:pt idx="0">
                  <c:v>míra zaměstnanosti osob ve věku 20 - 64 let</c:v>
                </c:pt>
              </c:strCache>
            </c:strRef>
          </c:tx>
          <c:spPr>
            <a:solidFill>
              <a:srgbClr val="FF0000"/>
            </a:solidFill>
            <a:ln>
              <a:solidFill>
                <a:srgbClr val="FF000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MPSV!$B$5:$J$5</c:f>
              <c:numCache>
                <c:formatCode>0.0</c:formatCode>
                <c:ptCount val="9"/>
                <c:pt idx="0">
                  <c:v>70.7</c:v>
                </c:pt>
                <c:pt idx="1">
                  <c:v>71.2</c:v>
                </c:pt>
                <c:pt idx="2">
                  <c:v>72</c:v>
                </c:pt>
                <c:pt idx="3">
                  <c:v>72.400000000000006</c:v>
                </c:pt>
                <c:pt idx="4">
                  <c:v>70.900000000000006</c:v>
                </c:pt>
                <c:pt idx="5">
                  <c:v>70.400000000000006</c:v>
                </c:pt>
                <c:pt idx="6">
                  <c:v>70.900000000000006</c:v>
                </c:pt>
                <c:pt idx="7">
                  <c:v>71.5</c:v>
                </c:pt>
                <c:pt idx="8">
                  <c:v>72.5</c:v>
                </c:pt>
              </c:numCache>
            </c:numRef>
          </c:val>
        </c:ser>
        <c:ser>
          <c:idx val="1"/>
          <c:order val="1"/>
          <c:tx>
            <c:strRef>
              <c:f>MPSV!$K$6</c:f>
              <c:strCache>
                <c:ptCount val="1"/>
                <c:pt idx="0">
                  <c:v>míra zaměstnanosti žen ve věku 20 - 64 let</c:v>
                </c:pt>
              </c:strCache>
            </c:strRef>
          </c:tx>
          <c:spPr>
            <a:solidFill>
              <a:srgbClr val="00B050"/>
            </a:solidFill>
            <a:ln>
              <a:solidFill>
                <a:srgbClr val="00B05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MPSV!$B$6:$J$6</c:f>
              <c:numCache>
                <c:formatCode>0.0</c:formatCode>
                <c:ptCount val="9"/>
                <c:pt idx="0">
                  <c:v>61.3</c:v>
                </c:pt>
                <c:pt idx="1">
                  <c:v>61.8</c:v>
                </c:pt>
                <c:pt idx="2">
                  <c:v>62.4</c:v>
                </c:pt>
                <c:pt idx="3">
                  <c:v>62.5</c:v>
                </c:pt>
                <c:pt idx="4">
                  <c:v>61.4</c:v>
                </c:pt>
                <c:pt idx="5">
                  <c:v>60.9</c:v>
                </c:pt>
                <c:pt idx="6">
                  <c:v>61.7</c:v>
                </c:pt>
                <c:pt idx="7">
                  <c:v>62.5</c:v>
                </c:pt>
                <c:pt idx="8">
                  <c:v>63.8</c:v>
                </c:pt>
              </c:numCache>
            </c:numRef>
          </c:val>
        </c:ser>
        <c:ser>
          <c:idx val="2"/>
          <c:order val="2"/>
          <c:tx>
            <c:strRef>
              <c:f>MPSV!$K$7</c:f>
              <c:strCache>
                <c:ptCount val="1"/>
                <c:pt idx="0">
                  <c:v>míra zaměstnanosti osob ve věku 55 - 64 let</c:v>
                </c:pt>
              </c:strCache>
            </c:strRef>
          </c:tx>
          <c:spPr>
            <a:solidFill>
              <a:srgbClr val="FFC000"/>
            </a:solidFill>
            <a:ln>
              <a:solidFill>
                <a:srgbClr val="FFC00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MPSV!$B$7:$J$7</c:f>
              <c:numCache>
                <c:formatCode>0.0</c:formatCode>
                <c:ptCount val="9"/>
                <c:pt idx="0">
                  <c:v>44.5</c:v>
                </c:pt>
                <c:pt idx="1">
                  <c:v>45.2</c:v>
                </c:pt>
                <c:pt idx="2">
                  <c:v>46</c:v>
                </c:pt>
                <c:pt idx="3">
                  <c:v>47.6</c:v>
                </c:pt>
                <c:pt idx="4">
                  <c:v>46.8</c:v>
                </c:pt>
                <c:pt idx="5">
                  <c:v>46.5</c:v>
                </c:pt>
                <c:pt idx="6">
                  <c:v>47.7</c:v>
                </c:pt>
                <c:pt idx="7">
                  <c:v>49.3</c:v>
                </c:pt>
                <c:pt idx="8">
                  <c:v>51.6</c:v>
                </c:pt>
              </c:numCache>
            </c:numRef>
          </c:val>
        </c:ser>
        <c:dLbls>
          <c:showLegendKey val="0"/>
          <c:showVal val="0"/>
          <c:showCatName val="0"/>
          <c:showSerName val="0"/>
          <c:showPercent val="0"/>
          <c:showBubbleSize val="0"/>
        </c:dLbls>
        <c:gapWidth val="75"/>
        <c:overlap val="-25"/>
        <c:axId val="45651840"/>
        <c:axId val="45653376"/>
      </c:barChart>
      <c:catAx>
        <c:axId val="45651840"/>
        <c:scaling>
          <c:orientation val="minMax"/>
        </c:scaling>
        <c:delete val="0"/>
        <c:axPos val="b"/>
        <c:numFmt formatCode="General" sourceLinked="1"/>
        <c:majorTickMark val="none"/>
        <c:minorTickMark val="none"/>
        <c:tickLblPos val="nextTo"/>
        <c:crossAx val="45653376"/>
        <c:crosses val="autoZero"/>
        <c:auto val="1"/>
        <c:lblAlgn val="ctr"/>
        <c:lblOffset val="100"/>
        <c:noMultiLvlLbl val="0"/>
      </c:catAx>
      <c:valAx>
        <c:axId val="45653376"/>
        <c:scaling>
          <c:orientation val="minMax"/>
        </c:scaling>
        <c:delete val="0"/>
        <c:axPos val="l"/>
        <c:majorGridlines/>
        <c:numFmt formatCode="0.0" sourceLinked="1"/>
        <c:majorTickMark val="none"/>
        <c:minorTickMark val="none"/>
        <c:tickLblPos val="nextTo"/>
        <c:spPr>
          <a:ln w="9525">
            <a:noFill/>
          </a:ln>
        </c:spPr>
        <c:crossAx val="45651840"/>
        <c:crosses val="autoZero"/>
        <c:crossBetween val="between"/>
      </c:valAx>
    </c:plotArea>
    <c:legend>
      <c:legendPos val="b"/>
      <c:overlay val="0"/>
      <c:txPr>
        <a:bodyPr/>
        <a:lstStyle/>
        <a:p>
          <a:pPr>
            <a:defRPr sz="900"/>
          </a:pPr>
          <a:endParaRPr lang="cs-CZ"/>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MPSV!$K$8</c:f>
              <c:strCache>
                <c:ptCount val="1"/>
                <c:pt idx="0">
                  <c:v>míra nezaměstnanosti mladých osob (15 - 24 let)</c:v>
                </c:pt>
              </c:strCache>
            </c:strRef>
          </c:tx>
          <c:spPr>
            <a:solidFill>
              <a:srgbClr val="FF0000"/>
            </a:solidFill>
            <a:ln>
              <a:solidFill>
                <a:srgbClr val="FF0000"/>
              </a:solidFill>
            </a:ln>
          </c:spPr>
          <c:invertIfNegative val="0"/>
          <c:dPt>
            <c:idx val="0"/>
            <c:invertIfNegative val="0"/>
            <c:bubble3D val="0"/>
            <c:spPr>
              <a:solidFill>
                <a:srgbClr val="FF0000"/>
              </a:solidFill>
              <a:ln>
                <a:solidFill>
                  <a:srgbClr val="FF0000"/>
                </a:solidFill>
              </a:ln>
            </c:spPr>
          </c:dPt>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MPSV!$B$8:$J$8</c:f>
              <c:numCache>
                <c:formatCode>0.0</c:formatCode>
                <c:ptCount val="9"/>
                <c:pt idx="0">
                  <c:v>19.3</c:v>
                </c:pt>
                <c:pt idx="1">
                  <c:v>17.5</c:v>
                </c:pt>
                <c:pt idx="2">
                  <c:v>10.7</c:v>
                </c:pt>
                <c:pt idx="3">
                  <c:v>9.9</c:v>
                </c:pt>
                <c:pt idx="4">
                  <c:v>16.600000000000001</c:v>
                </c:pt>
                <c:pt idx="5">
                  <c:v>18.3</c:v>
                </c:pt>
                <c:pt idx="6">
                  <c:v>18.100000000000001</c:v>
                </c:pt>
                <c:pt idx="7">
                  <c:v>19.5</c:v>
                </c:pt>
                <c:pt idx="8">
                  <c:v>18.899999999999999</c:v>
                </c:pt>
              </c:numCache>
            </c:numRef>
          </c:val>
        </c:ser>
        <c:ser>
          <c:idx val="1"/>
          <c:order val="1"/>
          <c:tx>
            <c:strRef>
              <c:f>MPSV!$K$9</c:f>
              <c:strCache>
                <c:ptCount val="1"/>
                <c:pt idx="0">
                  <c:v>míra nezaměstnanosti osob s nízkou kvalifikací (ISCED 0 -2)</c:v>
                </c:pt>
              </c:strCache>
            </c:strRef>
          </c:tx>
          <c:spPr>
            <a:solidFill>
              <a:srgbClr val="00B0F0"/>
            </a:solidFill>
            <a:ln>
              <a:solidFill>
                <a:srgbClr val="00B0F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MPSV!$B$9:$J$9</c:f>
              <c:numCache>
                <c:formatCode>0.0</c:formatCode>
                <c:ptCount val="9"/>
                <c:pt idx="0">
                  <c:v>26.8</c:v>
                </c:pt>
                <c:pt idx="1">
                  <c:v>24.5</c:v>
                </c:pt>
                <c:pt idx="2">
                  <c:v>20.100000000000001</c:v>
                </c:pt>
                <c:pt idx="3">
                  <c:v>19.100000000000001</c:v>
                </c:pt>
                <c:pt idx="4">
                  <c:v>24.1</c:v>
                </c:pt>
                <c:pt idx="5">
                  <c:v>25</c:v>
                </c:pt>
                <c:pt idx="6">
                  <c:v>24.3</c:v>
                </c:pt>
                <c:pt idx="7">
                  <c:v>28.5</c:v>
                </c:pt>
                <c:pt idx="8">
                  <c:v>25.6</c:v>
                </c:pt>
              </c:numCache>
            </c:numRef>
          </c:val>
        </c:ser>
        <c:dLbls>
          <c:showLegendKey val="0"/>
          <c:showVal val="0"/>
          <c:showCatName val="0"/>
          <c:showSerName val="0"/>
          <c:showPercent val="0"/>
          <c:showBubbleSize val="0"/>
        </c:dLbls>
        <c:gapWidth val="75"/>
        <c:overlap val="-25"/>
        <c:axId val="112005504"/>
        <c:axId val="112007040"/>
      </c:barChart>
      <c:catAx>
        <c:axId val="112005504"/>
        <c:scaling>
          <c:orientation val="minMax"/>
        </c:scaling>
        <c:delete val="0"/>
        <c:axPos val="b"/>
        <c:numFmt formatCode="General" sourceLinked="1"/>
        <c:majorTickMark val="none"/>
        <c:minorTickMark val="none"/>
        <c:tickLblPos val="nextTo"/>
        <c:crossAx val="112007040"/>
        <c:crosses val="autoZero"/>
        <c:auto val="1"/>
        <c:lblAlgn val="ctr"/>
        <c:lblOffset val="100"/>
        <c:noMultiLvlLbl val="0"/>
      </c:catAx>
      <c:valAx>
        <c:axId val="112007040"/>
        <c:scaling>
          <c:orientation val="minMax"/>
        </c:scaling>
        <c:delete val="0"/>
        <c:axPos val="l"/>
        <c:majorGridlines/>
        <c:numFmt formatCode="0.0" sourceLinked="1"/>
        <c:majorTickMark val="none"/>
        <c:minorTickMark val="none"/>
        <c:tickLblPos val="nextTo"/>
        <c:spPr>
          <a:ln w="9525">
            <a:noFill/>
          </a:ln>
        </c:spPr>
        <c:crossAx val="112005504"/>
        <c:crosses val="autoZero"/>
        <c:crossBetween val="between"/>
      </c:valAx>
    </c:plotArea>
    <c:legend>
      <c:legendPos val="b"/>
      <c:layout>
        <c:manualLayout>
          <c:xMode val="edge"/>
          <c:yMode val="edge"/>
          <c:x val="3.2302830886485598E-2"/>
          <c:y val="0.81708347516470003"/>
          <c:w val="0.94910624948826405"/>
          <c:h val="0.15422391382275899"/>
        </c:manualLayout>
      </c:layout>
      <c:overlay val="0"/>
      <c:txPr>
        <a:bodyPr/>
        <a:lstStyle/>
        <a:p>
          <a:pPr>
            <a:defRPr sz="900"/>
          </a:pPr>
          <a:endParaRPr lang="cs-CZ"/>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MPSV2!$A$4</c:f>
              <c:strCache>
                <c:ptCount val="1"/>
                <c:pt idx="0">
                  <c:v>Počet osob v tis.</c:v>
                </c:pt>
              </c:strCache>
            </c:strRef>
          </c:tx>
          <c:spPr>
            <a:solidFill>
              <a:srgbClr val="00B0F0"/>
            </a:solidFill>
            <a:ln>
              <a:solidFill>
                <a:srgbClr val="00B0F0"/>
              </a:solidFill>
            </a:ln>
          </c:spPr>
          <c:invertIfNegative val="0"/>
          <c:cat>
            <c:numRef>
              <c:f>MPSV2!$B$2:$I$2</c:f>
              <c:numCache>
                <c:formatCode>General</c:formatCode>
                <c:ptCount val="8"/>
                <c:pt idx="0">
                  <c:v>2005</c:v>
                </c:pt>
                <c:pt idx="1">
                  <c:v>2006</c:v>
                </c:pt>
                <c:pt idx="2">
                  <c:v>2007</c:v>
                </c:pt>
                <c:pt idx="3">
                  <c:v>2008</c:v>
                </c:pt>
                <c:pt idx="4">
                  <c:v>2009</c:v>
                </c:pt>
                <c:pt idx="5">
                  <c:v>2010</c:v>
                </c:pt>
                <c:pt idx="6">
                  <c:v>2011</c:v>
                </c:pt>
                <c:pt idx="7">
                  <c:v>2012</c:v>
                </c:pt>
              </c:numCache>
            </c:numRef>
          </c:cat>
          <c:val>
            <c:numRef>
              <c:f>MPSV2!$B$3:$I$3</c:f>
              <c:numCache>
                <c:formatCode>0.0</c:formatCode>
                <c:ptCount val="8"/>
                <c:pt idx="0" formatCode="General">
                  <c:v>19.600000000000001</c:v>
                </c:pt>
                <c:pt idx="1">
                  <c:v>18</c:v>
                </c:pt>
                <c:pt idx="2" formatCode="General">
                  <c:v>15.8</c:v>
                </c:pt>
                <c:pt idx="3" formatCode="General">
                  <c:v>15.3</c:v>
                </c:pt>
                <c:pt idx="4">
                  <c:v>14</c:v>
                </c:pt>
                <c:pt idx="5" formatCode="General">
                  <c:v>14.4</c:v>
                </c:pt>
                <c:pt idx="6" formatCode="General">
                  <c:v>15.3</c:v>
                </c:pt>
                <c:pt idx="7" formatCode="General">
                  <c:v>15.4</c:v>
                </c:pt>
              </c:numCache>
            </c:numRef>
          </c:val>
        </c:ser>
        <c:dLbls>
          <c:showLegendKey val="0"/>
          <c:showVal val="0"/>
          <c:showCatName val="0"/>
          <c:showSerName val="0"/>
          <c:showPercent val="0"/>
          <c:showBubbleSize val="0"/>
        </c:dLbls>
        <c:gapWidth val="152"/>
        <c:overlap val="-25"/>
        <c:axId val="112059520"/>
        <c:axId val="112049152"/>
      </c:barChart>
      <c:lineChart>
        <c:grouping val="standard"/>
        <c:varyColors val="0"/>
        <c:ser>
          <c:idx val="2"/>
          <c:order val="1"/>
          <c:tx>
            <c:strRef>
              <c:f>MPSV2!$A$3</c:f>
              <c:strCache>
                <c:ptCount val="1"/>
                <c:pt idx="0">
                  <c:v>Procento populace</c:v>
                </c:pt>
              </c:strCache>
            </c:strRef>
          </c:tx>
          <c:spPr>
            <a:ln w="28575">
              <a:solidFill>
                <a:srgbClr val="FF0000"/>
              </a:solidFill>
            </a:ln>
          </c:spPr>
          <c:marker>
            <c:symbol val="none"/>
          </c:marker>
          <c:cat>
            <c:numRef>
              <c:f>MPSV2!$B$2:$I$2</c:f>
              <c:numCache>
                <c:formatCode>General</c:formatCode>
                <c:ptCount val="8"/>
                <c:pt idx="0">
                  <c:v>2005</c:v>
                </c:pt>
                <c:pt idx="1">
                  <c:v>2006</c:v>
                </c:pt>
                <c:pt idx="2">
                  <c:v>2007</c:v>
                </c:pt>
                <c:pt idx="3">
                  <c:v>2008</c:v>
                </c:pt>
                <c:pt idx="4">
                  <c:v>2009</c:v>
                </c:pt>
                <c:pt idx="5">
                  <c:v>2010</c:v>
                </c:pt>
                <c:pt idx="6">
                  <c:v>2011</c:v>
                </c:pt>
                <c:pt idx="7">
                  <c:v>2012</c:v>
                </c:pt>
              </c:numCache>
            </c:numRef>
          </c:cat>
          <c:val>
            <c:numRef>
              <c:f>MPSV2!$B$4:$I$4</c:f>
              <c:numCache>
                <c:formatCode>General</c:formatCode>
                <c:ptCount val="8"/>
                <c:pt idx="0">
                  <c:v>1998</c:v>
                </c:pt>
                <c:pt idx="1">
                  <c:v>1832</c:v>
                </c:pt>
                <c:pt idx="2">
                  <c:v>1613</c:v>
                </c:pt>
                <c:pt idx="3">
                  <c:v>1566</c:v>
                </c:pt>
                <c:pt idx="4">
                  <c:v>1448</c:v>
                </c:pt>
                <c:pt idx="5">
                  <c:v>1495</c:v>
                </c:pt>
                <c:pt idx="6">
                  <c:v>1598</c:v>
                </c:pt>
                <c:pt idx="7">
                  <c:v>1580</c:v>
                </c:pt>
              </c:numCache>
            </c:numRef>
          </c:val>
          <c:smooth val="0"/>
        </c:ser>
        <c:dLbls>
          <c:showLegendKey val="0"/>
          <c:showVal val="0"/>
          <c:showCatName val="0"/>
          <c:showSerName val="0"/>
          <c:showPercent val="0"/>
          <c:showBubbleSize val="0"/>
        </c:dLbls>
        <c:marker val="1"/>
        <c:smooth val="0"/>
        <c:axId val="112041344"/>
        <c:axId val="112047232"/>
      </c:lineChart>
      <c:catAx>
        <c:axId val="112041344"/>
        <c:scaling>
          <c:orientation val="minMax"/>
        </c:scaling>
        <c:delete val="0"/>
        <c:axPos val="b"/>
        <c:numFmt formatCode="General" sourceLinked="1"/>
        <c:majorTickMark val="none"/>
        <c:minorTickMark val="none"/>
        <c:tickLblPos val="nextTo"/>
        <c:crossAx val="112047232"/>
        <c:crosses val="autoZero"/>
        <c:auto val="1"/>
        <c:lblAlgn val="ctr"/>
        <c:lblOffset val="100"/>
        <c:noMultiLvlLbl val="0"/>
      </c:catAx>
      <c:valAx>
        <c:axId val="112047232"/>
        <c:scaling>
          <c:orientation val="minMax"/>
        </c:scaling>
        <c:delete val="0"/>
        <c:axPos val="l"/>
        <c:majorGridlines/>
        <c:title>
          <c:tx>
            <c:rich>
              <a:bodyPr rot="-5400000" vert="horz"/>
              <a:lstStyle/>
              <a:p>
                <a:pPr>
                  <a:defRPr/>
                </a:pPr>
                <a:r>
                  <a:rPr lang="cs-CZ"/>
                  <a:t>Počet obyvatel v tis.</a:t>
                </a:r>
              </a:p>
            </c:rich>
          </c:tx>
          <c:overlay val="0"/>
        </c:title>
        <c:numFmt formatCode="General" sourceLinked="1"/>
        <c:majorTickMark val="none"/>
        <c:minorTickMark val="none"/>
        <c:tickLblPos val="nextTo"/>
        <c:spPr>
          <a:ln w="9525">
            <a:noFill/>
          </a:ln>
        </c:spPr>
        <c:crossAx val="112041344"/>
        <c:crosses val="autoZero"/>
        <c:crossBetween val="between"/>
      </c:valAx>
      <c:valAx>
        <c:axId val="112049152"/>
        <c:scaling>
          <c:orientation val="minMax"/>
          <c:max val="25"/>
        </c:scaling>
        <c:delete val="0"/>
        <c:axPos val="r"/>
        <c:title>
          <c:tx>
            <c:rich>
              <a:bodyPr rot="-5400000" vert="horz"/>
              <a:lstStyle/>
              <a:p>
                <a:pPr>
                  <a:defRPr/>
                </a:pPr>
                <a:r>
                  <a:rPr lang="cs-CZ"/>
                  <a:t>Procento populace (v %)</a:t>
                </a:r>
              </a:p>
            </c:rich>
          </c:tx>
          <c:overlay val="0"/>
        </c:title>
        <c:numFmt formatCode="General" sourceLinked="1"/>
        <c:majorTickMark val="out"/>
        <c:minorTickMark val="none"/>
        <c:tickLblPos val="nextTo"/>
        <c:crossAx val="112059520"/>
        <c:crosses val="max"/>
        <c:crossBetween val="between"/>
      </c:valAx>
      <c:catAx>
        <c:axId val="112059520"/>
        <c:scaling>
          <c:orientation val="minMax"/>
        </c:scaling>
        <c:delete val="1"/>
        <c:axPos val="b"/>
        <c:numFmt formatCode="General" sourceLinked="1"/>
        <c:majorTickMark val="out"/>
        <c:minorTickMark val="none"/>
        <c:tickLblPos val="nextTo"/>
        <c:crossAx val="112049152"/>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MSMT!$A$2</c:f>
              <c:strCache>
                <c:ptCount val="1"/>
                <c:pt idx="0">
                  <c:v>Osoby předčasně odcházející ze vzdělávání (v %)</c:v>
                </c:pt>
              </c:strCache>
            </c:strRef>
          </c:tx>
          <c:spPr>
            <a:solidFill>
              <a:srgbClr val="FF0000"/>
            </a:solidFill>
          </c:spPr>
          <c:invertIfNegative val="0"/>
          <c:cat>
            <c:numRef>
              <c:f>MSMT!$B$3:$I$3</c:f>
              <c:numCache>
                <c:formatCode>General</c:formatCode>
                <c:ptCount val="8"/>
                <c:pt idx="0">
                  <c:v>2005</c:v>
                </c:pt>
                <c:pt idx="1">
                  <c:v>2006</c:v>
                </c:pt>
                <c:pt idx="2">
                  <c:v>2007</c:v>
                </c:pt>
                <c:pt idx="3">
                  <c:v>2008</c:v>
                </c:pt>
                <c:pt idx="4">
                  <c:v>2009</c:v>
                </c:pt>
                <c:pt idx="5">
                  <c:v>2010</c:v>
                </c:pt>
                <c:pt idx="6">
                  <c:v>2011</c:v>
                </c:pt>
                <c:pt idx="7">
                  <c:v>2012</c:v>
                </c:pt>
              </c:numCache>
            </c:numRef>
          </c:cat>
          <c:val>
            <c:numRef>
              <c:f>MSMT!$B$5:$I$5</c:f>
              <c:numCache>
                <c:formatCode>0.0</c:formatCode>
                <c:ptCount val="8"/>
                <c:pt idx="0">
                  <c:v>6.2</c:v>
                </c:pt>
                <c:pt idx="1">
                  <c:v>5.0999999999999996</c:v>
                </c:pt>
                <c:pt idx="2">
                  <c:v>5.2</c:v>
                </c:pt>
                <c:pt idx="3">
                  <c:v>5.6</c:v>
                </c:pt>
                <c:pt idx="4">
                  <c:v>5.4</c:v>
                </c:pt>
                <c:pt idx="5">
                  <c:v>4.9000000000000004</c:v>
                </c:pt>
                <c:pt idx="6">
                  <c:v>4.9000000000000004</c:v>
                </c:pt>
                <c:pt idx="7">
                  <c:v>5.5</c:v>
                </c:pt>
              </c:numCache>
            </c:numRef>
          </c:val>
        </c:ser>
        <c:ser>
          <c:idx val="0"/>
          <c:order val="1"/>
          <c:tx>
            <c:strRef>
              <c:f>MSMT!$A$9</c:f>
              <c:strCache>
                <c:ptCount val="1"/>
                <c:pt idx="0">
                  <c:v>Osoby ve věku 30 až 34 let s terciárním vzděláním (v %)</c:v>
                </c:pt>
              </c:strCache>
            </c:strRef>
          </c:tx>
          <c:spPr>
            <a:solidFill>
              <a:srgbClr val="00B0F0"/>
            </a:solidFill>
          </c:spPr>
          <c:invertIfNegative val="0"/>
          <c:cat>
            <c:numRef>
              <c:f>MSMT!$B$3:$I$3</c:f>
              <c:numCache>
                <c:formatCode>General</c:formatCode>
                <c:ptCount val="8"/>
                <c:pt idx="0">
                  <c:v>2005</c:v>
                </c:pt>
                <c:pt idx="1">
                  <c:v>2006</c:v>
                </c:pt>
                <c:pt idx="2">
                  <c:v>2007</c:v>
                </c:pt>
                <c:pt idx="3">
                  <c:v>2008</c:v>
                </c:pt>
                <c:pt idx="4">
                  <c:v>2009</c:v>
                </c:pt>
                <c:pt idx="5">
                  <c:v>2010</c:v>
                </c:pt>
                <c:pt idx="6">
                  <c:v>2011</c:v>
                </c:pt>
                <c:pt idx="7">
                  <c:v>2012</c:v>
                </c:pt>
              </c:numCache>
            </c:numRef>
          </c:cat>
          <c:val>
            <c:numRef>
              <c:f>MSMT!$B$12:$I$12</c:f>
              <c:numCache>
                <c:formatCode>General</c:formatCode>
                <c:ptCount val="8"/>
                <c:pt idx="0">
                  <c:v>13</c:v>
                </c:pt>
                <c:pt idx="1">
                  <c:v>13.1</c:v>
                </c:pt>
                <c:pt idx="2">
                  <c:v>13.3</c:v>
                </c:pt>
                <c:pt idx="3">
                  <c:v>15.4</c:v>
                </c:pt>
                <c:pt idx="4">
                  <c:v>17.5</c:v>
                </c:pt>
                <c:pt idx="5">
                  <c:v>20.399999999999999</c:v>
                </c:pt>
                <c:pt idx="6">
                  <c:v>23.7</c:v>
                </c:pt>
                <c:pt idx="7">
                  <c:v>25.6</c:v>
                </c:pt>
              </c:numCache>
            </c:numRef>
          </c:val>
        </c:ser>
        <c:dLbls>
          <c:showLegendKey val="0"/>
          <c:showVal val="0"/>
          <c:showCatName val="0"/>
          <c:showSerName val="0"/>
          <c:showPercent val="0"/>
          <c:showBubbleSize val="0"/>
        </c:dLbls>
        <c:gapWidth val="75"/>
        <c:overlap val="-25"/>
        <c:axId val="111752320"/>
        <c:axId val="111753856"/>
      </c:barChart>
      <c:catAx>
        <c:axId val="111752320"/>
        <c:scaling>
          <c:orientation val="minMax"/>
        </c:scaling>
        <c:delete val="0"/>
        <c:axPos val="b"/>
        <c:numFmt formatCode="General" sourceLinked="1"/>
        <c:majorTickMark val="none"/>
        <c:minorTickMark val="none"/>
        <c:tickLblPos val="nextTo"/>
        <c:crossAx val="111753856"/>
        <c:crosses val="autoZero"/>
        <c:auto val="1"/>
        <c:lblAlgn val="ctr"/>
        <c:lblOffset val="100"/>
        <c:noMultiLvlLbl val="0"/>
      </c:catAx>
      <c:valAx>
        <c:axId val="111753856"/>
        <c:scaling>
          <c:orientation val="minMax"/>
          <c:max val="27"/>
          <c:min val="0"/>
        </c:scaling>
        <c:delete val="0"/>
        <c:axPos val="l"/>
        <c:majorGridlines/>
        <c:numFmt formatCode="0.0" sourceLinked="1"/>
        <c:majorTickMark val="none"/>
        <c:minorTickMark val="none"/>
        <c:tickLblPos val="nextTo"/>
        <c:spPr>
          <a:ln w="9525">
            <a:noFill/>
          </a:ln>
        </c:spPr>
        <c:crossAx val="111752320"/>
        <c:crosses val="autoZero"/>
        <c:crossBetween val="between"/>
      </c:valAx>
    </c:plotArea>
    <c:legend>
      <c:legendPos val="b"/>
      <c:layout>
        <c:manualLayout>
          <c:xMode val="edge"/>
          <c:yMode val="edge"/>
          <c:x val="3.3933320318431298E-2"/>
          <c:y val="0.84463867517992897"/>
          <c:w val="0.93237300709312199"/>
          <c:h val="0.132438688716919"/>
        </c:manualLayout>
      </c:layout>
      <c:overlay val="0"/>
      <c:txPr>
        <a:bodyPr/>
        <a:lstStyle/>
        <a:p>
          <a:pPr>
            <a:defRPr sz="900"/>
          </a:pPr>
          <a:endParaRPr lang="cs-CZ"/>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MPO!$A$8</c:f>
              <c:strCache>
                <c:ptCount val="1"/>
                <c:pt idx="0">
                  <c:v>Celkem</c:v>
                </c:pt>
              </c:strCache>
            </c:strRef>
          </c:tx>
          <c:spPr>
            <a:solidFill>
              <a:srgbClr val="FF0000"/>
            </a:solidFill>
            <a:ln>
              <a:solidFill>
                <a:srgbClr val="FF0000"/>
              </a:solidFill>
            </a:ln>
          </c:spPr>
          <c:invertIfNegative val="0"/>
          <c:cat>
            <c:numRef>
              <c:f>MPO!$B$1:$F$1</c:f>
              <c:numCache>
                <c:formatCode>General</c:formatCode>
                <c:ptCount val="5"/>
                <c:pt idx="0">
                  <c:v>2008</c:v>
                </c:pt>
                <c:pt idx="1">
                  <c:v>2009</c:v>
                </c:pt>
                <c:pt idx="2">
                  <c:v>2010</c:v>
                </c:pt>
                <c:pt idx="3">
                  <c:v>2011</c:v>
                </c:pt>
                <c:pt idx="4">
                  <c:v>2012</c:v>
                </c:pt>
              </c:numCache>
            </c:numRef>
          </c:cat>
          <c:val>
            <c:numRef>
              <c:f>MPO!$B$8:$F$8</c:f>
              <c:numCache>
                <c:formatCode>0.00%</c:formatCode>
                <c:ptCount val="5"/>
                <c:pt idx="0">
                  <c:v>0.08</c:v>
                </c:pt>
                <c:pt idx="1">
                  <c:v>0.1305</c:v>
                </c:pt>
                <c:pt idx="2">
                  <c:v>0.156</c:v>
                </c:pt>
                <c:pt idx="3">
                  <c:v>0.16389999999999999</c:v>
                </c:pt>
                <c:pt idx="4">
                  <c:v>0.2336</c:v>
                </c:pt>
              </c:numCache>
            </c:numRef>
          </c:val>
        </c:ser>
        <c:dLbls>
          <c:showLegendKey val="0"/>
          <c:showVal val="0"/>
          <c:showCatName val="0"/>
          <c:showSerName val="0"/>
          <c:showPercent val="0"/>
          <c:showBubbleSize val="0"/>
        </c:dLbls>
        <c:gapWidth val="75"/>
        <c:overlap val="-25"/>
        <c:axId val="111765760"/>
        <c:axId val="111788032"/>
      </c:barChart>
      <c:catAx>
        <c:axId val="111765760"/>
        <c:scaling>
          <c:orientation val="minMax"/>
        </c:scaling>
        <c:delete val="0"/>
        <c:axPos val="b"/>
        <c:numFmt formatCode="General" sourceLinked="1"/>
        <c:majorTickMark val="none"/>
        <c:minorTickMark val="none"/>
        <c:tickLblPos val="nextTo"/>
        <c:crossAx val="111788032"/>
        <c:crosses val="autoZero"/>
        <c:auto val="1"/>
        <c:lblAlgn val="ctr"/>
        <c:lblOffset val="100"/>
        <c:noMultiLvlLbl val="0"/>
      </c:catAx>
      <c:valAx>
        <c:axId val="111788032"/>
        <c:scaling>
          <c:orientation val="minMax"/>
        </c:scaling>
        <c:delete val="0"/>
        <c:axPos val="l"/>
        <c:majorGridlines/>
        <c:numFmt formatCode="0.00%" sourceLinked="1"/>
        <c:majorTickMark val="none"/>
        <c:minorTickMark val="none"/>
        <c:tickLblPos val="nextTo"/>
        <c:spPr>
          <a:ln w="9525">
            <a:noFill/>
          </a:ln>
        </c:spPr>
        <c:crossAx val="111765760"/>
        <c:crosses val="autoZero"/>
        <c:crossBetween val="between"/>
      </c:valAx>
    </c:plotArea>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0.41779</cdr:x>
      <cdr:y>0.91688</cdr:y>
    </cdr:from>
    <cdr:to>
      <cdr:x>0.45073</cdr:x>
      <cdr:y>0.96351</cdr:y>
    </cdr:to>
    <cdr:sp macro="" textlink="">
      <cdr:nvSpPr>
        <cdr:cNvPr id="2" name="Textové pole 1"/>
        <cdr:cNvSpPr txBox="1"/>
      </cdr:nvSpPr>
      <cdr:spPr>
        <a:xfrm xmlns:a="http://schemas.openxmlformats.org/drawingml/2006/main">
          <a:off x="2406770" y="3053751"/>
          <a:ext cx="189781" cy="15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cs-CZ" sz="1100"/>
        </a:p>
      </cdr:txBody>
    </cdr:sp>
  </cdr:relSizeAnchor>
</c:userShapes>
</file>

<file path=word/theme/theme1.xml><?xml version="1.0" encoding="utf-8"?>
<a:theme xmlns:a="http://schemas.openxmlformats.org/drawingml/2006/main" name="Motiv systému Office">
  <a:themeElements>
    <a:clrScheme name="Jmění">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4542FF-7925-4508-8FF3-9149E3F6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29742</Words>
  <Characters>175478</Characters>
  <Application>Microsoft Office Word</Application>
  <DocSecurity>0</DocSecurity>
  <Lines>1462</Lines>
  <Paragraphs>409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National Reform Programme of the Czech Republic </vt:lpstr>
      <vt:lpstr>Národní program reforem     České republiky</vt:lpstr>
    </vt:vector>
  </TitlesOfParts>
  <Company>Microsoft</Company>
  <LinksUpToDate>false</LinksUpToDate>
  <CharactersWithSpaces>204811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Reform Programme of the Czech Republic</dc:title>
  <dc:creator>Office of the Government of the Czech Republic</dc:creator>
  <cp:lastModifiedBy>M27</cp:lastModifiedBy>
  <cp:revision>3</cp:revision>
  <cp:lastPrinted>2014-04-10T06:28:00Z</cp:lastPrinted>
  <dcterms:created xsi:type="dcterms:W3CDTF">2014-04-22T14:37:00Z</dcterms:created>
  <dcterms:modified xsi:type="dcterms:W3CDTF">2014-04-23T14:14:00Z</dcterms:modified>
</cp:coreProperties>
</file>