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41A" w:rsidRPr="00D93DBE" w:rsidRDefault="0007141A" w:rsidP="0007141A">
      <w:pPr>
        <w:pStyle w:val="Zkladntextodsazen3"/>
        <w:ind w:left="0" w:firstLine="0"/>
        <w:rPr>
          <w:b/>
          <w:sz w:val="24"/>
          <w:szCs w:val="24"/>
        </w:rPr>
      </w:pPr>
      <w:r w:rsidRPr="00D93DBE">
        <w:rPr>
          <w:b/>
          <w:sz w:val="24"/>
          <w:szCs w:val="24"/>
        </w:rPr>
        <w:t>Ministerstvo školství,</w:t>
      </w:r>
    </w:p>
    <w:p w:rsidR="0007141A" w:rsidRPr="00D93DBE" w:rsidRDefault="0007141A" w:rsidP="0007141A">
      <w:pPr>
        <w:pStyle w:val="Zkladntextodsazen3"/>
        <w:ind w:left="0" w:firstLine="0"/>
        <w:rPr>
          <w:b/>
          <w:sz w:val="24"/>
          <w:szCs w:val="24"/>
          <w:u w:val="single"/>
        </w:rPr>
      </w:pPr>
      <w:r w:rsidRPr="00D93DBE">
        <w:rPr>
          <w:b/>
          <w:sz w:val="24"/>
          <w:szCs w:val="24"/>
          <w:u w:val="single"/>
        </w:rPr>
        <w:t>mládeže a tělovýchovy</w:t>
      </w:r>
    </w:p>
    <w:p w:rsidR="0007141A" w:rsidRPr="00E06822" w:rsidRDefault="00102C8B" w:rsidP="00102C8B">
      <w:pPr>
        <w:rPr>
          <w:bCs/>
          <w:sz w:val="24"/>
        </w:rPr>
      </w:pPr>
      <w:r>
        <w:rPr>
          <w:b/>
          <w:color w:val="FF0000"/>
          <w:sz w:val="24"/>
        </w:rPr>
        <w:t>Č.</w:t>
      </w:r>
      <w:r w:rsidRPr="00D069C2">
        <w:rPr>
          <w:b/>
          <w:color w:val="FF0000"/>
          <w:sz w:val="24"/>
        </w:rPr>
        <w:t>j.</w:t>
      </w:r>
      <w:r>
        <w:rPr>
          <w:b/>
          <w:color w:val="FF0000"/>
          <w:sz w:val="24"/>
        </w:rPr>
        <w:t>:</w:t>
      </w:r>
      <w:r w:rsidRPr="00D069C2">
        <w:rPr>
          <w:b/>
          <w:color w:val="FF0000"/>
          <w:sz w:val="24"/>
        </w:rPr>
        <w:t xml:space="preserve"> MSMT-</w:t>
      </w:r>
      <w:r w:rsidRPr="00D069C2">
        <w:rPr>
          <w:b/>
          <w:bCs/>
          <w:color w:val="FF0000"/>
          <w:sz w:val="24"/>
        </w:rPr>
        <w:t>27423/2014_P-I</w:t>
      </w:r>
      <w:r>
        <w:rPr>
          <w:b/>
          <w:bCs/>
          <w:color w:val="FF0000"/>
          <w:sz w:val="24"/>
        </w:rPr>
        <w:t>V</w:t>
      </w:r>
      <w:r w:rsidRPr="00D069C2">
        <w:rPr>
          <w:bCs/>
          <w:sz w:val="24"/>
        </w:rPr>
        <w:t xml:space="preserve">  </w:t>
      </w:r>
    </w:p>
    <w:p w:rsidR="0007141A" w:rsidRDefault="0007141A" w:rsidP="0007141A">
      <w:pPr>
        <w:pStyle w:val="Nadpis9"/>
        <w:rPr>
          <w:color w:val="0000FF"/>
          <w:sz w:val="56"/>
        </w:rPr>
      </w:pPr>
    </w:p>
    <w:p w:rsidR="0007141A" w:rsidRPr="0007141A" w:rsidRDefault="0007141A" w:rsidP="0007141A"/>
    <w:p w:rsidR="0007141A" w:rsidRDefault="0007141A" w:rsidP="0007141A">
      <w:pPr>
        <w:pStyle w:val="Nadpis9"/>
        <w:rPr>
          <w:color w:val="0000FF"/>
          <w:sz w:val="56"/>
        </w:rPr>
      </w:pPr>
    </w:p>
    <w:p w:rsidR="00CA5F44" w:rsidRDefault="00CA5F44" w:rsidP="00CA5F44"/>
    <w:p w:rsidR="00C5397F" w:rsidRPr="00BC4725" w:rsidRDefault="00C5397F" w:rsidP="00C5397F">
      <w:pPr>
        <w:jc w:val="center"/>
        <w:rPr>
          <w:b/>
          <w:color w:val="0000FA"/>
          <w:sz w:val="56"/>
        </w:rPr>
      </w:pPr>
      <w:r w:rsidRPr="00BC4725">
        <w:rPr>
          <w:b/>
          <w:color w:val="0000FA"/>
          <w:sz w:val="56"/>
        </w:rPr>
        <w:t>Z  Á  S  A  D  Y</w:t>
      </w:r>
    </w:p>
    <w:p w:rsidR="00C5397F" w:rsidRPr="00E06822" w:rsidRDefault="00C5397F" w:rsidP="00C5397F">
      <w:pPr>
        <w:jc w:val="center"/>
        <w:rPr>
          <w:rFonts w:ascii="Arial" w:hAnsi="Arial"/>
          <w:b/>
          <w:sz w:val="32"/>
        </w:rPr>
      </w:pPr>
    </w:p>
    <w:p w:rsidR="00C5397F" w:rsidRPr="00E06822" w:rsidRDefault="00C5397F" w:rsidP="00C5397F">
      <w:pPr>
        <w:jc w:val="center"/>
        <w:rPr>
          <w:rFonts w:ascii="Arial" w:hAnsi="Arial"/>
          <w:b/>
          <w:sz w:val="32"/>
        </w:rPr>
      </w:pPr>
    </w:p>
    <w:p w:rsidR="00C5397F" w:rsidRDefault="00C5397F" w:rsidP="00C5397F">
      <w:pPr>
        <w:jc w:val="center"/>
        <w:rPr>
          <w:rFonts w:ascii="Arial" w:hAnsi="Arial"/>
          <w:b/>
          <w:sz w:val="32"/>
        </w:rPr>
      </w:pPr>
      <w:r>
        <w:rPr>
          <w:rFonts w:ascii="Arial" w:hAnsi="Arial"/>
          <w:b/>
          <w:noProof/>
          <w:sz w:val="32"/>
        </w:rPr>
        <w:drawing>
          <wp:inline distT="0" distB="0" distL="0" distR="0" wp14:anchorId="39B9F7D7" wp14:editId="2E65D723">
            <wp:extent cx="5486400" cy="3279913"/>
            <wp:effectExtent l="76200" t="57150" r="19050" b="920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A5F44" w:rsidRDefault="00CA5F44" w:rsidP="00CA5F44"/>
    <w:p w:rsidR="00CA5F44" w:rsidRDefault="00CA5F44" w:rsidP="00C5397F"/>
    <w:p w:rsidR="00CA5F44" w:rsidRPr="00C5397F" w:rsidRDefault="00CA5F44" w:rsidP="00C5397F">
      <w:pPr>
        <w:rPr>
          <w:sz w:val="24"/>
        </w:rPr>
      </w:pPr>
    </w:p>
    <w:p w:rsidR="00D93DBE" w:rsidRPr="00C5397F" w:rsidRDefault="00D93DBE" w:rsidP="00C5397F">
      <w:pPr>
        <w:jc w:val="center"/>
        <w:rPr>
          <w:rFonts w:ascii="Arial" w:hAnsi="Arial"/>
          <w:b/>
        </w:rPr>
      </w:pPr>
    </w:p>
    <w:p w:rsidR="00C5397F" w:rsidRPr="00C5397F" w:rsidRDefault="00C5397F" w:rsidP="00C5397F">
      <w:pPr>
        <w:jc w:val="center"/>
        <w:rPr>
          <w:rFonts w:ascii="Arial" w:hAnsi="Arial"/>
          <w:b/>
        </w:rPr>
      </w:pPr>
    </w:p>
    <w:p w:rsidR="00C5397F" w:rsidRPr="00C5397F" w:rsidRDefault="00C5397F" w:rsidP="0007141A">
      <w:pPr>
        <w:jc w:val="center"/>
        <w:rPr>
          <w:rFonts w:ascii="Arial" w:hAnsi="Arial"/>
          <w:b/>
          <w:sz w:val="24"/>
        </w:rPr>
      </w:pPr>
    </w:p>
    <w:p w:rsidR="00102C8B" w:rsidRPr="00C5397F" w:rsidRDefault="00102C8B" w:rsidP="0007141A">
      <w:pPr>
        <w:jc w:val="center"/>
        <w:rPr>
          <w:rFonts w:ascii="Arial" w:hAnsi="Arial"/>
          <w:b/>
        </w:rPr>
      </w:pPr>
      <w:bookmarkStart w:id="0" w:name="_GoBack"/>
      <w:bookmarkEnd w:id="0"/>
    </w:p>
    <w:p w:rsidR="001D6439" w:rsidRPr="00C5397F" w:rsidRDefault="001D6439" w:rsidP="0007141A">
      <w:pPr>
        <w:jc w:val="center"/>
        <w:rPr>
          <w:rFonts w:ascii="Arial" w:hAnsi="Arial"/>
          <w:b/>
        </w:rPr>
      </w:pPr>
    </w:p>
    <w:p w:rsidR="00D93DBE" w:rsidRPr="00AB43F6" w:rsidRDefault="00D93DBE" w:rsidP="00D93DBE">
      <w:pPr>
        <w:pStyle w:val="Nadpis9"/>
        <w:rPr>
          <w:b w:val="0"/>
          <w:bCs/>
          <w:sz w:val="24"/>
          <w:szCs w:val="24"/>
        </w:rPr>
      </w:pPr>
      <w:r w:rsidRPr="00AB43F6">
        <w:rPr>
          <w:b w:val="0"/>
          <w:bCs/>
          <w:sz w:val="24"/>
          <w:szCs w:val="24"/>
        </w:rPr>
        <w:t xml:space="preserve">Zásady </w:t>
      </w:r>
      <w:r>
        <w:rPr>
          <w:b w:val="0"/>
          <w:bCs/>
          <w:sz w:val="24"/>
          <w:szCs w:val="24"/>
        </w:rPr>
        <w:t xml:space="preserve">Programu </w:t>
      </w:r>
      <w:r w:rsidR="004E29B0">
        <w:rPr>
          <w:b w:val="0"/>
          <w:bCs/>
          <w:sz w:val="24"/>
          <w:szCs w:val="24"/>
        </w:rPr>
        <w:t>I</w:t>
      </w:r>
      <w:r w:rsidRPr="00AB43F6">
        <w:rPr>
          <w:b w:val="0"/>
          <w:bCs/>
          <w:sz w:val="24"/>
          <w:szCs w:val="24"/>
        </w:rPr>
        <w:t xml:space="preserve">V – </w:t>
      </w:r>
      <w:r>
        <w:rPr>
          <w:b w:val="0"/>
          <w:bCs/>
          <w:sz w:val="24"/>
          <w:szCs w:val="24"/>
        </w:rPr>
        <w:t>Údržba a provoz sportovních zařízení</w:t>
      </w:r>
    </w:p>
    <w:p w:rsidR="00B05796" w:rsidRPr="00A71B4A" w:rsidRDefault="00B05796" w:rsidP="00B05796">
      <w:pPr>
        <w:pStyle w:val="Nadpis9"/>
        <w:rPr>
          <w:b w:val="0"/>
          <w:bCs/>
          <w:sz w:val="24"/>
          <w:szCs w:val="24"/>
        </w:rPr>
      </w:pPr>
      <w:r w:rsidRPr="008E4BB4">
        <w:rPr>
          <w:b w:val="0"/>
          <w:bCs/>
          <w:sz w:val="24"/>
          <w:szCs w:val="24"/>
        </w:rPr>
        <w:t xml:space="preserve">byly projednány poradou vedení MŠMT dne </w:t>
      </w:r>
      <w:r w:rsidR="000720F0">
        <w:rPr>
          <w:b w:val="0"/>
          <w:bCs/>
          <w:sz w:val="24"/>
          <w:szCs w:val="24"/>
        </w:rPr>
        <w:t>31.</w:t>
      </w:r>
      <w:r w:rsidRPr="008E4BB4">
        <w:rPr>
          <w:b w:val="0"/>
          <w:sz w:val="24"/>
        </w:rPr>
        <w:t xml:space="preserve"> října</w:t>
      </w:r>
      <w:r w:rsidRPr="008E4BB4">
        <w:rPr>
          <w:b w:val="0"/>
          <w:bCs/>
          <w:sz w:val="24"/>
          <w:szCs w:val="24"/>
        </w:rPr>
        <w:t xml:space="preserve"> 2014</w:t>
      </w:r>
    </w:p>
    <w:p w:rsidR="008D3BD4" w:rsidRPr="008D3BD4" w:rsidRDefault="00102C8B" w:rsidP="00102C8B">
      <w:pPr>
        <w:pStyle w:val="Nadpis9"/>
      </w:pPr>
      <w:r w:rsidRPr="00A71B4A">
        <w:rPr>
          <w:b w:val="0"/>
          <w:sz w:val="24"/>
          <w:szCs w:val="24"/>
        </w:rPr>
        <w:t>v rámci „</w:t>
      </w:r>
      <w:r>
        <w:rPr>
          <w:b w:val="0"/>
          <w:sz w:val="24"/>
          <w:szCs w:val="24"/>
        </w:rPr>
        <w:t xml:space="preserve">Metodického postupu poskytování dotací vyhlášených </w:t>
      </w:r>
      <w:r w:rsidRPr="00A71B4A">
        <w:rPr>
          <w:b w:val="0"/>
          <w:sz w:val="24"/>
          <w:szCs w:val="24"/>
        </w:rPr>
        <w:t>Státní podpor</w:t>
      </w:r>
      <w:r>
        <w:rPr>
          <w:b w:val="0"/>
          <w:sz w:val="24"/>
          <w:szCs w:val="24"/>
        </w:rPr>
        <w:t>ou</w:t>
      </w:r>
      <w:r w:rsidRPr="00A71B4A">
        <w:rPr>
          <w:b w:val="0"/>
          <w:sz w:val="24"/>
          <w:szCs w:val="24"/>
        </w:rPr>
        <w:t xml:space="preserve"> sportu</w:t>
      </w:r>
      <w:r>
        <w:rPr>
          <w:b w:val="0"/>
          <w:sz w:val="24"/>
          <w:szCs w:val="24"/>
        </w:rPr>
        <w:t xml:space="preserve"> pro období 2015 až 2018“ pod č.j. MSMT-27423/2014</w:t>
      </w:r>
      <w:r w:rsidRPr="00A71B4A">
        <w:rPr>
          <w:b w:val="0"/>
          <w:sz w:val="24"/>
          <w:szCs w:val="24"/>
        </w:rPr>
        <w:t>.</w:t>
      </w:r>
    </w:p>
    <w:p w:rsidR="00D93DBE" w:rsidRDefault="00D93DBE" w:rsidP="0007141A">
      <w:pPr>
        <w:jc w:val="center"/>
        <w:rPr>
          <w:rFonts w:ascii="Arial" w:hAnsi="Arial"/>
          <w:b/>
          <w:sz w:val="32"/>
        </w:rPr>
        <w:sectPr w:rsidR="00D93DBE" w:rsidSect="00454088">
          <w:headerReference w:type="default" r:id="rId12"/>
          <w:footerReference w:type="even" r:id="rId13"/>
          <w:footerReference w:type="default" r:id="rId14"/>
          <w:pgSz w:w="11906" w:h="16838"/>
          <w:pgMar w:top="1417" w:right="1417" w:bottom="1417" w:left="1417" w:header="708" w:footer="708" w:gutter="0"/>
          <w:cols w:space="708"/>
          <w:titlePg/>
          <w:docGrid w:linePitch="360"/>
        </w:sectPr>
      </w:pPr>
    </w:p>
    <w:p w:rsidR="002E2DC3" w:rsidRPr="00102C8B" w:rsidRDefault="002E2DC3" w:rsidP="002E2DC3">
      <w:pPr>
        <w:pStyle w:val="Nadpis9"/>
        <w:rPr>
          <w:sz w:val="36"/>
          <w:szCs w:val="40"/>
        </w:rPr>
      </w:pPr>
      <w:r w:rsidRPr="00102C8B">
        <w:rPr>
          <w:sz w:val="36"/>
          <w:szCs w:val="40"/>
        </w:rPr>
        <w:lastRenderedPageBreak/>
        <w:t xml:space="preserve">Z á s a d y </w:t>
      </w:r>
    </w:p>
    <w:p w:rsidR="002E2DC3" w:rsidRPr="00043AFD" w:rsidRDefault="002E2DC3" w:rsidP="004E29B0">
      <w:pPr>
        <w:pStyle w:val="Nadpis9"/>
        <w:spacing w:before="120"/>
        <w:rPr>
          <w:sz w:val="28"/>
          <w:szCs w:val="28"/>
        </w:rPr>
      </w:pPr>
      <w:r w:rsidRPr="00043AFD">
        <w:rPr>
          <w:sz w:val="28"/>
          <w:szCs w:val="28"/>
        </w:rPr>
        <w:t xml:space="preserve">PROGRAMU  </w:t>
      </w:r>
      <w:r w:rsidR="004E29B0">
        <w:rPr>
          <w:sz w:val="28"/>
          <w:szCs w:val="28"/>
        </w:rPr>
        <w:t>I</w:t>
      </w:r>
      <w:r w:rsidRPr="00043AFD">
        <w:rPr>
          <w:sz w:val="28"/>
          <w:szCs w:val="28"/>
        </w:rPr>
        <w:t xml:space="preserve">V  -  </w:t>
      </w:r>
      <w:r>
        <w:rPr>
          <w:sz w:val="28"/>
          <w:szCs w:val="28"/>
        </w:rPr>
        <w:t>Údržba a provoz sportovních zařízení</w:t>
      </w:r>
      <w:r w:rsidRPr="00043AFD">
        <w:rPr>
          <w:sz w:val="28"/>
          <w:szCs w:val="28"/>
        </w:rPr>
        <w:t xml:space="preserve"> </w:t>
      </w:r>
    </w:p>
    <w:p w:rsidR="002E2DC3" w:rsidRDefault="002E2DC3" w:rsidP="002E2DC3">
      <w:pPr>
        <w:jc w:val="center"/>
        <w:rPr>
          <w:rFonts w:ascii="Arial" w:hAnsi="Arial"/>
          <w:sz w:val="24"/>
          <w:szCs w:val="24"/>
        </w:rPr>
      </w:pPr>
    </w:p>
    <w:p w:rsidR="00BC2729" w:rsidRPr="00644C9C" w:rsidRDefault="00BC2729" w:rsidP="002E2DC3">
      <w:pPr>
        <w:jc w:val="center"/>
        <w:rPr>
          <w:rFonts w:ascii="Arial" w:hAnsi="Arial"/>
          <w:sz w:val="24"/>
          <w:szCs w:val="24"/>
        </w:rPr>
      </w:pPr>
    </w:p>
    <w:p w:rsidR="002E2DC3" w:rsidRPr="00102C8B" w:rsidRDefault="002E2DC3" w:rsidP="00FD1465">
      <w:pPr>
        <w:pStyle w:val="Nadpis2"/>
        <w:spacing w:before="120" w:after="0"/>
        <w:jc w:val="center"/>
        <w:rPr>
          <w:rFonts w:ascii="Times New Roman" w:hAnsi="Times New Roman" w:cs="Times New Roman"/>
          <w:i w:val="0"/>
          <w:sz w:val="24"/>
        </w:rPr>
      </w:pPr>
      <w:r w:rsidRPr="00102C8B">
        <w:rPr>
          <w:rFonts w:ascii="Times New Roman" w:hAnsi="Times New Roman" w:cs="Times New Roman"/>
          <w:i w:val="0"/>
          <w:sz w:val="24"/>
        </w:rPr>
        <w:t>Článek I - Všeobecná ustanovení</w:t>
      </w:r>
    </w:p>
    <w:p w:rsidR="00102C8B" w:rsidRPr="00717A16" w:rsidRDefault="00102C8B" w:rsidP="00102C8B">
      <w:pPr>
        <w:pStyle w:val="Odstavecseseznamem"/>
        <w:numPr>
          <w:ilvl w:val="0"/>
          <w:numId w:val="1"/>
        </w:numPr>
        <w:tabs>
          <w:tab w:val="clear" w:pos="720"/>
        </w:tabs>
        <w:spacing w:before="120"/>
        <w:ind w:left="426" w:hanging="426"/>
        <w:rPr>
          <w:sz w:val="24"/>
          <w:szCs w:val="24"/>
        </w:rPr>
      </w:pPr>
      <w:r w:rsidRPr="00717A16">
        <w:rPr>
          <w:sz w:val="24"/>
          <w:szCs w:val="24"/>
        </w:rPr>
        <w:t>Podpora oblasti „</w:t>
      </w:r>
      <w:r>
        <w:rPr>
          <w:sz w:val="24"/>
          <w:szCs w:val="24"/>
        </w:rPr>
        <w:t>Všeobecné sportovní činnosti</w:t>
      </w:r>
      <w:r w:rsidRPr="00717A16">
        <w:rPr>
          <w:sz w:val="24"/>
          <w:szCs w:val="24"/>
        </w:rPr>
        <w:t>“ vychází ze zákona č. 115/2001 Sb., o podpoře sportu, ve znění pozdějších předpisů, a z usnesení vlády ČR ze dne 9. března 2011 č. 167 o Koncepci státní podpory sportu v České republice.</w:t>
      </w:r>
    </w:p>
    <w:p w:rsidR="00102C8B" w:rsidRPr="000720F0" w:rsidRDefault="00102C8B" w:rsidP="00102C8B">
      <w:pPr>
        <w:numPr>
          <w:ilvl w:val="0"/>
          <w:numId w:val="1"/>
        </w:numPr>
        <w:tabs>
          <w:tab w:val="clear" w:pos="720"/>
        </w:tabs>
        <w:spacing w:before="120"/>
        <w:ind w:left="426" w:hanging="426"/>
        <w:rPr>
          <w:snapToGrid w:val="0"/>
          <w:kern w:val="24"/>
          <w:sz w:val="24"/>
          <w:szCs w:val="24"/>
        </w:rPr>
      </w:pPr>
      <w:r w:rsidRPr="00717A16">
        <w:rPr>
          <w:sz w:val="24"/>
          <w:szCs w:val="24"/>
        </w:rPr>
        <w:t>Program</w:t>
      </w:r>
      <w:r w:rsidRPr="00717A16">
        <w:rPr>
          <w:b/>
          <w:sz w:val="24"/>
          <w:szCs w:val="24"/>
        </w:rPr>
        <w:t xml:space="preserve"> </w:t>
      </w:r>
      <w:r w:rsidRPr="00717A16">
        <w:rPr>
          <w:sz w:val="24"/>
          <w:szCs w:val="24"/>
        </w:rPr>
        <w:t xml:space="preserve">je veřejně vyhlašován v souladu se zákonem č. 218/2000 Sb., o rozpočtových pravidlech a o změně některých souvisejících zákonů (rozpočtová pravidla), ve znění pozdějších předpisů, s usnesením vlády ze dne 1. února 2010 č. 92 o Zásadách vlády pro </w:t>
      </w:r>
      <w:r w:rsidRPr="000720F0">
        <w:rPr>
          <w:sz w:val="24"/>
          <w:szCs w:val="24"/>
        </w:rPr>
        <w:t xml:space="preserve">poskytování dotací ze státního rozpočtu ČR nestátním neziskovým organizacím ústředními orgány státní správy, ve znění usnesení vlády České republiky ze dne </w:t>
      </w:r>
      <w:r w:rsidRPr="000720F0">
        <w:rPr>
          <w:sz w:val="24"/>
          <w:szCs w:val="24"/>
        </w:rPr>
        <w:br/>
        <w:t>19. června 2013 č. 479</w:t>
      </w:r>
      <w:r w:rsidR="00BB0DEF" w:rsidRPr="000720F0">
        <w:rPr>
          <w:sz w:val="24"/>
          <w:szCs w:val="24"/>
        </w:rPr>
        <w:t xml:space="preserve"> </w:t>
      </w:r>
      <w:r w:rsidR="008642C5" w:rsidRPr="000720F0">
        <w:rPr>
          <w:sz w:val="24"/>
          <w:szCs w:val="24"/>
        </w:rPr>
        <w:t>a usnesení vlády České republiky ze dne 6. srpna 2014 č. 657</w:t>
      </w:r>
      <w:r w:rsidR="00256CC0" w:rsidRPr="000720F0">
        <w:rPr>
          <w:sz w:val="24"/>
          <w:szCs w:val="24"/>
        </w:rPr>
        <w:t xml:space="preserve">. </w:t>
      </w:r>
      <w:r w:rsidR="00256CC0" w:rsidRPr="000720F0">
        <w:rPr>
          <w:sz w:val="24"/>
        </w:rPr>
        <w:t>Na dotace</w:t>
      </w:r>
      <w:r w:rsidRPr="000720F0">
        <w:rPr>
          <w:sz w:val="24"/>
          <w:szCs w:val="24"/>
        </w:rPr>
        <w:t xml:space="preserve"> není právní nárok. </w:t>
      </w:r>
      <w:r w:rsidRPr="000720F0">
        <w:rPr>
          <w:snapToGrid w:val="0"/>
          <w:kern w:val="24"/>
          <w:sz w:val="24"/>
          <w:szCs w:val="24"/>
        </w:rPr>
        <w:t xml:space="preserve">  </w:t>
      </w:r>
    </w:p>
    <w:p w:rsidR="00102C8B" w:rsidRDefault="00102C8B" w:rsidP="00102C8B">
      <w:pPr>
        <w:pStyle w:val="kou"/>
        <w:numPr>
          <w:ilvl w:val="0"/>
          <w:numId w:val="1"/>
        </w:numPr>
        <w:tabs>
          <w:tab w:val="clear" w:pos="720"/>
        </w:tabs>
        <w:spacing w:before="120"/>
        <w:ind w:left="426" w:hanging="426"/>
        <w:rPr>
          <w:rFonts w:ascii="Times New Roman" w:hAnsi="Times New Roman"/>
          <w:kern w:val="24"/>
          <w:szCs w:val="24"/>
        </w:rPr>
      </w:pPr>
      <w:r w:rsidRPr="00717A16">
        <w:rPr>
          <w:rFonts w:ascii="Times New Roman" w:hAnsi="Times New Roman"/>
          <w:kern w:val="24"/>
          <w:szCs w:val="24"/>
        </w:rPr>
        <w:t>Ministerstvo školství, mládeže a tělovýchovy (dále jen „MŠMT“) stanovuje postup, kterým se určují podmínky pro poskytování, čerpání a vyhodnocování Programu I</w:t>
      </w:r>
      <w:r>
        <w:rPr>
          <w:rFonts w:ascii="Times New Roman" w:hAnsi="Times New Roman"/>
          <w:kern w:val="24"/>
          <w:szCs w:val="24"/>
        </w:rPr>
        <w:t>V</w:t>
      </w:r>
      <w:r w:rsidRPr="00717A16">
        <w:rPr>
          <w:rFonts w:ascii="Times New Roman" w:hAnsi="Times New Roman"/>
          <w:kern w:val="24"/>
          <w:szCs w:val="24"/>
        </w:rPr>
        <w:t xml:space="preserve"> „</w:t>
      </w:r>
      <w:r>
        <w:rPr>
          <w:rFonts w:ascii="Times New Roman" w:hAnsi="Times New Roman"/>
          <w:kern w:val="24"/>
          <w:szCs w:val="24"/>
        </w:rPr>
        <w:t>Údržba a provoz sportovních zařízení</w:t>
      </w:r>
      <w:r w:rsidRPr="00717A16">
        <w:rPr>
          <w:rFonts w:ascii="Times New Roman" w:hAnsi="Times New Roman"/>
          <w:kern w:val="24"/>
          <w:szCs w:val="24"/>
        </w:rPr>
        <w:t xml:space="preserve">“, určeného nestátním neziskovým organizacím (dále jen „NNO“), zejména spolkům v oblasti sportu, působících podle zákona </w:t>
      </w:r>
      <w:r w:rsidRPr="00717A16">
        <w:rPr>
          <w:rFonts w:ascii="Times New Roman" w:hAnsi="Times New Roman"/>
          <w:kern w:val="24"/>
          <w:szCs w:val="24"/>
        </w:rPr>
        <w:br/>
      </w:r>
      <w:r w:rsidRPr="00717A16">
        <w:rPr>
          <w:rFonts w:ascii="Times New Roman" w:hAnsi="Times New Roman"/>
          <w:szCs w:val="24"/>
        </w:rPr>
        <w:t>č. 89/2012 Sb., občanský zákoník</w:t>
      </w:r>
      <w:r w:rsidRPr="00717A16">
        <w:rPr>
          <w:rFonts w:ascii="Times New Roman" w:hAnsi="Times New Roman"/>
          <w:kern w:val="24"/>
          <w:szCs w:val="24"/>
        </w:rPr>
        <w:t xml:space="preserve">. Pro potřebu sportovního prostředí se využívají názvy </w:t>
      </w:r>
      <w:r w:rsidR="000B4CC5">
        <w:rPr>
          <w:rFonts w:ascii="Times New Roman" w:hAnsi="Times New Roman"/>
          <w:kern w:val="24"/>
          <w:szCs w:val="24"/>
        </w:rPr>
        <w:br/>
      </w:r>
      <w:r w:rsidRPr="00717A16">
        <w:rPr>
          <w:rFonts w:ascii="Times New Roman" w:hAnsi="Times New Roman"/>
          <w:kern w:val="24"/>
          <w:szCs w:val="24"/>
        </w:rPr>
        <w:t>a termíny, které jsou dlouhodobě známé, srozumitelné a používané.</w:t>
      </w:r>
    </w:p>
    <w:p w:rsidR="008D3BD4" w:rsidRDefault="00102C8B" w:rsidP="00E20ED3">
      <w:pPr>
        <w:pStyle w:val="kou"/>
        <w:numPr>
          <w:ilvl w:val="0"/>
          <w:numId w:val="1"/>
        </w:numPr>
        <w:tabs>
          <w:tab w:val="clear" w:pos="720"/>
        </w:tabs>
        <w:spacing w:before="120"/>
        <w:ind w:left="426" w:hanging="426"/>
        <w:outlineLvl w:val="0"/>
        <w:rPr>
          <w:rFonts w:ascii="Times New Roman" w:hAnsi="Times New Roman"/>
          <w:szCs w:val="24"/>
        </w:rPr>
      </w:pPr>
      <w:r w:rsidRPr="00102C8B">
        <w:rPr>
          <w:rFonts w:ascii="Times New Roman" w:hAnsi="Times New Roman"/>
          <w:szCs w:val="24"/>
        </w:rPr>
        <w:t xml:space="preserve">Cílem programu je podpora </w:t>
      </w:r>
      <w:r w:rsidR="00D53505" w:rsidRPr="00102C8B">
        <w:rPr>
          <w:rFonts w:ascii="Times New Roman" w:hAnsi="Times New Roman"/>
          <w:szCs w:val="24"/>
        </w:rPr>
        <w:t xml:space="preserve">udržování a provozování sportovních </w:t>
      </w:r>
      <w:r w:rsidR="006047CE" w:rsidRPr="00102C8B">
        <w:rPr>
          <w:rFonts w:ascii="Times New Roman" w:hAnsi="Times New Roman"/>
          <w:szCs w:val="24"/>
        </w:rPr>
        <w:t>zařízení,</w:t>
      </w:r>
      <w:r w:rsidR="00D53505" w:rsidRPr="00102C8B">
        <w:rPr>
          <w:rFonts w:ascii="Times New Roman" w:hAnsi="Times New Roman"/>
          <w:szCs w:val="24"/>
        </w:rPr>
        <w:t xml:space="preserve"> podpor</w:t>
      </w:r>
      <w:r w:rsidR="006047CE" w:rsidRPr="00102C8B">
        <w:rPr>
          <w:rFonts w:ascii="Times New Roman" w:hAnsi="Times New Roman"/>
          <w:szCs w:val="24"/>
        </w:rPr>
        <w:t>a</w:t>
      </w:r>
      <w:r w:rsidR="00D53505" w:rsidRPr="00102C8B">
        <w:rPr>
          <w:rFonts w:ascii="Times New Roman" w:hAnsi="Times New Roman"/>
          <w:szCs w:val="24"/>
        </w:rPr>
        <w:t xml:space="preserve"> udržování technických prostředků, strojů a zařízení sloužících ke sportovní činnosti a podpor</w:t>
      </w:r>
      <w:r w:rsidR="006047CE" w:rsidRPr="00102C8B">
        <w:rPr>
          <w:rFonts w:ascii="Times New Roman" w:hAnsi="Times New Roman"/>
          <w:szCs w:val="24"/>
        </w:rPr>
        <w:t>a</w:t>
      </w:r>
      <w:r w:rsidR="00D53505" w:rsidRPr="00102C8B">
        <w:rPr>
          <w:rFonts w:ascii="Times New Roman" w:hAnsi="Times New Roman"/>
          <w:szCs w:val="24"/>
        </w:rPr>
        <w:t xml:space="preserve"> udržování a provozování sportovních zařízení sloužících </w:t>
      </w:r>
      <w:r w:rsidR="006047CE" w:rsidRPr="00102C8B">
        <w:rPr>
          <w:rFonts w:ascii="Times New Roman" w:hAnsi="Times New Roman"/>
          <w:szCs w:val="24"/>
        </w:rPr>
        <w:t xml:space="preserve">k </w:t>
      </w:r>
      <w:r w:rsidR="00D53505" w:rsidRPr="00102C8B">
        <w:rPr>
          <w:rFonts w:ascii="Times New Roman" w:hAnsi="Times New Roman"/>
          <w:szCs w:val="24"/>
        </w:rPr>
        <w:t>přípravě reprezentantů a sportovních talentů</w:t>
      </w:r>
      <w:r w:rsidR="005F4B20" w:rsidRPr="00102C8B">
        <w:rPr>
          <w:rFonts w:ascii="Times New Roman" w:hAnsi="Times New Roman"/>
          <w:szCs w:val="24"/>
        </w:rPr>
        <w:t>.</w:t>
      </w:r>
    </w:p>
    <w:p w:rsidR="00991C24" w:rsidRPr="00991C24" w:rsidRDefault="00991C24" w:rsidP="00991C24">
      <w:pPr>
        <w:pStyle w:val="Zkladntextodsazen2"/>
        <w:numPr>
          <w:ilvl w:val="0"/>
          <w:numId w:val="1"/>
        </w:numPr>
        <w:tabs>
          <w:tab w:val="clear" w:pos="720"/>
        </w:tabs>
        <w:spacing w:before="120" w:after="0" w:line="240" w:lineRule="auto"/>
        <w:ind w:left="426" w:hanging="426"/>
        <w:rPr>
          <w:sz w:val="24"/>
        </w:rPr>
      </w:pPr>
      <w:r w:rsidRPr="00991C24">
        <w:rPr>
          <w:sz w:val="24"/>
        </w:rPr>
        <w:t>Dotace ze státního rozpočtu je finančním příspěvkem, jehož výše i způsob rozdělení vychází z možností státního rozpočtu a z</w:t>
      </w:r>
      <w:r>
        <w:rPr>
          <w:sz w:val="24"/>
        </w:rPr>
        <w:t xml:space="preserve"> výpočtů, dle stanovených kritérií na základě dodaných podkladů k žádosti. </w:t>
      </w:r>
      <w:r w:rsidRPr="00991C24">
        <w:rPr>
          <w:sz w:val="24"/>
        </w:rPr>
        <w:t xml:space="preserve"> </w:t>
      </w:r>
    </w:p>
    <w:p w:rsidR="00991C24" w:rsidRDefault="00991C24" w:rsidP="00991C24">
      <w:pPr>
        <w:pStyle w:val="ku"/>
        <w:numPr>
          <w:ilvl w:val="0"/>
          <w:numId w:val="1"/>
        </w:numPr>
        <w:tabs>
          <w:tab w:val="clear" w:pos="720"/>
        </w:tabs>
        <w:spacing w:before="120"/>
        <w:ind w:left="426" w:hanging="426"/>
      </w:pPr>
      <w:r w:rsidRPr="00016581">
        <w:rPr>
          <w:kern w:val="24"/>
        </w:rPr>
        <w:t xml:space="preserve">Dotace se realizuje na základě Rozhodnutí </w:t>
      </w:r>
      <w:r w:rsidRPr="002B4E1E">
        <w:rPr>
          <w:kern w:val="24"/>
        </w:rPr>
        <w:t xml:space="preserve">pro poskytnutí dotace ze státního rozpočtu České republiky pro příslušný kalendářní rok (dále jen „Rozhodnutí“).  </w:t>
      </w:r>
    </w:p>
    <w:p w:rsidR="00112E26" w:rsidRDefault="00112E26" w:rsidP="00112E26">
      <w:pPr>
        <w:pStyle w:val="Nadpis2"/>
        <w:spacing w:before="0" w:after="0"/>
        <w:jc w:val="center"/>
        <w:rPr>
          <w:rFonts w:ascii="Times New Roman" w:hAnsi="Times New Roman" w:cs="Times New Roman"/>
          <w:i w:val="0"/>
          <w:sz w:val="24"/>
        </w:rPr>
      </w:pPr>
    </w:p>
    <w:p w:rsidR="00112E26" w:rsidRPr="00112E26" w:rsidRDefault="00112E26" w:rsidP="00112E26">
      <w:pPr>
        <w:rPr>
          <w:sz w:val="24"/>
        </w:rPr>
      </w:pPr>
    </w:p>
    <w:p w:rsidR="00EA2FCA" w:rsidRPr="00112E26" w:rsidRDefault="00EA2FCA" w:rsidP="00EA2FCA">
      <w:pPr>
        <w:pStyle w:val="Nadpis2"/>
        <w:spacing w:before="120" w:after="0"/>
        <w:jc w:val="center"/>
        <w:rPr>
          <w:rFonts w:ascii="Times New Roman" w:hAnsi="Times New Roman" w:cs="Times New Roman"/>
          <w:i w:val="0"/>
          <w:sz w:val="24"/>
        </w:rPr>
      </w:pPr>
      <w:r w:rsidRPr="00112E26">
        <w:rPr>
          <w:rFonts w:ascii="Times New Roman" w:hAnsi="Times New Roman" w:cs="Times New Roman"/>
          <w:i w:val="0"/>
          <w:sz w:val="24"/>
        </w:rPr>
        <w:t>Článek II  –  Účelové vymezení</w:t>
      </w:r>
    </w:p>
    <w:p w:rsidR="00112E26" w:rsidRDefault="00112E26" w:rsidP="001A4864">
      <w:pPr>
        <w:pStyle w:val="kou"/>
        <w:numPr>
          <w:ilvl w:val="0"/>
          <w:numId w:val="10"/>
        </w:numPr>
        <w:spacing w:before="120"/>
        <w:ind w:left="426" w:hanging="426"/>
        <w:outlineLvl w:val="0"/>
        <w:rPr>
          <w:rFonts w:ascii="Times New Roman" w:hAnsi="Times New Roman"/>
          <w:szCs w:val="24"/>
        </w:rPr>
      </w:pPr>
      <w:r w:rsidRPr="00991C24">
        <w:rPr>
          <w:rFonts w:ascii="Times New Roman" w:hAnsi="Times New Roman"/>
          <w:szCs w:val="24"/>
        </w:rPr>
        <w:t xml:space="preserve">Podpora údržby a provozu se poskytuje pro sportovní zařízení, která jsou ve vlastnictví, </w:t>
      </w:r>
      <w:r w:rsidRPr="000720F0">
        <w:rPr>
          <w:rFonts w:ascii="Times New Roman" w:hAnsi="Times New Roman"/>
          <w:szCs w:val="24"/>
        </w:rPr>
        <w:t>resp. výpůjčce nebo dlouhodobém nájmu uzavřeném minimálně na období 10 let od roku podání žádosti o dotaci</w:t>
      </w:r>
      <w:r w:rsidR="00A14ACF" w:rsidRPr="000720F0">
        <w:rPr>
          <w:rFonts w:ascii="Times New Roman" w:hAnsi="Times New Roman"/>
          <w:szCs w:val="24"/>
        </w:rPr>
        <w:t>, pokud není stanoveno jinak</w:t>
      </w:r>
      <w:r w:rsidRPr="000720F0">
        <w:rPr>
          <w:rFonts w:ascii="Times New Roman" w:hAnsi="Times New Roman"/>
          <w:szCs w:val="24"/>
        </w:rPr>
        <w:t>. Dlouhodobý pronájem může být pouze od vlastníka, kterým je NNO, obec, město nebo státní instituce. Podporu lze</w:t>
      </w:r>
      <w:r w:rsidRPr="00991C24">
        <w:rPr>
          <w:rFonts w:ascii="Times New Roman" w:hAnsi="Times New Roman"/>
          <w:szCs w:val="24"/>
        </w:rPr>
        <w:t xml:space="preserve"> poskytnout pouze v případě, že nájemce je provozovatelem sportovního zařízení.</w:t>
      </w:r>
    </w:p>
    <w:p w:rsidR="00112E26" w:rsidRPr="00256CC0" w:rsidRDefault="00214327" w:rsidP="001A4864">
      <w:pPr>
        <w:pStyle w:val="kou"/>
        <w:numPr>
          <w:ilvl w:val="0"/>
          <w:numId w:val="10"/>
        </w:numPr>
        <w:spacing w:before="120"/>
        <w:ind w:left="426" w:hanging="426"/>
        <w:outlineLvl w:val="0"/>
        <w:rPr>
          <w:rFonts w:ascii="Times New Roman" w:hAnsi="Times New Roman"/>
          <w:szCs w:val="24"/>
        </w:rPr>
      </w:pPr>
      <w:r w:rsidRPr="00214327">
        <w:rPr>
          <w:rFonts w:ascii="Times New Roman" w:hAnsi="Times New Roman"/>
          <w:szCs w:val="24"/>
        </w:rPr>
        <w:t xml:space="preserve">Údržbou </w:t>
      </w:r>
      <w:r w:rsidR="00256CC0">
        <w:rPr>
          <w:rFonts w:ascii="Times New Roman" w:hAnsi="Times New Roman"/>
          <w:szCs w:val="24"/>
        </w:rPr>
        <w:t xml:space="preserve">se rozumí </w:t>
      </w:r>
      <w:r w:rsidRPr="00214327">
        <w:rPr>
          <w:rFonts w:ascii="Times New Roman" w:hAnsi="Times New Roman"/>
          <w:szCs w:val="24"/>
        </w:rPr>
        <w:t xml:space="preserve">soustavná činnost, kterou se </w:t>
      </w:r>
      <w:r w:rsidR="00112E26" w:rsidRPr="00214327">
        <w:rPr>
          <w:rFonts w:ascii="Times New Roman" w:hAnsi="Times New Roman"/>
          <w:szCs w:val="24"/>
        </w:rPr>
        <w:t xml:space="preserve">zpomaluje fyzické opotřebení, předchází se </w:t>
      </w:r>
      <w:r w:rsidR="00256CC0">
        <w:rPr>
          <w:rFonts w:ascii="Times New Roman" w:hAnsi="Times New Roman"/>
          <w:szCs w:val="24"/>
        </w:rPr>
        <w:t>havarijním stavům</w:t>
      </w:r>
      <w:r w:rsidR="00112E26" w:rsidRPr="00214327">
        <w:rPr>
          <w:rFonts w:ascii="Times New Roman" w:hAnsi="Times New Roman"/>
          <w:szCs w:val="24"/>
        </w:rPr>
        <w:t xml:space="preserve"> a odstraňují se drobnější závady. Opravou se rozumí odstraňování částečného materiálního opotřebení nebo poškození za účelem uvedení majetku do předchozího stavu nebo do provozuschopného stavu. Uvedením do provozuschopného stavu se rozumí provedení opravy i s použitím jiných než původních materiálů, dílů, součástí nebo technologií při splnění podmínky, že </w:t>
      </w:r>
      <w:r w:rsidR="00112E26" w:rsidRPr="00214327">
        <w:rPr>
          <w:rFonts w:ascii="Times New Roman" w:hAnsi="Times New Roman"/>
          <w:b/>
          <w:szCs w:val="24"/>
          <w:u w:val="single"/>
        </w:rPr>
        <w:t xml:space="preserve">takovým postupem nedojde k technickému a majetkovému zhodnocení. </w:t>
      </w:r>
    </w:p>
    <w:p w:rsidR="00256CC0" w:rsidRPr="00256CC0" w:rsidRDefault="00256CC0" w:rsidP="001A4864">
      <w:pPr>
        <w:pStyle w:val="kou"/>
        <w:numPr>
          <w:ilvl w:val="0"/>
          <w:numId w:val="10"/>
        </w:numPr>
        <w:spacing w:before="120"/>
        <w:ind w:left="426" w:hanging="426"/>
        <w:outlineLvl w:val="0"/>
        <w:rPr>
          <w:rFonts w:ascii="Times New Roman" w:hAnsi="Times New Roman"/>
          <w:szCs w:val="24"/>
        </w:rPr>
      </w:pPr>
      <w:r w:rsidRPr="00256CC0">
        <w:rPr>
          <w:rFonts w:ascii="Times New Roman" w:hAnsi="Times New Roman"/>
          <w:szCs w:val="24"/>
        </w:rPr>
        <w:lastRenderedPageBreak/>
        <w:t>Provoz</w:t>
      </w:r>
      <w:r>
        <w:rPr>
          <w:rFonts w:ascii="Times New Roman" w:hAnsi="Times New Roman"/>
          <w:szCs w:val="24"/>
        </w:rPr>
        <w:t>ními náklady se rozumí nutné výdaje zejména na elektrickou energii, plyn, vodné a stočné, odvoz odpadu apod.</w:t>
      </w:r>
      <w:r w:rsidRPr="00256CC0">
        <w:rPr>
          <w:rFonts w:ascii="Times New Roman" w:hAnsi="Times New Roman"/>
          <w:szCs w:val="24"/>
        </w:rPr>
        <w:t xml:space="preserve"> </w:t>
      </w:r>
    </w:p>
    <w:p w:rsidR="00214327" w:rsidRPr="00214327" w:rsidRDefault="00214327" w:rsidP="001A4864">
      <w:pPr>
        <w:pStyle w:val="kou"/>
        <w:numPr>
          <w:ilvl w:val="0"/>
          <w:numId w:val="10"/>
        </w:numPr>
        <w:spacing w:before="120"/>
        <w:ind w:left="426" w:hanging="426"/>
        <w:outlineLvl w:val="0"/>
        <w:rPr>
          <w:rFonts w:ascii="Times New Roman" w:hAnsi="Times New Roman"/>
          <w:szCs w:val="24"/>
        </w:rPr>
      </w:pPr>
      <w:r>
        <w:rPr>
          <w:rFonts w:ascii="Times New Roman" w:hAnsi="Times New Roman"/>
          <w:szCs w:val="24"/>
        </w:rPr>
        <w:t>Stanovené priority účelového zaměření:</w:t>
      </w:r>
    </w:p>
    <w:p w:rsidR="00D53505" w:rsidRPr="0084611F" w:rsidRDefault="00D53505" w:rsidP="001A4864">
      <w:pPr>
        <w:numPr>
          <w:ilvl w:val="0"/>
          <w:numId w:val="5"/>
        </w:numPr>
        <w:spacing w:before="120"/>
        <w:ind w:left="714" w:hanging="288"/>
        <w:rPr>
          <w:sz w:val="24"/>
        </w:rPr>
      </w:pPr>
      <w:r w:rsidRPr="0084611F">
        <w:rPr>
          <w:sz w:val="24"/>
        </w:rPr>
        <w:t>Podpor</w:t>
      </w:r>
      <w:r w:rsidR="006047CE">
        <w:rPr>
          <w:sz w:val="24"/>
        </w:rPr>
        <w:t>a</w:t>
      </w:r>
      <w:r w:rsidRPr="0084611F">
        <w:rPr>
          <w:sz w:val="24"/>
        </w:rPr>
        <w:t xml:space="preserve"> udržování a provozování sportovních zařízení ve vlastnictví, výpůjčce</w:t>
      </w:r>
      <w:r w:rsidR="00EC5940">
        <w:rPr>
          <w:sz w:val="24"/>
        </w:rPr>
        <w:t xml:space="preserve"> </w:t>
      </w:r>
      <w:r w:rsidRPr="0084611F">
        <w:rPr>
          <w:sz w:val="24"/>
        </w:rPr>
        <w:t xml:space="preserve">nebo dlouhodobém nájmu </w:t>
      </w:r>
      <w:r w:rsidR="00214327">
        <w:rPr>
          <w:sz w:val="24"/>
        </w:rPr>
        <w:t>spolků</w:t>
      </w:r>
      <w:r w:rsidRPr="0084611F">
        <w:rPr>
          <w:sz w:val="24"/>
        </w:rPr>
        <w:t>.</w:t>
      </w:r>
    </w:p>
    <w:p w:rsidR="00967352" w:rsidRDefault="00967352" w:rsidP="001A4864">
      <w:pPr>
        <w:numPr>
          <w:ilvl w:val="0"/>
          <w:numId w:val="5"/>
        </w:numPr>
        <w:tabs>
          <w:tab w:val="clear" w:pos="720"/>
        </w:tabs>
        <w:ind w:hanging="288"/>
        <w:rPr>
          <w:sz w:val="24"/>
        </w:rPr>
      </w:pPr>
      <w:r w:rsidRPr="0084611F">
        <w:rPr>
          <w:sz w:val="24"/>
        </w:rPr>
        <w:t>Podpor</w:t>
      </w:r>
      <w:r>
        <w:rPr>
          <w:sz w:val="24"/>
        </w:rPr>
        <w:t>a</w:t>
      </w:r>
      <w:r w:rsidRPr="0084611F">
        <w:rPr>
          <w:sz w:val="24"/>
        </w:rPr>
        <w:t xml:space="preserve"> udržování technických prostředků, strojů a zařízení sloužících ke sportovní činnosti </w:t>
      </w:r>
      <w:r w:rsidR="00D07FB4">
        <w:rPr>
          <w:sz w:val="24"/>
        </w:rPr>
        <w:t>a ve vztahu k </w:t>
      </w:r>
      <w:r w:rsidRPr="0084611F">
        <w:rPr>
          <w:sz w:val="24"/>
        </w:rPr>
        <w:t>vlastnictví</w:t>
      </w:r>
      <w:r w:rsidR="00D07FB4">
        <w:rPr>
          <w:sz w:val="24"/>
        </w:rPr>
        <w:t xml:space="preserve"> majetku</w:t>
      </w:r>
      <w:r w:rsidRPr="0084611F">
        <w:rPr>
          <w:sz w:val="24"/>
        </w:rPr>
        <w:t xml:space="preserve"> nebo dlouhodobém nájmu </w:t>
      </w:r>
      <w:r w:rsidR="00214327">
        <w:rPr>
          <w:sz w:val="24"/>
        </w:rPr>
        <w:t>spo</w:t>
      </w:r>
      <w:r w:rsidR="00D07FB4">
        <w:rPr>
          <w:sz w:val="24"/>
        </w:rPr>
        <w:t>rtovního zařízení</w:t>
      </w:r>
      <w:r w:rsidRPr="0084611F">
        <w:rPr>
          <w:sz w:val="24"/>
        </w:rPr>
        <w:t>.</w:t>
      </w:r>
    </w:p>
    <w:p w:rsidR="001328C8" w:rsidRDefault="001328C8" w:rsidP="001A4864">
      <w:pPr>
        <w:numPr>
          <w:ilvl w:val="0"/>
          <w:numId w:val="5"/>
        </w:numPr>
        <w:tabs>
          <w:tab w:val="clear" w:pos="720"/>
        </w:tabs>
        <w:ind w:hanging="288"/>
        <w:rPr>
          <w:sz w:val="24"/>
        </w:rPr>
      </w:pPr>
      <w:r w:rsidRPr="0084611F">
        <w:rPr>
          <w:sz w:val="24"/>
        </w:rPr>
        <w:t>Podpor</w:t>
      </w:r>
      <w:r>
        <w:rPr>
          <w:sz w:val="24"/>
        </w:rPr>
        <w:t>a</w:t>
      </w:r>
      <w:r w:rsidRPr="0084611F">
        <w:rPr>
          <w:sz w:val="24"/>
        </w:rPr>
        <w:t xml:space="preserve"> udržování a provozování sportovních zařízení sloužících přípravě reprezentantů a sportovních talentů ve vlastnictví, výpůjčce</w:t>
      </w:r>
      <w:r>
        <w:rPr>
          <w:sz w:val="24"/>
        </w:rPr>
        <w:t xml:space="preserve"> </w:t>
      </w:r>
      <w:r w:rsidRPr="0084611F">
        <w:rPr>
          <w:sz w:val="24"/>
        </w:rPr>
        <w:t xml:space="preserve">nebo dlouhodobém nájmu </w:t>
      </w:r>
      <w:r w:rsidR="00214327">
        <w:rPr>
          <w:sz w:val="24"/>
        </w:rPr>
        <w:t>spolků</w:t>
      </w:r>
      <w:r w:rsidRPr="0084611F">
        <w:rPr>
          <w:sz w:val="24"/>
        </w:rPr>
        <w:t>.</w:t>
      </w:r>
    </w:p>
    <w:p w:rsidR="00BB586D" w:rsidRPr="00BB586D" w:rsidRDefault="00D848F3" w:rsidP="001A4864">
      <w:pPr>
        <w:numPr>
          <w:ilvl w:val="0"/>
          <w:numId w:val="6"/>
        </w:numPr>
        <w:tabs>
          <w:tab w:val="clear" w:pos="360"/>
          <w:tab w:val="num" w:pos="540"/>
        </w:tabs>
        <w:spacing w:before="120"/>
        <w:ind w:left="540" w:hanging="540"/>
        <w:outlineLvl w:val="0"/>
        <w:rPr>
          <w:sz w:val="24"/>
          <w:szCs w:val="24"/>
        </w:rPr>
      </w:pPr>
      <w:r>
        <w:rPr>
          <w:sz w:val="24"/>
          <w:szCs w:val="24"/>
        </w:rPr>
        <w:t>Dotace v oblasti ZPS mohou být poskytnuty až do výše 100 %  rozpočtovaných nákladů projektu.</w:t>
      </w:r>
      <w:r w:rsidR="00D24671">
        <w:rPr>
          <w:sz w:val="24"/>
          <w:szCs w:val="24"/>
        </w:rPr>
        <w:t xml:space="preserve"> Obdobně u NNO v oblasti školního a univerzitního sportu.</w:t>
      </w:r>
    </w:p>
    <w:p w:rsidR="00245C1F" w:rsidRPr="00667FB5" w:rsidRDefault="00245C1F" w:rsidP="00245C1F">
      <w:pPr>
        <w:rPr>
          <w:sz w:val="24"/>
        </w:rPr>
      </w:pPr>
    </w:p>
    <w:p w:rsidR="009B2767" w:rsidRPr="00667FB5" w:rsidRDefault="009B2767" w:rsidP="00245C1F">
      <w:pPr>
        <w:rPr>
          <w:sz w:val="24"/>
        </w:rPr>
      </w:pPr>
    </w:p>
    <w:p w:rsidR="00667FB5" w:rsidRDefault="00667FB5" w:rsidP="00667FB5">
      <w:pPr>
        <w:pStyle w:val="Nadpis2"/>
        <w:spacing w:before="0" w:after="0"/>
        <w:jc w:val="center"/>
        <w:rPr>
          <w:rFonts w:ascii="Times New Roman" w:hAnsi="Times New Roman" w:cs="Times New Roman"/>
          <w:i w:val="0"/>
          <w:sz w:val="24"/>
        </w:rPr>
      </w:pPr>
      <w:r w:rsidRPr="008F7116">
        <w:rPr>
          <w:rFonts w:ascii="Times New Roman" w:hAnsi="Times New Roman" w:cs="Times New Roman"/>
          <w:i w:val="0"/>
          <w:sz w:val="24"/>
        </w:rPr>
        <w:t>Článek I</w:t>
      </w:r>
      <w:r>
        <w:rPr>
          <w:rFonts w:ascii="Times New Roman" w:hAnsi="Times New Roman" w:cs="Times New Roman"/>
          <w:i w:val="0"/>
          <w:sz w:val="24"/>
        </w:rPr>
        <w:t>I</w:t>
      </w:r>
      <w:r w:rsidRPr="008F7116">
        <w:rPr>
          <w:rFonts w:ascii="Times New Roman" w:hAnsi="Times New Roman" w:cs="Times New Roman"/>
          <w:i w:val="0"/>
          <w:sz w:val="24"/>
        </w:rPr>
        <w:t>I  –  Kritéria a výpočty</w:t>
      </w:r>
    </w:p>
    <w:p w:rsidR="00667FB5" w:rsidRDefault="00667FB5" w:rsidP="00667FB5">
      <w:pPr>
        <w:pStyle w:val="Odstavecseseznamem"/>
        <w:numPr>
          <w:ilvl w:val="1"/>
          <w:numId w:val="2"/>
        </w:numPr>
        <w:tabs>
          <w:tab w:val="clear" w:pos="1440"/>
        </w:tabs>
        <w:spacing w:before="120"/>
        <w:ind w:left="567" w:hanging="567"/>
        <w:outlineLvl w:val="0"/>
        <w:rPr>
          <w:sz w:val="24"/>
          <w:szCs w:val="24"/>
        </w:rPr>
      </w:pPr>
      <w:r w:rsidRPr="00667FB5">
        <w:rPr>
          <w:sz w:val="24"/>
          <w:szCs w:val="24"/>
        </w:rPr>
        <w:t>Při vyhodnocení se zohledňují obecné údaje:</w:t>
      </w:r>
    </w:p>
    <w:p w:rsidR="00D07FB4" w:rsidRPr="00D07FB4" w:rsidRDefault="00D07FB4" w:rsidP="00D07FB4">
      <w:pPr>
        <w:outlineLvl w:val="0"/>
        <w:rPr>
          <w:sz w:val="24"/>
          <w:szCs w:val="24"/>
        </w:rPr>
      </w:pPr>
    </w:p>
    <w:p w:rsidR="007C48C7" w:rsidRPr="00D07FB4" w:rsidRDefault="007C48C7" w:rsidP="00D07FB4">
      <w:pPr>
        <w:pStyle w:val="Odstavecseseznamem"/>
        <w:numPr>
          <w:ilvl w:val="0"/>
          <w:numId w:val="23"/>
        </w:numPr>
        <w:ind w:hanging="11"/>
        <w:outlineLvl w:val="0"/>
        <w:rPr>
          <w:sz w:val="24"/>
          <w:szCs w:val="24"/>
        </w:rPr>
      </w:pPr>
      <w:r w:rsidRPr="00D07FB4">
        <w:rPr>
          <w:sz w:val="24"/>
          <w:szCs w:val="24"/>
        </w:rPr>
        <w:t>Finanční požadavek žadatele</w:t>
      </w:r>
    </w:p>
    <w:p w:rsidR="00EC5940" w:rsidRDefault="00F63935" w:rsidP="00D07FB4">
      <w:pPr>
        <w:numPr>
          <w:ilvl w:val="0"/>
          <w:numId w:val="23"/>
        </w:numPr>
        <w:ind w:left="1418" w:hanging="695"/>
        <w:outlineLvl w:val="0"/>
        <w:rPr>
          <w:sz w:val="24"/>
          <w:szCs w:val="24"/>
        </w:rPr>
      </w:pPr>
      <w:r>
        <w:rPr>
          <w:sz w:val="24"/>
          <w:szCs w:val="24"/>
        </w:rPr>
        <w:t>Údaje z v</w:t>
      </w:r>
      <w:r>
        <w:rPr>
          <w:sz w:val="24"/>
        </w:rPr>
        <w:t>yplněné tabulky konečných příjemců, která je připojena k vyhlášené Státní podpoře sportu na příslušný kalendářní rok</w:t>
      </w:r>
    </w:p>
    <w:p w:rsidR="00667FB5" w:rsidRPr="00667FB5" w:rsidRDefault="00667FB5" w:rsidP="00667FB5">
      <w:pPr>
        <w:spacing w:before="240"/>
        <w:ind w:left="567" w:hanging="567"/>
        <w:outlineLvl w:val="0"/>
        <w:rPr>
          <w:sz w:val="24"/>
          <w:szCs w:val="24"/>
        </w:rPr>
      </w:pPr>
      <w:r>
        <w:rPr>
          <w:sz w:val="24"/>
          <w:szCs w:val="24"/>
        </w:rPr>
        <w:t xml:space="preserve">2. </w:t>
      </w:r>
      <w:r>
        <w:rPr>
          <w:sz w:val="24"/>
          <w:szCs w:val="24"/>
        </w:rPr>
        <w:tab/>
      </w:r>
      <w:r w:rsidRPr="00667FB5">
        <w:rPr>
          <w:sz w:val="24"/>
          <w:szCs w:val="24"/>
        </w:rPr>
        <w:t>Metodika výběru podpory:</w:t>
      </w:r>
    </w:p>
    <w:p w:rsidR="00667FB5" w:rsidRPr="00D30A13" w:rsidRDefault="00667FB5" w:rsidP="00667FB5">
      <w:pPr>
        <w:pStyle w:val="Seznam2"/>
        <w:numPr>
          <w:ilvl w:val="0"/>
          <w:numId w:val="3"/>
        </w:numPr>
        <w:tabs>
          <w:tab w:val="clear" w:pos="720"/>
          <w:tab w:val="left" w:pos="993"/>
        </w:tabs>
        <w:spacing w:before="120"/>
        <w:ind w:left="567" w:firstLine="3"/>
        <w:jc w:val="both"/>
        <w:rPr>
          <w:sz w:val="24"/>
          <w:szCs w:val="24"/>
        </w:rPr>
      </w:pPr>
      <w:r>
        <w:rPr>
          <w:sz w:val="24"/>
          <w:szCs w:val="24"/>
        </w:rPr>
        <w:t>Vyřazení žádostí</w:t>
      </w:r>
      <w:r w:rsidRPr="001A2BC7">
        <w:rPr>
          <w:sz w:val="24"/>
          <w:szCs w:val="24"/>
        </w:rPr>
        <w:t>, které nesplňují základní</w:t>
      </w:r>
      <w:r>
        <w:rPr>
          <w:sz w:val="24"/>
          <w:szCs w:val="24"/>
        </w:rPr>
        <w:t>, resp.</w:t>
      </w:r>
      <w:r w:rsidRPr="001A2BC7">
        <w:rPr>
          <w:sz w:val="24"/>
          <w:szCs w:val="24"/>
        </w:rPr>
        <w:t xml:space="preserve"> doplňková kritéria.</w:t>
      </w:r>
    </w:p>
    <w:p w:rsidR="00667FB5" w:rsidRDefault="00667FB5" w:rsidP="00667FB5">
      <w:pPr>
        <w:pStyle w:val="Seznam2"/>
        <w:numPr>
          <w:ilvl w:val="0"/>
          <w:numId w:val="3"/>
        </w:numPr>
        <w:tabs>
          <w:tab w:val="clear" w:pos="720"/>
        </w:tabs>
        <w:ind w:left="993" w:hanging="426"/>
        <w:jc w:val="both"/>
        <w:rPr>
          <w:sz w:val="24"/>
          <w:szCs w:val="24"/>
        </w:rPr>
      </w:pPr>
      <w:r w:rsidRPr="00487ACF">
        <w:rPr>
          <w:sz w:val="24"/>
          <w:szCs w:val="24"/>
        </w:rPr>
        <w:t xml:space="preserve">Seřazení </w:t>
      </w:r>
      <w:r>
        <w:rPr>
          <w:sz w:val="24"/>
          <w:szCs w:val="24"/>
        </w:rPr>
        <w:t>žádostí</w:t>
      </w:r>
      <w:r w:rsidRPr="00487ACF">
        <w:rPr>
          <w:sz w:val="24"/>
          <w:szCs w:val="24"/>
        </w:rPr>
        <w:t xml:space="preserve"> podle rozsahu činnosti, členské základny a organizační struktury předkladatele</w:t>
      </w:r>
      <w:r>
        <w:rPr>
          <w:sz w:val="24"/>
          <w:szCs w:val="24"/>
        </w:rPr>
        <w:t xml:space="preserve"> a počtu konečných příjemců.</w:t>
      </w:r>
    </w:p>
    <w:p w:rsidR="00667FB5" w:rsidRDefault="00667FB5" w:rsidP="00667FB5">
      <w:pPr>
        <w:pStyle w:val="Seznam2"/>
        <w:numPr>
          <w:ilvl w:val="0"/>
          <w:numId w:val="3"/>
        </w:numPr>
        <w:tabs>
          <w:tab w:val="clear" w:pos="720"/>
        </w:tabs>
        <w:ind w:left="993" w:hanging="426"/>
        <w:jc w:val="both"/>
        <w:rPr>
          <w:sz w:val="24"/>
          <w:szCs w:val="24"/>
        </w:rPr>
      </w:pPr>
      <w:r>
        <w:rPr>
          <w:sz w:val="24"/>
          <w:szCs w:val="24"/>
        </w:rPr>
        <w:t>Žádosti specifických záležitostí budou řešeny samostatně dle stejného metodického postupu.</w:t>
      </w:r>
    </w:p>
    <w:p w:rsidR="0056116F" w:rsidRPr="0056116F" w:rsidRDefault="0056116F" w:rsidP="0056116F">
      <w:pPr>
        <w:pStyle w:val="Odstavecseseznamem"/>
        <w:numPr>
          <w:ilvl w:val="1"/>
          <w:numId w:val="3"/>
        </w:numPr>
        <w:tabs>
          <w:tab w:val="clear" w:pos="1440"/>
        </w:tabs>
        <w:spacing w:before="240"/>
        <w:ind w:left="567" w:hanging="567"/>
        <w:outlineLvl w:val="0"/>
        <w:rPr>
          <w:sz w:val="24"/>
          <w:szCs w:val="24"/>
        </w:rPr>
      </w:pPr>
      <w:r w:rsidRPr="0056116F">
        <w:rPr>
          <w:sz w:val="24"/>
          <w:szCs w:val="24"/>
        </w:rPr>
        <w:t>Posouzení žádostí podle základních a doplňkových kritérií:</w:t>
      </w:r>
    </w:p>
    <w:p w:rsidR="0056116F" w:rsidRDefault="0056116F" w:rsidP="0056116F">
      <w:pPr>
        <w:pStyle w:val="Seznam2"/>
        <w:numPr>
          <w:ilvl w:val="0"/>
          <w:numId w:val="4"/>
        </w:numPr>
        <w:tabs>
          <w:tab w:val="clear" w:pos="720"/>
        </w:tabs>
        <w:spacing w:before="120"/>
        <w:ind w:left="993" w:hanging="426"/>
        <w:rPr>
          <w:sz w:val="24"/>
          <w:szCs w:val="24"/>
        </w:rPr>
      </w:pPr>
      <w:r>
        <w:rPr>
          <w:sz w:val="24"/>
          <w:szCs w:val="24"/>
        </w:rPr>
        <w:t>Posouzení celkového rozpočtu žádosti a požadavku na státní dotaci ve vazbě na jednotlivé položky konečných příjemců a možnosti státního rozpočtu.</w:t>
      </w:r>
    </w:p>
    <w:p w:rsidR="0056116F" w:rsidRPr="00727AED" w:rsidRDefault="0056116F" w:rsidP="0056116F">
      <w:pPr>
        <w:pStyle w:val="Seznam2"/>
        <w:numPr>
          <w:ilvl w:val="0"/>
          <w:numId w:val="4"/>
        </w:numPr>
        <w:ind w:left="993" w:hanging="426"/>
        <w:rPr>
          <w:sz w:val="24"/>
          <w:szCs w:val="24"/>
        </w:rPr>
      </w:pPr>
      <w:r w:rsidRPr="00727AED">
        <w:rPr>
          <w:sz w:val="24"/>
          <w:szCs w:val="24"/>
        </w:rPr>
        <w:t xml:space="preserve">Orientační návrh přidělovaných finančních částek pro jednotlivé </w:t>
      </w:r>
      <w:r>
        <w:rPr>
          <w:sz w:val="24"/>
          <w:szCs w:val="24"/>
        </w:rPr>
        <w:t>žádosti.</w:t>
      </w:r>
    </w:p>
    <w:p w:rsidR="0056116F" w:rsidRDefault="0056116F" w:rsidP="0056116F">
      <w:pPr>
        <w:pStyle w:val="Seznam2"/>
        <w:numPr>
          <w:ilvl w:val="0"/>
          <w:numId w:val="4"/>
        </w:numPr>
        <w:tabs>
          <w:tab w:val="clear" w:pos="720"/>
        </w:tabs>
        <w:ind w:left="993" w:hanging="426"/>
        <w:rPr>
          <w:sz w:val="24"/>
          <w:szCs w:val="24"/>
        </w:rPr>
      </w:pPr>
      <w:r w:rsidRPr="00727AED">
        <w:rPr>
          <w:sz w:val="24"/>
          <w:szCs w:val="24"/>
        </w:rPr>
        <w:t xml:space="preserve">Opětovné zhodnocení </w:t>
      </w:r>
      <w:r>
        <w:rPr>
          <w:sz w:val="24"/>
          <w:szCs w:val="24"/>
        </w:rPr>
        <w:t>žádostí</w:t>
      </w:r>
      <w:r w:rsidRPr="00727AED">
        <w:rPr>
          <w:sz w:val="24"/>
          <w:szCs w:val="24"/>
        </w:rPr>
        <w:t xml:space="preserve"> a fixní upřesnění částek návrhu celkové dotace</w:t>
      </w:r>
      <w:r>
        <w:rPr>
          <w:sz w:val="24"/>
          <w:szCs w:val="24"/>
        </w:rPr>
        <w:t>.</w:t>
      </w:r>
    </w:p>
    <w:p w:rsidR="0056116F" w:rsidRPr="00727AED" w:rsidRDefault="0056116F" w:rsidP="0056116F">
      <w:pPr>
        <w:pStyle w:val="Seznam2"/>
        <w:numPr>
          <w:ilvl w:val="0"/>
          <w:numId w:val="4"/>
        </w:numPr>
        <w:tabs>
          <w:tab w:val="clear" w:pos="720"/>
        </w:tabs>
        <w:ind w:left="993" w:hanging="426"/>
        <w:rPr>
          <w:sz w:val="24"/>
          <w:szCs w:val="24"/>
        </w:rPr>
      </w:pPr>
      <w:r>
        <w:rPr>
          <w:sz w:val="24"/>
          <w:szCs w:val="24"/>
        </w:rPr>
        <w:t>Posouzení m</w:t>
      </w:r>
      <w:r w:rsidRPr="00154DCD">
        <w:rPr>
          <w:sz w:val="24"/>
          <w:szCs w:val="24"/>
        </w:rPr>
        <w:t xml:space="preserve">nožství zapojených </w:t>
      </w:r>
      <w:r>
        <w:rPr>
          <w:sz w:val="24"/>
          <w:szCs w:val="24"/>
        </w:rPr>
        <w:t>konečných příjemců</w:t>
      </w:r>
      <w:r w:rsidRPr="00154DCD">
        <w:rPr>
          <w:sz w:val="24"/>
          <w:szCs w:val="24"/>
        </w:rPr>
        <w:t xml:space="preserve"> </w:t>
      </w:r>
      <w:r>
        <w:rPr>
          <w:sz w:val="24"/>
          <w:szCs w:val="24"/>
        </w:rPr>
        <w:t>v žádosti.</w:t>
      </w:r>
    </w:p>
    <w:p w:rsidR="0056116F" w:rsidRPr="008D7FB9" w:rsidRDefault="0056116F" w:rsidP="0056116F">
      <w:pPr>
        <w:pStyle w:val="Seznam2"/>
        <w:numPr>
          <w:ilvl w:val="0"/>
          <w:numId w:val="4"/>
        </w:numPr>
        <w:ind w:left="993" w:hanging="426"/>
        <w:rPr>
          <w:sz w:val="24"/>
          <w:szCs w:val="24"/>
          <w:u w:val="single"/>
        </w:rPr>
      </w:pPr>
      <w:r w:rsidRPr="00727AED">
        <w:rPr>
          <w:sz w:val="24"/>
          <w:szCs w:val="24"/>
        </w:rPr>
        <w:t xml:space="preserve">Další pomocná kritéria dle </w:t>
      </w:r>
      <w:r>
        <w:rPr>
          <w:sz w:val="24"/>
          <w:szCs w:val="24"/>
        </w:rPr>
        <w:t>aktuálního návrhu členů expertní komise.</w:t>
      </w:r>
    </w:p>
    <w:p w:rsidR="0056116F" w:rsidRDefault="0056116F" w:rsidP="0056116F">
      <w:pPr>
        <w:pStyle w:val="Odstavecseseznamem"/>
        <w:numPr>
          <w:ilvl w:val="1"/>
          <w:numId w:val="3"/>
        </w:numPr>
        <w:tabs>
          <w:tab w:val="clear" w:pos="1440"/>
        </w:tabs>
        <w:spacing w:before="240"/>
        <w:ind w:left="567" w:hanging="567"/>
        <w:rPr>
          <w:sz w:val="24"/>
        </w:rPr>
      </w:pPr>
      <w:r w:rsidRPr="0056116F">
        <w:rPr>
          <w:sz w:val="24"/>
        </w:rPr>
        <w:t xml:space="preserve">Základní, specifická a doplňková kritéria </w:t>
      </w:r>
    </w:p>
    <w:p w:rsidR="001E5AE2" w:rsidRPr="001E5AE2" w:rsidRDefault="001E5AE2" w:rsidP="001E5AE2">
      <w:pPr>
        <w:rPr>
          <w:sz w:val="16"/>
        </w:rPr>
      </w:pPr>
    </w:p>
    <w:p w:rsidR="0056116F" w:rsidRPr="0078594A" w:rsidRDefault="0056116F" w:rsidP="001E5AE2">
      <w:pPr>
        <w:pStyle w:val="Odstavecseseznamem"/>
        <w:numPr>
          <w:ilvl w:val="2"/>
          <w:numId w:val="16"/>
        </w:numPr>
        <w:tabs>
          <w:tab w:val="clear" w:pos="2700"/>
        </w:tabs>
        <w:ind w:left="993" w:hanging="426"/>
        <w:rPr>
          <w:sz w:val="24"/>
        </w:rPr>
      </w:pPr>
      <w:r w:rsidRPr="0078594A">
        <w:rPr>
          <w:sz w:val="24"/>
        </w:rPr>
        <w:t>Pro potřeby výpočtu je možné využít kritéria, které mají faktografický charakter, včetně společenské reflexe jednotlivých spo</w:t>
      </w:r>
      <w:r>
        <w:rPr>
          <w:sz w:val="24"/>
        </w:rPr>
        <w:t>lků</w:t>
      </w:r>
      <w:r w:rsidRPr="0078594A">
        <w:rPr>
          <w:sz w:val="24"/>
        </w:rPr>
        <w:t>. Jedná se o podklady potřebné pro zabezpečení transparentnosti, efektivitu a systémovost při rozdělování státních prostředků:</w:t>
      </w:r>
    </w:p>
    <w:p w:rsidR="0056116F" w:rsidRDefault="0056116F" w:rsidP="001E5AE2">
      <w:pPr>
        <w:pStyle w:val="Zkladntext"/>
        <w:numPr>
          <w:ilvl w:val="0"/>
          <w:numId w:val="17"/>
        </w:numPr>
        <w:spacing w:before="60" w:after="0"/>
        <w:ind w:left="1418" w:hanging="425"/>
        <w:rPr>
          <w:sz w:val="24"/>
        </w:rPr>
      </w:pPr>
      <w:r>
        <w:rPr>
          <w:sz w:val="24"/>
        </w:rPr>
        <w:t>č</w:t>
      </w:r>
      <w:r w:rsidRPr="00C35B40">
        <w:rPr>
          <w:sz w:val="24"/>
        </w:rPr>
        <w:t>lenská základna spolků (celkový počet, počet mládeže)</w:t>
      </w:r>
      <w:r>
        <w:rPr>
          <w:sz w:val="24"/>
        </w:rPr>
        <w:t>,</w:t>
      </w:r>
    </w:p>
    <w:p w:rsidR="0056116F" w:rsidRDefault="0056116F" w:rsidP="0056116F">
      <w:pPr>
        <w:pStyle w:val="Zkladntext"/>
        <w:numPr>
          <w:ilvl w:val="0"/>
          <w:numId w:val="17"/>
        </w:numPr>
        <w:spacing w:after="0"/>
        <w:ind w:left="1418" w:hanging="425"/>
        <w:rPr>
          <w:sz w:val="24"/>
        </w:rPr>
      </w:pPr>
      <w:r>
        <w:rPr>
          <w:sz w:val="24"/>
        </w:rPr>
        <w:t xml:space="preserve">hodnota majetku dle </w:t>
      </w:r>
      <w:r w:rsidR="00D733A5">
        <w:rPr>
          <w:sz w:val="24"/>
        </w:rPr>
        <w:t>účetních dokladů,</w:t>
      </w:r>
    </w:p>
    <w:p w:rsidR="0056116F" w:rsidRDefault="0056116F" w:rsidP="0056116F">
      <w:pPr>
        <w:pStyle w:val="Zkladntext"/>
        <w:numPr>
          <w:ilvl w:val="0"/>
          <w:numId w:val="17"/>
        </w:numPr>
        <w:spacing w:after="0"/>
        <w:ind w:left="1418" w:hanging="425"/>
        <w:rPr>
          <w:sz w:val="24"/>
        </w:rPr>
      </w:pPr>
      <w:r>
        <w:rPr>
          <w:sz w:val="24"/>
        </w:rPr>
        <w:t>kritérium pro jednooborové spolky a víceúčelovým sportovním zařízením,</w:t>
      </w:r>
    </w:p>
    <w:p w:rsidR="0056116F" w:rsidRDefault="0056116F" w:rsidP="0056116F">
      <w:pPr>
        <w:pStyle w:val="Zkladntext"/>
        <w:numPr>
          <w:ilvl w:val="0"/>
          <w:numId w:val="17"/>
        </w:numPr>
        <w:spacing w:after="0"/>
        <w:ind w:left="1418" w:hanging="425"/>
        <w:rPr>
          <w:sz w:val="24"/>
        </w:rPr>
      </w:pPr>
      <w:r>
        <w:rPr>
          <w:sz w:val="24"/>
        </w:rPr>
        <w:t>společenská reflexe – technický koeficient,</w:t>
      </w:r>
    </w:p>
    <w:p w:rsidR="0056116F" w:rsidRDefault="0056116F" w:rsidP="0056116F">
      <w:pPr>
        <w:pStyle w:val="Zkladntextodsazen"/>
        <w:numPr>
          <w:ilvl w:val="0"/>
          <w:numId w:val="17"/>
        </w:numPr>
        <w:spacing w:after="0"/>
        <w:ind w:left="1418" w:hanging="425"/>
        <w:rPr>
          <w:sz w:val="24"/>
          <w:szCs w:val="24"/>
        </w:rPr>
      </w:pPr>
      <w:r>
        <w:rPr>
          <w:sz w:val="24"/>
          <w:szCs w:val="24"/>
        </w:rPr>
        <w:lastRenderedPageBreak/>
        <w:t xml:space="preserve">údaj o vybíraných členských příspěvcích u jednotlivých NNO, resp. údaj </w:t>
      </w:r>
      <w:r>
        <w:rPr>
          <w:sz w:val="24"/>
          <w:szCs w:val="24"/>
        </w:rPr>
        <w:br/>
        <w:t>o registračních příspěvcích svazu ve vazbě na členství.</w:t>
      </w:r>
    </w:p>
    <w:p w:rsidR="0056116F" w:rsidRDefault="0056116F" w:rsidP="0056116F">
      <w:pPr>
        <w:pStyle w:val="Zkladntext"/>
        <w:numPr>
          <w:ilvl w:val="0"/>
          <w:numId w:val="17"/>
        </w:numPr>
        <w:spacing w:after="0"/>
        <w:ind w:left="1418" w:hanging="425"/>
        <w:rPr>
          <w:sz w:val="24"/>
        </w:rPr>
      </w:pPr>
      <w:r>
        <w:rPr>
          <w:sz w:val="24"/>
        </w:rPr>
        <w:t>a další, dle návrhu expertních komisí.</w:t>
      </w:r>
    </w:p>
    <w:p w:rsidR="0056116F" w:rsidRDefault="0056116F" w:rsidP="005E6A01">
      <w:pPr>
        <w:spacing w:before="120"/>
        <w:ind w:left="426"/>
        <w:outlineLvl w:val="0"/>
        <w:rPr>
          <w:sz w:val="24"/>
          <w:szCs w:val="24"/>
          <w:u w:val="single"/>
        </w:rPr>
      </w:pPr>
    </w:p>
    <w:p w:rsidR="0087090B" w:rsidRDefault="0087090B" w:rsidP="001E5AE2">
      <w:pPr>
        <w:pStyle w:val="Odstavecseseznamem"/>
        <w:numPr>
          <w:ilvl w:val="2"/>
          <w:numId w:val="16"/>
        </w:numPr>
        <w:tabs>
          <w:tab w:val="clear" w:pos="2700"/>
        </w:tabs>
        <w:spacing w:before="120"/>
        <w:ind w:left="993" w:hanging="426"/>
        <w:rPr>
          <w:sz w:val="24"/>
        </w:rPr>
      </w:pPr>
      <w:r w:rsidRPr="001E5AE2">
        <w:rPr>
          <w:sz w:val="24"/>
        </w:rPr>
        <w:t xml:space="preserve">Základním principem podpory u programu </w:t>
      </w:r>
      <w:r w:rsidR="00BB586D" w:rsidRPr="001E5AE2">
        <w:rPr>
          <w:sz w:val="24"/>
        </w:rPr>
        <w:t>I</w:t>
      </w:r>
      <w:r w:rsidRPr="001E5AE2">
        <w:rPr>
          <w:sz w:val="24"/>
        </w:rPr>
        <w:t>V je otevřený systém zařazování žádostí d</w:t>
      </w:r>
      <w:r w:rsidR="004D2C4B" w:rsidRPr="001E5AE2">
        <w:rPr>
          <w:sz w:val="24"/>
        </w:rPr>
        <w:t xml:space="preserve">le doložených údajů v žádosti, včetně přehledu konečných příjemců s údaji hodnoty majetku, </w:t>
      </w:r>
      <w:r w:rsidRPr="001E5AE2">
        <w:rPr>
          <w:sz w:val="24"/>
        </w:rPr>
        <w:t>členské základny a</w:t>
      </w:r>
      <w:r w:rsidR="004D2C4B" w:rsidRPr="001E5AE2">
        <w:rPr>
          <w:sz w:val="24"/>
        </w:rPr>
        <w:t xml:space="preserve"> vybíraných členských příspěvcích</w:t>
      </w:r>
      <w:r w:rsidRPr="001E5AE2">
        <w:rPr>
          <w:sz w:val="24"/>
        </w:rPr>
        <w:t>.</w:t>
      </w:r>
    </w:p>
    <w:p w:rsidR="00DC7B8C" w:rsidRDefault="00DC7B8C" w:rsidP="00DC7B8C">
      <w:pPr>
        <w:pStyle w:val="Seznam2"/>
        <w:numPr>
          <w:ilvl w:val="2"/>
          <w:numId w:val="16"/>
        </w:numPr>
        <w:tabs>
          <w:tab w:val="clear" w:pos="2700"/>
          <w:tab w:val="left" w:pos="1440"/>
        </w:tabs>
        <w:ind w:left="993" w:hanging="426"/>
        <w:jc w:val="both"/>
        <w:rPr>
          <w:sz w:val="24"/>
          <w:szCs w:val="24"/>
        </w:rPr>
      </w:pPr>
      <w:r>
        <w:rPr>
          <w:sz w:val="24"/>
          <w:szCs w:val="24"/>
        </w:rPr>
        <w:t>Zvýhodnění požadavků, které slouží jako víceúčelová centra pro přípravu zdravotně postižených reprezentantů, a jako taková jsou uznána Českým paralympijským výborem.</w:t>
      </w:r>
    </w:p>
    <w:p w:rsidR="00DC7B8C" w:rsidRDefault="00DC7B8C" w:rsidP="00DC7B8C">
      <w:pPr>
        <w:pStyle w:val="Seznam2"/>
        <w:numPr>
          <w:ilvl w:val="2"/>
          <w:numId w:val="16"/>
        </w:numPr>
        <w:tabs>
          <w:tab w:val="clear" w:pos="2700"/>
          <w:tab w:val="left" w:pos="1440"/>
        </w:tabs>
        <w:ind w:left="993" w:hanging="426"/>
        <w:jc w:val="both"/>
        <w:rPr>
          <w:sz w:val="24"/>
          <w:szCs w:val="24"/>
        </w:rPr>
      </w:pPr>
      <w:r>
        <w:rPr>
          <w:sz w:val="24"/>
          <w:szCs w:val="24"/>
        </w:rPr>
        <w:t>Obdobným způsobem budou řešeny i požadavky spolků, kde sportovní zařízení využívají členové Vysokoškolského sportovního centra MŠMT.</w:t>
      </w:r>
    </w:p>
    <w:p w:rsidR="00BC3792" w:rsidRPr="00BC3792" w:rsidRDefault="00BC3792" w:rsidP="001E5AE2">
      <w:pPr>
        <w:spacing w:before="120"/>
        <w:ind w:left="567"/>
        <w:outlineLvl w:val="0"/>
        <w:rPr>
          <w:b/>
          <w:sz w:val="24"/>
          <w:szCs w:val="24"/>
        </w:rPr>
      </w:pPr>
      <w:r w:rsidRPr="00BC3792">
        <w:rPr>
          <w:b/>
          <w:sz w:val="24"/>
          <w:szCs w:val="24"/>
        </w:rPr>
        <w:t>Základní kritéria:</w:t>
      </w:r>
    </w:p>
    <w:p w:rsidR="00BB586D" w:rsidRPr="004D2C4B" w:rsidRDefault="00BB586D" w:rsidP="001E5AE2">
      <w:pPr>
        <w:numPr>
          <w:ilvl w:val="0"/>
          <w:numId w:val="8"/>
        </w:numPr>
        <w:tabs>
          <w:tab w:val="clear" w:pos="2880"/>
        </w:tabs>
        <w:spacing w:before="120"/>
        <w:ind w:left="993" w:hanging="426"/>
        <w:rPr>
          <w:sz w:val="24"/>
          <w:u w:val="single"/>
        </w:rPr>
      </w:pPr>
      <w:r w:rsidRPr="00ED207B">
        <w:rPr>
          <w:sz w:val="24"/>
        </w:rPr>
        <w:t xml:space="preserve">Podpora na údržbu a provoz sportovního zařízení </w:t>
      </w:r>
      <w:r w:rsidR="004D2C4B">
        <w:rPr>
          <w:sz w:val="24"/>
        </w:rPr>
        <w:t>může být</w:t>
      </w:r>
      <w:r w:rsidR="00B3416C">
        <w:rPr>
          <w:sz w:val="24"/>
        </w:rPr>
        <w:t xml:space="preserve"> vykázána a</w:t>
      </w:r>
      <w:r w:rsidR="004D2C4B">
        <w:rPr>
          <w:sz w:val="24"/>
        </w:rPr>
        <w:t xml:space="preserve"> nárokována </w:t>
      </w:r>
      <w:r w:rsidRPr="00ED207B">
        <w:rPr>
          <w:sz w:val="24"/>
        </w:rPr>
        <w:t xml:space="preserve">pouze </w:t>
      </w:r>
      <w:r w:rsidRPr="00B3416C">
        <w:rPr>
          <w:b/>
          <w:sz w:val="24"/>
        </w:rPr>
        <w:t>do výše 60 %</w:t>
      </w:r>
      <w:r w:rsidRPr="00ED207B">
        <w:rPr>
          <w:sz w:val="24"/>
        </w:rPr>
        <w:t xml:space="preserve"> celkové hodnoty majetku</w:t>
      </w:r>
      <w:r>
        <w:rPr>
          <w:sz w:val="24"/>
        </w:rPr>
        <w:t xml:space="preserve">, </w:t>
      </w:r>
      <w:r w:rsidRPr="002648B2">
        <w:rPr>
          <w:color w:val="0000FA"/>
          <w:sz w:val="24"/>
        </w:rPr>
        <w:t>s výjimkou zdravotně postižených sportovců</w:t>
      </w:r>
      <w:r w:rsidR="00D24671" w:rsidRPr="002648B2">
        <w:rPr>
          <w:color w:val="0000FA"/>
          <w:sz w:val="24"/>
        </w:rPr>
        <w:t xml:space="preserve"> a </w:t>
      </w:r>
      <w:r w:rsidR="002648B2" w:rsidRPr="002648B2">
        <w:rPr>
          <w:color w:val="0000FA"/>
          <w:sz w:val="24"/>
        </w:rPr>
        <w:t xml:space="preserve">SZNR u </w:t>
      </w:r>
      <w:r w:rsidR="00D24671" w:rsidRPr="002648B2">
        <w:rPr>
          <w:color w:val="0000FA"/>
          <w:sz w:val="24"/>
        </w:rPr>
        <w:t>oblasti školního a univerzitního sportu.</w:t>
      </w:r>
    </w:p>
    <w:p w:rsidR="004D2C4B" w:rsidRPr="000720F0" w:rsidRDefault="004D2C4B" w:rsidP="00DC7B8C">
      <w:pPr>
        <w:numPr>
          <w:ilvl w:val="0"/>
          <w:numId w:val="8"/>
        </w:numPr>
        <w:tabs>
          <w:tab w:val="clear" w:pos="2880"/>
        </w:tabs>
        <w:spacing w:before="60"/>
        <w:ind w:left="993" w:hanging="426"/>
        <w:rPr>
          <w:sz w:val="24"/>
          <w:u w:val="single"/>
        </w:rPr>
      </w:pPr>
      <w:r w:rsidRPr="00ED207B">
        <w:rPr>
          <w:sz w:val="24"/>
        </w:rPr>
        <w:t xml:space="preserve">Podpora na údržbu a provoz sportovního zařízení </w:t>
      </w:r>
      <w:r>
        <w:rPr>
          <w:sz w:val="24"/>
        </w:rPr>
        <w:t xml:space="preserve">může být řešena </w:t>
      </w:r>
      <w:r w:rsidR="00B3416C">
        <w:rPr>
          <w:sz w:val="24"/>
        </w:rPr>
        <w:t xml:space="preserve">pouze </w:t>
      </w:r>
      <w:r w:rsidRPr="000720F0">
        <w:rPr>
          <w:sz w:val="24"/>
        </w:rPr>
        <w:t xml:space="preserve">v souvislosti s finanční spoluúčastí </w:t>
      </w:r>
      <w:r w:rsidR="00D07FB4" w:rsidRPr="000720F0">
        <w:rPr>
          <w:sz w:val="24"/>
        </w:rPr>
        <w:t xml:space="preserve">minimálně </w:t>
      </w:r>
      <w:r w:rsidR="00BB0DEF" w:rsidRPr="000720F0">
        <w:rPr>
          <w:b/>
          <w:sz w:val="24"/>
        </w:rPr>
        <w:t>ve</w:t>
      </w:r>
      <w:r w:rsidRPr="000720F0">
        <w:rPr>
          <w:b/>
          <w:sz w:val="24"/>
        </w:rPr>
        <w:t xml:space="preserve"> výše 30 %</w:t>
      </w:r>
      <w:r w:rsidR="00B3416C" w:rsidRPr="000720F0">
        <w:rPr>
          <w:sz w:val="24"/>
        </w:rPr>
        <w:t>,</w:t>
      </w:r>
      <w:r w:rsidRPr="000720F0">
        <w:rPr>
          <w:sz w:val="24"/>
        </w:rPr>
        <w:t xml:space="preserve"> </w:t>
      </w:r>
      <w:r w:rsidRPr="000720F0">
        <w:rPr>
          <w:color w:val="0000FA"/>
          <w:sz w:val="24"/>
        </w:rPr>
        <w:t>s výjimkou zdravotně postižených sportovců</w:t>
      </w:r>
      <w:r w:rsidR="001E5AE2" w:rsidRPr="000720F0">
        <w:rPr>
          <w:color w:val="0000FA"/>
          <w:sz w:val="24"/>
        </w:rPr>
        <w:t xml:space="preserve"> </w:t>
      </w:r>
      <w:r w:rsidRPr="000720F0">
        <w:rPr>
          <w:color w:val="0000FA"/>
          <w:sz w:val="24"/>
        </w:rPr>
        <w:t>a SZNR u oblasti školního a univerzitního sportu.</w:t>
      </w:r>
    </w:p>
    <w:p w:rsidR="00E96D5C" w:rsidRPr="000720F0" w:rsidRDefault="00E96D5C" w:rsidP="00DC7B8C">
      <w:pPr>
        <w:tabs>
          <w:tab w:val="left" w:pos="709"/>
        </w:tabs>
        <w:spacing w:before="60"/>
        <w:ind w:left="993" w:hanging="426"/>
        <w:rPr>
          <w:sz w:val="24"/>
          <w:szCs w:val="24"/>
        </w:rPr>
      </w:pPr>
      <w:r w:rsidRPr="000720F0">
        <w:rPr>
          <w:sz w:val="24"/>
        </w:rPr>
        <w:t xml:space="preserve">4. </w:t>
      </w:r>
      <w:r w:rsidRPr="000720F0">
        <w:rPr>
          <w:sz w:val="24"/>
        </w:rPr>
        <w:tab/>
        <w:t xml:space="preserve">Vykázání </w:t>
      </w:r>
      <w:r w:rsidRPr="000720F0">
        <w:rPr>
          <w:sz w:val="24"/>
          <w:szCs w:val="24"/>
        </w:rPr>
        <w:t>údaje o vybíraném členském příspěvku v minimální výši 100 Kč na osobu u mládeže a 500 Kč na osobu u dospělých. Nižší hodnoty nebudou akceptovány ve vazbě na požadavek o státní dotaci.</w:t>
      </w:r>
      <w:r w:rsidR="00BB0DEF" w:rsidRPr="000720F0">
        <w:rPr>
          <w:sz w:val="24"/>
          <w:szCs w:val="24"/>
        </w:rPr>
        <w:t xml:space="preserve"> U sportovních zařízení </w:t>
      </w:r>
      <w:r w:rsidR="001F1C2A" w:rsidRPr="000720F0">
        <w:rPr>
          <w:sz w:val="24"/>
          <w:szCs w:val="24"/>
        </w:rPr>
        <w:t>v majetku</w:t>
      </w:r>
      <w:r w:rsidR="00BB0DEF" w:rsidRPr="000720F0">
        <w:rPr>
          <w:sz w:val="24"/>
          <w:szCs w:val="24"/>
        </w:rPr>
        <w:t xml:space="preserve"> ústředí spolku s celostátní působností nebude </w:t>
      </w:r>
      <w:r w:rsidR="001F1C2A" w:rsidRPr="000720F0">
        <w:rPr>
          <w:sz w:val="24"/>
          <w:szCs w:val="24"/>
        </w:rPr>
        <w:t>vyžadován</w:t>
      </w:r>
      <w:r w:rsidR="00BB0DEF" w:rsidRPr="000720F0">
        <w:rPr>
          <w:sz w:val="24"/>
          <w:szCs w:val="24"/>
        </w:rPr>
        <w:t xml:space="preserve"> údaj o členské základně, ani o výši vybíraných členských příspěvcích.</w:t>
      </w:r>
    </w:p>
    <w:p w:rsidR="00E96D5C" w:rsidRPr="00E96D5C" w:rsidRDefault="00E96D5C" w:rsidP="00DC7B8C">
      <w:pPr>
        <w:tabs>
          <w:tab w:val="left" w:pos="1134"/>
        </w:tabs>
        <w:spacing w:before="60"/>
        <w:ind w:left="993" w:hanging="426"/>
        <w:rPr>
          <w:sz w:val="24"/>
          <w:szCs w:val="24"/>
        </w:rPr>
      </w:pPr>
      <w:r w:rsidRPr="000720F0">
        <w:rPr>
          <w:sz w:val="24"/>
          <w:szCs w:val="24"/>
        </w:rPr>
        <w:t xml:space="preserve">5. </w:t>
      </w:r>
      <w:r w:rsidR="001569FA" w:rsidRPr="000720F0">
        <w:rPr>
          <w:sz w:val="24"/>
          <w:szCs w:val="24"/>
        </w:rPr>
        <w:tab/>
      </w:r>
      <w:r w:rsidRPr="000720F0">
        <w:rPr>
          <w:sz w:val="24"/>
          <w:szCs w:val="24"/>
        </w:rPr>
        <w:t xml:space="preserve">Při </w:t>
      </w:r>
      <w:r w:rsidR="00BC3792" w:rsidRPr="000720F0">
        <w:rPr>
          <w:sz w:val="24"/>
          <w:szCs w:val="24"/>
        </w:rPr>
        <w:t>poskytnutí státní dotace bude</w:t>
      </w:r>
      <w:r w:rsidRPr="000720F0">
        <w:rPr>
          <w:sz w:val="24"/>
          <w:szCs w:val="24"/>
        </w:rPr>
        <w:t xml:space="preserve"> zachov</w:t>
      </w:r>
      <w:r w:rsidR="00BC3792" w:rsidRPr="000720F0">
        <w:rPr>
          <w:sz w:val="24"/>
          <w:szCs w:val="24"/>
        </w:rPr>
        <w:t>ána</w:t>
      </w:r>
      <w:r w:rsidRPr="000720F0">
        <w:rPr>
          <w:sz w:val="24"/>
          <w:szCs w:val="24"/>
        </w:rPr>
        <w:t xml:space="preserve"> výš</w:t>
      </w:r>
      <w:r w:rsidR="00BC3792" w:rsidRPr="000720F0">
        <w:rPr>
          <w:sz w:val="24"/>
          <w:szCs w:val="24"/>
        </w:rPr>
        <w:t>e</w:t>
      </w:r>
      <w:r w:rsidRPr="000720F0">
        <w:rPr>
          <w:sz w:val="24"/>
          <w:szCs w:val="24"/>
        </w:rPr>
        <w:t xml:space="preserve"> požadovaného finančního</w:t>
      </w:r>
      <w:r w:rsidRPr="00E96D5C">
        <w:rPr>
          <w:sz w:val="24"/>
          <w:szCs w:val="24"/>
        </w:rPr>
        <w:t xml:space="preserve"> objemu</w:t>
      </w:r>
      <w:r w:rsidR="00BC3792">
        <w:rPr>
          <w:sz w:val="24"/>
          <w:szCs w:val="24"/>
        </w:rPr>
        <w:t>, který je uveden v žádosti</w:t>
      </w:r>
      <w:r w:rsidRPr="00E96D5C">
        <w:rPr>
          <w:sz w:val="24"/>
          <w:szCs w:val="24"/>
        </w:rPr>
        <w:t xml:space="preserve"> i v případě, že je vypočtena částka vyšší.</w:t>
      </w:r>
    </w:p>
    <w:p w:rsidR="00E96D5C" w:rsidRDefault="00E96D5C" w:rsidP="00DC7B8C">
      <w:pPr>
        <w:tabs>
          <w:tab w:val="left" w:pos="1134"/>
        </w:tabs>
        <w:spacing w:before="60"/>
        <w:ind w:left="993" w:hanging="426"/>
        <w:rPr>
          <w:sz w:val="24"/>
          <w:szCs w:val="24"/>
        </w:rPr>
      </w:pPr>
      <w:r>
        <w:rPr>
          <w:sz w:val="24"/>
          <w:szCs w:val="24"/>
        </w:rPr>
        <w:t>6.</w:t>
      </w:r>
      <w:r w:rsidR="001569FA">
        <w:rPr>
          <w:sz w:val="24"/>
          <w:szCs w:val="24"/>
        </w:rPr>
        <w:tab/>
      </w:r>
      <w:r w:rsidRPr="00E96D5C">
        <w:rPr>
          <w:sz w:val="24"/>
          <w:szCs w:val="24"/>
        </w:rPr>
        <w:t>Při výpočtu výrazně vyšších hodnot státního příspěvku lze využít omezení pro stanovení konečné částky. Omezení navrhuje komise dle aktuální situace a možnosti státního rozpočtu.</w:t>
      </w:r>
    </w:p>
    <w:p w:rsidR="00AA36F8" w:rsidRDefault="00AA36F8" w:rsidP="00DC7B8C">
      <w:pPr>
        <w:tabs>
          <w:tab w:val="left" w:pos="1134"/>
        </w:tabs>
        <w:spacing w:before="60"/>
        <w:ind w:left="993" w:hanging="426"/>
        <w:rPr>
          <w:sz w:val="24"/>
          <w:szCs w:val="24"/>
        </w:rPr>
      </w:pPr>
      <w:r>
        <w:rPr>
          <w:sz w:val="24"/>
          <w:szCs w:val="24"/>
        </w:rPr>
        <w:t xml:space="preserve">7. </w:t>
      </w:r>
      <w:r>
        <w:rPr>
          <w:sz w:val="24"/>
          <w:szCs w:val="24"/>
        </w:rPr>
        <w:tab/>
        <w:t xml:space="preserve">U předložených požadavků od konečného příjemce nad 4 000 tis. Kč bude tento požadavek omezen. Akceptována a zapracována bude pouze částka právě ve výši </w:t>
      </w:r>
      <w:r w:rsidR="001569FA">
        <w:rPr>
          <w:sz w:val="24"/>
          <w:szCs w:val="24"/>
        </w:rPr>
        <w:br/>
      </w:r>
      <w:r>
        <w:rPr>
          <w:sz w:val="24"/>
          <w:szCs w:val="24"/>
        </w:rPr>
        <w:t>4 000 tis. Kč.</w:t>
      </w:r>
    </w:p>
    <w:p w:rsidR="00AA36F8" w:rsidRDefault="00A15C8E" w:rsidP="00DC7B8C">
      <w:pPr>
        <w:tabs>
          <w:tab w:val="left" w:pos="1134"/>
        </w:tabs>
        <w:spacing w:before="60"/>
        <w:ind w:left="993" w:hanging="426"/>
        <w:rPr>
          <w:sz w:val="24"/>
          <w:szCs w:val="24"/>
        </w:rPr>
      </w:pPr>
      <w:r>
        <w:rPr>
          <w:sz w:val="24"/>
          <w:szCs w:val="24"/>
        </w:rPr>
        <w:t>8.</w:t>
      </w:r>
      <w:r>
        <w:rPr>
          <w:sz w:val="24"/>
          <w:szCs w:val="24"/>
        </w:rPr>
        <w:tab/>
        <w:t>Obdobným způsobem může komise omezit i vstupní hodnotu celkového majetku.</w:t>
      </w:r>
    </w:p>
    <w:p w:rsidR="00BC3792" w:rsidRDefault="004D2C4B" w:rsidP="001E5AE2">
      <w:pPr>
        <w:pStyle w:val="Zkladntextodsazen"/>
        <w:spacing w:before="240" w:after="0"/>
        <w:ind w:left="567"/>
        <w:rPr>
          <w:b/>
          <w:sz w:val="24"/>
          <w:szCs w:val="24"/>
        </w:rPr>
      </w:pPr>
      <w:r w:rsidRPr="005F07CB">
        <w:rPr>
          <w:b/>
          <w:sz w:val="24"/>
          <w:szCs w:val="24"/>
        </w:rPr>
        <w:t>Speciální kritéria</w:t>
      </w:r>
      <w:r w:rsidR="00B3416C">
        <w:rPr>
          <w:b/>
          <w:sz w:val="24"/>
          <w:szCs w:val="24"/>
        </w:rPr>
        <w:t xml:space="preserve"> </w:t>
      </w:r>
      <w:r w:rsidR="006E3577">
        <w:rPr>
          <w:b/>
          <w:sz w:val="24"/>
          <w:szCs w:val="24"/>
        </w:rPr>
        <w:t xml:space="preserve">a postup při </w:t>
      </w:r>
      <w:r w:rsidR="00B3416C">
        <w:rPr>
          <w:b/>
          <w:sz w:val="24"/>
          <w:szCs w:val="24"/>
        </w:rPr>
        <w:t>výpočtu</w:t>
      </w:r>
      <w:r w:rsidRPr="005F07CB">
        <w:rPr>
          <w:b/>
          <w:sz w:val="24"/>
          <w:szCs w:val="24"/>
        </w:rPr>
        <w:t>:</w:t>
      </w:r>
    </w:p>
    <w:p w:rsidR="006E3577" w:rsidRDefault="006E3577" w:rsidP="001E5AE2">
      <w:pPr>
        <w:spacing w:before="120"/>
        <w:ind w:left="993" w:hanging="426"/>
        <w:rPr>
          <w:sz w:val="24"/>
          <w:szCs w:val="24"/>
        </w:rPr>
      </w:pPr>
      <w:r>
        <w:rPr>
          <w:sz w:val="24"/>
          <w:szCs w:val="24"/>
        </w:rPr>
        <w:t xml:space="preserve">a) </w:t>
      </w:r>
      <w:r>
        <w:rPr>
          <w:sz w:val="24"/>
          <w:szCs w:val="24"/>
        </w:rPr>
        <w:tab/>
      </w:r>
      <w:r>
        <w:rPr>
          <w:sz w:val="24"/>
          <w:szCs w:val="24"/>
          <w:u w:val="single"/>
        </w:rPr>
        <w:t>první</w:t>
      </w:r>
      <w:r w:rsidRPr="001F0D6F">
        <w:rPr>
          <w:sz w:val="24"/>
          <w:szCs w:val="24"/>
          <w:u w:val="single"/>
        </w:rPr>
        <w:t xml:space="preserve"> fáze</w:t>
      </w:r>
      <w:r>
        <w:rPr>
          <w:sz w:val="24"/>
          <w:szCs w:val="24"/>
        </w:rPr>
        <w:t xml:space="preserve"> – stanovení jednorázového paušálního příspěvku pro spolek s celostátní působností, opět podle počtu přijatých žádostí TJ/</w:t>
      </w:r>
      <w:r w:rsidRPr="001F0D6F">
        <w:rPr>
          <w:sz w:val="24"/>
          <w:szCs w:val="24"/>
        </w:rPr>
        <w:t xml:space="preserve">SK </w:t>
      </w:r>
      <w:r>
        <w:rPr>
          <w:sz w:val="24"/>
          <w:szCs w:val="24"/>
        </w:rPr>
        <w:t xml:space="preserve">s diferencovaným přístupem: </w:t>
      </w:r>
    </w:p>
    <w:p w:rsidR="006E3577" w:rsidRDefault="006E3577" w:rsidP="001E5AE2">
      <w:pPr>
        <w:pStyle w:val="Odstavecseseznamem"/>
        <w:numPr>
          <w:ilvl w:val="0"/>
          <w:numId w:val="13"/>
        </w:numPr>
        <w:spacing w:before="120"/>
        <w:ind w:left="1418" w:hanging="425"/>
        <w:rPr>
          <w:sz w:val="24"/>
          <w:szCs w:val="24"/>
        </w:rPr>
      </w:pPr>
      <w:r>
        <w:rPr>
          <w:sz w:val="24"/>
          <w:szCs w:val="24"/>
        </w:rPr>
        <w:t>spolkům</w:t>
      </w:r>
      <w:r w:rsidRPr="00797C51">
        <w:rPr>
          <w:sz w:val="24"/>
          <w:szCs w:val="24"/>
        </w:rPr>
        <w:t xml:space="preserve"> s počtem </w:t>
      </w:r>
      <w:r>
        <w:rPr>
          <w:sz w:val="24"/>
          <w:szCs w:val="24"/>
        </w:rPr>
        <w:t>akceptovaných</w:t>
      </w:r>
      <w:r w:rsidRPr="00797C51">
        <w:rPr>
          <w:sz w:val="24"/>
          <w:szCs w:val="24"/>
        </w:rPr>
        <w:t xml:space="preserve"> </w:t>
      </w:r>
      <w:r>
        <w:rPr>
          <w:sz w:val="24"/>
          <w:szCs w:val="24"/>
        </w:rPr>
        <w:t>TJ/</w:t>
      </w:r>
      <w:r w:rsidRPr="001F0D6F">
        <w:rPr>
          <w:sz w:val="24"/>
          <w:szCs w:val="24"/>
        </w:rPr>
        <w:t>SK</w:t>
      </w:r>
      <w:r w:rsidRPr="00797C51">
        <w:rPr>
          <w:sz w:val="24"/>
          <w:szCs w:val="24"/>
        </w:rPr>
        <w:t xml:space="preserve"> v rozpětí 1 až 9 je přiznán příspěvek ve výši 100 tis. Kč na spo</w:t>
      </w:r>
      <w:r w:rsidR="00A577DB">
        <w:rPr>
          <w:sz w:val="24"/>
          <w:szCs w:val="24"/>
        </w:rPr>
        <w:t>lek,</w:t>
      </w:r>
      <w:r w:rsidRPr="00797C51">
        <w:rPr>
          <w:sz w:val="24"/>
          <w:szCs w:val="24"/>
        </w:rPr>
        <w:t xml:space="preserve"> </w:t>
      </w:r>
    </w:p>
    <w:p w:rsidR="006E3577" w:rsidRDefault="006E3577" w:rsidP="001E5AE2">
      <w:pPr>
        <w:pStyle w:val="Odstavecseseznamem"/>
        <w:numPr>
          <w:ilvl w:val="0"/>
          <w:numId w:val="13"/>
        </w:numPr>
        <w:ind w:left="1418" w:hanging="425"/>
        <w:rPr>
          <w:sz w:val="24"/>
          <w:szCs w:val="24"/>
        </w:rPr>
      </w:pPr>
      <w:r>
        <w:rPr>
          <w:sz w:val="24"/>
          <w:szCs w:val="24"/>
        </w:rPr>
        <w:t>spolkům</w:t>
      </w:r>
      <w:r w:rsidRPr="00797C51">
        <w:rPr>
          <w:sz w:val="24"/>
          <w:szCs w:val="24"/>
        </w:rPr>
        <w:t xml:space="preserve"> s počtem </w:t>
      </w:r>
      <w:r>
        <w:rPr>
          <w:sz w:val="24"/>
          <w:szCs w:val="24"/>
        </w:rPr>
        <w:t>akceptovaných</w:t>
      </w:r>
      <w:r w:rsidRPr="00797C51">
        <w:rPr>
          <w:sz w:val="24"/>
          <w:szCs w:val="24"/>
        </w:rPr>
        <w:t xml:space="preserve"> </w:t>
      </w:r>
      <w:r>
        <w:rPr>
          <w:sz w:val="24"/>
          <w:szCs w:val="24"/>
        </w:rPr>
        <w:t>TJ/</w:t>
      </w:r>
      <w:r w:rsidRPr="001F0D6F">
        <w:rPr>
          <w:sz w:val="24"/>
          <w:szCs w:val="24"/>
        </w:rPr>
        <w:t>SK</w:t>
      </w:r>
      <w:r w:rsidRPr="00797C51">
        <w:rPr>
          <w:sz w:val="24"/>
          <w:szCs w:val="24"/>
        </w:rPr>
        <w:t xml:space="preserve"> v rozpětí 10 a více je přiznán příspěvek ve výši 200 tis. Kč na spo</w:t>
      </w:r>
      <w:r w:rsidR="00A577DB">
        <w:rPr>
          <w:sz w:val="24"/>
          <w:szCs w:val="24"/>
        </w:rPr>
        <w:t>lek,</w:t>
      </w:r>
      <w:r w:rsidRPr="00797C51">
        <w:rPr>
          <w:sz w:val="24"/>
          <w:szCs w:val="24"/>
        </w:rPr>
        <w:t xml:space="preserve"> </w:t>
      </w:r>
    </w:p>
    <w:p w:rsidR="005E6A01" w:rsidRDefault="006E3577" w:rsidP="001E5AE2">
      <w:pPr>
        <w:tabs>
          <w:tab w:val="left" w:pos="1418"/>
        </w:tabs>
        <w:spacing w:before="120"/>
        <w:ind w:left="993" w:hanging="426"/>
        <w:rPr>
          <w:sz w:val="24"/>
          <w:szCs w:val="24"/>
        </w:rPr>
      </w:pPr>
      <w:r>
        <w:rPr>
          <w:sz w:val="24"/>
          <w:szCs w:val="24"/>
        </w:rPr>
        <w:t>b</w:t>
      </w:r>
      <w:r w:rsidR="005E6A01">
        <w:rPr>
          <w:sz w:val="24"/>
          <w:szCs w:val="24"/>
        </w:rPr>
        <w:t xml:space="preserve">) </w:t>
      </w:r>
      <w:r w:rsidR="005E6A01">
        <w:rPr>
          <w:sz w:val="24"/>
          <w:szCs w:val="24"/>
        </w:rPr>
        <w:tab/>
      </w:r>
      <w:r>
        <w:rPr>
          <w:sz w:val="24"/>
          <w:szCs w:val="24"/>
          <w:u w:val="single"/>
        </w:rPr>
        <w:t>druhá</w:t>
      </w:r>
      <w:r w:rsidR="005E6A01" w:rsidRPr="001F0D6F">
        <w:rPr>
          <w:sz w:val="24"/>
          <w:szCs w:val="24"/>
          <w:u w:val="single"/>
        </w:rPr>
        <w:t xml:space="preserve"> fáze</w:t>
      </w:r>
      <w:r w:rsidR="005E6A01">
        <w:rPr>
          <w:sz w:val="24"/>
          <w:szCs w:val="24"/>
        </w:rPr>
        <w:t xml:space="preserve"> – výpočet základního příspěvku </w:t>
      </w:r>
      <w:r w:rsidR="00A90706">
        <w:rPr>
          <w:sz w:val="24"/>
          <w:szCs w:val="24"/>
        </w:rPr>
        <w:t xml:space="preserve">pro spolek s celostátní působností </w:t>
      </w:r>
      <w:r w:rsidR="005E6A01">
        <w:rPr>
          <w:sz w:val="24"/>
          <w:szCs w:val="24"/>
        </w:rPr>
        <w:t xml:space="preserve">podle počtu </w:t>
      </w:r>
      <w:r w:rsidR="00A90706">
        <w:rPr>
          <w:sz w:val="24"/>
          <w:szCs w:val="24"/>
        </w:rPr>
        <w:t xml:space="preserve">akceptovaných konečných </w:t>
      </w:r>
      <w:r w:rsidR="005E6A01">
        <w:rPr>
          <w:sz w:val="24"/>
          <w:szCs w:val="24"/>
        </w:rPr>
        <w:t>ž</w:t>
      </w:r>
      <w:r w:rsidR="00A90706">
        <w:rPr>
          <w:sz w:val="24"/>
          <w:szCs w:val="24"/>
        </w:rPr>
        <w:t>adatelů – příjemců:</w:t>
      </w:r>
      <w:r w:rsidR="005E6A01">
        <w:rPr>
          <w:sz w:val="24"/>
          <w:szCs w:val="24"/>
        </w:rPr>
        <w:t xml:space="preserve"> </w:t>
      </w:r>
      <w:r w:rsidR="00A90706">
        <w:rPr>
          <w:sz w:val="24"/>
          <w:szCs w:val="24"/>
        </w:rPr>
        <w:t xml:space="preserve">tělovýchovných jednot </w:t>
      </w:r>
      <w:r w:rsidR="001E5AE2">
        <w:rPr>
          <w:sz w:val="24"/>
          <w:szCs w:val="24"/>
        </w:rPr>
        <w:br/>
      </w:r>
      <w:r w:rsidR="00A90706">
        <w:rPr>
          <w:sz w:val="24"/>
          <w:szCs w:val="24"/>
        </w:rPr>
        <w:t xml:space="preserve">a </w:t>
      </w:r>
      <w:r w:rsidR="005E6A01">
        <w:rPr>
          <w:sz w:val="24"/>
          <w:szCs w:val="24"/>
        </w:rPr>
        <w:t>sportovních klubů</w:t>
      </w:r>
      <w:r w:rsidR="00A90706">
        <w:rPr>
          <w:sz w:val="24"/>
          <w:szCs w:val="24"/>
        </w:rPr>
        <w:t xml:space="preserve"> </w:t>
      </w:r>
      <w:r w:rsidR="005E6A01">
        <w:rPr>
          <w:sz w:val="24"/>
          <w:szCs w:val="24"/>
        </w:rPr>
        <w:t>(dále jen „</w:t>
      </w:r>
      <w:r w:rsidR="00A90706">
        <w:rPr>
          <w:sz w:val="24"/>
          <w:szCs w:val="24"/>
        </w:rPr>
        <w:t>TJ/</w:t>
      </w:r>
      <w:r w:rsidR="005E6A01">
        <w:rPr>
          <w:sz w:val="24"/>
          <w:szCs w:val="24"/>
        </w:rPr>
        <w:t xml:space="preserve">SK“) s diferencovaným přístupem: </w:t>
      </w:r>
    </w:p>
    <w:p w:rsidR="005E6A01" w:rsidRPr="000720F0" w:rsidRDefault="00A90706" w:rsidP="001E5AE2">
      <w:pPr>
        <w:pStyle w:val="Odstavecseseznamem"/>
        <w:numPr>
          <w:ilvl w:val="0"/>
          <w:numId w:val="12"/>
        </w:numPr>
        <w:spacing w:before="120"/>
        <w:ind w:left="1418" w:hanging="425"/>
        <w:rPr>
          <w:sz w:val="24"/>
          <w:szCs w:val="24"/>
        </w:rPr>
      </w:pPr>
      <w:r w:rsidRPr="000720F0">
        <w:rPr>
          <w:sz w:val="24"/>
          <w:szCs w:val="24"/>
        </w:rPr>
        <w:t>spolkům</w:t>
      </w:r>
      <w:r w:rsidR="005E6A01" w:rsidRPr="000720F0">
        <w:rPr>
          <w:sz w:val="24"/>
          <w:szCs w:val="24"/>
        </w:rPr>
        <w:t xml:space="preserve"> s počtem </w:t>
      </w:r>
      <w:r w:rsidRPr="000720F0">
        <w:rPr>
          <w:sz w:val="24"/>
          <w:szCs w:val="24"/>
        </w:rPr>
        <w:t>akceptovaných</w:t>
      </w:r>
      <w:r w:rsidR="005E6A01" w:rsidRPr="000720F0">
        <w:rPr>
          <w:sz w:val="24"/>
          <w:szCs w:val="24"/>
        </w:rPr>
        <w:t xml:space="preserve"> </w:t>
      </w:r>
      <w:r w:rsidRPr="000720F0">
        <w:rPr>
          <w:sz w:val="24"/>
          <w:szCs w:val="24"/>
        </w:rPr>
        <w:t>TJ/</w:t>
      </w:r>
      <w:r w:rsidR="005E6A01" w:rsidRPr="000720F0">
        <w:rPr>
          <w:sz w:val="24"/>
          <w:szCs w:val="24"/>
        </w:rPr>
        <w:t>SK v rozpětí 1 až 9 je přiznán</w:t>
      </w:r>
      <w:r w:rsidR="006E3577" w:rsidRPr="000720F0">
        <w:rPr>
          <w:sz w:val="24"/>
          <w:szCs w:val="24"/>
        </w:rPr>
        <w:t xml:space="preserve"> další</w:t>
      </w:r>
      <w:r w:rsidR="005E6A01" w:rsidRPr="000720F0">
        <w:rPr>
          <w:sz w:val="24"/>
          <w:szCs w:val="24"/>
        </w:rPr>
        <w:t xml:space="preserve"> příspěvek ve výši </w:t>
      </w:r>
      <w:r w:rsidR="00EE3058" w:rsidRPr="000720F0">
        <w:rPr>
          <w:sz w:val="24"/>
          <w:szCs w:val="24"/>
        </w:rPr>
        <w:t>5</w:t>
      </w:r>
      <w:r w:rsidR="005E6A01" w:rsidRPr="000720F0">
        <w:rPr>
          <w:sz w:val="24"/>
          <w:szCs w:val="24"/>
        </w:rPr>
        <w:t xml:space="preserve"> tis. Kč </w:t>
      </w:r>
      <w:r w:rsidR="001569FA" w:rsidRPr="000720F0">
        <w:rPr>
          <w:sz w:val="24"/>
          <w:szCs w:val="24"/>
        </w:rPr>
        <w:t>z</w:t>
      </w:r>
      <w:r w:rsidR="005E6A01" w:rsidRPr="000720F0">
        <w:rPr>
          <w:sz w:val="24"/>
          <w:szCs w:val="24"/>
        </w:rPr>
        <w:t xml:space="preserve">a </w:t>
      </w:r>
      <w:r w:rsidRPr="000720F0">
        <w:rPr>
          <w:sz w:val="24"/>
          <w:szCs w:val="24"/>
        </w:rPr>
        <w:t>TJ/SK,</w:t>
      </w:r>
      <w:r w:rsidR="005E6A01" w:rsidRPr="000720F0">
        <w:rPr>
          <w:sz w:val="24"/>
          <w:szCs w:val="24"/>
        </w:rPr>
        <w:t xml:space="preserve"> </w:t>
      </w:r>
    </w:p>
    <w:p w:rsidR="005E6A01" w:rsidRPr="000720F0" w:rsidRDefault="00A15C8E" w:rsidP="001E5AE2">
      <w:pPr>
        <w:pStyle w:val="Odstavecseseznamem"/>
        <w:numPr>
          <w:ilvl w:val="0"/>
          <w:numId w:val="12"/>
        </w:numPr>
        <w:ind w:left="1418" w:hanging="425"/>
        <w:rPr>
          <w:sz w:val="24"/>
          <w:szCs w:val="24"/>
        </w:rPr>
      </w:pPr>
      <w:r w:rsidRPr="000720F0">
        <w:rPr>
          <w:sz w:val="24"/>
          <w:szCs w:val="24"/>
        </w:rPr>
        <w:lastRenderedPageBreak/>
        <w:t>spolkům</w:t>
      </w:r>
      <w:r w:rsidR="005E6A01" w:rsidRPr="000720F0">
        <w:rPr>
          <w:sz w:val="24"/>
          <w:szCs w:val="24"/>
        </w:rPr>
        <w:t xml:space="preserve"> s počtem přijatých </w:t>
      </w:r>
      <w:r w:rsidR="00A90706" w:rsidRPr="000720F0">
        <w:rPr>
          <w:sz w:val="24"/>
          <w:szCs w:val="24"/>
        </w:rPr>
        <w:t>TJ/SK</w:t>
      </w:r>
      <w:r w:rsidR="005E6A01" w:rsidRPr="000720F0">
        <w:rPr>
          <w:sz w:val="24"/>
          <w:szCs w:val="24"/>
        </w:rPr>
        <w:t xml:space="preserve"> v rozpětí 10 a více je přiznán </w:t>
      </w:r>
      <w:r w:rsidR="006E3577" w:rsidRPr="000720F0">
        <w:rPr>
          <w:sz w:val="24"/>
          <w:szCs w:val="24"/>
        </w:rPr>
        <w:t xml:space="preserve">další </w:t>
      </w:r>
      <w:r w:rsidR="005E6A01" w:rsidRPr="000720F0">
        <w:rPr>
          <w:sz w:val="24"/>
          <w:szCs w:val="24"/>
        </w:rPr>
        <w:t xml:space="preserve">příspěvek ve výši </w:t>
      </w:r>
      <w:r w:rsidR="00EE3058" w:rsidRPr="000720F0">
        <w:rPr>
          <w:sz w:val="24"/>
          <w:szCs w:val="24"/>
        </w:rPr>
        <w:t>1</w:t>
      </w:r>
      <w:r w:rsidR="005E6A01" w:rsidRPr="000720F0">
        <w:rPr>
          <w:sz w:val="24"/>
          <w:szCs w:val="24"/>
        </w:rPr>
        <w:t xml:space="preserve">0 tis. Kč </w:t>
      </w:r>
      <w:r w:rsidR="001569FA" w:rsidRPr="000720F0">
        <w:rPr>
          <w:sz w:val="24"/>
          <w:szCs w:val="24"/>
        </w:rPr>
        <w:t>z</w:t>
      </w:r>
      <w:r w:rsidR="005E6A01" w:rsidRPr="000720F0">
        <w:rPr>
          <w:sz w:val="24"/>
          <w:szCs w:val="24"/>
        </w:rPr>
        <w:t xml:space="preserve">a </w:t>
      </w:r>
      <w:r w:rsidR="00A90706" w:rsidRPr="000720F0">
        <w:rPr>
          <w:sz w:val="24"/>
          <w:szCs w:val="24"/>
        </w:rPr>
        <w:t>TJ/SK</w:t>
      </w:r>
      <w:r w:rsidR="005E6A01" w:rsidRPr="000720F0">
        <w:rPr>
          <w:sz w:val="24"/>
          <w:szCs w:val="24"/>
        </w:rPr>
        <w:t xml:space="preserve">. </w:t>
      </w:r>
    </w:p>
    <w:p w:rsidR="005E6A01" w:rsidRDefault="005E6A01" w:rsidP="005E6A01">
      <w:pPr>
        <w:pStyle w:val="Odstavecseseznamem"/>
        <w:rPr>
          <w:sz w:val="24"/>
          <w:szCs w:val="24"/>
        </w:rPr>
      </w:pPr>
    </w:p>
    <w:p w:rsidR="006E3577" w:rsidRPr="006E3577" w:rsidRDefault="006E3577" w:rsidP="00C623C2">
      <w:pPr>
        <w:pStyle w:val="Zkladntextodsazen"/>
        <w:spacing w:before="120" w:after="0"/>
        <w:ind w:left="567"/>
        <w:rPr>
          <w:sz w:val="24"/>
          <w:szCs w:val="24"/>
        </w:rPr>
      </w:pPr>
      <w:r w:rsidRPr="006E3577">
        <w:rPr>
          <w:sz w:val="24"/>
          <w:szCs w:val="24"/>
        </w:rPr>
        <w:t>Z celkového rozpočtu</w:t>
      </w:r>
      <w:r w:rsidR="001569FA">
        <w:rPr>
          <w:sz w:val="24"/>
          <w:szCs w:val="24"/>
        </w:rPr>
        <w:t>, který je k dispozici se odečte finanční objem vypočtený v první a druhé fázi. Zůstatek se následně rozdělí podle třetí fáze:</w:t>
      </w:r>
    </w:p>
    <w:p w:rsidR="006E3577" w:rsidRPr="00797C51" w:rsidRDefault="006E3577" w:rsidP="005E6A01">
      <w:pPr>
        <w:pStyle w:val="Odstavecseseznamem"/>
        <w:rPr>
          <w:sz w:val="24"/>
          <w:szCs w:val="24"/>
        </w:rPr>
      </w:pPr>
    </w:p>
    <w:p w:rsidR="005E6A01" w:rsidRDefault="005E6A01" w:rsidP="00C623C2">
      <w:pPr>
        <w:ind w:left="993" w:hanging="426"/>
        <w:rPr>
          <w:sz w:val="24"/>
          <w:szCs w:val="24"/>
        </w:rPr>
      </w:pPr>
      <w:r>
        <w:rPr>
          <w:sz w:val="24"/>
          <w:szCs w:val="24"/>
        </w:rPr>
        <w:t xml:space="preserve">c) </w:t>
      </w:r>
      <w:r>
        <w:rPr>
          <w:sz w:val="24"/>
          <w:szCs w:val="24"/>
        </w:rPr>
        <w:tab/>
      </w:r>
      <w:r w:rsidRPr="00797C51">
        <w:rPr>
          <w:sz w:val="24"/>
          <w:szCs w:val="24"/>
          <w:u w:val="single"/>
        </w:rPr>
        <w:t>třetí fáze</w:t>
      </w:r>
      <w:r>
        <w:rPr>
          <w:sz w:val="24"/>
          <w:szCs w:val="24"/>
        </w:rPr>
        <w:t xml:space="preserve"> – výpočet příspěvku podle kritérií hodnoty majetku a podle výš</w:t>
      </w:r>
      <w:r w:rsidR="006E3577">
        <w:rPr>
          <w:sz w:val="24"/>
          <w:szCs w:val="24"/>
        </w:rPr>
        <w:t>e</w:t>
      </w:r>
      <w:r>
        <w:rPr>
          <w:sz w:val="24"/>
          <w:szCs w:val="24"/>
        </w:rPr>
        <w:t xml:space="preserve"> členské základny ze zůstatku finančních prostředků: </w:t>
      </w:r>
    </w:p>
    <w:p w:rsidR="005E6A01" w:rsidRPr="00797C51" w:rsidRDefault="005E6A01" w:rsidP="00C623C2">
      <w:pPr>
        <w:pStyle w:val="Odstavecseseznamem"/>
        <w:numPr>
          <w:ilvl w:val="0"/>
          <w:numId w:val="14"/>
        </w:numPr>
        <w:spacing w:before="120"/>
        <w:ind w:left="1418" w:hanging="425"/>
        <w:rPr>
          <w:sz w:val="24"/>
          <w:szCs w:val="24"/>
        </w:rPr>
      </w:pPr>
      <w:r w:rsidRPr="00797C51">
        <w:rPr>
          <w:sz w:val="24"/>
          <w:szCs w:val="24"/>
        </w:rPr>
        <w:t xml:space="preserve">výpočet dle vykázané hodnoty majetku ve výši 80 % zůstatku finančních prostředků; </w:t>
      </w:r>
    </w:p>
    <w:p w:rsidR="005E6A01" w:rsidRPr="000D6603" w:rsidRDefault="005E6A01" w:rsidP="00C623C2">
      <w:pPr>
        <w:pStyle w:val="Odstavecseseznamem"/>
        <w:numPr>
          <w:ilvl w:val="0"/>
          <w:numId w:val="14"/>
        </w:numPr>
        <w:ind w:left="1418" w:hanging="425"/>
        <w:rPr>
          <w:sz w:val="24"/>
          <w:szCs w:val="24"/>
        </w:rPr>
      </w:pPr>
      <w:r w:rsidRPr="000D6603">
        <w:rPr>
          <w:sz w:val="24"/>
          <w:szCs w:val="24"/>
        </w:rPr>
        <w:t xml:space="preserve">výpočet dle vykázané velikosti členské základny ve výši 20 % zůstatku finančních prostředků; </w:t>
      </w:r>
    </w:p>
    <w:p w:rsidR="001D4E1F" w:rsidRDefault="001D4E1F" w:rsidP="00B3416C">
      <w:pPr>
        <w:pStyle w:val="Zkladntextodsazen"/>
        <w:spacing w:after="0"/>
        <w:ind w:left="284"/>
        <w:rPr>
          <w:b/>
          <w:sz w:val="24"/>
          <w:szCs w:val="24"/>
        </w:rPr>
      </w:pPr>
    </w:p>
    <w:p w:rsidR="00BC3792" w:rsidRPr="001D4E1F" w:rsidRDefault="001D4E1F" w:rsidP="00C623C2">
      <w:pPr>
        <w:pStyle w:val="Zkladntextodsazen"/>
        <w:spacing w:after="0"/>
        <w:ind w:left="1701" w:hanging="1134"/>
        <w:rPr>
          <w:sz w:val="24"/>
          <w:szCs w:val="24"/>
        </w:rPr>
      </w:pPr>
      <w:r w:rsidRPr="001D4E1F">
        <w:rPr>
          <w:sz w:val="24"/>
          <w:szCs w:val="24"/>
          <w:u w:val="single"/>
        </w:rPr>
        <w:t>Poznámka:</w:t>
      </w:r>
      <w:r w:rsidRPr="001D4E1F">
        <w:rPr>
          <w:sz w:val="24"/>
          <w:szCs w:val="24"/>
        </w:rPr>
        <w:t xml:space="preserve"> </w:t>
      </w:r>
      <w:r>
        <w:rPr>
          <w:sz w:val="24"/>
          <w:szCs w:val="24"/>
        </w:rPr>
        <w:t xml:space="preserve">Případný finanční objem, který zůstane po uplatnění omezujících kritérií, je k dispozici řešení mimořádných záležitostí jako rezervní částka. </w:t>
      </w:r>
    </w:p>
    <w:p w:rsidR="00BC3792" w:rsidRDefault="00BC3792" w:rsidP="00B3416C">
      <w:pPr>
        <w:pStyle w:val="Zkladntextodsazen"/>
        <w:spacing w:after="0"/>
        <w:ind w:left="284"/>
        <w:rPr>
          <w:b/>
          <w:sz w:val="24"/>
          <w:szCs w:val="24"/>
        </w:rPr>
      </w:pPr>
    </w:p>
    <w:p w:rsidR="005E06D1" w:rsidRDefault="005E06D1" w:rsidP="0007141A">
      <w:pPr>
        <w:ind w:left="-900"/>
      </w:pPr>
    </w:p>
    <w:p w:rsidR="00667FB5" w:rsidRDefault="00667FB5" w:rsidP="00667FB5">
      <w:pPr>
        <w:pStyle w:val="Nadpis2"/>
        <w:spacing w:before="0" w:after="0"/>
        <w:jc w:val="center"/>
        <w:rPr>
          <w:rFonts w:ascii="Times New Roman" w:hAnsi="Times New Roman" w:cs="Times New Roman"/>
          <w:i w:val="0"/>
          <w:sz w:val="24"/>
        </w:rPr>
      </w:pPr>
      <w:r w:rsidRPr="008F7116">
        <w:rPr>
          <w:rFonts w:ascii="Times New Roman" w:hAnsi="Times New Roman" w:cs="Times New Roman"/>
          <w:i w:val="0"/>
          <w:sz w:val="24"/>
        </w:rPr>
        <w:t>Článek I</w:t>
      </w:r>
      <w:r>
        <w:rPr>
          <w:rFonts w:ascii="Times New Roman" w:hAnsi="Times New Roman" w:cs="Times New Roman"/>
          <w:i w:val="0"/>
          <w:sz w:val="24"/>
        </w:rPr>
        <w:t>V</w:t>
      </w:r>
      <w:r w:rsidRPr="008F7116">
        <w:rPr>
          <w:rFonts w:ascii="Times New Roman" w:hAnsi="Times New Roman" w:cs="Times New Roman"/>
          <w:i w:val="0"/>
          <w:sz w:val="24"/>
        </w:rPr>
        <w:t xml:space="preserve">  –  </w:t>
      </w:r>
      <w:r>
        <w:rPr>
          <w:rFonts w:ascii="Times New Roman" w:hAnsi="Times New Roman" w:cs="Times New Roman"/>
          <w:i w:val="0"/>
          <w:sz w:val="24"/>
        </w:rPr>
        <w:t>Hodnocení a výběrové řízení</w:t>
      </w:r>
    </w:p>
    <w:p w:rsidR="00C623C2" w:rsidRPr="00C67B10" w:rsidRDefault="00C623C2" w:rsidP="00C623C2">
      <w:pPr>
        <w:numPr>
          <w:ilvl w:val="0"/>
          <w:numId w:val="18"/>
        </w:numPr>
        <w:spacing w:before="120"/>
        <w:rPr>
          <w:sz w:val="24"/>
        </w:rPr>
      </w:pPr>
      <w:r w:rsidRPr="00C67B10">
        <w:rPr>
          <w:sz w:val="24"/>
        </w:rPr>
        <w:t>Hodnocení se uskuteční na základě uvedených kritérií a v souladu s dodanými podkladovými údaji</w:t>
      </w:r>
      <w:r>
        <w:rPr>
          <w:sz w:val="24"/>
        </w:rPr>
        <w:t>, včetně případných dodatečně stanovených kritérií.</w:t>
      </w:r>
    </w:p>
    <w:p w:rsidR="00C623C2" w:rsidRDefault="00C623C2" w:rsidP="00C623C2">
      <w:pPr>
        <w:numPr>
          <w:ilvl w:val="0"/>
          <w:numId w:val="18"/>
        </w:numPr>
        <w:spacing w:before="120"/>
        <w:rPr>
          <w:sz w:val="24"/>
        </w:rPr>
      </w:pPr>
      <w:r>
        <w:rPr>
          <w:sz w:val="24"/>
        </w:rPr>
        <w:t xml:space="preserve">Expertní komise pracuje na základě schváleného „Statutu“, „Jednacího řádu“ </w:t>
      </w:r>
      <w:r>
        <w:rPr>
          <w:sz w:val="24"/>
        </w:rPr>
        <w:br/>
        <w:t>a v souvislosti se schváleným materiálem poradních, expertních a výběrových komisí.</w:t>
      </w:r>
    </w:p>
    <w:p w:rsidR="00C623C2" w:rsidRPr="007955CB" w:rsidRDefault="00C623C2" w:rsidP="00C623C2">
      <w:pPr>
        <w:numPr>
          <w:ilvl w:val="0"/>
          <w:numId w:val="18"/>
        </w:numPr>
        <w:spacing w:before="120"/>
        <w:ind w:right="72"/>
        <w:rPr>
          <w:sz w:val="24"/>
          <w:szCs w:val="24"/>
        </w:rPr>
      </w:pPr>
      <w:r>
        <w:rPr>
          <w:sz w:val="24"/>
          <w:szCs w:val="24"/>
        </w:rPr>
        <w:t xml:space="preserve">K závěrům a k návrhu na rozdělení se vyjadřují všichni přítomní členové expertní komise a jejich hlasování, případné jejich vyjádření je uvedeno v závěrečném protokolu.  </w:t>
      </w:r>
      <w:r w:rsidRPr="00354C53">
        <w:rPr>
          <w:sz w:val="24"/>
          <w:szCs w:val="24"/>
        </w:rPr>
        <w:t xml:space="preserve"> </w:t>
      </w:r>
    </w:p>
    <w:p w:rsidR="00C623C2" w:rsidRDefault="00C623C2" w:rsidP="00C623C2">
      <w:pPr>
        <w:numPr>
          <w:ilvl w:val="0"/>
          <w:numId w:val="18"/>
        </w:numPr>
        <w:spacing w:before="120"/>
        <w:ind w:right="72"/>
        <w:rPr>
          <w:sz w:val="24"/>
          <w:szCs w:val="24"/>
        </w:rPr>
      </w:pPr>
      <w:r>
        <w:rPr>
          <w:sz w:val="24"/>
          <w:szCs w:val="24"/>
        </w:rPr>
        <w:t>Závěrečný „Protokol“ podepisuje tajemník a předseda expertní komise.</w:t>
      </w:r>
    </w:p>
    <w:p w:rsidR="00C623C2" w:rsidRPr="000720F0" w:rsidRDefault="00C623C2" w:rsidP="00C623C2">
      <w:pPr>
        <w:pStyle w:val="Odstavecseseznamem"/>
        <w:numPr>
          <w:ilvl w:val="0"/>
          <w:numId w:val="18"/>
        </w:numPr>
        <w:spacing w:before="120"/>
        <w:rPr>
          <w:sz w:val="24"/>
        </w:rPr>
      </w:pPr>
      <w:r w:rsidRPr="000720F0">
        <w:rPr>
          <w:sz w:val="24"/>
        </w:rPr>
        <w:t xml:space="preserve">Snížení rizika při výkyvech poskytovaných státních dotací při stanovených přepočtech se dotace spolku mezi </w:t>
      </w:r>
      <w:r w:rsidR="00D54606" w:rsidRPr="000720F0">
        <w:rPr>
          <w:sz w:val="24"/>
        </w:rPr>
        <w:t>předchozím</w:t>
      </w:r>
      <w:r w:rsidRPr="000720F0">
        <w:rPr>
          <w:sz w:val="24"/>
        </w:rPr>
        <w:t xml:space="preserve"> a novým objemem finančních prostředků doporučuje řešit v rozmezí:</w:t>
      </w:r>
    </w:p>
    <w:p w:rsidR="00C623C2" w:rsidRPr="000720F0" w:rsidRDefault="00C623C2" w:rsidP="00C623C2">
      <w:pPr>
        <w:numPr>
          <w:ilvl w:val="0"/>
          <w:numId w:val="15"/>
        </w:numPr>
        <w:tabs>
          <w:tab w:val="clear" w:pos="567"/>
          <w:tab w:val="num" w:pos="360"/>
          <w:tab w:val="left" w:pos="1985"/>
        </w:tabs>
        <w:spacing w:before="60"/>
        <w:ind w:left="357" w:firstLine="1061"/>
        <w:rPr>
          <w:sz w:val="24"/>
        </w:rPr>
      </w:pPr>
      <w:r w:rsidRPr="000720F0">
        <w:rPr>
          <w:sz w:val="24"/>
        </w:rPr>
        <w:t>navýšení o 10%</w:t>
      </w:r>
    </w:p>
    <w:p w:rsidR="00C623C2" w:rsidRPr="000720F0" w:rsidRDefault="00C623C2" w:rsidP="00C623C2">
      <w:pPr>
        <w:numPr>
          <w:ilvl w:val="0"/>
          <w:numId w:val="15"/>
        </w:numPr>
        <w:tabs>
          <w:tab w:val="clear" w:pos="567"/>
          <w:tab w:val="num" w:pos="360"/>
          <w:tab w:val="left" w:pos="1985"/>
        </w:tabs>
        <w:ind w:left="360" w:firstLine="1061"/>
        <w:rPr>
          <w:sz w:val="24"/>
        </w:rPr>
      </w:pPr>
      <w:r w:rsidRPr="000720F0">
        <w:rPr>
          <w:sz w:val="24"/>
        </w:rPr>
        <w:t xml:space="preserve">snížení    o </w:t>
      </w:r>
      <w:r w:rsidR="00F24D83" w:rsidRPr="000720F0">
        <w:rPr>
          <w:sz w:val="24"/>
        </w:rPr>
        <w:t>1</w:t>
      </w:r>
      <w:r w:rsidRPr="000720F0">
        <w:rPr>
          <w:sz w:val="24"/>
        </w:rPr>
        <w:t>0%</w:t>
      </w:r>
    </w:p>
    <w:p w:rsidR="007F4873" w:rsidRPr="000720F0" w:rsidRDefault="007F4873" w:rsidP="007F4873">
      <w:pPr>
        <w:tabs>
          <w:tab w:val="left" w:pos="1985"/>
        </w:tabs>
        <w:ind w:left="1418"/>
        <w:rPr>
          <w:sz w:val="24"/>
        </w:rPr>
      </w:pPr>
      <w:r w:rsidRPr="000720F0">
        <w:rPr>
          <w:sz w:val="24"/>
        </w:rPr>
        <w:t>Poznámka: pokud nebude navrženo a stanoveno pro kalendářní rok jinak.</w:t>
      </w:r>
    </w:p>
    <w:p w:rsidR="00D54606" w:rsidRPr="000720F0" w:rsidRDefault="00D54606" w:rsidP="00830228">
      <w:pPr>
        <w:tabs>
          <w:tab w:val="left" w:pos="1985"/>
        </w:tabs>
        <w:ind w:left="709"/>
        <w:rPr>
          <w:sz w:val="24"/>
        </w:rPr>
      </w:pPr>
      <w:r w:rsidRPr="000720F0">
        <w:rPr>
          <w:sz w:val="24"/>
        </w:rPr>
        <w:t>Specifická nebo mimořádná záležitost v příslušném kalendářním roce, případně nové zařazení žadatele v programu, bude řešena jednotlivě.</w:t>
      </w:r>
    </w:p>
    <w:p w:rsidR="00D54606" w:rsidRPr="000720F0" w:rsidRDefault="00D54606" w:rsidP="00830228">
      <w:pPr>
        <w:tabs>
          <w:tab w:val="left" w:pos="1985"/>
        </w:tabs>
        <w:ind w:left="709"/>
        <w:rPr>
          <w:sz w:val="24"/>
        </w:rPr>
      </w:pPr>
      <w:r w:rsidRPr="000720F0">
        <w:rPr>
          <w:sz w:val="24"/>
        </w:rPr>
        <w:t xml:space="preserve">V příslušném roce bude výpočet podpory srovnáván s počtem konečných příjemců žadatele </w:t>
      </w:r>
      <w:r w:rsidR="00830228" w:rsidRPr="000720F0">
        <w:rPr>
          <w:sz w:val="24"/>
        </w:rPr>
        <w:t xml:space="preserve">akceptovaných </w:t>
      </w:r>
      <w:r w:rsidRPr="000720F0">
        <w:rPr>
          <w:sz w:val="24"/>
        </w:rPr>
        <w:t xml:space="preserve">v předchozím roce. </w:t>
      </w:r>
    </w:p>
    <w:p w:rsidR="00C623C2" w:rsidRPr="00C73D84" w:rsidRDefault="00C623C2" w:rsidP="00C623C2">
      <w:pPr>
        <w:numPr>
          <w:ilvl w:val="0"/>
          <w:numId w:val="18"/>
        </w:numPr>
        <w:spacing w:before="120"/>
        <w:rPr>
          <w:sz w:val="24"/>
          <w:szCs w:val="24"/>
        </w:rPr>
      </w:pPr>
      <w:r w:rsidRPr="000720F0">
        <w:rPr>
          <w:sz w:val="24"/>
          <w:szCs w:val="24"/>
        </w:rPr>
        <w:t>Na úrovni MŠMT je rozdělení finančních prostředků administrativně zpracováno</w:t>
      </w:r>
      <w:r>
        <w:rPr>
          <w:sz w:val="24"/>
          <w:szCs w:val="24"/>
        </w:rPr>
        <w:t xml:space="preserve"> odborem sportu, který vypracuje návrh s doporučením pro jednání </w:t>
      </w:r>
      <w:r>
        <w:rPr>
          <w:sz w:val="24"/>
        </w:rPr>
        <w:t>Gremiální porady náměstka ministra skupiny 5</w:t>
      </w:r>
      <w:r>
        <w:rPr>
          <w:sz w:val="24"/>
          <w:szCs w:val="24"/>
        </w:rPr>
        <w:t xml:space="preserve">. Následně po zapracování připomínek je návrh předkládán na jednání </w:t>
      </w:r>
      <w:r w:rsidRPr="00E06822">
        <w:rPr>
          <w:sz w:val="24"/>
        </w:rPr>
        <w:t>porad</w:t>
      </w:r>
      <w:r>
        <w:rPr>
          <w:sz w:val="24"/>
        </w:rPr>
        <w:t>y</w:t>
      </w:r>
      <w:r w:rsidRPr="00E06822">
        <w:rPr>
          <w:sz w:val="24"/>
        </w:rPr>
        <w:t xml:space="preserve"> vedení MŠMT</w:t>
      </w:r>
      <w:r>
        <w:rPr>
          <w:sz w:val="24"/>
        </w:rPr>
        <w:t xml:space="preserve">. </w:t>
      </w:r>
      <w:r>
        <w:rPr>
          <w:sz w:val="24"/>
          <w:szCs w:val="24"/>
        </w:rPr>
        <w:t xml:space="preserve">Konečné rozdělení státní dotace schvaluje ministr.  </w:t>
      </w:r>
    </w:p>
    <w:p w:rsidR="00C623C2" w:rsidRPr="0079420D" w:rsidRDefault="00C623C2" w:rsidP="00C623C2">
      <w:pPr>
        <w:rPr>
          <w:sz w:val="24"/>
        </w:rPr>
      </w:pPr>
    </w:p>
    <w:p w:rsidR="00C623C2" w:rsidRPr="0079420D" w:rsidRDefault="00C623C2" w:rsidP="00C623C2">
      <w:pPr>
        <w:rPr>
          <w:sz w:val="24"/>
        </w:rPr>
      </w:pPr>
    </w:p>
    <w:p w:rsidR="00C45E6B" w:rsidRPr="00FF2B2D" w:rsidRDefault="00C45E6B" w:rsidP="0079420D">
      <w:pPr>
        <w:pStyle w:val="Nadpis2"/>
        <w:spacing w:before="120" w:after="0"/>
        <w:jc w:val="center"/>
        <w:rPr>
          <w:rFonts w:ascii="Times New Roman" w:hAnsi="Times New Roman" w:cs="Times New Roman"/>
          <w:i w:val="0"/>
          <w:sz w:val="24"/>
        </w:rPr>
      </w:pPr>
      <w:r w:rsidRPr="005B6BA1">
        <w:rPr>
          <w:rFonts w:ascii="Times New Roman" w:hAnsi="Times New Roman" w:cs="Times New Roman"/>
          <w:i w:val="0"/>
          <w:sz w:val="24"/>
        </w:rPr>
        <w:lastRenderedPageBreak/>
        <w:t xml:space="preserve">Článek </w:t>
      </w:r>
      <w:r w:rsidR="00F16FA2">
        <w:rPr>
          <w:rFonts w:ascii="Times New Roman" w:hAnsi="Times New Roman" w:cs="Times New Roman"/>
          <w:i w:val="0"/>
          <w:sz w:val="24"/>
        </w:rPr>
        <w:t>V</w:t>
      </w:r>
      <w:r w:rsidRPr="005B6BA1">
        <w:rPr>
          <w:rFonts w:ascii="Times New Roman" w:hAnsi="Times New Roman" w:cs="Times New Roman"/>
          <w:i w:val="0"/>
          <w:sz w:val="24"/>
        </w:rPr>
        <w:t xml:space="preserve">  –  Ekonomické podmínky</w:t>
      </w:r>
    </w:p>
    <w:p w:rsidR="00C45E6B" w:rsidRDefault="00C45E6B" w:rsidP="00C45E6B">
      <w:pPr>
        <w:pStyle w:val="Nadpis5"/>
        <w:keepNext/>
        <w:spacing w:before="120" w:after="0"/>
        <w:jc w:val="left"/>
        <w:rPr>
          <w:i w:val="0"/>
          <w:sz w:val="24"/>
          <w:szCs w:val="24"/>
        </w:rPr>
      </w:pPr>
      <w:r w:rsidRPr="00BB3EEE">
        <w:rPr>
          <w:i w:val="0"/>
          <w:sz w:val="24"/>
          <w:szCs w:val="24"/>
        </w:rPr>
        <w:t xml:space="preserve">A. </w:t>
      </w:r>
      <w:r>
        <w:rPr>
          <w:i w:val="0"/>
          <w:sz w:val="24"/>
          <w:szCs w:val="24"/>
        </w:rPr>
        <w:t xml:space="preserve"> Základní ustanovení </w:t>
      </w:r>
    </w:p>
    <w:p w:rsidR="00C45E6B" w:rsidRPr="00E52644" w:rsidRDefault="00C45E6B" w:rsidP="00C45E6B">
      <w:pPr>
        <w:numPr>
          <w:ilvl w:val="0"/>
          <w:numId w:val="20"/>
        </w:numPr>
        <w:tabs>
          <w:tab w:val="clear" w:pos="2880"/>
        </w:tabs>
        <w:spacing w:before="120"/>
        <w:ind w:left="567" w:hanging="283"/>
        <w:rPr>
          <w:sz w:val="24"/>
        </w:rPr>
      </w:pPr>
      <w:r w:rsidRPr="00E52644">
        <w:rPr>
          <w:sz w:val="24"/>
        </w:rPr>
        <w:t xml:space="preserve">Dotace se poskytuje </w:t>
      </w:r>
      <w:r>
        <w:rPr>
          <w:sz w:val="24"/>
        </w:rPr>
        <w:t>spolku</w:t>
      </w:r>
      <w:r w:rsidRPr="00E52644">
        <w:rPr>
          <w:sz w:val="24"/>
        </w:rPr>
        <w:t xml:space="preserve"> dle kritérií stanovených MŠMT na základě předložení potřebných podkladů</w:t>
      </w:r>
      <w:r w:rsidR="0079420D">
        <w:rPr>
          <w:sz w:val="24"/>
        </w:rPr>
        <w:t xml:space="preserve"> </w:t>
      </w:r>
      <w:r w:rsidRPr="00E52644">
        <w:rPr>
          <w:sz w:val="24"/>
        </w:rPr>
        <w:t xml:space="preserve">k určení výše objemu finančního příspěvku. Nedostatky řeší MŠMT na základě doporučení </w:t>
      </w:r>
      <w:r>
        <w:rPr>
          <w:sz w:val="24"/>
        </w:rPr>
        <w:t xml:space="preserve">expertní </w:t>
      </w:r>
      <w:r w:rsidRPr="00E52644">
        <w:rPr>
          <w:sz w:val="24"/>
        </w:rPr>
        <w:t>komise pro každý kalendářní rok.</w:t>
      </w:r>
    </w:p>
    <w:p w:rsidR="00C45E6B" w:rsidRPr="00E52644" w:rsidRDefault="00C45E6B" w:rsidP="0079420D">
      <w:pPr>
        <w:numPr>
          <w:ilvl w:val="0"/>
          <w:numId w:val="20"/>
        </w:numPr>
        <w:tabs>
          <w:tab w:val="clear" w:pos="2880"/>
        </w:tabs>
        <w:spacing w:before="120"/>
        <w:ind w:left="567" w:hanging="283"/>
        <w:rPr>
          <w:sz w:val="24"/>
        </w:rPr>
      </w:pPr>
      <w:r w:rsidRPr="00E52644">
        <w:rPr>
          <w:sz w:val="24"/>
        </w:rPr>
        <w:t>Finanční prostředky pro jednotliv</w:t>
      </w:r>
      <w:r>
        <w:rPr>
          <w:sz w:val="24"/>
        </w:rPr>
        <w:t xml:space="preserve">é spolky se </w:t>
      </w:r>
      <w:r w:rsidRPr="00E52644">
        <w:rPr>
          <w:sz w:val="24"/>
        </w:rPr>
        <w:t>stanovuj</w:t>
      </w:r>
      <w:r>
        <w:rPr>
          <w:sz w:val="24"/>
        </w:rPr>
        <w:t xml:space="preserve">í s ohledem na možnosti státního rozpočtu a přidělené výši finančních prostředků pro jednotlivé vyhlášené programy. </w:t>
      </w:r>
      <w:r w:rsidRPr="00E52644">
        <w:rPr>
          <w:sz w:val="24"/>
        </w:rPr>
        <w:t xml:space="preserve">  </w:t>
      </w:r>
    </w:p>
    <w:p w:rsidR="00C45E6B" w:rsidRDefault="00C45E6B" w:rsidP="00C45E6B"/>
    <w:p w:rsidR="00C45E6B" w:rsidRDefault="00C45E6B" w:rsidP="00C45E6B">
      <w:pPr>
        <w:pStyle w:val="Nadpis5"/>
        <w:keepNext/>
        <w:spacing w:before="0" w:after="0"/>
        <w:jc w:val="left"/>
        <w:rPr>
          <w:i w:val="0"/>
          <w:sz w:val="24"/>
          <w:szCs w:val="24"/>
        </w:rPr>
      </w:pPr>
      <w:r>
        <w:rPr>
          <w:i w:val="0"/>
          <w:sz w:val="24"/>
          <w:szCs w:val="24"/>
        </w:rPr>
        <w:t>B.  Obecné účelové vymezení</w:t>
      </w:r>
    </w:p>
    <w:p w:rsidR="00C45E6B" w:rsidRDefault="00C45E6B" w:rsidP="00C45E6B">
      <w:pPr>
        <w:numPr>
          <w:ilvl w:val="3"/>
          <w:numId w:val="1"/>
        </w:numPr>
        <w:tabs>
          <w:tab w:val="clear" w:pos="2880"/>
        </w:tabs>
        <w:spacing w:before="120"/>
        <w:ind w:left="567" w:hanging="283"/>
        <w:outlineLvl w:val="0"/>
        <w:rPr>
          <w:sz w:val="24"/>
          <w:szCs w:val="24"/>
        </w:rPr>
      </w:pPr>
      <w:r w:rsidRPr="00154DCD">
        <w:rPr>
          <w:sz w:val="24"/>
          <w:szCs w:val="24"/>
        </w:rPr>
        <w:t xml:space="preserve">Základním kritériem pro </w:t>
      </w:r>
      <w:r>
        <w:rPr>
          <w:sz w:val="24"/>
          <w:szCs w:val="24"/>
        </w:rPr>
        <w:t>realizaci</w:t>
      </w:r>
      <w:r w:rsidRPr="00154DCD">
        <w:rPr>
          <w:sz w:val="24"/>
          <w:szCs w:val="24"/>
        </w:rPr>
        <w:t xml:space="preserve"> </w:t>
      </w:r>
      <w:r>
        <w:rPr>
          <w:sz w:val="24"/>
          <w:szCs w:val="24"/>
        </w:rPr>
        <w:t>žádosti</w:t>
      </w:r>
      <w:r w:rsidRPr="00154DCD">
        <w:rPr>
          <w:sz w:val="24"/>
          <w:szCs w:val="24"/>
        </w:rPr>
        <w:t xml:space="preserve"> je je</w:t>
      </w:r>
      <w:r>
        <w:rPr>
          <w:sz w:val="24"/>
          <w:szCs w:val="24"/>
        </w:rPr>
        <w:t>jí</w:t>
      </w:r>
      <w:r w:rsidRPr="00154DCD">
        <w:rPr>
          <w:sz w:val="24"/>
          <w:szCs w:val="24"/>
        </w:rPr>
        <w:t xml:space="preserve"> společen</w:t>
      </w:r>
      <w:r>
        <w:rPr>
          <w:sz w:val="24"/>
          <w:szCs w:val="24"/>
        </w:rPr>
        <w:t>ský význam, dodržení účelového zaměření programu a fak</w:t>
      </w:r>
      <w:r w:rsidR="00F34C0F">
        <w:rPr>
          <w:sz w:val="24"/>
          <w:szCs w:val="24"/>
        </w:rPr>
        <w:t>tografické podklady pro výpočet</w:t>
      </w:r>
      <w:r>
        <w:rPr>
          <w:sz w:val="24"/>
          <w:szCs w:val="24"/>
        </w:rPr>
        <w:t xml:space="preserve"> dle stanovených kritérií</w:t>
      </w:r>
      <w:r w:rsidRPr="00154DCD">
        <w:rPr>
          <w:sz w:val="24"/>
          <w:szCs w:val="24"/>
        </w:rPr>
        <w:t>.</w:t>
      </w:r>
      <w:r>
        <w:rPr>
          <w:sz w:val="24"/>
          <w:szCs w:val="24"/>
        </w:rPr>
        <w:t xml:space="preserve"> Expertní komise si může pro svoji činnost stanovit další doplňková kritéria.</w:t>
      </w:r>
    </w:p>
    <w:p w:rsidR="00C45E6B" w:rsidRDefault="00C45E6B" w:rsidP="00C45E6B">
      <w:pPr>
        <w:numPr>
          <w:ilvl w:val="3"/>
          <w:numId w:val="1"/>
        </w:numPr>
        <w:tabs>
          <w:tab w:val="clear" w:pos="2880"/>
        </w:tabs>
        <w:spacing w:before="60"/>
        <w:ind w:left="567" w:hanging="283"/>
        <w:outlineLvl w:val="0"/>
        <w:rPr>
          <w:sz w:val="24"/>
          <w:szCs w:val="24"/>
        </w:rPr>
      </w:pPr>
      <w:r>
        <w:rPr>
          <w:sz w:val="24"/>
          <w:szCs w:val="24"/>
        </w:rPr>
        <w:t>Obsahové zaměření</w:t>
      </w:r>
      <w:r w:rsidRPr="00154DCD">
        <w:rPr>
          <w:sz w:val="24"/>
          <w:szCs w:val="24"/>
        </w:rPr>
        <w:t xml:space="preserve"> musí mít celostátní rozsah a </w:t>
      </w:r>
      <w:r w:rsidR="0079420D">
        <w:rPr>
          <w:sz w:val="24"/>
          <w:szCs w:val="24"/>
        </w:rPr>
        <w:t xml:space="preserve">veřejně prospěšný </w:t>
      </w:r>
      <w:r w:rsidRPr="00154DCD">
        <w:rPr>
          <w:sz w:val="24"/>
          <w:szCs w:val="24"/>
        </w:rPr>
        <w:t>charakter</w:t>
      </w:r>
      <w:r>
        <w:rPr>
          <w:sz w:val="24"/>
          <w:szCs w:val="24"/>
        </w:rPr>
        <w:t>. Projekt s </w:t>
      </w:r>
      <w:r w:rsidRPr="00154DCD">
        <w:rPr>
          <w:sz w:val="24"/>
          <w:szCs w:val="24"/>
        </w:rPr>
        <w:t>místní</w:t>
      </w:r>
      <w:r>
        <w:rPr>
          <w:sz w:val="24"/>
          <w:szCs w:val="24"/>
        </w:rPr>
        <w:t>m</w:t>
      </w:r>
      <w:r w:rsidRPr="00154DCD">
        <w:rPr>
          <w:sz w:val="24"/>
          <w:szCs w:val="24"/>
        </w:rPr>
        <w:t>, či regionální</w:t>
      </w:r>
      <w:r>
        <w:rPr>
          <w:sz w:val="24"/>
          <w:szCs w:val="24"/>
        </w:rPr>
        <w:t>m zaměřením se předkládá pouze prostřednictvím nestátních neziskových organizací (dále jen „NNO“) – spolku s celorepublikovou působností</w:t>
      </w:r>
      <w:r w:rsidRPr="00154DCD">
        <w:rPr>
          <w:sz w:val="24"/>
          <w:szCs w:val="24"/>
        </w:rPr>
        <w:t>.</w:t>
      </w:r>
    </w:p>
    <w:p w:rsidR="00C45E6B" w:rsidRDefault="00C45E6B" w:rsidP="00C45E6B">
      <w:pPr>
        <w:numPr>
          <w:ilvl w:val="0"/>
          <w:numId w:val="20"/>
        </w:numPr>
        <w:tabs>
          <w:tab w:val="clear" w:pos="2880"/>
        </w:tabs>
        <w:spacing w:before="60"/>
        <w:ind w:left="567" w:hanging="283"/>
        <w:outlineLvl w:val="0"/>
        <w:rPr>
          <w:sz w:val="24"/>
          <w:szCs w:val="24"/>
        </w:rPr>
      </w:pPr>
      <w:r w:rsidRPr="00154DCD">
        <w:rPr>
          <w:sz w:val="24"/>
          <w:szCs w:val="24"/>
        </w:rPr>
        <w:t>Přihlíží se k zaměření a činnosti předkladatele, jeho organizační struktuře,</w:t>
      </w:r>
      <w:r>
        <w:rPr>
          <w:sz w:val="24"/>
          <w:szCs w:val="24"/>
        </w:rPr>
        <w:t xml:space="preserve"> celkové</w:t>
      </w:r>
      <w:r w:rsidRPr="00154DCD">
        <w:rPr>
          <w:sz w:val="24"/>
          <w:szCs w:val="24"/>
        </w:rPr>
        <w:t xml:space="preserve"> členské základně a </w:t>
      </w:r>
      <w:r>
        <w:rPr>
          <w:sz w:val="24"/>
          <w:szCs w:val="24"/>
        </w:rPr>
        <w:t>podílu počtu dětí a mládeže a dalších stanovených kritérií.</w:t>
      </w:r>
    </w:p>
    <w:p w:rsidR="00C45E6B" w:rsidRDefault="00C45E6B" w:rsidP="00C45E6B">
      <w:pPr>
        <w:numPr>
          <w:ilvl w:val="0"/>
          <w:numId w:val="20"/>
        </w:numPr>
        <w:tabs>
          <w:tab w:val="clear" w:pos="2880"/>
        </w:tabs>
        <w:spacing w:before="60"/>
        <w:ind w:left="567" w:hanging="283"/>
        <w:outlineLvl w:val="0"/>
        <w:rPr>
          <w:sz w:val="24"/>
          <w:szCs w:val="24"/>
        </w:rPr>
      </w:pPr>
      <w:r>
        <w:rPr>
          <w:sz w:val="24"/>
          <w:szCs w:val="24"/>
        </w:rPr>
        <w:t>Při výběru žádosti se posuzuje i</w:t>
      </w:r>
      <w:r w:rsidRPr="00154DCD">
        <w:rPr>
          <w:sz w:val="24"/>
          <w:szCs w:val="24"/>
        </w:rPr>
        <w:t xml:space="preserve"> efektivita předchozí </w:t>
      </w:r>
      <w:r>
        <w:rPr>
          <w:sz w:val="24"/>
          <w:szCs w:val="24"/>
        </w:rPr>
        <w:t>žádosti</w:t>
      </w:r>
      <w:r w:rsidRPr="00154DCD">
        <w:rPr>
          <w:sz w:val="24"/>
          <w:szCs w:val="24"/>
        </w:rPr>
        <w:t xml:space="preserve">, pokud </w:t>
      </w:r>
      <w:r>
        <w:rPr>
          <w:sz w:val="24"/>
          <w:szCs w:val="24"/>
        </w:rPr>
        <w:t xml:space="preserve">na </w:t>
      </w:r>
      <w:r w:rsidRPr="00154DCD">
        <w:rPr>
          <w:sz w:val="24"/>
          <w:szCs w:val="24"/>
        </w:rPr>
        <w:t>n</w:t>
      </w:r>
      <w:r>
        <w:rPr>
          <w:sz w:val="24"/>
          <w:szCs w:val="24"/>
        </w:rPr>
        <w:t>í</w:t>
      </w:r>
      <w:r w:rsidRPr="00154DCD">
        <w:rPr>
          <w:sz w:val="24"/>
          <w:szCs w:val="24"/>
        </w:rPr>
        <w:t xml:space="preserve"> žadatel obdržel státní dotaci.</w:t>
      </w:r>
    </w:p>
    <w:p w:rsidR="00C45E6B" w:rsidRDefault="00C45E6B" w:rsidP="00C45E6B">
      <w:pPr>
        <w:numPr>
          <w:ilvl w:val="0"/>
          <w:numId w:val="20"/>
        </w:numPr>
        <w:tabs>
          <w:tab w:val="clear" w:pos="2880"/>
        </w:tabs>
        <w:spacing w:before="60"/>
        <w:ind w:left="567" w:hanging="283"/>
        <w:outlineLvl w:val="0"/>
        <w:rPr>
          <w:sz w:val="24"/>
          <w:szCs w:val="24"/>
        </w:rPr>
      </w:pPr>
      <w:r w:rsidRPr="00154DCD">
        <w:rPr>
          <w:sz w:val="24"/>
          <w:szCs w:val="24"/>
        </w:rPr>
        <w:t xml:space="preserve">Součástí </w:t>
      </w:r>
      <w:r>
        <w:rPr>
          <w:sz w:val="24"/>
          <w:szCs w:val="24"/>
        </w:rPr>
        <w:t xml:space="preserve">posouzení </w:t>
      </w:r>
      <w:r w:rsidRPr="00154DCD">
        <w:rPr>
          <w:sz w:val="24"/>
          <w:szCs w:val="24"/>
        </w:rPr>
        <w:t>výše dotace je i možnost přístupu žadatele k jiným finančním zdrojům</w:t>
      </w:r>
      <w:r>
        <w:rPr>
          <w:sz w:val="24"/>
          <w:szCs w:val="24"/>
        </w:rPr>
        <w:t>.</w:t>
      </w:r>
    </w:p>
    <w:p w:rsidR="00C45E6B" w:rsidRDefault="00C45E6B" w:rsidP="00C45E6B">
      <w:pPr>
        <w:numPr>
          <w:ilvl w:val="0"/>
          <w:numId w:val="20"/>
        </w:numPr>
        <w:tabs>
          <w:tab w:val="clear" w:pos="2880"/>
        </w:tabs>
        <w:spacing w:before="60"/>
        <w:ind w:left="567" w:hanging="283"/>
        <w:outlineLvl w:val="0"/>
        <w:rPr>
          <w:sz w:val="24"/>
          <w:szCs w:val="24"/>
        </w:rPr>
      </w:pPr>
      <w:r w:rsidRPr="00154DCD">
        <w:rPr>
          <w:sz w:val="24"/>
          <w:szCs w:val="24"/>
        </w:rPr>
        <w:t xml:space="preserve">Podmínkou pro posouzení žádosti je správné vyúčtování </w:t>
      </w:r>
      <w:r>
        <w:rPr>
          <w:sz w:val="24"/>
          <w:szCs w:val="24"/>
        </w:rPr>
        <w:t>žádosti</w:t>
      </w:r>
      <w:r w:rsidRPr="00154DCD">
        <w:rPr>
          <w:sz w:val="24"/>
          <w:szCs w:val="24"/>
        </w:rPr>
        <w:t xml:space="preserve"> za uplynulé období</w:t>
      </w:r>
      <w:r>
        <w:rPr>
          <w:sz w:val="24"/>
          <w:szCs w:val="24"/>
        </w:rPr>
        <w:t>.</w:t>
      </w:r>
    </w:p>
    <w:p w:rsidR="00C45E6B" w:rsidRDefault="00C45E6B" w:rsidP="00C45E6B">
      <w:pPr>
        <w:numPr>
          <w:ilvl w:val="0"/>
          <w:numId w:val="20"/>
        </w:numPr>
        <w:tabs>
          <w:tab w:val="clear" w:pos="2880"/>
        </w:tabs>
        <w:spacing w:before="60"/>
        <w:ind w:left="567" w:hanging="283"/>
        <w:outlineLvl w:val="0"/>
        <w:rPr>
          <w:sz w:val="24"/>
          <w:szCs w:val="24"/>
        </w:rPr>
      </w:pPr>
      <w:r>
        <w:rPr>
          <w:sz w:val="24"/>
          <w:szCs w:val="24"/>
        </w:rPr>
        <w:t xml:space="preserve">Žádost </w:t>
      </w:r>
      <w:r w:rsidRPr="00154DCD">
        <w:rPr>
          <w:sz w:val="24"/>
          <w:szCs w:val="24"/>
        </w:rPr>
        <w:t>musí být zpracován</w:t>
      </w:r>
      <w:r>
        <w:rPr>
          <w:sz w:val="24"/>
          <w:szCs w:val="24"/>
        </w:rPr>
        <w:t>a</w:t>
      </w:r>
      <w:r w:rsidRPr="00154DCD">
        <w:rPr>
          <w:sz w:val="24"/>
          <w:szCs w:val="24"/>
        </w:rPr>
        <w:t xml:space="preserve"> </w:t>
      </w:r>
      <w:r>
        <w:rPr>
          <w:sz w:val="24"/>
          <w:szCs w:val="24"/>
        </w:rPr>
        <w:t xml:space="preserve">v </w:t>
      </w:r>
      <w:r w:rsidRPr="00154DCD">
        <w:rPr>
          <w:sz w:val="24"/>
          <w:szCs w:val="24"/>
        </w:rPr>
        <w:t>předepsan</w:t>
      </w:r>
      <w:r>
        <w:rPr>
          <w:sz w:val="24"/>
          <w:szCs w:val="24"/>
        </w:rPr>
        <w:t>é</w:t>
      </w:r>
      <w:r w:rsidRPr="00154DCD">
        <w:rPr>
          <w:sz w:val="24"/>
          <w:szCs w:val="24"/>
        </w:rPr>
        <w:t xml:space="preserve"> form</w:t>
      </w:r>
      <w:r>
        <w:rPr>
          <w:sz w:val="24"/>
          <w:szCs w:val="24"/>
        </w:rPr>
        <w:t>ě.</w:t>
      </w:r>
    </w:p>
    <w:p w:rsidR="00C45E6B" w:rsidRPr="0078594A" w:rsidRDefault="00C45E6B" w:rsidP="00C45E6B">
      <w:pPr>
        <w:pStyle w:val="Odstavecseseznamem"/>
        <w:numPr>
          <w:ilvl w:val="0"/>
          <w:numId w:val="20"/>
        </w:numPr>
        <w:tabs>
          <w:tab w:val="clear" w:pos="2880"/>
        </w:tabs>
        <w:spacing w:before="60"/>
        <w:ind w:left="567" w:hanging="283"/>
        <w:rPr>
          <w:sz w:val="24"/>
        </w:rPr>
      </w:pPr>
      <w:r w:rsidRPr="0078594A">
        <w:rPr>
          <w:sz w:val="24"/>
        </w:rPr>
        <w:t>Finanční objem státní dotace</w:t>
      </w:r>
    </w:p>
    <w:p w:rsidR="00C45E6B" w:rsidRDefault="00C45E6B" w:rsidP="00C45E6B">
      <w:pPr>
        <w:numPr>
          <w:ilvl w:val="0"/>
          <w:numId w:val="22"/>
        </w:numPr>
        <w:spacing w:before="60"/>
        <w:ind w:left="993" w:hanging="426"/>
        <w:rPr>
          <w:sz w:val="24"/>
        </w:rPr>
      </w:pPr>
      <w:r>
        <w:rPr>
          <w:sz w:val="24"/>
        </w:rPr>
        <w:t xml:space="preserve">Celkový finanční objem je stanoven ve vazbě na možnosti státního rozpočtu pro příslušný kalendářní rok. </w:t>
      </w:r>
    </w:p>
    <w:p w:rsidR="00C45E6B" w:rsidRPr="0078594A" w:rsidRDefault="00C45E6B" w:rsidP="00C45E6B">
      <w:pPr>
        <w:numPr>
          <w:ilvl w:val="0"/>
          <w:numId w:val="22"/>
        </w:numPr>
        <w:spacing w:before="120"/>
        <w:ind w:left="993" w:hanging="426"/>
        <w:rPr>
          <w:sz w:val="24"/>
        </w:rPr>
      </w:pPr>
      <w:r w:rsidRPr="0078594A">
        <w:rPr>
          <w:sz w:val="24"/>
        </w:rPr>
        <w:t xml:space="preserve">Následné členění se předkládá k celkovému finančnímu objemu, který se uvádí k předběžné částce ve výši </w:t>
      </w:r>
      <w:r w:rsidR="00CC140A">
        <w:rPr>
          <w:sz w:val="24"/>
        </w:rPr>
        <w:t>cca 21</w:t>
      </w:r>
      <w:r w:rsidRPr="0078594A">
        <w:rPr>
          <w:sz w:val="24"/>
        </w:rPr>
        <w:t xml:space="preserve">0 000 tis. Kč. Tato částka je uvedena bez navýšení v předchozím období. </w:t>
      </w:r>
    </w:p>
    <w:p w:rsidR="00C45E6B" w:rsidRPr="00D95ADE" w:rsidRDefault="00C45E6B" w:rsidP="00C45E6B">
      <w:pPr>
        <w:numPr>
          <w:ilvl w:val="0"/>
          <w:numId w:val="22"/>
        </w:numPr>
        <w:spacing w:before="60"/>
        <w:ind w:left="993" w:hanging="426"/>
        <w:rPr>
          <w:sz w:val="24"/>
        </w:rPr>
      </w:pPr>
      <w:r>
        <w:rPr>
          <w:sz w:val="24"/>
        </w:rPr>
        <w:t xml:space="preserve"> Podpora </w:t>
      </w:r>
      <w:r w:rsidRPr="002E7E9C">
        <w:rPr>
          <w:sz w:val="24"/>
        </w:rPr>
        <w:t xml:space="preserve">pro </w:t>
      </w:r>
      <w:r>
        <w:rPr>
          <w:sz w:val="24"/>
        </w:rPr>
        <w:t>spolky</w:t>
      </w:r>
      <w:r w:rsidRPr="002E7E9C">
        <w:rPr>
          <w:sz w:val="24"/>
        </w:rPr>
        <w:t xml:space="preserve"> se dělí </w:t>
      </w:r>
      <w:r>
        <w:rPr>
          <w:sz w:val="24"/>
        </w:rPr>
        <w:t xml:space="preserve">na </w:t>
      </w:r>
      <w:r w:rsidRPr="002E7E9C">
        <w:rPr>
          <w:sz w:val="24"/>
        </w:rPr>
        <w:t>díly podle</w:t>
      </w:r>
      <w:r w:rsidRPr="00D95ADE">
        <w:rPr>
          <w:sz w:val="24"/>
        </w:rPr>
        <w:t xml:space="preserve"> </w:t>
      </w:r>
      <w:r>
        <w:rPr>
          <w:sz w:val="24"/>
        </w:rPr>
        <w:t>účelového vymezení a charakteru.</w:t>
      </w:r>
    </w:p>
    <w:p w:rsidR="00C45E6B" w:rsidRDefault="00C45E6B" w:rsidP="00C45E6B">
      <w:pPr>
        <w:pStyle w:val="Seznam2"/>
        <w:ind w:left="0" w:firstLine="0"/>
        <w:rPr>
          <w:sz w:val="24"/>
          <w:szCs w:val="24"/>
          <w:u w:val="single"/>
        </w:rPr>
      </w:pPr>
    </w:p>
    <w:p w:rsidR="00C45E6B" w:rsidRPr="00C70D37" w:rsidRDefault="00C45E6B" w:rsidP="00C45E6B">
      <w:pPr>
        <w:pStyle w:val="Seznam2"/>
        <w:spacing w:after="120"/>
        <w:ind w:left="709" w:firstLine="0"/>
        <w:rPr>
          <w:sz w:val="24"/>
          <w:szCs w:val="24"/>
        </w:rPr>
      </w:pPr>
      <w:r w:rsidRPr="00C70D37">
        <w:rPr>
          <w:sz w:val="24"/>
          <w:szCs w:val="24"/>
        </w:rPr>
        <w:t xml:space="preserve">Základní rozdělení finančního objemu pro oblast podpory sportovních </w:t>
      </w:r>
      <w:r>
        <w:rPr>
          <w:sz w:val="24"/>
          <w:szCs w:val="24"/>
        </w:rPr>
        <w:t>s</w:t>
      </w:r>
      <w:r w:rsidR="0079420D">
        <w:rPr>
          <w:sz w:val="24"/>
          <w:szCs w:val="24"/>
        </w:rPr>
        <w:t>polk</w:t>
      </w:r>
      <w:r>
        <w:rPr>
          <w:sz w:val="24"/>
          <w:szCs w:val="24"/>
        </w:rPr>
        <w:t>ů:</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237"/>
        <w:gridCol w:w="1667"/>
      </w:tblGrid>
      <w:tr w:rsidR="00C45E6B" w:rsidRPr="00B57E70" w:rsidTr="00B34F1E">
        <w:tc>
          <w:tcPr>
            <w:tcW w:w="6804" w:type="dxa"/>
            <w:gridSpan w:val="2"/>
            <w:shd w:val="clear" w:color="auto" w:fill="C2D69B"/>
          </w:tcPr>
          <w:p w:rsidR="00C45E6B" w:rsidRPr="00B57E70" w:rsidRDefault="00C45E6B" w:rsidP="00677F02">
            <w:pPr>
              <w:pStyle w:val="Seznam2"/>
              <w:spacing w:before="120" w:after="120"/>
              <w:ind w:left="0" w:firstLine="0"/>
              <w:jc w:val="center"/>
              <w:rPr>
                <w:b/>
                <w:sz w:val="24"/>
                <w:szCs w:val="24"/>
              </w:rPr>
            </w:pPr>
            <w:r w:rsidRPr="00B57E70">
              <w:rPr>
                <w:b/>
                <w:sz w:val="24"/>
                <w:szCs w:val="24"/>
              </w:rPr>
              <w:t>Účelové vymezení</w:t>
            </w:r>
          </w:p>
        </w:tc>
        <w:tc>
          <w:tcPr>
            <w:tcW w:w="1667" w:type="dxa"/>
            <w:shd w:val="clear" w:color="auto" w:fill="C2D69B"/>
          </w:tcPr>
          <w:p w:rsidR="00C45E6B" w:rsidRPr="00B57E70" w:rsidRDefault="00C45E6B" w:rsidP="00677F02">
            <w:pPr>
              <w:pStyle w:val="Seznam2"/>
              <w:spacing w:before="120" w:after="120"/>
              <w:ind w:left="0" w:firstLine="0"/>
              <w:jc w:val="center"/>
              <w:rPr>
                <w:b/>
                <w:sz w:val="24"/>
                <w:szCs w:val="24"/>
              </w:rPr>
            </w:pPr>
            <w:r w:rsidRPr="00B57E70">
              <w:rPr>
                <w:b/>
                <w:sz w:val="24"/>
                <w:szCs w:val="24"/>
              </w:rPr>
              <w:t>Objem</w:t>
            </w:r>
          </w:p>
        </w:tc>
      </w:tr>
      <w:tr w:rsidR="00D733A5" w:rsidRPr="005F0D75" w:rsidTr="00B34F1E">
        <w:trPr>
          <w:trHeight w:val="521"/>
        </w:trPr>
        <w:tc>
          <w:tcPr>
            <w:tcW w:w="567" w:type="dxa"/>
          </w:tcPr>
          <w:p w:rsidR="00D733A5" w:rsidRPr="00B57E70" w:rsidRDefault="00D733A5" w:rsidP="00D733A5">
            <w:pPr>
              <w:pStyle w:val="Seznam2"/>
              <w:spacing w:before="120"/>
              <w:ind w:left="0" w:firstLine="0"/>
              <w:rPr>
                <w:sz w:val="24"/>
                <w:szCs w:val="24"/>
              </w:rPr>
            </w:pPr>
            <w:r w:rsidRPr="00B57E70">
              <w:rPr>
                <w:sz w:val="24"/>
                <w:szCs w:val="24"/>
              </w:rPr>
              <w:t>a)</w:t>
            </w:r>
          </w:p>
        </w:tc>
        <w:tc>
          <w:tcPr>
            <w:tcW w:w="6237" w:type="dxa"/>
          </w:tcPr>
          <w:p w:rsidR="00D733A5" w:rsidRPr="00B34F1E" w:rsidRDefault="00D733A5" w:rsidP="00D733A5">
            <w:pPr>
              <w:pStyle w:val="Seznam2"/>
              <w:spacing w:before="120"/>
              <w:ind w:left="0" w:firstLine="0"/>
              <w:rPr>
                <w:sz w:val="24"/>
              </w:rPr>
            </w:pPr>
            <w:r>
              <w:rPr>
                <w:b/>
                <w:sz w:val="24"/>
              </w:rPr>
              <w:t xml:space="preserve">2. Fáze – Paušální podpora, </w:t>
            </w:r>
            <w:r w:rsidRPr="00B34F1E">
              <w:rPr>
                <w:sz w:val="24"/>
              </w:rPr>
              <w:t>dle</w:t>
            </w:r>
            <w:r>
              <w:rPr>
                <w:sz w:val="24"/>
              </w:rPr>
              <w:t xml:space="preserve"> spolku</w:t>
            </w:r>
          </w:p>
          <w:p w:rsidR="00D733A5" w:rsidRDefault="00D733A5" w:rsidP="00D733A5">
            <w:pPr>
              <w:pStyle w:val="Seznam2"/>
              <w:ind w:left="317" w:firstLine="0"/>
              <w:rPr>
                <w:i/>
                <w:sz w:val="24"/>
              </w:rPr>
            </w:pPr>
            <w:r>
              <w:rPr>
                <w:i/>
                <w:sz w:val="24"/>
              </w:rPr>
              <w:t>z počtu akceptovaných SK v rozmezí:  1 – 9 = 100,- tis. Kč</w:t>
            </w:r>
          </w:p>
          <w:p w:rsidR="00D733A5" w:rsidRPr="00CD2839" w:rsidRDefault="00D733A5" w:rsidP="00D733A5">
            <w:pPr>
              <w:pStyle w:val="Seznam2"/>
              <w:ind w:left="317" w:firstLine="0"/>
              <w:rPr>
                <w:i/>
                <w:sz w:val="24"/>
                <w:szCs w:val="24"/>
              </w:rPr>
            </w:pPr>
            <w:r>
              <w:rPr>
                <w:i/>
                <w:sz w:val="24"/>
              </w:rPr>
              <w:t xml:space="preserve">                                                       10 a více = 200,- tis. Kč</w:t>
            </w:r>
          </w:p>
        </w:tc>
        <w:tc>
          <w:tcPr>
            <w:tcW w:w="1667" w:type="dxa"/>
          </w:tcPr>
          <w:p w:rsidR="00D733A5" w:rsidRDefault="00D733A5" w:rsidP="00D733A5">
            <w:pPr>
              <w:pStyle w:val="Seznam2"/>
              <w:spacing w:before="120"/>
              <w:ind w:left="0" w:firstLine="0"/>
              <w:jc w:val="center"/>
              <w:rPr>
                <w:sz w:val="24"/>
                <w:szCs w:val="24"/>
              </w:rPr>
            </w:pPr>
            <w:r>
              <w:rPr>
                <w:sz w:val="24"/>
                <w:szCs w:val="24"/>
              </w:rPr>
              <w:t>jednorázový příspěvek,</w:t>
            </w:r>
          </w:p>
          <w:p w:rsidR="00D733A5" w:rsidRPr="005F0D75" w:rsidRDefault="00D733A5" w:rsidP="00D733A5">
            <w:pPr>
              <w:pStyle w:val="Seznam2"/>
              <w:ind w:left="0" w:firstLine="0"/>
              <w:jc w:val="center"/>
              <w:rPr>
                <w:sz w:val="24"/>
                <w:szCs w:val="24"/>
              </w:rPr>
            </w:pPr>
            <w:r>
              <w:rPr>
                <w:sz w:val="24"/>
                <w:szCs w:val="24"/>
              </w:rPr>
              <w:t xml:space="preserve"> dle rozmezí</w:t>
            </w:r>
          </w:p>
        </w:tc>
      </w:tr>
      <w:tr w:rsidR="00D733A5" w:rsidRPr="005F0D75" w:rsidTr="00B34F1E">
        <w:tc>
          <w:tcPr>
            <w:tcW w:w="567" w:type="dxa"/>
          </w:tcPr>
          <w:p w:rsidR="00D733A5" w:rsidRDefault="00D733A5" w:rsidP="00D733A5">
            <w:pPr>
              <w:pStyle w:val="Seznam2"/>
              <w:spacing w:before="120"/>
              <w:ind w:left="0" w:firstLine="0"/>
              <w:rPr>
                <w:sz w:val="24"/>
                <w:szCs w:val="24"/>
              </w:rPr>
            </w:pPr>
            <w:r>
              <w:rPr>
                <w:sz w:val="24"/>
                <w:szCs w:val="24"/>
              </w:rPr>
              <w:t>b)</w:t>
            </w:r>
          </w:p>
        </w:tc>
        <w:tc>
          <w:tcPr>
            <w:tcW w:w="6237" w:type="dxa"/>
          </w:tcPr>
          <w:p w:rsidR="00D733A5" w:rsidRPr="00B34F1E" w:rsidRDefault="00D733A5" w:rsidP="00D733A5">
            <w:pPr>
              <w:pStyle w:val="Seznam2"/>
              <w:spacing w:before="120"/>
              <w:ind w:left="0" w:firstLine="0"/>
              <w:rPr>
                <w:sz w:val="24"/>
              </w:rPr>
            </w:pPr>
            <w:r>
              <w:rPr>
                <w:b/>
                <w:sz w:val="24"/>
              </w:rPr>
              <w:t xml:space="preserve">2. Fáze – Základní podpora, </w:t>
            </w:r>
            <w:r w:rsidRPr="00B34F1E">
              <w:rPr>
                <w:sz w:val="24"/>
              </w:rPr>
              <w:t>dle</w:t>
            </w:r>
            <w:r>
              <w:rPr>
                <w:sz w:val="24"/>
              </w:rPr>
              <w:t xml:space="preserve"> SK</w:t>
            </w:r>
          </w:p>
          <w:p w:rsidR="00D733A5" w:rsidRDefault="00D733A5" w:rsidP="00D733A5">
            <w:pPr>
              <w:pStyle w:val="Seznam2"/>
              <w:ind w:left="317" w:firstLine="0"/>
              <w:rPr>
                <w:i/>
                <w:sz w:val="24"/>
              </w:rPr>
            </w:pPr>
            <w:r>
              <w:rPr>
                <w:i/>
                <w:sz w:val="24"/>
              </w:rPr>
              <w:t>z počtu akceptovaných SK v rozmezí:  1 – 9 =   5,- tis. Kč</w:t>
            </w:r>
          </w:p>
          <w:p w:rsidR="00D733A5" w:rsidRPr="00CD2839" w:rsidRDefault="00D733A5" w:rsidP="00D733A5">
            <w:pPr>
              <w:pStyle w:val="Seznam2"/>
              <w:ind w:left="317" w:firstLine="0"/>
              <w:rPr>
                <w:i/>
                <w:sz w:val="24"/>
                <w:szCs w:val="24"/>
              </w:rPr>
            </w:pPr>
            <w:r>
              <w:rPr>
                <w:i/>
                <w:sz w:val="24"/>
              </w:rPr>
              <w:t xml:space="preserve">                                                       10 a více = 10,- tis. Kč</w:t>
            </w:r>
          </w:p>
        </w:tc>
        <w:tc>
          <w:tcPr>
            <w:tcW w:w="1667" w:type="dxa"/>
          </w:tcPr>
          <w:p w:rsidR="00D733A5" w:rsidRPr="005F0D75" w:rsidRDefault="00D733A5" w:rsidP="00D733A5">
            <w:pPr>
              <w:pStyle w:val="Seznam2"/>
              <w:spacing w:before="120"/>
              <w:ind w:left="0" w:firstLine="0"/>
              <w:jc w:val="center"/>
              <w:rPr>
                <w:sz w:val="24"/>
                <w:szCs w:val="24"/>
              </w:rPr>
            </w:pPr>
            <w:r>
              <w:rPr>
                <w:sz w:val="24"/>
                <w:szCs w:val="24"/>
              </w:rPr>
              <w:t>násobek počtu SK dle rozmezí</w:t>
            </w:r>
          </w:p>
        </w:tc>
      </w:tr>
      <w:tr w:rsidR="00D733A5" w:rsidRPr="005F0D75" w:rsidTr="00B34F1E">
        <w:trPr>
          <w:trHeight w:val="1168"/>
        </w:trPr>
        <w:tc>
          <w:tcPr>
            <w:tcW w:w="567" w:type="dxa"/>
          </w:tcPr>
          <w:p w:rsidR="00D733A5" w:rsidRPr="00B57E70" w:rsidRDefault="00D733A5" w:rsidP="00D733A5">
            <w:pPr>
              <w:pStyle w:val="Seznam2"/>
              <w:spacing w:before="120"/>
              <w:ind w:left="0" w:firstLine="0"/>
              <w:rPr>
                <w:sz w:val="24"/>
                <w:szCs w:val="24"/>
              </w:rPr>
            </w:pPr>
            <w:r>
              <w:rPr>
                <w:sz w:val="24"/>
                <w:szCs w:val="24"/>
              </w:rPr>
              <w:t>c</w:t>
            </w:r>
            <w:r w:rsidRPr="00B57E70">
              <w:rPr>
                <w:sz w:val="24"/>
                <w:szCs w:val="24"/>
              </w:rPr>
              <w:t>)</w:t>
            </w:r>
          </w:p>
        </w:tc>
        <w:tc>
          <w:tcPr>
            <w:tcW w:w="6237" w:type="dxa"/>
          </w:tcPr>
          <w:p w:rsidR="00D733A5" w:rsidRPr="00B34F1E" w:rsidRDefault="00D733A5" w:rsidP="00D733A5">
            <w:pPr>
              <w:pStyle w:val="Seznam2"/>
              <w:spacing w:before="120"/>
              <w:ind w:left="0" w:firstLine="0"/>
              <w:rPr>
                <w:sz w:val="24"/>
              </w:rPr>
            </w:pPr>
            <w:r>
              <w:rPr>
                <w:b/>
                <w:sz w:val="24"/>
              </w:rPr>
              <w:t xml:space="preserve">3. Fáze – Rozdělení zůstatku podpory, </w:t>
            </w:r>
            <w:r w:rsidRPr="00B34F1E">
              <w:rPr>
                <w:sz w:val="24"/>
              </w:rPr>
              <w:t>dle</w:t>
            </w:r>
            <w:r>
              <w:rPr>
                <w:sz w:val="24"/>
              </w:rPr>
              <w:t xml:space="preserve"> výpočtu</w:t>
            </w:r>
          </w:p>
          <w:p w:rsidR="00D733A5" w:rsidRDefault="00D733A5" w:rsidP="00D733A5">
            <w:pPr>
              <w:pStyle w:val="Seznam2"/>
              <w:numPr>
                <w:ilvl w:val="0"/>
                <w:numId w:val="21"/>
              </w:numPr>
              <w:rPr>
                <w:sz w:val="24"/>
                <w:szCs w:val="24"/>
              </w:rPr>
            </w:pPr>
            <w:r>
              <w:rPr>
                <w:sz w:val="24"/>
                <w:szCs w:val="24"/>
              </w:rPr>
              <w:t>hodnota majetku ......................... 80 %</w:t>
            </w:r>
          </w:p>
          <w:p w:rsidR="00D733A5" w:rsidRPr="003A6F9E" w:rsidRDefault="00D733A5" w:rsidP="00D733A5">
            <w:pPr>
              <w:pStyle w:val="Seznam2"/>
              <w:numPr>
                <w:ilvl w:val="0"/>
                <w:numId w:val="21"/>
              </w:numPr>
              <w:spacing w:after="120"/>
              <w:rPr>
                <w:b/>
                <w:sz w:val="24"/>
                <w:szCs w:val="24"/>
              </w:rPr>
            </w:pPr>
            <w:r>
              <w:rPr>
                <w:sz w:val="24"/>
                <w:szCs w:val="24"/>
              </w:rPr>
              <w:t>počet členské základny ..............  20 %</w:t>
            </w:r>
          </w:p>
        </w:tc>
        <w:tc>
          <w:tcPr>
            <w:tcW w:w="1667" w:type="dxa"/>
          </w:tcPr>
          <w:p w:rsidR="00D733A5" w:rsidRPr="005F0D75" w:rsidRDefault="00D733A5" w:rsidP="00D733A5">
            <w:pPr>
              <w:pStyle w:val="Seznam2"/>
              <w:spacing w:before="120"/>
              <w:ind w:left="0" w:firstLine="0"/>
              <w:jc w:val="center"/>
              <w:rPr>
                <w:sz w:val="24"/>
                <w:szCs w:val="24"/>
              </w:rPr>
            </w:pPr>
            <w:r>
              <w:rPr>
                <w:sz w:val="24"/>
                <w:szCs w:val="24"/>
              </w:rPr>
              <w:t>rozdělení zůstatku</w:t>
            </w:r>
          </w:p>
        </w:tc>
      </w:tr>
      <w:tr w:rsidR="00D733A5" w:rsidRPr="005F0D75" w:rsidTr="00B34F1E">
        <w:tc>
          <w:tcPr>
            <w:tcW w:w="567" w:type="dxa"/>
          </w:tcPr>
          <w:p w:rsidR="00D733A5" w:rsidRPr="00B57E70" w:rsidRDefault="00D733A5" w:rsidP="00D733A5">
            <w:pPr>
              <w:pStyle w:val="Seznam2"/>
              <w:spacing w:before="120" w:after="120"/>
              <w:ind w:left="0" w:firstLine="0"/>
              <w:rPr>
                <w:sz w:val="24"/>
                <w:szCs w:val="24"/>
              </w:rPr>
            </w:pPr>
            <w:r>
              <w:rPr>
                <w:sz w:val="24"/>
                <w:szCs w:val="24"/>
              </w:rPr>
              <w:lastRenderedPageBreak/>
              <w:t>d)</w:t>
            </w:r>
          </w:p>
        </w:tc>
        <w:tc>
          <w:tcPr>
            <w:tcW w:w="6237" w:type="dxa"/>
          </w:tcPr>
          <w:p w:rsidR="00D733A5" w:rsidRPr="005F0D75" w:rsidRDefault="00D733A5" w:rsidP="00D733A5">
            <w:pPr>
              <w:pStyle w:val="Seznam2"/>
              <w:spacing w:before="120" w:after="120"/>
              <w:ind w:left="0" w:firstLine="0"/>
              <w:rPr>
                <w:sz w:val="24"/>
                <w:szCs w:val="24"/>
              </w:rPr>
            </w:pPr>
            <w:r>
              <w:rPr>
                <w:sz w:val="24"/>
                <w:szCs w:val="24"/>
              </w:rPr>
              <w:t>Mimořádné záležitosti - rezerva</w:t>
            </w:r>
          </w:p>
        </w:tc>
        <w:tc>
          <w:tcPr>
            <w:tcW w:w="1667" w:type="dxa"/>
          </w:tcPr>
          <w:p w:rsidR="00D733A5" w:rsidRPr="005F0D75" w:rsidRDefault="00D733A5" w:rsidP="00D733A5">
            <w:pPr>
              <w:pStyle w:val="Seznam2"/>
              <w:spacing w:before="120" w:after="120"/>
              <w:ind w:left="0" w:firstLine="0"/>
              <w:jc w:val="center"/>
              <w:rPr>
                <w:sz w:val="24"/>
                <w:szCs w:val="24"/>
              </w:rPr>
            </w:pPr>
            <w:r>
              <w:rPr>
                <w:sz w:val="24"/>
                <w:szCs w:val="24"/>
              </w:rPr>
              <w:t>do 5 %</w:t>
            </w:r>
          </w:p>
        </w:tc>
      </w:tr>
      <w:tr w:rsidR="00D733A5" w:rsidRPr="005F0D75" w:rsidTr="00B34F1E">
        <w:tc>
          <w:tcPr>
            <w:tcW w:w="6804" w:type="dxa"/>
            <w:gridSpan w:val="2"/>
            <w:shd w:val="clear" w:color="auto" w:fill="C2D69B"/>
          </w:tcPr>
          <w:p w:rsidR="00D733A5" w:rsidRPr="005F0D75" w:rsidRDefault="00D733A5" w:rsidP="00D733A5">
            <w:pPr>
              <w:pStyle w:val="Seznam2"/>
              <w:spacing w:before="120" w:after="120"/>
              <w:ind w:left="0" w:firstLine="0"/>
              <w:jc w:val="right"/>
              <w:rPr>
                <w:sz w:val="24"/>
                <w:szCs w:val="24"/>
              </w:rPr>
            </w:pPr>
            <w:r w:rsidRPr="005F0D75">
              <w:rPr>
                <w:sz w:val="24"/>
                <w:szCs w:val="24"/>
              </w:rPr>
              <w:t>Celkem</w:t>
            </w:r>
          </w:p>
        </w:tc>
        <w:tc>
          <w:tcPr>
            <w:tcW w:w="1667" w:type="dxa"/>
            <w:shd w:val="clear" w:color="auto" w:fill="C2D69B"/>
          </w:tcPr>
          <w:p w:rsidR="00D733A5" w:rsidRPr="005F0D75" w:rsidRDefault="00D733A5" w:rsidP="00D733A5">
            <w:pPr>
              <w:pStyle w:val="Seznam2"/>
              <w:spacing w:before="120" w:after="120"/>
              <w:ind w:left="0" w:firstLine="0"/>
              <w:jc w:val="center"/>
              <w:rPr>
                <w:sz w:val="24"/>
                <w:szCs w:val="24"/>
              </w:rPr>
            </w:pPr>
            <w:r w:rsidRPr="005F0D75">
              <w:rPr>
                <w:sz w:val="24"/>
                <w:szCs w:val="24"/>
              </w:rPr>
              <w:t>100 %</w:t>
            </w:r>
          </w:p>
        </w:tc>
      </w:tr>
    </w:tbl>
    <w:p w:rsidR="00C45E6B" w:rsidRDefault="00C45E6B" w:rsidP="00C45E6B">
      <w:pPr>
        <w:pStyle w:val="Seznam2"/>
        <w:ind w:left="0" w:firstLine="0"/>
        <w:rPr>
          <w:sz w:val="24"/>
          <w:szCs w:val="24"/>
          <w:u w:val="single"/>
        </w:rPr>
      </w:pPr>
    </w:p>
    <w:p w:rsidR="00C45E6B" w:rsidRDefault="00C45E6B" w:rsidP="00C45E6B">
      <w:pPr>
        <w:pStyle w:val="Seznam2"/>
        <w:ind w:left="709" w:firstLine="0"/>
        <w:rPr>
          <w:sz w:val="24"/>
          <w:szCs w:val="24"/>
        </w:rPr>
      </w:pPr>
      <w:r w:rsidRPr="004640F4">
        <w:rPr>
          <w:sz w:val="24"/>
          <w:szCs w:val="24"/>
        </w:rPr>
        <w:t xml:space="preserve">Poznámka: </w:t>
      </w:r>
      <w:r>
        <w:rPr>
          <w:sz w:val="24"/>
          <w:szCs w:val="24"/>
        </w:rPr>
        <w:t xml:space="preserve"> </w:t>
      </w:r>
    </w:p>
    <w:p w:rsidR="00C45E6B" w:rsidRDefault="00C45E6B" w:rsidP="00C45E6B">
      <w:pPr>
        <w:pStyle w:val="Seznam2"/>
        <w:numPr>
          <w:ilvl w:val="0"/>
          <w:numId w:val="19"/>
        </w:numPr>
        <w:ind w:left="1134" w:hanging="425"/>
        <w:jc w:val="both"/>
        <w:rPr>
          <w:sz w:val="24"/>
          <w:szCs w:val="24"/>
        </w:rPr>
      </w:pPr>
      <w:r>
        <w:rPr>
          <w:sz w:val="24"/>
          <w:szCs w:val="24"/>
        </w:rPr>
        <w:t>Procentuální rozpětí může expertní komise nebo MŠMT upravit dle aktuálních potřeb souvisejících s podanými žádostí příslušného roku.</w:t>
      </w:r>
    </w:p>
    <w:p w:rsidR="00C45E6B" w:rsidRPr="0078594A" w:rsidRDefault="00C45E6B" w:rsidP="00C45E6B">
      <w:pPr>
        <w:rPr>
          <w:sz w:val="24"/>
          <w:szCs w:val="24"/>
        </w:rPr>
      </w:pPr>
    </w:p>
    <w:p w:rsidR="00C623C2" w:rsidRDefault="00C623C2" w:rsidP="00C623C2"/>
    <w:p w:rsidR="0007141A" w:rsidRPr="00C45E6B" w:rsidRDefault="0007141A" w:rsidP="00BD60DE">
      <w:pPr>
        <w:pStyle w:val="Nadpis2"/>
        <w:spacing w:before="0" w:after="0"/>
        <w:jc w:val="center"/>
        <w:rPr>
          <w:rFonts w:ascii="Times New Roman" w:hAnsi="Times New Roman" w:cs="Times New Roman"/>
          <w:i w:val="0"/>
          <w:sz w:val="24"/>
          <w:szCs w:val="32"/>
        </w:rPr>
      </w:pPr>
      <w:r w:rsidRPr="00C45E6B">
        <w:rPr>
          <w:rFonts w:ascii="Times New Roman" w:hAnsi="Times New Roman" w:cs="Times New Roman"/>
          <w:i w:val="0"/>
          <w:sz w:val="24"/>
          <w:szCs w:val="32"/>
        </w:rPr>
        <w:t xml:space="preserve">Článek </w:t>
      </w:r>
      <w:r w:rsidR="00211519" w:rsidRPr="00C45E6B">
        <w:rPr>
          <w:rFonts w:ascii="Times New Roman" w:hAnsi="Times New Roman" w:cs="Times New Roman"/>
          <w:i w:val="0"/>
          <w:sz w:val="24"/>
          <w:szCs w:val="32"/>
        </w:rPr>
        <w:t>V</w:t>
      </w:r>
      <w:r w:rsidR="00F16FA2">
        <w:rPr>
          <w:rFonts w:ascii="Times New Roman" w:hAnsi="Times New Roman" w:cs="Times New Roman"/>
          <w:i w:val="0"/>
          <w:sz w:val="24"/>
          <w:szCs w:val="32"/>
        </w:rPr>
        <w:t>I</w:t>
      </w:r>
      <w:r w:rsidRPr="00C45E6B">
        <w:rPr>
          <w:rFonts w:ascii="Times New Roman" w:hAnsi="Times New Roman" w:cs="Times New Roman"/>
          <w:i w:val="0"/>
          <w:sz w:val="24"/>
          <w:szCs w:val="32"/>
        </w:rPr>
        <w:t xml:space="preserve"> - Závěrečná ustanovení</w:t>
      </w:r>
    </w:p>
    <w:p w:rsidR="00667FB5" w:rsidRPr="00667FB5" w:rsidRDefault="00667FB5" w:rsidP="00667FB5">
      <w:pPr>
        <w:rPr>
          <w:sz w:val="24"/>
        </w:rPr>
      </w:pPr>
    </w:p>
    <w:p w:rsidR="00667FB5" w:rsidRPr="005D18EC" w:rsidRDefault="00667FB5" w:rsidP="00667FB5">
      <w:pPr>
        <w:numPr>
          <w:ilvl w:val="0"/>
          <w:numId w:val="9"/>
        </w:numPr>
        <w:tabs>
          <w:tab w:val="clear" w:pos="2880"/>
        </w:tabs>
        <w:ind w:left="426" w:hanging="426"/>
        <w:rPr>
          <w:sz w:val="24"/>
        </w:rPr>
      </w:pPr>
      <w:r w:rsidRPr="005D18EC">
        <w:rPr>
          <w:sz w:val="24"/>
        </w:rPr>
        <w:t>MŠMT rozhoduje o konečné výši rozdělení dotací pro jednotliv</w:t>
      </w:r>
      <w:r>
        <w:rPr>
          <w:sz w:val="24"/>
        </w:rPr>
        <w:t>é spolky</w:t>
      </w:r>
      <w:r w:rsidRPr="005D18EC">
        <w:rPr>
          <w:sz w:val="24"/>
        </w:rPr>
        <w:t xml:space="preserve"> a zveřej</w:t>
      </w:r>
      <w:r>
        <w:rPr>
          <w:sz w:val="24"/>
        </w:rPr>
        <w:t>ňuje</w:t>
      </w:r>
      <w:r w:rsidRPr="005D18EC">
        <w:rPr>
          <w:sz w:val="24"/>
        </w:rPr>
        <w:t xml:space="preserve"> je na adrese: </w:t>
      </w:r>
      <w:hyperlink r:id="rId15" w:history="1">
        <w:r w:rsidRPr="005D18EC">
          <w:rPr>
            <w:rStyle w:val="Hypertextovodkaz"/>
            <w:sz w:val="24"/>
          </w:rPr>
          <w:t>www.msmt.cz</w:t>
        </w:r>
      </w:hyperlink>
      <w:r w:rsidRPr="005D18EC">
        <w:rPr>
          <w:sz w:val="24"/>
        </w:rPr>
        <w:t>.</w:t>
      </w:r>
    </w:p>
    <w:p w:rsidR="00667FB5" w:rsidRPr="005D18EC" w:rsidRDefault="00667FB5" w:rsidP="00667FB5">
      <w:pPr>
        <w:pStyle w:val="Odstavecseseznamem"/>
        <w:numPr>
          <w:ilvl w:val="0"/>
          <w:numId w:val="9"/>
        </w:numPr>
        <w:tabs>
          <w:tab w:val="clear" w:pos="2880"/>
        </w:tabs>
        <w:spacing w:before="120"/>
        <w:ind w:left="426" w:hanging="426"/>
        <w:rPr>
          <w:sz w:val="24"/>
        </w:rPr>
      </w:pPr>
      <w:r w:rsidRPr="005D18EC">
        <w:rPr>
          <w:sz w:val="24"/>
        </w:rPr>
        <w:t xml:space="preserve">Realizace, vymezení účelového využití finančních prostředků, včetně hospodaření, vyúčtování a kontroly státních finančních prostředků stanovených na základě vypočtených bodových hodnot se řídí platným </w:t>
      </w:r>
      <w:r w:rsidRPr="005D18EC">
        <w:rPr>
          <w:b/>
          <w:sz w:val="24"/>
        </w:rPr>
        <w:t>„</w:t>
      </w:r>
      <w:r w:rsidRPr="005D18EC">
        <w:rPr>
          <w:b/>
          <w:sz w:val="24"/>
          <w:szCs w:val="28"/>
        </w:rPr>
        <w:t xml:space="preserve">Rozhodnutím o poskytnutí neinvestiční dotace ze státního rozpočtu České republiky v oblasti sportu“ </w:t>
      </w:r>
      <w:r w:rsidRPr="005D18EC">
        <w:rPr>
          <w:sz w:val="24"/>
        </w:rPr>
        <w:t xml:space="preserve">pro příslušný rok. Vzor „Rozhodnutí“ je zveřejněn na adrese: </w:t>
      </w:r>
      <w:hyperlink r:id="rId16" w:history="1">
        <w:r w:rsidRPr="005D18EC">
          <w:rPr>
            <w:rStyle w:val="Hypertextovodkaz"/>
            <w:sz w:val="24"/>
          </w:rPr>
          <w:t>www.msmt.cz</w:t>
        </w:r>
      </w:hyperlink>
      <w:r w:rsidRPr="005D18EC">
        <w:rPr>
          <w:sz w:val="24"/>
        </w:rPr>
        <w:t>.</w:t>
      </w:r>
    </w:p>
    <w:p w:rsidR="00667FB5" w:rsidRDefault="00667FB5" w:rsidP="00667FB5">
      <w:pPr>
        <w:numPr>
          <w:ilvl w:val="0"/>
          <w:numId w:val="9"/>
        </w:numPr>
        <w:tabs>
          <w:tab w:val="clear" w:pos="2880"/>
        </w:tabs>
        <w:spacing w:before="120"/>
        <w:ind w:left="426" w:hanging="426"/>
        <w:rPr>
          <w:sz w:val="24"/>
        </w:rPr>
      </w:pPr>
      <w:r>
        <w:rPr>
          <w:sz w:val="24"/>
        </w:rPr>
        <w:t xml:space="preserve">Případné </w:t>
      </w:r>
      <w:r w:rsidRPr="00041C8D">
        <w:rPr>
          <w:sz w:val="24"/>
        </w:rPr>
        <w:t xml:space="preserve">změny </w:t>
      </w:r>
      <w:r>
        <w:rPr>
          <w:sz w:val="24"/>
          <w:szCs w:val="24"/>
        </w:rPr>
        <w:t>v průběhu kalendářního roku jsou řešeny dle usnesení porady vedení MŠMT a na základě rozhodnutí – pokynu ministra.</w:t>
      </w:r>
    </w:p>
    <w:p w:rsidR="00667FB5" w:rsidRPr="005D18EC" w:rsidRDefault="00667FB5" w:rsidP="00667FB5">
      <w:pPr>
        <w:numPr>
          <w:ilvl w:val="0"/>
          <w:numId w:val="9"/>
        </w:numPr>
        <w:tabs>
          <w:tab w:val="clear" w:pos="2880"/>
        </w:tabs>
        <w:spacing w:before="120"/>
        <w:ind w:left="426" w:hanging="426"/>
        <w:rPr>
          <w:sz w:val="24"/>
        </w:rPr>
      </w:pPr>
      <w:r w:rsidRPr="005D18EC">
        <w:rPr>
          <w:sz w:val="24"/>
        </w:rPr>
        <w:t>Tyto zásady nabývají účinnosti dnem 1. ledna 201</w:t>
      </w:r>
      <w:r>
        <w:rPr>
          <w:sz w:val="24"/>
        </w:rPr>
        <w:t>5</w:t>
      </w:r>
      <w:r w:rsidRPr="005D18EC">
        <w:rPr>
          <w:sz w:val="24"/>
        </w:rPr>
        <w:t>.</w:t>
      </w:r>
    </w:p>
    <w:p w:rsidR="001D4E1F" w:rsidRPr="00F40C94" w:rsidRDefault="001D4E1F" w:rsidP="001D4E1F">
      <w:pPr>
        <w:rPr>
          <w:sz w:val="24"/>
        </w:rPr>
      </w:pPr>
    </w:p>
    <w:p w:rsidR="001D4E1F" w:rsidRDefault="001D4E1F" w:rsidP="001D4E1F">
      <w:pPr>
        <w:pStyle w:val="ku"/>
      </w:pPr>
    </w:p>
    <w:p w:rsidR="009A400E" w:rsidRPr="00FC2B72" w:rsidRDefault="009A400E" w:rsidP="009A400E">
      <w:pPr>
        <w:rPr>
          <w:b/>
          <w:bCs/>
          <w:sz w:val="24"/>
          <w:szCs w:val="24"/>
        </w:rPr>
      </w:pPr>
      <w:r w:rsidRPr="008E4BB4">
        <w:rPr>
          <w:sz w:val="24"/>
          <w:szCs w:val="24"/>
        </w:rPr>
        <w:t>V Praze dne</w:t>
      </w:r>
      <w:r w:rsidR="000720F0">
        <w:rPr>
          <w:sz w:val="24"/>
          <w:szCs w:val="24"/>
        </w:rPr>
        <w:t xml:space="preserve"> 31</w:t>
      </w:r>
      <w:r w:rsidRPr="008E4BB4">
        <w:rPr>
          <w:sz w:val="24"/>
          <w:szCs w:val="24"/>
        </w:rPr>
        <w:t xml:space="preserve">. </w:t>
      </w:r>
      <w:r w:rsidR="000720F0">
        <w:rPr>
          <w:sz w:val="24"/>
          <w:szCs w:val="24"/>
        </w:rPr>
        <w:t>října</w:t>
      </w:r>
      <w:r w:rsidRPr="008E4BB4">
        <w:rPr>
          <w:sz w:val="24"/>
          <w:szCs w:val="24"/>
        </w:rPr>
        <w:t xml:space="preserve"> 2014</w:t>
      </w:r>
      <w:r w:rsidRPr="00FC2B72">
        <w:rPr>
          <w:sz w:val="24"/>
          <w:szCs w:val="24"/>
        </w:rPr>
        <w:t xml:space="preserve"> </w:t>
      </w:r>
      <w:r w:rsidRPr="00FC2B72">
        <w:rPr>
          <w:b/>
          <w:bCs/>
          <w:sz w:val="24"/>
          <w:szCs w:val="24"/>
        </w:rPr>
        <w:t xml:space="preserve"> </w:t>
      </w:r>
    </w:p>
    <w:p w:rsidR="001D4E1F" w:rsidRPr="00FC2B72" w:rsidRDefault="001D4E1F" w:rsidP="001D4E1F">
      <w:pPr>
        <w:rPr>
          <w:sz w:val="24"/>
          <w:szCs w:val="24"/>
        </w:rPr>
      </w:pPr>
    </w:p>
    <w:p w:rsidR="001D4E1F" w:rsidRPr="00FC2B72" w:rsidRDefault="001D4E1F" w:rsidP="001D4E1F">
      <w:pPr>
        <w:rPr>
          <w:sz w:val="24"/>
          <w:szCs w:val="24"/>
        </w:rPr>
      </w:pPr>
    </w:p>
    <w:p w:rsidR="001D4E1F" w:rsidRPr="00FC2B72" w:rsidRDefault="001D4E1F" w:rsidP="001D4E1F">
      <w:pPr>
        <w:rPr>
          <w:sz w:val="24"/>
          <w:szCs w:val="24"/>
        </w:rPr>
      </w:pPr>
    </w:p>
    <w:p w:rsidR="001D4E1F" w:rsidRPr="00FC2B72" w:rsidRDefault="001D4E1F" w:rsidP="001D4E1F">
      <w:pPr>
        <w:rPr>
          <w:sz w:val="24"/>
          <w:szCs w:val="24"/>
        </w:rPr>
      </w:pPr>
    </w:p>
    <w:p w:rsidR="001D4E1F" w:rsidRPr="00FC2B72" w:rsidRDefault="001D4E1F" w:rsidP="001D4E1F">
      <w:pPr>
        <w:pStyle w:val="Nadpis7"/>
        <w:spacing w:before="120"/>
        <w:ind w:left="4253" w:firstLine="703"/>
        <w:rPr>
          <w:b/>
          <w:bCs/>
        </w:rPr>
      </w:pPr>
      <w:r w:rsidRPr="00FC2B72">
        <w:rPr>
          <w:b/>
          <w:bCs/>
        </w:rPr>
        <w:t>JUDr. Petr Hulinský, Ph.D., v.r.</w:t>
      </w:r>
    </w:p>
    <w:p w:rsidR="001D4E1F" w:rsidRPr="00FC2B72" w:rsidRDefault="001D4E1F" w:rsidP="001D4E1F">
      <w:pPr>
        <w:ind w:left="4253"/>
        <w:jc w:val="center"/>
        <w:rPr>
          <w:sz w:val="24"/>
          <w:szCs w:val="24"/>
        </w:rPr>
      </w:pPr>
      <w:r w:rsidRPr="00FC2B72">
        <w:rPr>
          <w:sz w:val="24"/>
          <w:szCs w:val="24"/>
        </w:rPr>
        <w:t>náměstek ministra pro podporu sportu a mládeže</w:t>
      </w:r>
    </w:p>
    <w:p w:rsidR="001D4E1F" w:rsidRDefault="001D4E1F" w:rsidP="001D4E1F">
      <w:pPr>
        <w:rPr>
          <w:b/>
        </w:rPr>
      </w:pPr>
    </w:p>
    <w:p w:rsidR="00902B6A" w:rsidRPr="00902B6A" w:rsidRDefault="00902B6A" w:rsidP="001D4E1F">
      <w:pPr>
        <w:spacing w:before="120"/>
        <w:ind w:left="426" w:hanging="426"/>
      </w:pPr>
    </w:p>
    <w:sectPr w:rsidR="00902B6A" w:rsidRPr="00902B6A" w:rsidSect="002E2DC3">
      <w:headerReference w:type="defaul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078" w:rsidRDefault="00DC0078">
      <w:r>
        <w:separator/>
      </w:r>
    </w:p>
  </w:endnote>
  <w:endnote w:type="continuationSeparator" w:id="0">
    <w:p w:rsidR="00DC0078" w:rsidRDefault="00D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67" w:rsidRDefault="00F11113" w:rsidP="002E2DC3">
    <w:pPr>
      <w:pStyle w:val="Zpat"/>
      <w:framePr w:wrap="around" w:vAnchor="text" w:hAnchor="margin" w:xAlign="center" w:y="1"/>
      <w:rPr>
        <w:rStyle w:val="slostrnky"/>
      </w:rPr>
    </w:pPr>
    <w:r>
      <w:rPr>
        <w:rStyle w:val="slostrnky"/>
      </w:rPr>
      <w:fldChar w:fldCharType="begin"/>
    </w:r>
    <w:r w:rsidR="00D15667">
      <w:rPr>
        <w:rStyle w:val="slostrnky"/>
      </w:rPr>
      <w:instrText xml:space="preserve">PAGE  </w:instrText>
    </w:r>
    <w:r>
      <w:rPr>
        <w:rStyle w:val="slostrnky"/>
      </w:rPr>
      <w:fldChar w:fldCharType="end"/>
    </w:r>
  </w:p>
  <w:p w:rsidR="00D15667" w:rsidRDefault="00D156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67" w:rsidRPr="002E2DC3" w:rsidRDefault="00F11113" w:rsidP="002E2DC3">
    <w:pPr>
      <w:pStyle w:val="Zpat"/>
      <w:framePr w:wrap="around" w:vAnchor="text" w:hAnchor="margin" w:xAlign="center" w:y="1"/>
      <w:rPr>
        <w:rStyle w:val="slostrnky"/>
        <w:sz w:val="24"/>
        <w:szCs w:val="24"/>
      </w:rPr>
    </w:pPr>
    <w:r w:rsidRPr="002E2DC3">
      <w:rPr>
        <w:rStyle w:val="slostrnky"/>
        <w:sz w:val="24"/>
        <w:szCs w:val="24"/>
      </w:rPr>
      <w:fldChar w:fldCharType="begin"/>
    </w:r>
    <w:r w:rsidR="00D15667" w:rsidRPr="002E2DC3">
      <w:rPr>
        <w:rStyle w:val="slostrnky"/>
        <w:sz w:val="24"/>
        <w:szCs w:val="24"/>
      </w:rPr>
      <w:instrText xml:space="preserve">PAGE  </w:instrText>
    </w:r>
    <w:r w:rsidRPr="002E2DC3">
      <w:rPr>
        <w:rStyle w:val="slostrnky"/>
        <w:sz w:val="24"/>
        <w:szCs w:val="24"/>
      </w:rPr>
      <w:fldChar w:fldCharType="separate"/>
    </w:r>
    <w:r w:rsidR="00C5397F">
      <w:rPr>
        <w:rStyle w:val="slostrnky"/>
        <w:noProof/>
        <w:sz w:val="24"/>
        <w:szCs w:val="24"/>
      </w:rPr>
      <w:t>1</w:t>
    </w:r>
    <w:r w:rsidRPr="002E2DC3">
      <w:rPr>
        <w:rStyle w:val="slostrnky"/>
        <w:sz w:val="24"/>
        <w:szCs w:val="24"/>
      </w:rPr>
      <w:fldChar w:fldCharType="end"/>
    </w:r>
  </w:p>
  <w:p w:rsidR="00D15667" w:rsidRDefault="00D156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078" w:rsidRDefault="00DC0078">
      <w:r>
        <w:separator/>
      </w:r>
    </w:p>
  </w:footnote>
  <w:footnote w:type="continuationSeparator" w:id="0">
    <w:p w:rsidR="00DC0078" w:rsidRDefault="00DC0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67" w:rsidRPr="00B5200B" w:rsidRDefault="00D15667" w:rsidP="002E2DC3">
    <w:pPr>
      <w:pStyle w:val="Zhlav"/>
      <w:rPr>
        <w:i/>
        <w:sz w:val="20"/>
      </w:rPr>
    </w:pPr>
    <w:r w:rsidRPr="00B5200B">
      <w:rPr>
        <w:i/>
        <w:sz w:val="20"/>
      </w:rPr>
      <w:t xml:space="preserve">Ministerstvo, školství                                                                                                 </w:t>
    </w:r>
    <w:r>
      <w:rPr>
        <w:i/>
        <w:sz w:val="20"/>
      </w:rPr>
      <w:t xml:space="preserve">              Zásady Programu </w:t>
    </w:r>
    <w:r w:rsidRPr="00B5200B">
      <w:rPr>
        <w:i/>
        <w:sz w:val="20"/>
      </w:rPr>
      <w:t>V</w:t>
    </w:r>
    <w:r>
      <w:rPr>
        <w:i/>
        <w:sz w:val="20"/>
      </w:rPr>
      <w:t>II.</w:t>
    </w:r>
  </w:p>
  <w:p w:rsidR="00D15667" w:rsidRPr="002E2DC3" w:rsidRDefault="00D15667">
    <w:pPr>
      <w:pStyle w:val="Zhlav"/>
      <w:rPr>
        <w:i/>
        <w:sz w:val="20"/>
      </w:rPr>
    </w:pPr>
    <w:r w:rsidRPr="00B5200B">
      <w:rPr>
        <w:i/>
        <w:sz w:val="20"/>
      </w:rPr>
      <w:t xml:space="preserve">mládeže a tělovýchovy                                                                                                    </w:t>
    </w:r>
    <w:r>
      <w:rPr>
        <w:i/>
        <w:sz w:val="20"/>
      </w:rPr>
      <w:t xml:space="preserve">          č.j. 00 000/2007-501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8B" w:rsidRPr="00331AF1" w:rsidRDefault="00102C8B" w:rsidP="00102C8B">
    <w:pPr>
      <w:pStyle w:val="Zhlav"/>
      <w:jc w:val="right"/>
      <w:rPr>
        <w:i/>
        <w:sz w:val="20"/>
      </w:rPr>
    </w:pPr>
    <w:r w:rsidRPr="00331AF1">
      <w:rPr>
        <w:i/>
        <w:sz w:val="20"/>
      </w:rPr>
      <w:t>Návrh  pro PV č.j.: MSMT-27423/2014</w:t>
    </w:r>
    <w:r>
      <w:rPr>
        <w:i/>
        <w:sz w:val="20"/>
      </w:rPr>
      <w:t>_P-IV</w:t>
    </w:r>
  </w:p>
  <w:p w:rsidR="00D15667" w:rsidRPr="00102C8B" w:rsidRDefault="00D15667" w:rsidP="00102C8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9209D"/>
    <w:multiLevelType w:val="hybridMultilevel"/>
    <w:tmpl w:val="CDA81B40"/>
    <w:lvl w:ilvl="0" w:tplc="0B0E7E3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730329"/>
    <w:multiLevelType w:val="hybridMultilevel"/>
    <w:tmpl w:val="A432AC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6462429"/>
    <w:multiLevelType w:val="multilevel"/>
    <w:tmpl w:val="3BFA63D0"/>
    <w:lvl w:ilvl="0">
      <w:start w:val="4"/>
      <w:numFmt w:val="decimal"/>
      <w:lvlText w:val="%1."/>
      <w:lvlJc w:val="left"/>
      <w:pPr>
        <w:tabs>
          <w:tab w:val="num" w:pos="360"/>
        </w:tabs>
        <w:ind w:left="360" w:hanging="360"/>
      </w:pPr>
      <w:rPr>
        <w:rFonts w:hint="default"/>
      </w:rPr>
    </w:lvl>
    <w:lvl w:ilvl="1">
      <w:start w:val="3"/>
      <w:numFmt w:val="none"/>
      <w:lvlText w:val="5"/>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8F5734"/>
    <w:multiLevelType w:val="multilevel"/>
    <w:tmpl w:val="E4B8E1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5D5048F"/>
    <w:multiLevelType w:val="hybridMultilevel"/>
    <w:tmpl w:val="D86C2586"/>
    <w:lvl w:ilvl="0" w:tplc="AC002906">
      <w:start w:val="1"/>
      <w:numFmt w:val="lowerLetter"/>
      <w:lvlText w:val="%1)"/>
      <w:lvlJc w:val="left"/>
      <w:pPr>
        <w:tabs>
          <w:tab w:val="num" w:pos="720"/>
        </w:tabs>
        <w:ind w:left="720" w:hanging="360"/>
      </w:pPr>
      <w:rPr>
        <w:rFonts w:hint="default"/>
      </w:rPr>
    </w:lvl>
    <w:lvl w:ilvl="1" w:tplc="5764EAC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7511A01"/>
    <w:multiLevelType w:val="hybridMultilevel"/>
    <w:tmpl w:val="A53EE214"/>
    <w:lvl w:ilvl="0" w:tplc="AC002906">
      <w:start w:val="1"/>
      <w:numFmt w:val="lowerLetter"/>
      <w:lvlText w:val="%1)"/>
      <w:lvlJc w:val="left"/>
      <w:pPr>
        <w:tabs>
          <w:tab w:val="num" w:pos="720"/>
        </w:tabs>
        <w:ind w:left="720" w:hanging="360"/>
      </w:pPr>
      <w:rPr>
        <w:rFonts w:hint="default"/>
      </w:rPr>
    </w:lvl>
    <w:lvl w:ilvl="1" w:tplc="40600C52">
      <w:start w:val="5"/>
      <w:numFmt w:val="decimal"/>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ACC6A6B"/>
    <w:multiLevelType w:val="hybridMultilevel"/>
    <w:tmpl w:val="C9F41EC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BFD2A17"/>
    <w:multiLevelType w:val="hybridMultilevel"/>
    <w:tmpl w:val="C8C4AAC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13F5C86"/>
    <w:multiLevelType w:val="hybridMultilevel"/>
    <w:tmpl w:val="04B4D30E"/>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1CE34F6"/>
    <w:multiLevelType w:val="hybridMultilevel"/>
    <w:tmpl w:val="2668B53E"/>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nsid w:val="43E146FC"/>
    <w:multiLevelType w:val="hybridMultilevel"/>
    <w:tmpl w:val="4ACCD0E8"/>
    <w:lvl w:ilvl="0" w:tplc="A8AEBC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49E6AAE"/>
    <w:multiLevelType w:val="hybridMultilevel"/>
    <w:tmpl w:val="226AB7E8"/>
    <w:lvl w:ilvl="0" w:tplc="0405000B">
      <w:start w:val="1"/>
      <w:numFmt w:val="bullet"/>
      <w:lvlText w:val=""/>
      <w:lvlJc w:val="left"/>
      <w:pPr>
        <w:tabs>
          <w:tab w:val="num" w:pos="567"/>
        </w:tabs>
        <w:ind w:left="567" w:hanging="360"/>
      </w:pPr>
      <w:rPr>
        <w:rFonts w:ascii="Wingdings" w:hAnsi="Wingdings" w:hint="default"/>
      </w:rPr>
    </w:lvl>
    <w:lvl w:ilvl="1" w:tplc="04050019" w:tentative="1">
      <w:start w:val="1"/>
      <w:numFmt w:val="lowerLetter"/>
      <w:lvlText w:val="%2."/>
      <w:lvlJc w:val="left"/>
      <w:pPr>
        <w:tabs>
          <w:tab w:val="num" w:pos="-573"/>
        </w:tabs>
        <w:ind w:left="-573" w:hanging="360"/>
      </w:pPr>
    </w:lvl>
    <w:lvl w:ilvl="2" w:tplc="0405001B" w:tentative="1">
      <w:start w:val="1"/>
      <w:numFmt w:val="lowerRoman"/>
      <w:lvlText w:val="%3."/>
      <w:lvlJc w:val="right"/>
      <w:pPr>
        <w:tabs>
          <w:tab w:val="num" w:pos="147"/>
        </w:tabs>
        <w:ind w:left="147" w:hanging="180"/>
      </w:pPr>
    </w:lvl>
    <w:lvl w:ilvl="3" w:tplc="0405000F" w:tentative="1">
      <w:start w:val="1"/>
      <w:numFmt w:val="decimal"/>
      <w:lvlText w:val="%4."/>
      <w:lvlJc w:val="left"/>
      <w:pPr>
        <w:tabs>
          <w:tab w:val="num" w:pos="867"/>
        </w:tabs>
        <w:ind w:left="867" w:hanging="360"/>
      </w:pPr>
    </w:lvl>
    <w:lvl w:ilvl="4" w:tplc="04050019" w:tentative="1">
      <w:start w:val="1"/>
      <w:numFmt w:val="lowerLetter"/>
      <w:lvlText w:val="%5."/>
      <w:lvlJc w:val="left"/>
      <w:pPr>
        <w:tabs>
          <w:tab w:val="num" w:pos="1587"/>
        </w:tabs>
        <w:ind w:left="1587" w:hanging="360"/>
      </w:pPr>
    </w:lvl>
    <w:lvl w:ilvl="5" w:tplc="0405001B" w:tentative="1">
      <w:start w:val="1"/>
      <w:numFmt w:val="lowerRoman"/>
      <w:lvlText w:val="%6."/>
      <w:lvlJc w:val="right"/>
      <w:pPr>
        <w:tabs>
          <w:tab w:val="num" w:pos="2307"/>
        </w:tabs>
        <w:ind w:left="2307" w:hanging="180"/>
      </w:pPr>
    </w:lvl>
    <w:lvl w:ilvl="6" w:tplc="0405000F" w:tentative="1">
      <w:start w:val="1"/>
      <w:numFmt w:val="decimal"/>
      <w:lvlText w:val="%7."/>
      <w:lvlJc w:val="left"/>
      <w:pPr>
        <w:tabs>
          <w:tab w:val="num" w:pos="3027"/>
        </w:tabs>
        <w:ind w:left="3027" w:hanging="360"/>
      </w:pPr>
    </w:lvl>
    <w:lvl w:ilvl="7" w:tplc="04050019" w:tentative="1">
      <w:start w:val="1"/>
      <w:numFmt w:val="lowerLetter"/>
      <w:lvlText w:val="%8."/>
      <w:lvlJc w:val="left"/>
      <w:pPr>
        <w:tabs>
          <w:tab w:val="num" w:pos="3747"/>
        </w:tabs>
        <w:ind w:left="3747" w:hanging="360"/>
      </w:pPr>
    </w:lvl>
    <w:lvl w:ilvl="8" w:tplc="0405001B" w:tentative="1">
      <w:start w:val="1"/>
      <w:numFmt w:val="lowerRoman"/>
      <w:lvlText w:val="%9."/>
      <w:lvlJc w:val="right"/>
      <w:pPr>
        <w:tabs>
          <w:tab w:val="num" w:pos="4467"/>
        </w:tabs>
        <w:ind w:left="4467" w:hanging="180"/>
      </w:pPr>
    </w:lvl>
  </w:abstractNum>
  <w:abstractNum w:abstractNumId="12">
    <w:nsid w:val="556309AF"/>
    <w:multiLevelType w:val="hybridMultilevel"/>
    <w:tmpl w:val="D668D4AE"/>
    <w:lvl w:ilvl="0" w:tplc="5764EACA">
      <w:start w:val="1"/>
      <w:numFmt w:val="decimal"/>
      <w:lvlText w:val="%1."/>
      <w:lvlJc w:val="left"/>
      <w:pPr>
        <w:tabs>
          <w:tab w:val="num" w:pos="720"/>
        </w:tabs>
        <w:ind w:left="720" w:hanging="360"/>
      </w:pPr>
      <w:rPr>
        <w:rFonts w:hint="default"/>
      </w:rPr>
    </w:lvl>
    <w:lvl w:ilvl="1" w:tplc="6C54524A">
      <w:start w:val="8"/>
      <w:numFmt w:val="bullet"/>
      <w:lvlText w:val="-"/>
      <w:lvlJc w:val="left"/>
      <w:pPr>
        <w:tabs>
          <w:tab w:val="num" w:pos="1440"/>
        </w:tabs>
        <w:ind w:left="1440" w:hanging="360"/>
      </w:pPr>
      <w:rPr>
        <w:rFonts w:ascii="Times New Roman" w:eastAsia="Times New Roman" w:hAnsi="Times New Roman" w:cs="Times New Roman" w:hint="default"/>
      </w:rPr>
    </w:lvl>
    <w:lvl w:ilvl="2" w:tplc="75BE54A4">
      <w:start w:val="1"/>
      <w:numFmt w:val="lowerLetter"/>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5F02C1D"/>
    <w:multiLevelType w:val="hybridMultilevel"/>
    <w:tmpl w:val="3B64F002"/>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nsid w:val="5A9C54A4"/>
    <w:multiLevelType w:val="hybridMultilevel"/>
    <w:tmpl w:val="E5F0BC12"/>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E23372A"/>
    <w:multiLevelType w:val="hybridMultilevel"/>
    <w:tmpl w:val="D4705870"/>
    <w:lvl w:ilvl="0" w:tplc="0405000B">
      <w:start w:val="1"/>
      <w:numFmt w:val="bullet"/>
      <w:lvlText w:val=""/>
      <w:lvlJc w:val="left"/>
      <w:pPr>
        <w:ind w:left="3578" w:hanging="360"/>
      </w:pPr>
      <w:rPr>
        <w:rFonts w:ascii="Wingdings" w:hAnsi="Wingdings" w:hint="default"/>
      </w:rPr>
    </w:lvl>
    <w:lvl w:ilvl="1" w:tplc="04050003" w:tentative="1">
      <w:start w:val="1"/>
      <w:numFmt w:val="bullet"/>
      <w:lvlText w:val="o"/>
      <w:lvlJc w:val="left"/>
      <w:pPr>
        <w:ind w:left="4298" w:hanging="360"/>
      </w:pPr>
      <w:rPr>
        <w:rFonts w:ascii="Courier New" w:hAnsi="Courier New" w:cs="Courier New" w:hint="default"/>
      </w:rPr>
    </w:lvl>
    <w:lvl w:ilvl="2" w:tplc="04050005" w:tentative="1">
      <w:start w:val="1"/>
      <w:numFmt w:val="bullet"/>
      <w:lvlText w:val=""/>
      <w:lvlJc w:val="left"/>
      <w:pPr>
        <w:ind w:left="5018" w:hanging="360"/>
      </w:pPr>
      <w:rPr>
        <w:rFonts w:ascii="Wingdings" w:hAnsi="Wingdings" w:hint="default"/>
      </w:rPr>
    </w:lvl>
    <w:lvl w:ilvl="3" w:tplc="04050001" w:tentative="1">
      <w:start w:val="1"/>
      <w:numFmt w:val="bullet"/>
      <w:lvlText w:val=""/>
      <w:lvlJc w:val="left"/>
      <w:pPr>
        <w:ind w:left="5738" w:hanging="360"/>
      </w:pPr>
      <w:rPr>
        <w:rFonts w:ascii="Symbol" w:hAnsi="Symbol" w:hint="default"/>
      </w:rPr>
    </w:lvl>
    <w:lvl w:ilvl="4" w:tplc="04050003" w:tentative="1">
      <w:start w:val="1"/>
      <w:numFmt w:val="bullet"/>
      <w:lvlText w:val="o"/>
      <w:lvlJc w:val="left"/>
      <w:pPr>
        <w:ind w:left="6458" w:hanging="360"/>
      </w:pPr>
      <w:rPr>
        <w:rFonts w:ascii="Courier New" w:hAnsi="Courier New" w:cs="Courier New" w:hint="default"/>
      </w:rPr>
    </w:lvl>
    <w:lvl w:ilvl="5" w:tplc="04050005" w:tentative="1">
      <w:start w:val="1"/>
      <w:numFmt w:val="bullet"/>
      <w:lvlText w:val=""/>
      <w:lvlJc w:val="left"/>
      <w:pPr>
        <w:ind w:left="7178" w:hanging="360"/>
      </w:pPr>
      <w:rPr>
        <w:rFonts w:ascii="Wingdings" w:hAnsi="Wingdings" w:hint="default"/>
      </w:rPr>
    </w:lvl>
    <w:lvl w:ilvl="6" w:tplc="04050001" w:tentative="1">
      <w:start w:val="1"/>
      <w:numFmt w:val="bullet"/>
      <w:lvlText w:val=""/>
      <w:lvlJc w:val="left"/>
      <w:pPr>
        <w:ind w:left="7898" w:hanging="360"/>
      </w:pPr>
      <w:rPr>
        <w:rFonts w:ascii="Symbol" w:hAnsi="Symbol" w:hint="default"/>
      </w:rPr>
    </w:lvl>
    <w:lvl w:ilvl="7" w:tplc="04050003" w:tentative="1">
      <w:start w:val="1"/>
      <w:numFmt w:val="bullet"/>
      <w:lvlText w:val="o"/>
      <w:lvlJc w:val="left"/>
      <w:pPr>
        <w:ind w:left="8618" w:hanging="360"/>
      </w:pPr>
      <w:rPr>
        <w:rFonts w:ascii="Courier New" w:hAnsi="Courier New" w:cs="Courier New" w:hint="default"/>
      </w:rPr>
    </w:lvl>
    <w:lvl w:ilvl="8" w:tplc="04050005" w:tentative="1">
      <w:start w:val="1"/>
      <w:numFmt w:val="bullet"/>
      <w:lvlText w:val=""/>
      <w:lvlJc w:val="left"/>
      <w:pPr>
        <w:ind w:left="9338" w:hanging="360"/>
      </w:pPr>
      <w:rPr>
        <w:rFonts w:ascii="Wingdings" w:hAnsi="Wingdings" w:hint="default"/>
      </w:rPr>
    </w:lvl>
  </w:abstractNum>
  <w:abstractNum w:abstractNumId="16">
    <w:nsid w:val="64A54B6A"/>
    <w:multiLevelType w:val="hybridMultilevel"/>
    <w:tmpl w:val="E7C6212A"/>
    <w:lvl w:ilvl="0" w:tplc="AC002906">
      <w:start w:val="1"/>
      <w:numFmt w:val="lowerLetter"/>
      <w:lvlText w:val="%1)"/>
      <w:lvlJc w:val="left"/>
      <w:pPr>
        <w:tabs>
          <w:tab w:val="num" w:pos="720"/>
        </w:tabs>
        <w:ind w:left="720" w:hanging="360"/>
      </w:pPr>
      <w:rPr>
        <w:rFonts w:hint="default"/>
      </w:rPr>
    </w:lvl>
    <w:lvl w:ilvl="1" w:tplc="6480012A">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26E2B28"/>
    <w:multiLevelType w:val="hybridMultilevel"/>
    <w:tmpl w:val="94920A48"/>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4135C9B"/>
    <w:multiLevelType w:val="hybridMultilevel"/>
    <w:tmpl w:val="084A7AF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75E3507C"/>
    <w:multiLevelType w:val="multilevel"/>
    <w:tmpl w:val="E4B8E1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7204CF7"/>
    <w:multiLevelType w:val="hybridMultilevel"/>
    <w:tmpl w:val="DC429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7781AD6"/>
    <w:multiLevelType w:val="hybridMultilevel"/>
    <w:tmpl w:val="88D4AD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B967A83"/>
    <w:multiLevelType w:val="hybridMultilevel"/>
    <w:tmpl w:val="A586A138"/>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6"/>
  </w:num>
  <w:num w:numId="2">
    <w:abstractNumId w:val="4"/>
  </w:num>
  <w:num w:numId="3">
    <w:abstractNumId w:val="16"/>
  </w:num>
  <w:num w:numId="4">
    <w:abstractNumId w:val="5"/>
  </w:num>
  <w:num w:numId="5">
    <w:abstractNumId w:val="3"/>
  </w:num>
  <w:num w:numId="6">
    <w:abstractNumId w:val="2"/>
  </w:num>
  <w:num w:numId="7">
    <w:abstractNumId w:val="19"/>
  </w:num>
  <w:num w:numId="8">
    <w:abstractNumId w:val="17"/>
  </w:num>
  <w:num w:numId="9">
    <w:abstractNumId w:val="14"/>
  </w:num>
  <w:num w:numId="10">
    <w:abstractNumId w:val="21"/>
  </w:num>
  <w:num w:numId="11">
    <w:abstractNumId w:val="20"/>
  </w:num>
  <w:num w:numId="12">
    <w:abstractNumId w:val="15"/>
  </w:num>
  <w:num w:numId="13">
    <w:abstractNumId w:val="13"/>
  </w:num>
  <w:num w:numId="14">
    <w:abstractNumId w:val="9"/>
  </w:num>
  <w:num w:numId="15">
    <w:abstractNumId w:val="11"/>
  </w:num>
  <w:num w:numId="16">
    <w:abstractNumId w:val="12"/>
  </w:num>
  <w:num w:numId="17">
    <w:abstractNumId w:val="7"/>
  </w:num>
  <w:num w:numId="18">
    <w:abstractNumId w:val="10"/>
  </w:num>
  <w:num w:numId="19">
    <w:abstractNumId w:val="18"/>
  </w:num>
  <w:num w:numId="20">
    <w:abstractNumId w:val="8"/>
  </w:num>
  <w:num w:numId="21">
    <w:abstractNumId w:val="1"/>
  </w:num>
  <w:num w:numId="22">
    <w:abstractNumId w:val="22"/>
  </w:num>
  <w:num w:numId="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6A64"/>
    <w:rsid w:val="00004E11"/>
    <w:rsid w:val="00013FDD"/>
    <w:rsid w:val="00025D7E"/>
    <w:rsid w:val="00037103"/>
    <w:rsid w:val="00051C21"/>
    <w:rsid w:val="00051CEF"/>
    <w:rsid w:val="00061550"/>
    <w:rsid w:val="0007141A"/>
    <w:rsid w:val="000720F0"/>
    <w:rsid w:val="00076641"/>
    <w:rsid w:val="000817EC"/>
    <w:rsid w:val="000878D0"/>
    <w:rsid w:val="000934E7"/>
    <w:rsid w:val="0009770B"/>
    <w:rsid w:val="000A4749"/>
    <w:rsid w:val="000B4CC5"/>
    <w:rsid w:val="000C5C30"/>
    <w:rsid w:val="000D5D4C"/>
    <w:rsid w:val="000D601D"/>
    <w:rsid w:val="000E0778"/>
    <w:rsid w:val="000E50F3"/>
    <w:rsid w:val="000E5B00"/>
    <w:rsid w:val="000F11D4"/>
    <w:rsid w:val="00102C8B"/>
    <w:rsid w:val="0010524E"/>
    <w:rsid w:val="00111B97"/>
    <w:rsid w:val="00112E26"/>
    <w:rsid w:val="001328C8"/>
    <w:rsid w:val="001340C2"/>
    <w:rsid w:val="0013530A"/>
    <w:rsid w:val="00136058"/>
    <w:rsid w:val="001516FB"/>
    <w:rsid w:val="001569FA"/>
    <w:rsid w:val="00161D35"/>
    <w:rsid w:val="00184BB7"/>
    <w:rsid w:val="001969E6"/>
    <w:rsid w:val="001A1CD4"/>
    <w:rsid w:val="001A4864"/>
    <w:rsid w:val="001B5D7F"/>
    <w:rsid w:val="001D4E1F"/>
    <w:rsid w:val="001D6439"/>
    <w:rsid w:val="001E5AE2"/>
    <w:rsid w:val="001F13FF"/>
    <w:rsid w:val="001F1C2A"/>
    <w:rsid w:val="001F6C5D"/>
    <w:rsid w:val="00203720"/>
    <w:rsid w:val="00211519"/>
    <w:rsid w:val="00214327"/>
    <w:rsid w:val="00220189"/>
    <w:rsid w:val="002235A3"/>
    <w:rsid w:val="0024570D"/>
    <w:rsid w:val="00245C1F"/>
    <w:rsid w:val="00256CC0"/>
    <w:rsid w:val="002648B2"/>
    <w:rsid w:val="00270CEB"/>
    <w:rsid w:val="00276436"/>
    <w:rsid w:val="002839DE"/>
    <w:rsid w:val="00290C18"/>
    <w:rsid w:val="002A01B5"/>
    <w:rsid w:val="002B027B"/>
    <w:rsid w:val="002B7CCE"/>
    <w:rsid w:val="002C208C"/>
    <w:rsid w:val="002D1C56"/>
    <w:rsid w:val="002E2DC3"/>
    <w:rsid w:val="002E631B"/>
    <w:rsid w:val="00303921"/>
    <w:rsid w:val="0030494E"/>
    <w:rsid w:val="003060B6"/>
    <w:rsid w:val="00323318"/>
    <w:rsid w:val="00325F33"/>
    <w:rsid w:val="003263AF"/>
    <w:rsid w:val="0033081C"/>
    <w:rsid w:val="00341043"/>
    <w:rsid w:val="00347BE6"/>
    <w:rsid w:val="003669A7"/>
    <w:rsid w:val="003717A2"/>
    <w:rsid w:val="003859D6"/>
    <w:rsid w:val="003947B5"/>
    <w:rsid w:val="003A1C24"/>
    <w:rsid w:val="003C221F"/>
    <w:rsid w:val="003D443E"/>
    <w:rsid w:val="003D5FBE"/>
    <w:rsid w:val="003F1AF1"/>
    <w:rsid w:val="00411C37"/>
    <w:rsid w:val="004229FA"/>
    <w:rsid w:val="004244CD"/>
    <w:rsid w:val="00433BAD"/>
    <w:rsid w:val="00454088"/>
    <w:rsid w:val="00457768"/>
    <w:rsid w:val="00470C04"/>
    <w:rsid w:val="00495F8C"/>
    <w:rsid w:val="004B5F7E"/>
    <w:rsid w:val="004B6766"/>
    <w:rsid w:val="004C70FF"/>
    <w:rsid w:val="004D2C4B"/>
    <w:rsid w:val="004D481E"/>
    <w:rsid w:val="004E29B0"/>
    <w:rsid w:val="004F4B8D"/>
    <w:rsid w:val="00515BA6"/>
    <w:rsid w:val="00516C5B"/>
    <w:rsid w:val="00517C1B"/>
    <w:rsid w:val="00526E22"/>
    <w:rsid w:val="00545619"/>
    <w:rsid w:val="0055699D"/>
    <w:rsid w:val="0056116F"/>
    <w:rsid w:val="0056740B"/>
    <w:rsid w:val="00581C7B"/>
    <w:rsid w:val="005A23C2"/>
    <w:rsid w:val="005A7AE9"/>
    <w:rsid w:val="005B21A9"/>
    <w:rsid w:val="005C1877"/>
    <w:rsid w:val="005C7802"/>
    <w:rsid w:val="005C7EA1"/>
    <w:rsid w:val="005D66AF"/>
    <w:rsid w:val="005E06D1"/>
    <w:rsid w:val="005E6A01"/>
    <w:rsid w:val="005F07CB"/>
    <w:rsid w:val="005F4B20"/>
    <w:rsid w:val="006032E3"/>
    <w:rsid w:val="00603776"/>
    <w:rsid w:val="006047CE"/>
    <w:rsid w:val="00610CC6"/>
    <w:rsid w:val="00612C3B"/>
    <w:rsid w:val="00614041"/>
    <w:rsid w:val="00615FC2"/>
    <w:rsid w:val="006215D6"/>
    <w:rsid w:val="006442A4"/>
    <w:rsid w:val="006446CA"/>
    <w:rsid w:val="006623DF"/>
    <w:rsid w:val="00666DD3"/>
    <w:rsid w:val="00667FB5"/>
    <w:rsid w:val="00681E9F"/>
    <w:rsid w:val="006923C2"/>
    <w:rsid w:val="006A2E5E"/>
    <w:rsid w:val="006B49EB"/>
    <w:rsid w:val="006D693E"/>
    <w:rsid w:val="006E1E2F"/>
    <w:rsid w:val="006E3577"/>
    <w:rsid w:val="006F69B0"/>
    <w:rsid w:val="00723C5C"/>
    <w:rsid w:val="00736A6D"/>
    <w:rsid w:val="007370E9"/>
    <w:rsid w:val="00744EB6"/>
    <w:rsid w:val="0075366F"/>
    <w:rsid w:val="007569A4"/>
    <w:rsid w:val="00774EFB"/>
    <w:rsid w:val="00783F72"/>
    <w:rsid w:val="0079420D"/>
    <w:rsid w:val="007A0EC8"/>
    <w:rsid w:val="007A7AAC"/>
    <w:rsid w:val="007B37E4"/>
    <w:rsid w:val="007C48C7"/>
    <w:rsid w:val="007D2B89"/>
    <w:rsid w:val="007F1072"/>
    <w:rsid w:val="007F4873"/>
    <w:rsid w:val="007F7BEA"/>
    <w:rsid w:val="00802D29"/>
    <w:rsid w:val="00810AC7"/>
    <w:rsid w:val="00812652"/>
    <w:rsid w:val="008133E6"/>
    <w:rsid w:val="00815714"/>
    <w:rsid w:val="008247E7"/>
    <w:rsid w:val="00830228"/>
    <w:rsid w:val="00832DCF"/>
    <w:rsid w:val="00840221"/>
    <w:rsid w:val="00842E59"/>
    <w:rsid w:val="0085728F"/>
    <w:rsid w:val="008642C5"/>
    <w:rsid w:val="0087090B"/>
    <w:rsid w:val="00884604"/>
    <w:rsid w:val="008A6665"/>
    <w:rsid w:val="008A7F69"/>
    <w:rsid w:val="008B6132"/>
    <w:rsid w:val="008D28D9"/>
    <w:rsid w:val="008D3BD4"/>
    <w:rsid w:val="00902B6A"/>
    <w:rsid w:val="00935BD2"/>
    <w:rsid w:val="0093653B"/>
    <w:rsid w:val="00940D58"/>
    <w:rsid w:val="00943F94"/>
    <w:rsid w:val="00950E3E"/>
    <w:rsid w:val="00953807"/>
    <w:rsid w:val="00955596"/>
    <w:rsid w:val="009628A7"/>
    <w:rsid w:val="0096490A"/>
    <w:rsid w:val="00967352"/>
    <w:rsid w:val="00970483"/>
    <w:rsid w:val="00970A8D"/>
    <w:rsid w:val="00972848"/>
    <w:rsid w:val="00991C24"/>
    <w:rsid w:val="0099215A"/>
    <w:rsid w:val="009A400E"/>
    <w:rsid w:val="009B2767"/>
    <w:rsid w:val="009B6470"/>
    <w:rsid w:val="009B7034"/>
    <w:rsid w:val="009C56E1"/>
    <w:rsid w:val="009D5D2E"/>
    <w:rsid w:val="009D6A64"/>
    <w:rsid w:val="00A01A1A"/>
    <w:rsid w:val="00A03557"/>
    <w:rsid w:val="00A07BDC"/>
    <w:rsid w:val="00A14ACF"/>
    <w:rsid w:val="00A15C8E"/>
    <w:rsid w:val="00A24F1D"/>
    <w:rsid w:val="00A31929"/>
    <w:rsid w:val="00A37E93"/>
    <w:rsid w:val="00A422BC"/>
    <w:rsid w:val="00A42D13"/>
    <w:rsid w:val="00A577DB"/>
    <w:rsid w:val="00A731D0"/>
    <w:rsid w:val="00A75EB8"/>
    <w:rsid w:val="00A90706"/>
    <w:rsid w:val="00A9148E"/>
    <w:rsid w:val="00A9431E"/>
    <w:rsid w:val="00A943EA"/>
    <w:rsid w:val="00A95924"/>
    <w:rsid w:val="00AA0CD4"/>
    <w:rsid w:val="00AA36F8"/>
    <w:rsid w:val="00AB02F3"/>
    <w:rsid w:val="00AC325A"/>
    <w:rsid w:val="00AD2022"/>
    <w:rsid w:val="00AD51E8"/>
    <w:rsid w:val="00AD7B4B"/>
    <w:rsid w:val="00AF00B7"/>
    <w:rsid w:val="00B02C03"/>
    <w:rsid w:val="00B04160"/>
    <w:rsid w:val="00B05796"/>
    <w:rsid w:val="00B07EAE"/>
    <w:rsid w:val="00B154BF"/>
    <w:rsid w:val="00B16E03"/>
    <w:rsid w:val="00B24363"/>
    <w:rsid w:val="00B3416C"/>
    <w:rsid w:val="00B34F1E"/>
    <w:rsid w:val="00B35B3D"/>
    <w:rsid w:val="00B37E0D"/>
    <w:rsid w:val="00B43ADD"/>
    <w:rsid w:val="00B46350"/>
    <w:rsid w:val="00B66F8A"/>
    <w:rsid w:val="00B71C07"/>
    <w:rsid w:val="00B75C8C"/>
    <w:rsid w:val="00B77E5B"/>
    <w:rsid w:val="00B9364B"/>
    <w:rsid w:val="00BA2CC5"/>
    <w:rsid w:val="00BA7A82"/>
    <w:rsid w:val="00BB0409"/>
    <w:rsid w:val="00BB0DEF"/>
    <w:rsid w:val="00BB4E3F"/>
    <w:rsid w:val="00BB586D"/>
    <w:rsid w:val="00BC2729"/>
    <w:rsid w:val="00BC32AE"/>
    <w:rsid w:val="00BC3792"/>
    <w:rsid w:val="00BC59C4"/>
    <w:rsid w:val="00BD3B9E"/>
    <w:rsid w:val="00BD60DE"/>
    <w:rsid w:val="00BF1B89"/>
    <w:rsid w:val="00C125F4"/>
    <w:rsid w:val="00C164A9"/>
    <w:rsid w:val="00C233D9"/>
    <w:rsid w:val="00C24DE8"/>
    <w:rsid w:val="00C306EE"/>
    <w:rsid w:val="00C40EE9"/>
    <w:rsid w:val="00C45E6B"/>
    <w:rsid w:val="00C5397F"/>
    <w:rsid w:val="00C54DBF"/>
    <w:rsid w:val="00C623C2"/>
    <w:rsid w:val="00C73164"/>
    <w:rsid w:val="00C83B50"/>
    <w:rsid w:val="00C907B8"/>
    <w:rsid w:val="00C95324"/>
    <w:rsid w:val="00CA036F"/>
    <w:rsid w:val="00CA5F44"/>
    <w:rsid w:val="00CC140A"/>
    <w:rsid w:val="00CD2839"/>
    <w:rsid w:val="00CE3096"/>
    <w:rsid w:val="00CF5906"/>
    <w:rsid w:val="00D07FB4"/>
    <w:rsid w:val="00D15667"/>
    <w:rsid w:val="00D24671"/>
    <w:rsid w:val="00D41259"/>
    <w:rsid w:val="00D52C4B"/>
    <w:rsid w:val="00D53505"/>
    <w:rsid w:val="00D54606"/>
    <w:rsid w:val="00D678B8"/>
    <w:rsid w:val="00D70A39"/>
    <w:rsid w:val="00D733A5"/>
    <w:rsid w:val="00D744D0"/>
    <w:rsid w:val="00D746C2"/>
    <w:rsid w:val="00D848F3"/>
    <w:rsid w:val="00D93DBE"/>
    <w:rsid w:val="00DA7893"/>
    <w:rsid w:val="00DB46F2"/>
    <w:rsid w:val="00DC0078"/>
    <w:rsid w:val="00DC4492"/>
    <w:rsid w:val="00DC7908"/>
    <w:rsid w:val="00DC7B8C"/>
    <w:rsid w:val="00DD24BF"/>
    <w:rsid w:val="00DE7C07"/>
    <w:rsid w:val="00DF0AC0"/>
    <w:rsid w:val="00DF29B3"/>
    <w:rsid w:val="00E04F79"/>
    <w:rsid w:val="00E1107E"/>
    <w:rsid w:val="00E27617"/>
    <w:rsid w:val="00E34D18"/>
    <w:rsid w:val="00E40257"/>
    <w:rsid w:val="00E40AC0"/>
    <w:rsid w:val="00E420DD"/>
    <w:rsid w:val="00E5610A"/>
    <w:rsid w:val="00E56A27"/>
    <w:rsid w:val="00E646F2"/>
    <w:rsid w:val="00E85724"/>
    <w:rsid w:val="00E91F89"/>
    <w:rsid w:val="00E96D5C"/>
    <w:rsid w:val="00EA2279"/>
    <w:rsid w:val="00EA24DE"/>
    <w:rsid w:val="00EA2FCA"/>
    <w:rsid w:val="00EA52E5"/>
    <w:rsid w:val="00EC5940"/>
    <w:rsid w:val="00EC5CC1"/>
    <w:rsid w:val="00ED46A0"/>
    <w:rsid w:val="00EE3058"/>
    <w:rsid w:val="00F11113"/>
    <w:rsid w:val="00F14541"/>
    <w:rsid w:val="00F16FA2"/>
    <w:rsid w:val="00F17E59"/>
    <w:rsid w:val="00F24D83"/>
    <w:rsid w:val="00F25A3D"/>
    <w:rsid w:val="00F25B6D"/>
    <w:rsid w:val="00F33956"/>
    <w:rsid w:val="00F34C0F"/>
    <w:rsid w:val="00F44418"/>
    <w:rsid w:val="00F454C3"/>
    <w:rsid w:val="00F53016"/>
    <w:rsid w:val="00F54859"/>
    <w:rsid w:val="00F55C0D"/>
    <w:rsid w:val="00F60546"/>
    <w:rsid w:val="00F63935"/>
    <w:rsid w:val="00F73909"/>
    <w:rsid w:val="00F77548"/>
    <w:rsid w:val="00F83652"/>
    <w:rsid w:val="00FA1A0E"/>
    <w:rsid w:val="00FA66A7"/>
    <w:rsid w:val="00FC0BD6"/>
    <w:rsid w:val="00FC0F47"/>
    <w:rsid w:val="00FC4726"/>
    <w:rsid w:val="00FC55F9"/>
    <w:rsid w:val="00FD0D77"/>
    <w:rsid w:val="00FD1465"/>
    <w:rsid w:val="00FE4048"/>
    <w:rsid w:val="00FE4B1B"/>
    <w:rsid w:val="00FF1C52"/>
    <w:rsid w:val="00FF2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01B977-32BC-4513-B944-90B04691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141A"/>
    <w:pPr>
      <w:jc w:val="both"/>
    </w:pPr>
    <w:rPr>
      <w:sz w:val="28"/>
    </w:rPr>
  </w:style>
  <w:style w:type="paragraph" w:styleId="Nadpis1">
    <w:name w:val="heading 1"/>
    <w:basedOn w:val="Normln"/>
    <w:next w:val="Normln"/>
    <w:qFormat/>
    <w:rsid w:val="0007141A"/>
    <w:pPr>
      <w:keepNext/>
      <w:outlineLvl w:val="0"/>
    </w:pPr>
  </w:style>
  <w:style w:type="paragraph" w:styleId="Nadpis2">
    <w:name w:val="heading 2"/>
    <w:basedOn w:val="Normln"/>
    <w:next w:val="Normln"/>
    <w:qFormat/>
    <w:rsid w:val="0007141A"/>
    <w:pPr>
      <w:keepNext/>
      <w:spacing w:before="240" w:after="60"/>
      <w:outlineLvl w:val="1"/>
    </w:pPr>
    <w:rPr>
      <w:rFonts w:ascii="Arial" w:hAnsi="Arial" w:cs="Arial"/>
      <w:b/>
      <w:bCs/>
      <w:i/>
      <w:iCs/>
      <w:szCs w:val="28"/>
    </w:rPr>
  </w:style>
  <w:style w:type="paragraph" w:styleId="Nadpis5">
    <w:name w:val="heading 5"/>
    <w:basedOn w:val="Normln"/>
    <w:next w:val="Normln"/>
    <w:qFormat/>
    <w:rsid w:val="007C48C7"/>
    <w:pPr>
      <w:spacing w:before="240" w:after="60"/>
      <w:outlineLvl w:val="4"/>
    </w:pPr>
    <w:rPr>
      <w:b/>
      <w:bCs/>
      <w:i/>
      <w:iCs/>
      <w:sz w:val="26"/>
      <w:szCs w:val="26"/>
    </w:rPr>
  </w:style>
  <w:style w:type="paragraph" w:styleId="Nadpis7">
    <w:name w:val="heading 7"/>
    <w:basedOn w:val="Normln"/>
    <w:next w:val="Normln"/>
    <w:qFormat/>
    <w:rsid w:val="0007141A"/>
    <w:pPr>
      <w:spacing w:before="240" w:after="60"/>
      <w:outlineLvl w:val="6"/>
    </w:pPr>
    <w:rPr>
      <w:sz w:val="24"/>
      <w:szCs w:val="24"/>
    </w:rPr>
  </w:style>
  <w:style w:type="paragraph" w:styleId="Nadpis9">
    <w:name w:val="heading 9"/>
    <w:basedOn w:val="Normln"/>
    <w:next w:val="Normln"/>
    <w:qFormat/>
    <w:rsid w:val="0007141A"/>
    <w:pPr>
      <w:keepNext/>
      <w:jc w:val="center"/>
      <w:outlineLvl w:val="8"/>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07141A"/>
    <w:pPr>
      <w:ind w:left="426" w:hanging="426"/>
    </w:pPr>
  </w:style>
  <w:style w:type="paragraph" w:styleId="Zkladntextodsazen">
    <w:name w:val="Body Text Indent"/>
    <w:basedOn w:val="Normln"/>
    <w:rsid w:val="0007141A"/>
    <w:pPr>
      <w:spacing w:after="120"/>
      <w:ind w:left="283"/>
    </w:pPr>
  </w:style>
  <w:style w:type="paragraph" w:styleId="Seznam2">
    <w:name w:val="List 2"/>
    <w:basedOn w:val="Normln"/>
    <w:rsid w:val="0007141A"/>
    <w:pPr>
      <w:ind w:left="566" w:hanging="283"/>
      <w:jc w:val="left"/>
    </w:pPr>
    <w:rPr>
      <w:sz w:val="20"/>
    </w:rPr>
  </w:style>
  <w:style w:type="paragraph" w:styleId="Pokraovnseznamu2">
    <w:name w:val="List Continue 2"/>
    <w:basedOn w:val="Normln"/>
    <w:rsid w:val="0007141A"/>
    <w:pPr>
      <w:spacing w:after="120"/>
      <w:ind w:left="566"/>
      <w:jc w:val="left"/>
    </w:pPr>
    <w:rPr>
      <w:sz w:val="20"/>
    </w:rPr>
  </w:style>
  <w:style w:type="paragraph" w:customStyle="1" w:styleId="ku">
    <w:name w:val="ku"/>
    <w:link w:val="kuChar"/>
    <w:rsid w:val="0007141A"/>
    <w:pPr>
      <w:jc w:val="both"/>
    </w:pPr>
    <w:rPr>
      <w:sz w:val="24"/>
    </w:rPr>
  </w:style>
  <w:style w:type="paragraph" w:styleId="Zkladntext">
    <w:name w:val="Body Text"/>
    <w:basedOn w:val="Normln"/>
    <w:rsid w:val="0007141A"/>
    <w:pPr>
      <w:spacing w:after="120"/>
    </w:pPr>
  </w:style>
  <w:style w:type="character" w:styleId="Hypertextovodkaz">
    <w:name w:val="Hyperlink"/>
    <w:basedOn w:val="Standardnpsmoodstavce"/>
    <w:uiPriority w:val="99"/>
    <w:rsid w:val="00D53505"/>
    <w:rPr>
      <w:color w:val="0000FF"/>
      <w:u w:val="single"/>
    </w:rPr>
  </w:style>
  <w:style w:type="paragraph" w:styleId="Zpat">
    <w:name w:val="footer"/>
    <w:basedOn w:val="Normln"/>
    <w:link w:val="ZpatChar"/>
    <w:uiPriority w:val="99"/>
    <w:rsid w:val="00454088"/>
    <w:pPr>
      <w:tabs>
        <w:tab w:val="center" w:pos="4536"/>
        <w:tab w:val="right" w:pos="9072"/>
      </w:tabs>
    </w:pPr>
  </w:style>
  <w:style w:type="character" w:styleId="slostrnky">
    <w:name w:val="page number"/>
    <w:basedOn w:val="Standardnpsmoodstavce"/>
    <w:rsid w:val="00454088"/>
  </w:style>
  <w:style w:type="paragraph" w:styleId="Zhlav">
    <w:name w:val="header"/>
    <w:basedOn w:val="Normln"/>
    <w:link w:val="ZhlavChar"/>
    <w:uiPriority w:val="99"/>
    <w:rsid w:val="002E2DC3"/>
    <w:pPr>
      <w:tabs>
        <w:tab w:val="center" w:pos="4536"/>
        <w:tab w:val="right" w:pos="9072"/>
      </w:tabs>
    </w:pPr>
  </w:style>
  <w:style w:type="paragraph" w:customStyle="1" w:styleId="kou">
    <w:name w:val="kou"/>
    <w:basedOn w:val="Normln"/>
    <w:rsid w:val="004229FA"/>
    <w:pPr>
      <w:ind w:firstLine="709"/>
    </w:pPr>
    <w:rPr>
      <w:rFonts w:ascii="Arial" w:hAnsi="Arial"/>
      <w:snapToGrid w:val="0"/>
      <w:kern w:val="16"/>
      <w:sz w:val="24"/>
    </w:rPr>
  </w:style>
  <w:style w:type="paragraph" w:styleId="Zkladntext3">
    <w:name w:val="Body Text 3"/>
    <w:basedOn w:val="Normln"/>
    <w:link w:val="Zkladntext3Char"/>
    <w:rsid w:val="00E5610A"/>
    <w:pPr>
      <w:spacing w:after="120"/>
    </w:pPr>
    <w:rPr>
      <w:sz w:val="16"/>
      <w:szCs w:val="16"/>
    </w:rPr>
  </w:style>
  <w:style w:type="character" w:customStyle="1" w:styleId="Zkladntext3Char">
    <w:name w:val="Základní text 3 Char"/>
    <w:basedOn w:val="Standardnpsmoodstavce"/>
    <w:link w:val="Zkladntext3"/>
    <w:rsid w:val="00E5610A"/>
    <w:rPr>
      <w:sz w:val="16"/>
      <w:szCs w:val="16"/>
    </w:rPr>
  </w:style>
  <w:style w:type="paragraph" w:styleId="Odstavecseseznamem">
    <w:name w:val="List Paragraph"/>
    <w:basedOn w:val="Normln"/>
    <w:uiPriority w:val="34"/>
    <w:qFormat/>
    <w:rsid w:val="008D3BD4"/>
    <w:pPr>
      <w:ind w:left="720"/>
      <w:contextualSpacing/>
    </w:pPr>
  </w:style>
  <w:style w:type="paragraph" w:styleId="Textbubliny">
    <w:name w:val="Balloon Text"/>
    <w:basedOn w:val="Normln"/>
    <w:link w:val="TextbublinyChar"/>
    <w:rsid w:val="00FC55F9"/>
    <w:rPr>
      <w:rFonts w:ascii="Tahoma" w:hAnsi="Tahoma" w:cs="Tahoma"/>
      <w:sz w:val="16"/>
      <w:szCs w:val="16"/>
    </w:rPr>
  </w:style>
  <w:style w:type="character" w:customStyle="1" w:styleId="TextbublinyChar">
    <w:name w:val="Text bubliny Char"/>
    <w:basedOn w:val="Standardnpsmoodstavce"/>
    <w:link w:val="Textbubliny"/>
    <w:rsid w:val="00FC55F9"/>
    <w:rPr>
      <w:rFonts w:ascii="Tahoma" w:hAnsi="Tahoma" w:cs="Tahoma"/>
      <w:sz w:val="16"/>
      <w:szCs w:val="16"/>
    </w:rPr>
  </w:style>
  <w:style w:type="character" w:customStyle="1" w:styleId="ZpatChar">
    <w:name w:val="Zápatí Char"/>
    <w:link w:val="Zpat"/>
    <w:uiPriority w:val="99"/>
    <w:rsid w:val="00102C8B"/>
    <w:rPr>
      <w:sz w:val="28"/>
    </w:rPr>
  </w:style>
  <w:style w:type="character" w:customStyle="1" w:styleId="ZhlavChar">
    <w:name w:val="Záhlaví Char"/>
    <w:link w:val="Zhlav"/>
    <w:uiPriority w:val="99"/>
    <w:rsid w:val="00102C8B"/>
    <w:rPr>
      <w:sz w:val="28"/>
    </w:rPr>
  </w:style>
  <w:style w:type="paragraph" w:styleId="Zkladntextodsazen2">
    <w:name w:val="Body Text Indent 2"/>
    <w:basedOn w:val="Normln"/>
    <w:link w:val="Zkladntextodsazen2Char"/>
    <w:semiHidden/>
    <w:unhideWhenUsed/>
    <w:rsid w:val="00991C24"/>
    <w:pPr>
      <w:spacing w:after="120" w:line="480" w:lineRule="auto"/>
      <w:ind w:left="283"/>
    </w:pPr>
  </w:style>
  <w:style w:type="character" w:customStyle="1" w:styleId="Zkladntextodsazen2Char">
    <w:name w:val="Základní text odsazený 2 Char"/>
    <w:basedOn w:val="Standardnpsmoodstavce"/>
    <w:link w:val="Zkladntextodsazen2"/>
    <w:semiHidden/>
    <w:rsid w:val="00991C24"/>
    <w:rPr>
      <w:sz w:val="28"/>
    </w:rPr>
  </w:style>
  <w:style w:type="character" w:customStyle="1" w:styleId="kuChar">
    <w:name w:val="ku Char"/>
    <w:link w:val="ku"/>
    <w:rsid w:val="00991C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036006">
      <w:bodyDiv w:val="1"/>
      <w:marLeft w:val="0"/>
      <w:marRight w:val="0"/>
      <w:marTop w:val="0"/>
      <w:marBottom w:val="0"/>
      <w:divBdr>
        <w:top w:val="none" w:sz="0" w:space="0" w:color="auto"/>
        <w:left w:val="none" w:sz="0" w:space="0" w:color="auto"/>
        <w:bottom w:val="none" w:sz="0" w:space="0" w:color="auto"/>
        <w:right w:val="none" w:sz="0" w:space="0" w:color="auto"/>
      </w:divBdr>
    </w:div>
    <w:div w:id="660549399">
      <w:bodyDiv w:val="1"/>
      <w:marLeft w:val="0"/>
      <w:marRight w:val="0"/>
      <w:marTop w:val="0"/>
      <w:marBottom w:val="0"/>
      <w:divBdr>
        <w:top w:val="none" w:sz="0" w:space="0" w:color="auto"/>
        <w:left w:val="none" w:sz="0" w:space="0" w:color="auto"/>
        <w:bottom w:val="none" w:sz="0" w:space="0" w:color="auto"/>
        <w:right w:val="none" w:sz="0" w:space="0" w:color="auto"/>
      </w:divBdr>
    </w:div>
    <w:div w:id="792016778">
      <w:bodyDiv w:val="1"/>
      <w:marLeft w:val="0"/>
      <w:marRight w:val="0"/>
      <w:marTop w:val="0"/>
      <w:marBottom w:val="0"/>
      <w:divBdr>
        <w:top w:val="none" w:sz="0" w:space="0" w:color="auto"/>
        <w:left w:val="none" w:sz="0" w:space="0" w:color="auto"/>
        <w:bottom w:val="none" w:sz="0" w:space="0" w:color="auto"/>
        <w:right w:val="none" w:sz="0" w:space="0" w:color="auto"/>
      </w:divBdr>
    </w:div>
    <w:div w:id="1089232794">
      <w:bodyDiv w:val="1"/>
      <w:marLeft w:val="0"/>
      <w:marRight w:val="0"/>
      <w:marTop w:val="0"/>
      <w:marBottom w:val="0"/>
      <w:divBdr>
        <w:top w:val="none" w:sz="0" w:space="0" w:color="auto"/>
        <w:left w:val="none" w:sz="0" w:space="0" w:color="auto"/>
        <w:bottom w:val="none" w:sz="0" w:space="0" w:color="auto"/>
        <w:right w:val="none" w:sz="0" w:space="0" w:color="auto"/>
      </w:divBdr>
    </w:div>
    <w:div w:id="12969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smt.cz"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www.msmt.cz" TargetMode="Externa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D66676-E80C-487B-8543-197EAA06E34B}" type="doc">
      <dgm:prSet loTypeId="urn:microsoft.com/office/officeart/2005/8/layout/pyramid1" loCatId="pyramid" qsTypeId="urn:microsoft.com/office/officeart/2005/8/quickstyle/simple3" qsCatId="simple" csTypeId="urn:microsoft.com/office/officeart/2005/8/colors/accent6_5" csCatId="accent6" phldr="1"/>
      <dgm:spPr/>
    </dgm:pt>
    <dgm:pt modelId="{EA7AC7B6-DF0E-4EF4-A49E-2216DBA6F919}">
      <dgm:prSet phldrT="[Text]" custT="1"/>
      <dgm:spPr/>
      <dgm:t>
        <a:bodyPr/>
        <a:lstStyle/>
        <a:p>
          <a:r>
            <a:rPr lang="cs-CZ" sz="2800">
              <a:solidFill>
                <a:srgbClr val="0000FA"/>
              </a:solidFill>
              <a:latin typeface="Times New Roman" panose="02020603050405020304" pitchFamily="18" charset="0"/>
              <a:cs typeface="Times New Roman" panose="02020603050405020304" pitchFamily="18" charset="0"/>
            </a:rPr>
            <a:t>Programu IV</a:t>
          </a:r>
        </a:p>
      </dgm:t>
    </dgm:pt>
    <dgm:pt modelId="{FF47AC64-5600-4273-8464-A631A7DB4766}" type="parTrans" cxnId="{309A2813-12C5-44E9-882A-C46D32A096A3}">
      <dgm:prSet/>
      <dgm:spPr/>
      <dgm:t>
        <a:bodyPr/>
        <a:lstStyle/>
        <a:p>
          <a:endParaRPr lang="cs-CZ"/>
        </a:p>
      </dgm:t>
    </dgm:pt>
    <dgm:pt modelId="{CEFEEE7C-5ECC-4ED7-AE35-6879173A60AB}" type="sibTrans" cxnId="{309A2813-12C5-44E9-882A-C46D32A096A3}">
      <dgm:prSet/>
      <dgm:spPr/>
      <dgm:t>
        <a:bodyPr/>
        <a:lstStyle/>
        <a:p>
          <a:endParaRPr lang="cs-CZ"/>
        </a:p>
      </dgm:t>
    </dgm:pt>
    <dgm:pt modelId="{0238FA87-E038-4737-B7CE-C9721A71DAE6}">
      <dgm:prSet phldrT="[Text]" custT="1"/>
      <dgm:spPr/>
      <dgm:t>
        <a:bodyPr/>
        <a:lstStyle/>
        <a:p>
          <a:r>
            <a:rPr lang="cs-CZ" sz="2800">
              <a:solidFill>
                <a:srgbClr val="0000FA"/>
              </a:solidFill>
              <a:latin typeface="Times New Roman" panose="02020603050405020304" pitchFamily="18" charset="0"/>
              <a:cs typeface="Times New Roman" panose="02020603050405020304" pitchFamily="18" charset="0"/>
            </a:rPr>
            <a:t>Údržba a provoz sportovních zařízení</a:t>
          </a:r>
        </a:p>
      </dgm:t>
    </dgm:pt>
    <dgm:pt modelId="{2AF1E997-CCF7-4D77-8876-38F76B94503E}" type="parTrans" cxnId="{E5901810-5126-46AC-BC59-0CC8D6871615}">
      <dgm:prSet/>
      <dgm:spPr/>
      <dgm:t>
        <a:bodyPr/>
        <a:lstStyle/>
        <a:p>
          <a:endParaRPr lang="cs-CZ"/>
        </a:p>
      </dgm:t>
    </dgm:pt>
    <dgm:pt modelId="{E9BCAE10-C58D-4EB4-BBBD-8406EC9ECD10}" type="sibTrans" cxnId="{E5901810-5126-46AC-BC59-0CC8D6871615}">
      <dgm:prSet/>
      <dgm:spPr/>
      <dgm:t>
        <a:bodyPr/>
        <a:lstStyle/>
        <a:p>
          <a:endParaRPr lang="cs-CZ"/>
        </a:p>
      </dgm:t>
    </dgm:pt>
    <dgm:pt modelId="{406EB492-C39B-4906-B2C8-ECD53FD96126}">
      <dgm:prSet phldrT="[Text]" custT="1"/>
      <dgm:spPr/>
      <dgm:t>
        <a:bodyPr/>
        <a:lstStyle/>
        <a:p>
          <a:r>
            <a:rPr lang="cs-CZ" sz="2400">
              <a:solidFill>
                <a:srgbClr val="0000FA"/>
              </a:solidFill>
              <a:latin typeface="Times New Roman" panose="02020603050405020304" pitchFamily="18" charset="0"/>
              <a:cs typeface="Times New Roman" panose="02020603050405020304" pitchFamily="18" charset="0"/>
            </a:rPr>
            <a:t>2015 až 2018</a:t>
          </a:r>
        </a:p>
      </dgm:t>
    </dgm:pt>
    <dgm:pt modelId="{FFAF6009-AC93-4482-94ED-8D1C7FF9C67A}" type="parTrans" cxnId="{D214F696-FF80-4419-94AF-7972A74BFBB1}">
      <dgm:prSet/>
      <dgm:spPr/>
      <dgm:t>
        <a:bodyPr/>
        <a:lstStyle/>
        <a:p>
          <a:endParaRPr lang="cs-CZ"/>
        </a:p>
      </dgm:t>
    </dgm:pt>
    <dgm:pt modelId="{450E2633-F293-420E-82AE-E7DC2C6C16B9}" type="sibTrans" cxnId="{D214F696-FF80-4419-94AF-7972A74BFBB1}">
      <dgm:prSet/>
      <dgm:spPr/>
      <dgm:t>
        <a:bodyPr/>
        <a:lstStyle/>
        <a:p>
          <a:endParaRPr lang="cs-CZ"/>
        </a:p>
      </dgm:t>
    </dgm:pt>
    <dgm:pt modelId="{4B6DC6A6-A7FF-4262-B82F-6522345BEE75}" type="pres">
      <dgm:prSet presAssocID="{CED66676-E80C-487B-8543-197EAA06E34B}" presName="Name0" presStyleCnt="0">
        <dgm:presLayoutVars>
          <dgm:dir/>
          <dgm:animLvl val="lvl"/>
          <dgm:resizeHandles val="exact"/>
        </dgm:presLayoutVars>
      </dgm:prSet>
      <dgm:spPr/>
    </dgm:pt>
    <dgm:pt modelId="{2BB19470-ADAD-4655-9A68-F4D6EDECBB96}" type="pres">
      <dgm:prSet presAssocID="{EA7AC7B6-DF0E-4EF4-A49E-2216DBA6F919}" presName="Name8" presStyleCnt="0"/>
      <dgm:spPr/>
    </dgm:pt>
    <dgm:pt modelId="{55E43A14-5173-481E-B5DA-0F597092713F}" type="pres">
      <dgm:prSet presAssocID="{EA7AC7B6-DF0E-4EF4-A49E-2216DBA6F919}" presName="level" presStyleLbl="node1" presStyleIdx="0" presStyleCnt="3" custScaleX="113043">
        <dgm:presLayoutVars>
          <dgm:chMax val="1"/>
          <dgm:bulletEnabled val="1"/>
        </dgm:presLayoutVars>
      </dgm:prSet>
      <dgm:spPr/>
      <dgm:t>
        <a:bodyPr/>
        <a:lstStyle/>
        <a:p>
          <a:endParaRPr lang="cs-CZ"/>
        </a:p>
      </dgm:t>
    </dgm:pt>
    <dgm:pt modelId="{5B80999E-E4D1-4141-ADC9-93818A3F3355}" type="pres">
      <dgm:prSet presAssocID="{EA7AC7B6-DF0E-4EF4-A49E-2216DBA6F919}" presName="levelTx" presStyleLbl="revTx" presStyleIdx="0" presStyleCnt="0">
        <dgm:presLayoutVars>
          <dgm:chMax val="1"/>
          <dgm:bulletEnabled val="1"/>
        </dgm:presLayoutVars>
      </dgm:prSet>
      <dgm:spPr/>
      <dgm:t>
        <a:bodyPr/>
        <a:lstStyle/>
        <a:p>
          <a:endParaRPr lang="cs-CZ"/>
        </a:p>
      </dgm:t>
    </dgm:pt>
    <dgm:pt modelId="{3DCD13FC-DA69-4592-A580-553F9E232165}" type="pres">
      <dgm:prSet presAssocID="{0238FA87-E038-4737-B7CE-C9721A71DAE6}" presName="Name8" presStyleCnt="0"/>
      <dgm:spPr/>
    </dgm:pt>
    <dgm:pt modelId="{879CEB83-9429-446C-A816-07AA111F4214}" type="pres">
      <dgm:prSet presAssocID="{0238FA87-E038-4737-B7CE-C9721A71DAE6}" presName="level" presStyleLbl="node1" presStyleIdx="1" presStyleCnt="3" custScaleX="150000">
        <dgm:presLayoutVars>
          <dgm:chMax val="1"/>
          <dgm:bulletEnabled val="1"/>
        </dgm:presLayoutVars>
      </dgm:prSet>
      <dgm:spPr/>
      <dgm:t>
        <a:bodyPr/>
        <a:lstStyle/>
        <a:p>
          <a:endParaRPr lang="cs-CZ"/>
        </a:p>
      </dgm:t>
    </dgm:pt>
    <dgm:pt modelId="{A98AEAA8-ED2C-408E-B2EC-6FF0CBE33E18}" type="pres">
      <dgm:prSet presAssocID="{0238FA87-E038-4737-B7CE-C9721A71DAE6}" presName="levelTx" presStyleLbl="revTx" presStyleIdx="0" presStyleCnt="0">
        <dgm:presLayoutVars>
          <dgm:chMax val="1"/>
          <dgm:bulletEnabled val="1"/>
        </dgm:presLayoutVars>
      </dgm:prSet>
      <dgm:spPr/>
      <dgm:t>
        <a:bodyPr/>
        <a:lstStyle/>
        <a:p>
          <a:endParaRPr lang="cs-CZ"/>
        </a:p>
      </dgm:t>
    </dgm:pt>
    <dgm:pt modelId="{8B0C0C81-2A5C-41AC-88E2-69E963F93C81}" type="pres">
      <dgm:prSet presAssocID="{406EB492-C39B-4906-B2C8-ECD53FD96126}" presName="Name8" presStyleCnt="0"/>
      <dgm:spPr/>
    </dgm:pt>
    <dgm:pt modelId="{2F017E7E-16CA-455D-9402-B62CCD63E643}" type="pres">
      <dgm:prSet presAssocID="{406EB492-C39B-4906-B2C8-ECD53FD96126}" presName="level" presStyleLbl="node1" presStyleIdx="2" presStyleCnt="3">
        <dgm:presLayoutVars>
          <dgm:chMax val="1"/>
          <dgm:bulletEnabled val="1"/>
        </dgm:presLayoutVars>
      </dgm:prSet>
      <dgm:spPr/>
      <dgm:t>
        <a:bodyPr/>
        <a:lstStyle/>
        <a:p>
          <a:endParaRPr lang="cs-CZ"/>
        </a:p>
      </dgm:t>
    </dgm:pt>
    <dgm:pt modelId="{E2753806-357E-4757-BE0A-A4CCB90068D1}" type="pres">
      <dgm:prSet presAssocID="{406EB492-C39B-4906-B2C8-ECD53FD96126}" presName="levelTx" presStyleLbl="revTx" presStyleIdx="0" presStyleCnt="0">
        <dgm:presLayoutVars>
          <dgm:chMax val="1"/>
          <dgm:bulletEnabled val="1"/>
        </dgm:presLayoutVars>
      </dgm:prSet>
      <dgm:spPr/>
      <dgm:t>
        <a:bodyPr/>
        <a:lstStyle/>
        <a:p>
          <a:endParaRPr lang="cs-CZ"/>
        </a:p>
      </dgm:t>
    </dgm:pt>
  </dgm:ptLst>
  <dgm:cxnLst>
    <dgm:cxn modelId="{E5901810-5126-46AC-BC59-0CC8D6871615}" srcId="{CED66676-E80C-487B-8543-197EAA06E34B}" destId="{0238FA87-E038-4737-B7CE-C9721A71DAE6}" srcOrd="1" destOrd="0" parTransId="{2AF1E997-CCF7-4D77-8876-38F76B94503E}" sibTransId="{E9BCAE10-C58D-4EB4-BBBD-8406EC9ECD10}"/>
    <dgm:cxn modelId="{DB539329-DE7F-4869-94DE-7307F6C032D2}" type="presOf" srcId="{406EB492-C39B-4906-B2C8-ECD53FD96126}" destId="{E2753806-357E-4757-BE0A-A4CCB90068D1}" srcOrd="1" destOrd="0" presId="urn:microsoft.com/office/officeart/2005/8/layout/pyramid1"/>
    <dgm:cxn modelId="{701B9E2B-7346-4E4E-98DD-9C778FD79547}" type="presOf" srcId="{0238FA87-E038-4737-B7CE-C9721A71DAE6}" destId="{879CEB83-9429-446C-A816-07AA111F4214}" srcOrd="0" destOrd="0" presId="urn:microsoft.com/office/officeart/2005/8/layout/pyramid1"/>
    <dgm:cxn modelId="{A5CD9BE2-0147-4921-AAA6-9963C75C7D02}" type="presOf" srcId="{EA7AC7B6-DF0E-4EF4-A49E-2216DBA6F919}" destId="{5B80999E-E4D1-4141-ADC9-93818A3F3355}" srcOrd="1" destOrd="0" presId="urn:microsoft.com/office/officeart/2005/8/layout/pyramid1"/>
    <dgm:cxn modelId="{C070BDF2-813C-4F9F-9FD9-4FEE35AD94CF}" type="presOf" srcId="{EA7AC7B6-DF0E-4EF4-A49E-2216DBA6F919}" destId="{55E43A14-5173-481E-B5DA-0F597092713F}" srcOrd="0" destOrd="0" presId="urn:microsoft.com/office/officeart/2005/8/layout/pyramid1"/>
    <dgm:cxn modelId="{990EDA82-7B8E-47E1-9E16-53BFDA194477}" type="presOf" srcId="{406EB492-C39B-4906-B2C8-ECD53FD96126}" destId="{2F017E7E-16CA-455D-9402-B62CCD63E643}" srcOrd="0" destOrd="0" presId="urn:microsoft.com/office/officeart/2005/8/layout/pyramid1"/>
    <dgm:cxn modelId="{D214F696-FF80-4419-94AF-7972A74BFBB1}" srcId="{CED66676-E80C-487B-8543-197EAA06E34B}" destId="{406EB492-C39B-4906-B2C8-ECD53FD96126}" srcOrd="2" destOrd="0" parTransId="{FFAF6009-AC93-4482-94ED-8D1C7FF9C67A}" sibTransId="{450E2633-F293-420E-82AE-E7DC2C6C16B9}"/>
    <dgm:cxn modelId="{04BCFF55-FC81-419F-B1C5-919BB20B4D4F}" type="presOf" srcId="{0238FA87-E038-4737-B7CE-C9721A71DAE6}" destId="{A98AEAA8-ED2C-408E-B2EC-6FF0CBE33E18}" srcOrd="1" destOrd="0" presId="urn:microsoft.com/office/officeart/2005/8/layout/pyramid1"/>
    <dgm:cxn modelId="{59180F27-231F-4DCE-B850-E5FDBBB5C877}" type="presOf" srcId="{CED66676-E80C-487B-8543-197EAA06E34B}" destId="{4B6DC6A6-A7FF-4262-B82F-6522345BEE75}" srcOrd="0" destOrd="0" presId="urn:microsoft.com/office/officeart/2005/8/layout/pyramid1"/>
    <dgm:cxn modelId="{309A2813-12C5-44E9-882A-C46D32A096A3}" srcId="{CED66676-E80C-487B-8543-197EAA06E34B}" destId="{EA7AC7B6-DF0E-4EF4-A49E-2216DBA6F919}" srcOrd="0" destOrd="0" parTransId="{FF47AC64-5600-4273-8464-A631A7DB4766}" sibTransId="{CEFEEE7C-5ECC-4ED7-AE35-6879173A60AB}"/>
    <dgm:cxn modelId="{61102AFB-523F-4E99-9D72-6B4A5D64B48B}" type="presParOf" srcId="{4B6DC6A6-A7FF-4262-B82F-6522345BEE75}" destId="{2BB19470-ADAD-4655-9A68-F4D6EDECBB96}" srcOrd="0" destOrd="0" presId="urn:microsoft.com/office/officeart/2005/8/layout/pyramid1"/>
    <dgm:cxn modelId="{5879FFF4-4D7F-4388-B0E1-9EC4F7D80C53}" type="presParOf" srcId="{2BB19470-ADAD-4655-9A68-F4D6EDECBB96}" destId="{55E43A14-5173-481E-B5DA-0F597092713F}" srcOrd="0" destOrd="0" presId="urn:microsoft.com/office/officeart/2005/8/layout/pyramid1"/>
    <dgm:cxn modelId="{9AE25E01-C42D-4639-8140-5821D54EF9B7}" type="presParOf" srcId="{2BB19470-ADAD-4655-9A68-F4D6EDECBB96}" destId="{5B80999E-E4D1-4141-ADC9-93818A3F3355}" srcOrd="1" destOrd="0" presId="urn:microsoft.com/office/officeart/2005/8/layout/pyramid1"/>
    <dgm:cxn modelId="{D874C334-1797-4148-8FE1-129C0AA9189E}" type="presParOf" srcId="{4B6DC6A6-A7FF-4262-B82F-6522345BEE75}" destId="{3DCD13FC-DA69-4592-A580-553F9E232165}" srcOrd="1" destOrd="0" presId="urn:microsoft.com/office/officeart/2005/8/layout/pyramid1"/>
    <dgm:cxn modelId="{51240A74-2C2C-43E6-A7D0-203B4524398D}" type="presParOf" srcId="{3DCD13FC-DA69-4592-A580-553F9E232165}" destId="{879CEB83-9429-446C-A816-07AA111F4214}" srcOrd="0" destOrd="0" presId="urn:microsoft.com/office/officeart/2005/8/layout/pyramid1"/>
    <dgm:cxn modelId="{DA9E078A-36EB-4B05-8439-A5D29830A93F}" type="presParOf" srcId="{3DCD13FC-DA69-4592-A580-553F9E232165}" destId="{A98AEAA8-ED2C-408E-B2EC-6FF0CBE33E18}" srcOrd="1" destOrd="0" presId="urn:microsoft.com/office/officeart/2005/8/layout/pyramid1"/>
    <dgm:cxn modelId="{67ADCF32-4738-46CA-B86C-69B5FCE74E1B}" type="presParOf" srcId="{4B6DC6A6-A7FF-4262-B82F-6522345BEE75}" destId="{8B0C0C81-2A5C-41AC-88E2-69E963F93C81}" srcOrd="2" destOrd="0" presId="urn:microsoft.com/office/officeart/2005/8/layout/pyramid1"/>
    <dgm:cxn modelId="{C3BD1A64-79F7-4F54-91E9-CC1845F4C024}" type="presParOf" srcId="{8B0C0C81-2A5C-41AC-88E2-69E963F93C81}" destId="{2F017E7E-16CA-455D-9402-B62CCD63E643}" srcOrd="0" destOrd="0" presId="urn:microsoft.com/office/officeart/2005/8/layout/pyramid1"/>
    <dgm:cxn modelId="{38F0973E-5005-407D-8AE7-7FD6C82A9DC9}" type="presParOf" srcId="{8B0C0C81-2A5C-41AC-88E2-69E963F93C81}" destId="{E2753806-357E-4757-BE0A-A4CCB90068D1}" srcOrd="1" destOrd="0" presId="urn:microsoft.com/office/officeart/2005/8/layout/pyramid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E43A14-5173-481E-B5DA-0F597092713F}">
      <dsp:nvSpPr>
        <dsp:cNvPr id="0" name=""/>
        <dsp:cNvSpPr/>
      </dsp:nvSpPr>
      <dsp:spPr>
        <a:xfrm>
          <a:off x="1709534" y="0"/>
          <a:ext cx="2067330" cy="1093304"/>
        </a:xfrm>
        <a:prstGeom prst="trapezoid">
          <a:avLst>
            <a:gd name="adj" fmla="val 83636"/>
          </a:avLst>
        </a:prstGeom>
        <a:gradFill rotWithShape="0">
          <a:gsLst>
            <a:gs pos="0">
              <a:schemeClr val="accent6">
                <a:alpha val="90000"/>
                <a:hueOff val="0"/>
                <a:satOff val="0"/>
                <a:lumOff val="0"/>
                <a:alphaOff val="0"/>
                <a:tint val="50000"/>
                <a:satMod val="300000"/>
              </a:schemeClr>
            </a:gs>
            <a:gs pos="35000">
              <a:schemeClr val="accent6">
                <a:alpha val="90000"/>
                <a:hueOff val="0"/>
                <a:satOff val="0"/>
                <a:lumOff val="0"/>
                <a:alphaOff val="0"/>
                <a:tint val="37000"/>
                <a:satMod val="300000"/>
              </a:schemeClr>
            </a:gs>
            <a:gs pos="100000">
              <a:schemeClr val="accent6">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cs-CZ" sz="2800" kern="1200">
              <a:solidFill>
                <a:srgbClr val="0000FA"/>
              </a:solidFill>
              <a:latin typeface="Times New Roman" panose="02020603050405020304" pitchFamily="18" charset="0"/>
              <a:cs typeface="Times New Roman" panose="02020603050405020304" pitchFamily="18" charset="0"/>
            </a:rPr>
            <a:t>Programu IV</a:t>
          </a:r>
        </a:p>
      </dsp:txBody>
      <dsp:txXfrm>
        <a:off x="1709534" y="0"/>
        <a:ext cx="2067330" cy="1093304"/>
      </dsp:txXfrm>
    </dsp:sp>
    <dsp:sp modelId="{879CEB83-9429-446C-A816-07AA111F4214}">
      <dsp:nvSpPr>
        <dsp:cNvPr id="0" name=""/>
        <dsp:cNvSpPr/>
      </dsp:nvSpPr>
      <dsp:spPr>
        <a:xfrm>
          <a:off x="0" y="1093304"/>
          <a:ext cx="5486400" cy="1093304"/>
        </a:xfrm>
        <a:prstGeom prst="trapezoid">
          <a:avLst>
            <a:gd name="adj" fmla="val 83636"/>
          </a:avLst>
        </a:prstGeom>
        <a:gradFill rotWithShape="0">
          <a:gsLst>
            <a:gs pos="0">
              <a:schemeClr val="accent6">
                <a:alpha val="90000"/>
                <a:hueOff val="0"/>
                <a:satOff val="0"/>
                <a:lumOff val="0"/>
                <a:alphaOff val="-20000"/>
                <a:tint val="50000"/>
                <a:satMod val="300000"/>
              </a:schemeClr>
            </a:gs>
            <a:gs pos="35000">
              <a:schemeClr val="accent6">
                <a:alpha val="90000"/>
                <a:hueOff val="0"/>
                <a:satOff val="0"/>
                <a:lumOff val="0"/>
                <a:alphaOff val="-20000"/>
                <a:tint val="37000"/>
                <a:satMod val="300000"/>
              </a:schemeClr>
            </a:gs>
            <a:gs pos="100000">
              <a:schemeClr val="accent6">
                <a:alpha val="90000"/>
                <a:hueOff val="0"/>
                <a:satOff val="0"/>
                <a:lumOff val="0"/>
                <a:alphaOff val="-2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cs-CZ" sz="2800" kern="1200">
              <a:solidFill>
                <a:srgbClr val="0000FA"/>
              </a:solidFill>
              <a:latin typeface="Times New Roman" panose="02020603050405020304" pitchFamily="18" charset="0"/>
              <a:cs typeface="Times New Roman" panose="02020603050405020304" pitchFamily="18" charset="0"/>
            </a:rPr>
            <a:t>Údržba a provoz sportovních zařízení</a:t>
          </a:r>
        </a:p>
      </dsp:txBody>
      <dsp:txXfrm>
        <a:off x="960119" y="1093304"/>
        <a:ext cx="3566160" cy="1093304"/>
      </dsp:txXfrm>
    </dsp:sp>
    <dsp:sp modelId="{2F017E7E-16CA-455D-9402-B62CCD63E643}">
      <dsp:nvSpPr>
        <dsp:cNvPr id="0" name=""/>
        <dsp:cNvSpPr/>
      </dsp:nvSpPr>
      <dsp:spPr>
        <a:xfrm>
          <a:off x="0" y="2186608"/>
          <a:ext cx="5486400" cy="1093304"/>
        </a:xfrm>
        <a:prstGeom prst="trapezoid">
          <a:avLst>
            <a:gd name="adj" fmla="val 83636"/>
          </a:avLst>
        </a:prstGeom>
        <a:gradFill rotWithShape="0">
          <a:gsLst>
            <a:gs pos="0">
              <a:schemeClr val="accent6">
                <a:alpha val="90000"/>
                <a:hueOff val="0"/>
                <a:satOff val="0"/>
                <a:lumOff val="0"/>
                <a:alphaOff val="-40000"/>
                <a:tint val="50000"/>
                <a:satMod val="300000"/>
              </a:schemeClr>
            </a:gs>
            <a:gs pos="35000">
              <a:schemeClr val="accent6">
                <a:alpha val="90000"/>
                <a:hueOff val="0"/>
                <a:satOff val="0"/>
                <a:lumOff val="0"/>
                <a:alphaOff val="-40000"/>
                <a:tint val="37000"/>
                <a:satMod val="300000"/>
              </a:schemeClr>
            </a:gs>
            <a:gs pos="100000">
              <a:schemeClr val="accent6">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cs-CZ" sz="2400" kern="1200">
              <a:solidFill>
                <a:srgbClr val="0000FA"/>
              </a:solidFill>
              <a:latin typeface="Times New Roman" panose="02020603050405020304" pitchFamily="18" charset="0"/>
              <a:cs typeface="Times New Roman" panose="02020603050405020304" pitchFamily="18" charset="0"/>
            </a:rPr>
            <a:t>2015 až 2018</a:t>
          </a:r>
        </a:p>
      </dsp:txBody>
      <dsp:txXfrm>
        <a:off x="960119" y="2186608"/>
        <a:ext cx="3566160" cy="109330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647</TotalTime>
  <Pages>7</Pages>
  <Words>2069</Words>
  <Characters>12208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MŠMT</Company>
  <LinksUpToDate>false</LinksUpToDate>
  <CharactersWithSpaces>14249</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creator>vosyka</dc:creator>
  <cp:lastModifiedBy>MV</cp:lastModifiedBy>
  <cp:revision>58</cp:revision>
  <cp:lastPrinted>2011-05-24T12:57:00Z</cp:lastPrinted>
  <dcterms:created xsi:type="dcterms:W3CDTF">2010-09-11T15:31:00Z</dcterms:created>
  <dcterms:modified xsi:type="dcterms:W3CDTF">2014-11-09T10:00:00Z</dcterms:modified>
</cp:coreProperties>
</file>