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292B" w:rsidRPr="00F07306" w:rsidRDefault="00D03167" w:rsidP="0093292B">
      <w:pPr>
        <w:tabs>
          <w:tab w:val="left" w:pos="850"/>
          <w:tab w:val="left" w:pos="1191"/>
          <w:tab w:val="left" w:pos="1531"/>
        </w:tabs>
        <w:spacing w:after="0" w:line="240" w:lineRule="auto"/>
        <w:jc w:val="both"/>
        <w:rPr>
          <w:rFonts w:asciiTheme="majorHAnsi" w:eastAsia="MS Mincho" w:hAnsiTheme="majorHAnsi" w:cs="Times New Roman"/>
          <w:b/>
          <w:color w:val="C00000"/>
          <w:sz w:val="44"/>
          <w:szCs w:val="44"/>
          <w:lang w:eastAsia="zh-CN"/>
        </w:rPr>
      </w:pPr>
      <w:r w:rsidRPr="00F07306">
        <w:rPr>
          <w:rFonts w:asciiTheme="majorHAnsi" w:eastAsia="MS Mincho" w:hAnsiTheme="majorHAnsi" w:cs="Times New Roman"/>
          <w:b/>
          <w:color w:val="C00000"/>
          <w:sz w:val="44"/>
          <w:szCs w:val="44"/>
          <w:lang w:eastAsia="zh-CN"/>
        </w:rPr>
        <w:t>EDUCATION AT A GLANCE 201</w:t>
      </w:r>
      <w:r w:rsidR="00611F62">
        <w:rPr>
          <w:rFonts w:asciiTheme="majorHAnsi" w:eastAsia="MS Mincho" w:hAnsiTheme="majorHAnsi" w:cs="Times New Roman"/>
          <w:b/>
          <w:color w:val="C00000"/>
          <w:sz w:val="44"/>
          <w:szCs w:val="44"/>
          <w:lang w:eastAsia="zh-CN"/>
        </w:rPr>
        <w:t>6</w:t>
      </w:r>
    </w:p>
    <w:p w:rsidR="00F07306" w:rsidRPr="00D8039C" w:rsidRDefault="00F07306" w:rsidP="00A44FEF">
      <w:pPr>
        <w:tabs>
          <w:tab w:val="left" w:pos="850"/>
          <w:tab w:val="left" w:pos="1191"/>
          <w:tab w:val="left" w:pos="1531"/>
        </w:tabs>
        <w:spacing w:line="240" w:lineRule="auto"/>
        <w:jc w:val="both"/>
        <w:rPr>
          <w:rFonts w:asciiTheme="majorHAnsi" w:eastAsia="MS Mincho" w:hAnsiTheme="majorHAnsi" w:cs="Times New Roman"/>
          <w:b/>
          <w:sz w:val="44"/>
          <w:szCs w:val="44"/>
          <w:lang w:eastAsia="zh-CN"/>
        </w:rPr>
      </w:pPr>
      <w:r>
        <w:rPr>
          <w:rFonts w:asciiTheme="majorHAnsi" w:eastAsia="MS Mincho" w:hAnsiTheme="majorHAnsi" w:cs="Times New Roman"/>
          <w:b/>
          <w:sz w:val="44"/>
          <w:szCs w:val="44"/>
          <w:lang w:eastAsia="zh-CN"/>
        </w:rPr>
        <w:t>Country Notes a klíčová data pro ČR</w:t>
      </w:r>
    </w:p>
    <w:p w:rsidR="007878D7" w:rsidRDefault="00611F62" w:rsidP="00835BAB">
      <w:pPr>
        <w:pStyle w:val="Nadpis2"/>
        <w:spacing w:before="0"/>
        <w:rPr>
          <w:color w:val="C00000"/>
        </w:rPr>
      </w:pPr>
      <w:r>
        <w:rPr>
          <w:b w:val="0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-47625</wp:posOffset>
                </wp:positionH>
                <wp:positionV relativeFrom="paragraph">
                  <wp:posOffset>8255</wp:posOffset>
                </wp:positionV>
                <wp:extent cx="5819775" cy="457200"/>
                <wp:effectExtent l="9525" t="9525" r="9525" b="952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197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78D7" w:rsidRDefault="007878D7">
                            <w:r w:rsidRPr="007878D7">
                              <w:rPr>
                                <w:b/>
                              </w:rPr>
                              <w:t>Kvalita překladu a jeho soulad s původním textem jsou výhradní odpovědností autorů překladu</w:t>
                            </w:r>
                            <w:r w:rsidR="00396832">
                              <w:rPr>
                                <w:b/>
                              </w:rPr>
                              <w:t xml:space="preserve"> (MŠMT)</w:t>
                            </w:r>
                            <w:r w:rsidRPr="007878D7">
                              <w:rPr>
                                <w:b/>
                              </w:rPr>
                              <w:t>. V případě rozporu mezi původním textem a překladem se preferuje původní text.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3.75pt;margin-top:.65pt;width:458.25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">
                <v:textbox>
                  <w:txbxContent>
                    <w:p w:rsidR="007878D7" w:rsidRDefault="007878D7">
                      <w:r w:rsidRPr="007878D7">
                        <w:rPr>
                          <w:b/>
                        </w:rPr>
                        <w:t>Kvalita překladu a jeho soulad s původním textem jsou výhradní odpovědností autorů překladu</w:t>
                      </w:r>
                      <w:r w:rsidR="00396832">
                        <w:rPr>
                          <w:b/>
                        </w:rPr>
                        <w:t xml:space="preserve"> (MŠMT)</w:t>
                      </w:r>
                      <w:r w:rsidRPr="007878D7">
                        <w:rPr>
                          <w:b/>
                        </w:rPr>
                        <w:t>. V případě rozporu mezi původním textem a překladem se preferuje původní text.</w:t>
                      </w:r>
                    </w:p>
                  </w:txbxContent>
                </v:textbox>
              </v:rect>
            </w:pict>
          </mc:Fallback>
        </mc:AlternateContent>
      </w:r>
    </w:p>
    <w:p w:rsidR="007878D7" w:rsidRPr="007878D7" w:rsidRDefault="007878D7" w:rsidP="007878D7">
      <w:pPr>
        <w:jc w:val="both"/>
        <w:rPr>
          <w:b/>
        </w:rPr>
      </w:pPr>
    </w:p>
    <w:p w:rsidR="007878D7" w:rsidRPr="007878D7" w:rsidRDefault="007878D7" w:rsidP="007878D7">
      <w:pPr>
        <w:jc w:val="both"/>
      </w:pPr>
      <w:r w:rsidRPr="007878D7">
        <w:rPr>
          <w:i/>
        </w:rPr>
        <w:t xml:space="preserve">Education </w:t>
      </w:r>
      <w:proofErr w:type="spellStart"/>
      <w:r w:rsidRPr="007878D7">
        <w:rPr>
          <w:i/>
        </w:rPr>
        <w:t>at</w:t>
      </w:r>
      <w:proofErr w:type="spellEnd"/>
      <w:r w:rsidRPr="007878D7">
        <w:rPr>
          <w:i/>
        </w:rPr>
        <w:t xml:space="preserve"> a Glance: OECD </w:t>
      </w:r>
      <w:proofErr w:type="spellStart"/>
      <w:r w:rsidRPr="007878D7">
        <w:rPr>
          <w:i/>
        </w:rPr>
        <w:t>Indicators</w:t>
      </w:r>
      <w:proofErr w:type="spellEnd"/>
      <w:r>
        <w:rPr>
          <w:rStyle w:val="Znakapoznpodarou"/>
          <w:i/>
        </w:rPr>
        <w:footnoteReference w:id="1"/>
      </w:r>
      <w:r w:rsidRPr="007878D7">
        <w:t xml:space="preserve"> je autoritativním zdrojem relevantních informací o stavu vzdělávání ve světě. Poskytuje data o struktuře, financování a výkonu vzdělávacích systémů ve 3</w:t>
      </w:r>
      <w:r w:rsidR="00414A4D">
        <w:t>5</w:t>
      </w:r>
      <w:r w:rsidR="004C309C">
        <w:t> </w:t>
      </w:r>
      <w:r w:rsidRPr="007878D7">
        <w:t>zemích OECD a v dalších partnerských zemích.</w:t>
      </w:r>
    </w:p>
    <w:p w:rsidR="00414A4D" w:rsidRPr="00414A4D" w:rsidRDefault="00414A4D" w:rsidP="00835BAB">
      <w:pPr>
        <w:pStyle w:val="Nadpis2"/>
        <w:spacing w:before="0"/>
        <w:rPr>
          <w:color w:val="C00000"/>
          <w:sz w:val="32"/>
          <w:szCs w:val="32"/>
        </w:rPr>
      </w:pPr>
      <w:r w:rsidRPr="00414A4D">
        <w:rPr>
          <w:color w:val="C00000"/>
          <w:sz w:val="32"/>
          <w:szCs w:val="32"/>
        </w:rPr>
        <w:t>Česká republika</w:t>
      </w:r>
    </w:p>
    <w:p w:rsidR="00414A4D" w:rsidRPr="00414A4D" w:rsidRDefault="00414A4D" w:rsidP="00414A4D">
      <w:pPr>
        <w:pStyle w:val="Odstavecseseznamem"/>
        <w:numPr>
          <w:ilvl w:val="0"/>
          <w:numId w:val="8"/>
        </w:numPr>
        <w:spacing w:after="0" w:line="240" w:lineRule="auto"/>
        <w:jc w:val="both"/>
      </w:pPr>
      <w:r w:rsidRPr="00414A4D">
        <w:rPr>
          <w:b/>
        </w:rPr>
        <w:t>Ženy tvoří větší podíl absolventů terciá</w:t>
      </w:r>
      <w:r w:rsidR="004C309C">
        <w:rPr>
          <w:b/>
        </w:rPr>
        <w:t>r</w:t>
      </w:r>
      <w:r w:rsidRPr="00414A4D">
        <w:rPr>
          <w:b/>
        </w:rPr>
        <w:t>ního vzdělávání než muži</w:t>
      </w:r>
      <w:r w:rsidRPr="00414A4D">
        <w:t>, to neplatí v případě absolventů doktorského studia. Více než 60 % absolventů bakalářských a magisterských studijních programů jsou ženy.</w:t>
      </w:r>
    </w:p>
    <w:p w:rsidR="00414A4D" w:rsidRPr="00414A4D" w:rsidRDefault="00414A4D" w:rsidP="00414A4D">
      <w:pPr>
        <w:pStyle w:val="Odstavecseseznamem"/>
        <w:numPr>
          <w:ilvl w:val="0"/>
          <w:numId w:val="8"/>
        </w:numPr>
        <w:spacing w:after="0" w:line="240" w:lineRule="auto"/>
        <w:jc w:val="both"/>
      </w:pPr>
      <w:r w:rsidRPr="00414A4D">
        <w:rPr>
          <w:b/>
        </w:rPr>
        <w:t>Počet žen zapsaných do přírodovědných, technických a matematických programů je nízký</w:t>
      </w:r>
      <w:r w:rsidRPr="00414A4D">
        <w:t>, především ve skupině oborů technických a výrobních; tento stav odráží trendy v ostatních zemích OECD.</w:t>
      </w:r>
    </w:p>
    <w:p w:rsidR="00414A4D" w:rsidRPr="00414A4D" w:rsidRDefault="00414A4D" w:rsidP="00414A4D">
      <w:pPr>
        <w:pStyle w:val="Odstavecseseznamem"/>
        <w:numPr>
          <w:ilvl w:val="0"/>
          <w:numId w:val="8"/>
        </w:numPr>
        <w:spacing w:after="0" w:line="240" w:lineRule="auto"/>
        <w:jc w:val="both"/>
      </w:pPr>
      <w:r w:rsidRPr="00414A4D">
        <w:rPr>
          <w:b/>
        </w:rPr>
        <w:t xml:space="preserve">Terciární vzdělávání v České republice se vyplácí z pohledu zaměstnanosti a platů. </w:t>
      </w:r>
      <w:r w:rsidRPr="00414A4D">
        <w:t>Lidé s</w:t>
      </w:r>
      <w:r w:rsidR="00BD2E3C">
        <w:rPr>
          <w:color w:val="272727"/>
          <w:shd w:val="clear" w:color="auto" w:fill="FFFFFF"/>
        </w:rPr>
        <w:t> </w:t>
      </w:r>
      <w:r w:rsidRPr="00414A4D">
        <w:t>magisterským nebo doktorským stupněm vzdělání mívají ve srovnání se středoškoláky</w:t>
      </w:r>
      <w:r w:rsidRPr="00414A4D">
        <w:rPr>
          <w:rStyle w:val="Znakapoznpodarou"/>
        </w:rPr>
        <w:footnoteReference w:id="2"/>
      </w:r>
      <w:r w:rsidRPr="00414A4D">
        <w:t xml:space="preserve"> více než dvojnásobné příjmy.</w:t>
      </w:r>
    </w:p>
    <w:p w:rsidR="00414A4D" w:rsidRPr="00414A4D" w:rsidRDefault="00414A4D" w:rsidP="00414A4D">
      <w:pPr>
        <w:pStyle w:val="Odstavecseseznamem"/>
        <w:numPr>
          <w:ilvl w:val="0"/>
          <w:numId w:val="8"/>
        </w:numPr>
        <w:spacing w:after="0" w:line="240" w:lineRule="auto"/>
        <w:jc w:val="both"/>
      </w:pPr>
      <w:r w:rsidRPr="00414A4D">
        <w:rPr>
          <w:b/>
        </w:rPr>
        <w:t>Česká republika vykazuje vyšší míru zapsaných 2letých dětí k předškolnímu vzdělávání</w:t>
      </w:r>
      <w:r w:rsidRPr="00414A4D">
        <w:t xml:space="preserve"> ve</w:t>
      </w:r>
      <w:r w:rsidR="00BD2E3C">
        <w:rPr>
          <w:color w:val="272727"/>
          <w:shd w:val="clear" w:color="auto" w:fill="FFFFFF"/>
        </w:rPr>
        <w:t> </w:t>
      </w:r>
      <w:r w:rsidRPr="00414A4D">
        <w:t xml:space="preserve">srovnání s ostatními zeměmi OECD. </w:t>
      </w:r>
    </w:p>
    <w:p w:rsidR="00414A4D" w:rsidRPr="00414A4D" w:rsidRDefault="00414A4D" w:rsidP="00414A4D">
      <w:pPr>
        <w:pStyle w:val="Odstavecseseznamem"/>
        <w:numPr>
          <w:ilvl w:val="0"/>
          <w:numId w:val="8"/>
        </w:numPr>
        <w:spacing w:after="0" w:line="240" w:lineRule="auto"/>
        <w:jc w:val="both"/>
      </w:pPr>
      <w:r w:rsidRPr="00414A4D">
        <w:rPr>
          <w:b/>
        </w:rPr>
        <w:t xml:space="preserve">V průměru jsou čeští učitelé starší a hůře placení </w:t>
      </w:r>
      <w:r w:rsidRPr="00414A4D">
        <w:t>než učitelé z ostatních zemí OECD.</w:t>
      </w:r>
    </w:p>
    <w:p w:rsidR="00414A4D" w:rsidRDefault="00414A4D" w:rsidP="00414A4D">
      <w:pPr>
        <w:contextualSpacing/>
        <w:jc w:val="both"/>
        <w:rPr>
          <w:color w:val="272727"/>
          <w:shd w:val="clear" w:color="auto" w:fill="FFFFFF"/>
        </w:rPr>
      </w:pPr>
    </w:p>
    <w:p w:rsidR="00414A4D" w:rsidRPr="00414A4D" w:rsidRDefault="00414A4D" w:rsidP="00414A4D">
      <w:pPr>
        <w:contextualSpacing/>
        <w:jc w:val="both"/>
        <w:rPr>
          <w:b/>
          <w:color w:val="272727"/>
          <w:shd w:val="clear" w:color="auto" w:fill="FFFFFF"/>
        </w:rPr>
      </w:pPr>
      <w:r w:rsidRPr="00414A4D">
        <w:rPr>
          <w:b/>
        </w:rPr>
        <w:t>Graf 1: Podíl absolventů – žen terciární úrovně vzdělávání (2014)</w:t>
      </w:r>
    </w:p>
    <w:p w:rsidR="00414A4D" w:rsidRDefault="00414A4D" w:rsidP="00414A4D">
      <w:pPr>
        <w:contextualSpacing/>
        <w:jc w:val="both"/>
        <w:rPr>
          <w:color w:val="272727"/>
          <w:shd w:val="clear" w:color="auto" w:fill="FFFFFF"/>
        </w:rPr>
      </w:pPr>
      <w:r w:rsidRPr="00F36CC1">
        <w:rPr>
          <w:noProof/>
        </w:rPr>
        <w:drawing>
          <wp:inline distT="0" distB="0" distL="0" distR="0" wp14:anchorId="05625A54" wp14:editId="29300788">
            <wp:extent cx="5753100" cy="291465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1201" cy="2923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4A4D" w:rsidRDefault="00794C7E" w:rsidP="00414A4D">
      <w:pPr>
        <w:contextualSpacing/>
        <w:jc w:val="both"/>
        <w:rPr>
          <w:color w:val="272727"/>
          <w:shd w:val="clear" w:color="auto" w:fill="FFFFFF"/>
        </w:rPr>
      </w:pPr>
      <w:r w:rsidRPr="00794C7E">
        <w:rPr>
          <w:rFonts w:asciiTheme="majorHAnsi" w:eastAsiaTheme="majorEastAsia" w:hAnsiTheme="majorHAnsi" w:cstheme="majorBidi"/>
          <w:b/>
          <w:bCs/>
          <w:color w:val="C00000"/>
          <w:sz w:val="26"/>
          <w:szCs w:val="26"/>
        </w:rPr>
        <w:lastRenderedPageBreak/>
        <w:t>Genderové rozdíly v dosaženém vzdělání a zaměstnanosti přetrvávají</w:t>
      </w:r>
    </w:p>
    <w:p w:rsidR="00414A4D" w:rsidRPr="00414A4D" w:rsidRDefault="00414A4D" w:rsidP="00414A4D">
      <w:pPr>
        <w:pStyle w:val="Odstavecseseznamem"/>
        <w:numPr>
          <w:ilvl w:val="0"/>
          <w:numId w:val="5"/>
        </w:numPr>
        <w:jc w:val="both"/>
      </w:pPr>
      <w:r w:rsidRPr="00414A4D">
        <w:t>Na terciární úrovni české ženy inklinují více ke studiu tradičně ženských oborů, než je tomu u</w:t>
      </w:r>
      <w:r w:rsidR="00BD2E3C">
        <w:rPr>
          <w:color w:val="272727"/>
          <w:shd w:val="clear" w:color="auto" w:fill="FFFFFF"/>
        </w:rPr>
        <w:t> </w:t>
      </w:r>
      <w:r w:rsidRPr="00414A4D">
        <w:t>mužů. K roku 2014 absolvovalo terciární programy ve skupině oborů vzdělávání 5,1krát více žen než mužů, u humanitních a uměleckých oborů připadaly na jednoho absolventa muže 2,4</w:t>
      </w:r>
      <w:r w:rsidR="00BD2E3C">
        <w:rPr>
          <w:color w:val="272727"/>
          <w:shd w:val="clear" w:color="auto" w:fill="FFFFFF"/>
        </w:rPr>
        <w:t> </w:t>
      </w:r>
      <w:r w:rsidRPr="00414A4D">
        <w:t>ženy. V porovnání s průměrem zemí OECD (4,2, resp. 2,0) jsou tyto hodnoty vyšší. Podobně jsou české ženy méně zastoupeny u tradičně mužských oborů, jako jsou přírodní vědy, kde připadá na jednoho muže 0,6 ženy</w:t>
      </w:r>
      <w:r w:rsidR="004C309C">
        <w:t>,</w:t>
      </w:r>
      <w:r w:rsidRPr="00414A4D">
        <w:t xml:space="preserve"> a technické obory s podílem 0,4 ženy na jednoho muže.</w:t>
      </w:r>
    </w:p>
    <w:p w:rsidR="00414A4D" w:rsidRPr="00414A4D" w:rsidRDefault="00414A4D" w:rsidP="00414A4D">
      <w:pPr>
        <w:pStyle w:val="Odstavecseseznamem"/>
        <w:numPr>
          <w:ilvl w:val="0"/>
          <w:numId w:val="5"/>
        </w:numPr>
        <w:jc w:val="both"/>
      </w:pPr>
      <w:r w:rsidRPr="00414A4D">
        <w:t>Terciárního vzdělání v současné době dosahuje více žen než mužů: 63 % absolventů bakalářských a 61 % absolventů magisterských programů jsou ženy. Pro absolventy doktorských programů to již neplatí, na této úrovni ženy tvoří pouze 43 % absolventů. Ve</w:t>
      </w:r>
      <w:r w:rsidR="00BD2E3C">
        <w:rPr>
          <w:color w:val="272727"/>
          <w:shd w:val="clear" w:color="auto" w:fill="FFFFFF"/>
        </w:rPr>
        <w:t> </w:t>
      </w:r>
      <w:r w:rsidRPr="00414A4D">
        <w:t>srovnání s průměrem zemí EU22</w:t>
      </w:r>
      <w:r w:rsidRPr="00414A4D">
        <w:rPr>
          <w:rStyle w:val="Znakapoznpodarou"/>
        </w:rPr>
        <w:footnoteReference w:id="3"/>
      </w:r>
      <w:r w:rsidRPr="00414A4D">
        <w:t xml:space="preserve"> má Česká republika více žen v bakalářských a</w:t>
      </w:r>
      <w:r w:rsidR="00BD2E3C">
        <w:rPr>
          <w:color w:val="272727"/>
          <w:shd w:val="clear" w:color="auto" w:fill="FFFFFF"/>
        </w:rPr>
        <w:t> </w:t>
      </w:r>
      <w:r w:rsidRPr="00414A4D">
        <w:t>magisterských programech, ale nižší podíl žen na úrovni doktorských programů.</w:t>
      </w:r>
    </w:p>
    <w:p w:rsidR="00414A4D" w:rsidRPr="00414A4D" w:rsidRDefault="00414A4D" w:rsidP="00414A4D">
      <w:pPr>
        <w:pStyle w:val="Odstavecseseznamem"/>
        <w:numPr>
          <w:ilvl w:val="0"/>
          <w:numId w:val="5"/>
        </w:numPr>
        <w:jc w:val="both"/>
      </w:pPr>
      <w:r w:rsidRPr="00414A4D">
        <w:t>Terciárně vzdělaní muži a ženy v České republice zaznamenávají odlišné míry zaměstnanosti. Podle dat z roku 2012 bylo napříč všemi obory zaměstnáno 93 % terciárně vzdělaných mužů, ale pouze 78 % srovnatelně vzdělaných žen. I když je tento rozdíl vysoký a srovnatelný se</w:t>
      </w:r>
      <w:r w:rsidR="00BD2E3C">
        <w:rPr>
          <w:color w:val="272727"/>
          <w:shd w:val="clear" w:color="auto" w:fill="FFFFFF"/>
        </w:rPr>
        <w:t> </w:t>
      </w:r>
      <w:r w:rsidRPr="00414A4D">
        <w:t>zeměmi jako Maďarsko nebo Slovensko, není tak extrémní jako v některých dalších zemích OECD.</w:t>
      </w:r>
    </w:p>
    <w:p w:rsidR="00414A4D" w:rsidRPr="00414A4D" w:rsidRDefault="00414A4D" w:rsidP="00414A4D">
      <w:pPr>
        <w:pStyle w:val="Odstavecseseznamem"/>
        <w:numPr>
          <w:ilvl w:val="0"/>
          <w:numId w:val="5"/>
        </w:numPr>
        <w:jc w:val="both"/>
      </w:pPr>
      <w:r w:rsidRPr="00414A4D">
        <w:t>Ženy mají na všech úrovních dosaženého vzdělání nižší příjmy než muži, nicméně nejvyšší rozdíly jsou mezi terciárně vzdělanými dospělými. Průměrná žena ve věku 35–44 let se</w:t>
      </w:r>
      <w:r w:rsidR="00BD2E3C">
        <w:rPr>
          <w:color w:val="272727"/>
          <w:shd w:val="clear" w:color="auto" w:fill="FFFFFF"/>
        </w:rPr>
        <w:t> </w:t>
      </w:r>
      <w:r w:rsidRPr="00414A4D">
        <w:t>středoškolským vzděláním pracující na plný úvazek pobírá okolo 73 % příjmu obdobně vzdělaného muže pracujícího na plný úvazek. Průměrná žena s terciárním vzděláním ve</w:t>
      </w:r>
      <w:r w:rsidR="00BD2E3C">
        <w:rPr>
          <w:color w:val="272727"/>
          <w:shd w:val="clear" w:color="auto" w:fill="FFFFFF"/>
        </w:rPr>
        <w:t> </w:t>
      </w:r>
      <w:r w:rsidRPr="00414A4D">
        <w:t>stejném věku pobírá pouze 66 % příjmu stejně vzdělaného muže.</w:t>
      </w:r>
    </w:p>
    <w:p w:rsidR="00A44FEF" w:rsidRPr="00F07306" w:rsidRDefault="00874DE0" w:rsidP="00874DE0">
      <w:pPr>
        <w:pStyle w:val="Nadpis2"/>
        <w:spacing w:after="120"/>
        <w:rPr>
          <w:rFonts w:eastAsia="MS Mincho"/>
          <w:color w:val="C00000"/>
        </w:rPr>
      </w:pPr>
      <w:r w:rsidRPr="00874DE0">
        <w:rPr>
          <w:rFonts w:eastAsia="MS Mincho"/>
          <w:color w:val="C00000"/>
        </w:rPr>
        <w:t>Terciární vzdělání má silný vliv na trhu práce</w:t>
      </w:r>
    </w:p>
    <w:p w:rsidR="00874DE0" w:rsidRPr="00874DE0" w:rsidRDefault="00874DE0" w:rsidP="00874DE0">
      <w:pPr>
        <w:pStyle w:val="Odstavecseseznamem"/>
        <w:numPr>
          <w:ilvl w:val="0"/>
          <w:numId w:val="5"/>
        </w:numPr>
        <w:jc w:val="both"/>
      </w:pPr>
      <w:r w:rsidRPr="00874DE0">
        <w:t>V České republice dokončilo 37 % studentů bakalářských nebo jim ekvivalentních programů ve standardní době studia. Po třech letech navíc ke standardní době studia míra dokončování vzrůstá na 60 %. Tuto míru ovlivňují některé faktory, které mohou pomoci identifikovat ohrožené skupiny. Jedním z těchto faktorů je i pohlaví – pouze 27 % mužů dokončuje bakalářské studium ve standardní době ve srovnání s 45 % žen.</w:t>
      </w:r>
    </w:p>
    <w:p w:rsidR="00874DE0" w:rsidRPr="00874DE0" w:rsidRDefault="00874DE0" w:rsidP="00874DE0">
      <w:pPr>
        <w:pStyle w:val="Odstavecseseznamem"/>
        <w:numPr>
          <w:ilvl w:val="0"/>
          <w:numId w:val="5"/>
        </w:numPr>
        <w:jc w:val="both"/>
      </w:pPr>
      <w:r w:rsidRPr="00874DE0">
        <w:t>V posledních letech výrazně stoupla mezinárodní mobilita českých studentů, částečně z</w:t>
      </w:r>
      <w:r w:rsidR="00BD2E3C">
        <w:rPr>
          <w:color w:val="272727"/>
          <w:shd w:val="clear" w:color="auto" w:fill="FFFFFF"/>
        </w:rPr>
        <w:t> </w:t>
      </w:r>
      <w:r w:rsidRPr="00874DE0">
        <w:t>důvodu vyšší poptávky po terciárním vzdělání v prestižních institucích. V souvislosti se</w:t>
      </w:r>
      <w:r w:rsidR="00BD2E3C">
        <w:rPr>
          <w:color w:val="272727"/>
          <w:shd w:val="clear" w:color="auto" w:fill="FFFFFF"/>
        </w:rPr>
        <w:t> </w:t>
      </w:r>
      <w:r w:rsidRPr="00874DE0">
        <w:t>vzděláváním v zahraničí je dobře vnímána mj. následná lepší pozice absolventa na trhu práce a různorodost studentů ve studijní skupině. 3,1 % českých studentů navštěvují instituci v zahraničí, což je srovnatelné se státy EU22 (průměr 3 %). Atraktivní jsou především instituce terciárního vzdělávání v Evropě, 86 % studentů navštěvuje instituci v rámci EU22. Téměř 30</w:t>
      </w:r>
      <w:r w:rsidR="00BD2E3C">
        <w:rPr>
          <w:color w:val="272727"/>
          <w:shd w:val="clear" w:color="auto" w:fill="FFFFFF"/>
        </w:rPr>
        <w:t> </w:t>
      </w:r>
      <w:r w:rsidRPr="00874DE0">
        <w:t>% z těch, kteří studují v zahraničí, volí Německo jako svou cílovou zemi.</w:t>
      </w:r>
    </w:p>
    <w:p w:rsidR="00874DE0" w:rsidRPr="00874DE0" w:rsidRDefault="00874DE0" w:rsidP="00874DE0">
      <w:pPr>
        <w:pStyle w:val="Odstavecseseznamem"/>
        <w:numPr>
          <w:ilvl w:val="0"/>
          <w:numId w:val="5"/>
        </w:numPr>
        <w:jc w:val="both"/>
      </w:pPr>
      <w:r w:rsidRPr="00874DE0">
        <w:t>Míra nezaměstnanosti terciárně vzdělaných občanů České republiky je poměrně nízká ve</w:t>
      </w:r>
      <w:r w:rsidR="00BD2E3C">
        <w:rPr>
          <w:color w:val="272727"/>
          <w:shd w:val="clear" w:color="auto" w:fill="FFFFFF"/>
        </w:rPr>
        <w:t> </w:t>
      </w:r>
      <w:r w:rsidRPr="00874DE0">
        <w:t>srovnání s ostatními zeměmi EU22. Pouze 3,1 % osob s bakalářským vzděláním je nezaměstnaných, v porovnání s průměrnou mírou nezaměstnanosti 6,3 % v zemích EU22, podobná situace je i u osob s magisterským vzděláním (2 % vs. 5 %).</w:t>
      </w:r>
    </w:p>
    <w:p w:rsidR="00874DE0" w:rsidRDefault="00874DE0" w:rsidP="00874DE0">
      <w:pPr>
        <w:pStyle w:val="Odstavecseseznamem"/>
        <w:numPr>
          <w:ilvl w:val="0"/>
          <w:numId w:val="5"/>
        </w:numPr>
        <w:jc w:val="both"/>
      </w:pPr>
      <w:r w:rsidRPr="00874DE0">
        <w:lastRenderedPageBreak/>
        <w:t>Vyšší úroveň vzdělání podporuje nejen vyšší zaměstnatelnost, ale obecně i potenciál pobírat vyšší příjmy. V porovnání s osobou pouze se středoškolským vzděláním pracující celoročně na plný úvazek, terciárně vzdělaná osoba v České republice má v průměru o 92 % vyšší příjem. Tento výnos z dosaženého vzdělání je vyšší než průměr zemí EU22, kde terciárně vzdělané osoby pobírají v průměru o 52 % vyšší příjem než osoby s pouze středoškolským vzděláním.</w:t>
      </w:r>
    </w:p>
    <w:p w:rsidR="00874DE0" w:rsidRPr="00874DE0" w:rsidRDefault="00874DE0" w:rsidP="00874DE0">
      <w:pPr>
        <w:spacing w:after="0" w:line="240" w:lineRule="auto"/>
        <w:jc w:val="both"/>
        <w:rPr>
          <w:b/>
        </w:rPr>
      </w:pPr>
      <w:r w:rsidRPr="00874DE0">
        <w:rPr>
          <w:b/>
        </w:rPr>
        <w:t>Graf 2: Relativní příjmy dospělých pracujících na plný úvazek, podle dosaženého vzdělání (2014)</w:t>
      </w:r>
    </w:p>
    <w:p w:rsidR="00874DE0" w:rsidRPr="00874DE0" w:rsidRDefault="00874DE0" w:rsidP="00874DE0">
      <w:pPr>
        <w:spacing w:after="0" w:line="240" w:lineRule="auto"/>
        <w:jc w:val="both"/>
        <w:rPr>
          <w:i/>
        </w:rPr>
      </w:pPr>
      <w:r w:rsidRPr="00874DE0">
        <w:rPr>
          <w:i/>
        </w:rPr>
        <w:t>25–64letí s příjmem ze zaměstnání; středoškolské vzdělání = 100</w:t>
      </w:r>
    </w:p>
    <w:p w:rsidR="00874DE0" w:rsidRDefault="00874DE0" w:rsidP="00874DE0">
      <w:pPr>
        <w:jc w:val="both"/>
      </w:pPr>
      <w:r w:rsidRPr="00F36CC1">
        <w:rPr>
          <w:noProof/>
        </w:rPr>
        <w:drawing>
          <wp:inline distT="0" distB="0" distL="0" distR="0" wp14:anchorId="4E82173A" wp14:editId="6FC1E90E">
            <wp:extent cx="5731510" cy="4821711"/>
            <wp:effectExtent l="0" t="0" r="254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8217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4DE0" w:rsidRPr="00874DE0" w:rsidRDefault="00874DE0" w:rsidP="00874DE0">
      <w:pPr>
        <w:jc w:val="both"/>
      </w:pPr>
    </w:p>
    <w:p w:rsidR="00D03167" w:rsidRPr="00F07306" w:rsidRDefault="00874DE0" w:rsidP="0093292B">
      <w:pPr>
        <w:pStyle w:val="Nadpis2"/>
        <w:rPr>
          <w:color w:val="C00000"/>
        </w:rPr>
      </w:pPr>
      <w:r w:rsidRPr="00874DE0">
        <w:rPr>
          <w:color w:val="C00000"/>
        </w:rPr>
        <w:t>Přístup ke kvalitnímu předškolnímu vzdělávání a péči vytváří rozdíly v</w:t>
      </w:r>
      <w:r w:rsidR="005D4882">
        <w:rPr>
          <w:color w:val="C00000"/>
        </w:rPr>
        <w:t> </w:t>
      </w:r>
      <w:r w:rsidRPr="00874DE0">
        <w:rPr>
          <w:color w:val="C00000"/>
        </w:rPr>
        <w:t>následném vzdělávání</w:t>
      </w:r>
    </w:p>
    <w:p w:rsidR="00874DE0" w:rsidRPr="00874DE0" w:rsidRDefault="00874DE0" w:rsidP="00874DE0">
      <w:pPr>
        <w:numPr>
          <w:ilvl w:val="0"/>
          <w:numId w:val="5"/>
        </w:numPr>
        <w:contextualSpacing/>
        <w:jc w:val="both"/>
      </w:pPr>
      <w:r w:rsidRPr="00874DE0">
        <w:t>V České republice 12 % dvouletých navštěvovalo v roce 2014 předškolní vzdělávání (úroveň ISCED 02), ve srovnání s průměrem pouze 4 % dvouletých v zemích OECD. Pro tříleté tento podíl roste na 68 %, což je prakticky stejně</w:t>
      </w:r>
      <w:r w:rsidR="0065799C">
        <w:t>,</w:t>
      </w:r>
      <w:r w:rsidRPr="00874DE0">
        <w:t xml:space="preserve"> jako je průměr v zemích OECD (69 %).</w:t>
      </w:r>
    </w:p>
    <w:p w:rsidR="00874DE0" w:rsidRPr="00874DE0" w:rsidRDefault="00874DE0" w:rsidP="00874DE0">
      <w:pPr>
        <w:numPr>
          <w:ilvl w:val="0"/>
          <w:numId w:val="5"/>
        </w:numPr>
        <w:contextualSpacing/>
        <w:jc w:val="both"/>
      </w:pPr>
      <w:r w:rsidRPr="00874DE0">
        <w:t>Výdaje na předškolní vzdělávání v České republice činí 0,5 % HDP, což je méně než průměr za</w:t>
      </w:r>
      <w:r w:rsidR="00BD2E3C">
        <w:rPr>
          <w:color w:val="272727"/>
          <w:shd w:val="clear" w:color="auto" w:fill="FFFFFF"/>
        </w:rPr>
        <w:t> </w:t>
      </w:r>
      <w:r w:rsidRPr="00874DE0">
        <w:t xml:space="preserve">země OECD i EU22 (v obou případech se jedná o 0,8 % HDP).  V České republice se jedná </w:t>
      </w:r>
      <w:r w:rsidRPr="00874DE0">
        <w:lastRenderedPageBreak/>
        <w:t>o</w:t>
      </w:r>
      <w:r w:rsidR="00BD2E3C">
        <w:rPr>
          <w:color w:val="272727"/>
          <w:shd w:val="clear" w:color="auto" w:fill="FFFFFF"/>
        </w:rPr>
        <w:t> </w:t>
      </w:r>
      <w:r w:rsidRPr="00874DE0">
        <w:t>částku 4 655 USD</w:t>
      </w:r>
      <w:r w:rsidR="00FB7FC8">
        <w:rPr>
          <w:rStyle w:val="Znakapoznpodarou"/>
        </w:rPr>
        <w:footnoteReference w:id="4"/>
      </w:r>
      <w:r w:rsidRPr="00874DE0">
        <w:t xml:space="preserve"> na dítě v předškolním vzdělávání (zahrnuje veřejné i soukromé výdaje), zatímco průměr zemí OECD je 8 552 USD.</w:t>
      </w:r>
    </w:p>
    <w:p w:rsidR="00874DE0" w:rsidRDefault="00874DE0" w:rsidP="00874DE0">
      <w:pPr>
        <w:numPr>
          <w:ilvl w:val="0"/>
          <w:numId w:val="5"/>
        </w:numPr>
        <w:contextualSpacing/>
        <w:jc w:val="both"/>
      </w:pPr>
      <w:r w:rsidRPr="00874DE0">
        <w:t>Drtivá většina dětí v předškolním vzdělávání v České republice dochází do veřejných institucí, soukromý sektor navštěvují pouze 3 % dětí. Tento poměr se výrazně liší od průměru zemí OECD, kde 33 % dětí navštěvuje soukromé instituce a 67 % veřejné instituce předškolního vzdělávání.</w:t>
      </w:r>
    </w:p>
    <w:p w:rsidR="00D03167" w:rsidRPr="00F07306" w:rsidRDefault="00BD2E3C" w:rsidP="00FB7FC8">
      <w:pPr>
        <w:pStyle w:val="Nadpis2"/>
        <w:spacing w:after="120"/>
        <w:jc w:val="both"/>
        <w:rPr>
          <w:color w:val="C00000"/>
        </w:rPr>
      </w:pPr>
      <w:r>
        <w:rPr>
          <w:color w:val="C00000"/>
        </w:rPr>
        <w:t>Výše platů</w:t>
      </w:r>
      <w:r w:rsidRPr="00BD2E3C">
        <w:rPr>
          <w:color w:val="C00000"/>
        </w:rPr>
        <w:t>, prostředí ve školách a pracovní vytížení</w:t>
      </w:r>
      <w:r>
        <w:rPr>
          <w:color w:val="C00000"/>
        </w:rPr>
        <w:t xml:space="preserve"> jsou faktory, které</w:t>
      </w:r>
      <w:r w:rsidRPr="00BD2E3C">
        <w:rPr>
          <w:color w:val="C00000"/>
        </w:rPr>
        <w:t xml:space="preserve"> ovlivňuj</w:t>
      </w:r>
      <w:r>
        <w:rPr>
          <w:color w:val="C00000"/>
        </w:rPr>
        <w:t>í</w:t>
      </w:r>
      <w:r w:rsidRPr="00BD2E3C">
        <w:rPr>
          <w:color w:val="C00000"/>
        </w:rPr>
        <w:t xml:space="preserve"> rozhodnutí, zda učitel vstoupí do profese a zda v ní zůstane</w:t>
      </w:r>
    </w:p>
    <w:p w:rsidR="000B5E71" w:rsidRPr="00D8039C" w:rsidRDefault="00FB7FC8" w:rsidP="0093292B">
      <w:pPr>
        <w:numPr>
          <w:ilvl w:val="0"/>
          <w:numId w:val="5"/>
        </w:numPr>
        <w:contextualSpacing/>
        <w:jc w:val="both"/>
        <w:rPr>
          <w:color w:val="272727"/>
          <w:shd w:val="clear" w:color="auto" w:fill="FFFFFF"/>
        </w:rPr>
      </w:pPr>
      <w:r>
        <w:t>Učitelé v České republice pobírají relativně nízké platy, zejména při srovnání s jinými terciárně vzdělanými pracovníky. Učitel s typickou kvalifikací (magisterské vzdělání) na úrovni nižšího a</w:t>
      </w:r>
      <w:r w:rsidR="00A650B7">
        <w:t> </w:t>
      </w:r>
      <w:r>
        <w:t>vyššího sekundárního vzdělávání ve veřejných institucích může očekávat nástupní základní plat ve výši 17 080 USD ročně. Učitel s maximální praxí potom může očekávat plat ve výši 20 853 USD, což je asi 58 % průměrného příjmu terciárně vzdělaného zaměstnance zaměstnaného na plný úvazek. V rámci zemí EU22 učitelé v nižší sekundární úrovni mohou v</w:t>
      </w:r>
      <w:r w:rsidR="00A650B7">
        <w:t> </w:t>
      </w:r>
      <w:r>
        <w:t>průměru očekávat 52 058 USD a učitelé ve vyšší sekundární úrovni 54 943 USD, což je 86 %, resp. 92 % průměrného příjmu terciárně vzdělaného zaměstnance zaměstnaného na plný úvazek.</w:t>
      </w:r>
      <w:r w:rsidR="004C3D6A" w:rsidRPr="00D8039C">
        <w:rPr>
          <w:color w:val="272727"/>
          <w:shd w:val="clear" w:color="auto" w:fill="FFFFFF"/>
        </w:rPr>
        <w:t xml:space="preserve"> </w:t>
      </w:r>
    </w:p>
    <w:p w:rsidR="000B5E71" w:rsidRPr="00D8039C" w:rsidRDefault="00EF1E78" w:rsidP="0093292B">
      <w:pPr>
        <w:numPr>
          <w:ilvl w:val="0"/>
          <w:numId w:val="5"/>
        </w:numPr>
        <w:contextualSpacing/>
        <w:jc w:val="both"/>
        <w:rPr>
          <w:color w:val="272727"/>
          <w:shd w:val="clear" w:color="auto" w:fill="FFFFFF"/>
        </w:rPr>
      </w:pPr>
      <w:r>
        <w:t>Čeští učitelé mají nižší přímou vyučovací povinnost než je průměr za země EU22 na sekundární úrovni vzdělávání. V České republice v roce 2014 strávil učitel na vyšší sekundární úrovni 589</w:t>
      </w:r>
      <w:r w:rsidR="00A650B7">
        <w:t> </w:t>
      </w:r>
      <w:r>
        <w:t>hodin ročně výukou, zatímco průměr za země EU22 je 632 hodin ročně. V rámci zemí OECD průměrná doba strávená výukou v čase klesá. Například na vyšší sekundární úrovni klesla průměrná doba strávená výukou o 4 hodiny za rok (z 648 na 644 hodin) mezi roky 2005 a 2014; v České republice ve stejném období klesla průměrná doba strávená výukou o 28 hodin za rok (z 617 na 589 hodin).</w:t>
      </w:r>
    </w:p>
    <w:p w:rsidR="007878D7" w:rsidRPr="00F30B01" w:rsidRDefault="00F30B01" w:rsidP="007878D7">
      <w:pPr>
        <w:numPr>
          <w:ilvl w:val="0"/>
          <w:numId w:val="5"/>
        </w:numPr>
        <w:contextualSpacing/>
        <w:jc w:val="both"/>
        <w:rPr>
          <w:rFonts w:asciiTheme="majorHAnsi" w:hAnsiTheme="majorHAnsi"/>
        </w:rPr>
      </w:pPr>
      <w:r>
        <w:t>Čeští učitelé jsou o něco starší, než je průměr v rámci zemí OECD. Jen málo učitelů je mladších 30 let, převážná část učitelů na primární a sekundární úrovni je starší 40 let, což je v souladu s</w:t>
      </w:r>
      <w:r w:rsidR="00A650B7">
        <w:t> </w:t>
      </w:r>
      <w:r>
        <w:t>průměrem OECD. Učitelé na úrovni vyššího středního vzdělávání jsou v průměru starší než ti na primární a nižší sekundární úrovni. Na vyšší sekundární úrovni je pouze 6 % učitelů mladších 30 let ve srovnání s 10 %, resp. 11 % na primární a nižší sekundární úrovni; 47 % učitelů na vyšší sekundární úrovni je ve věku nad 50 let. Průměry za země OECD na vyšší sekundární úrovni jsou 8 % učitelů mladších 30 let a pouze 38 % učitelů ve věku nad 50 let. Věková struktura učitelů bude mít jednoznačně dopad na vzdělávací systém; tvůrci vzdělávací politiky budou muset přehodnotit metody vzdělávání a náboru nových učitelů.  Za prvé, silná kohorta učitelů směřuje do důchodového věku, a za druhé, platy učitelů se zvyšují především na základě odpracovaných let, starší učitelé jsou dražší a budou více zatěžovat rozpočet.</w:t>
      </w:r>
    </w:p>
    <w:p w:rsidR="00F30B01" w:rsidRDefault="00F30B01" w:rsidP="00F30B01">
      <w:pPr>
        <w:contextualSpacing/>
        <w:jc w:val="both"/>
        <w:rPr>
          <w:rFonts w:asciiTheme="majorHAnsi" w:hAnsiTheme="majorHAnsi"/>
        </w:rPr>
      </w:pPr>
    </w:p>
    <w:p w:rsidR="00F30B01" w:rsidRDefault="00F30B01" w:rsidP="00F30B01">
      <w:pPr>
        <w:contextualSpacing/>
        <w:jc w:val="both"/>
        <w:rPr>
          <w:rFonts w:asciiTheme="majorHAnsi" w:hAnsiTheme="majorHAnsi"/>
        </w:rPr>
      </w:pPr>
    </w:p>
    <w:p w:rsidR="00F30B01" w:rsidRDefault="00F30B01" w:rsidP="00F30B01">
      <w:pPr>
        <w:contextualSpacing/>
        <w:jc w:val="both"/>
        <w:rPr>
          <w:rFonts w:asciiTheme="majorHAnsi" w:hAnsiTheme="majorHAnsi"/>
        </w:rPr>
      </w:pPr>
    </w:p>
    <w:p w:rsidR="00F30B01" w:rsidRDefault="00F30B01" w:rsidP="00F30B01">
      <w:pPr>
        <w:contextualSpacing/>
        <w:jc w:val="both"/>
        <w:rPr>
          <w:rFonts w:asciiTheme="majorHAnsi" w:hAnsiTheme="majorHAnsi"/>
        </w:rPr>
      </w:pPr>
    </w:p>
    <w:p w:rsidR="00F30B01" w:rsidRPr="00874DE0" w:rsidRDefault="00F30B01" w:rsidP="00F30B01">
      <w:pPr>
        <w:contextualSpacing/>
        <w:jc w:val="both"/>
        <w:rPr>
          <w:rFonts w:asciiTheme="majorHAnsi" w:hAnsiTheme="majorHAnsi"/>
        </w:rPr>
      </w:pPr>
    </w:p>
    <w:p w:rsidR="00874DE0" w:rsidRDefault="00874DE0" w:rsidP="00874DE0">
      <w:pPr>
        <w:contextualSpacing/>
        <w:jc w:val="both"/>
        <w:rPr>
          <w:rFonts w:asciiTheme="majorHAnsi" w:hAnsiTheme="majorHAnsi"/>
        </w:rPr>
      </w:pPr>
    </w:p>
    <w:p w:rsidR="00794C7E" w:rsidRDefault="00794C7E" w:rsidP="00874DE0">
      <w:pPr>
        <w:contextualSpacing/>
        <w:jc w:val="both"/>
        <w:rPr>
          <w:rFonts w:asciiTheme="majorHAnsi" w:hAnsiTheme="majorHAnsi"/>
        </w:rPr>
      </w:pPr>
    </w:p>
    <w:p w:rsidR="00794C7E" w:rsidRPr="00794C7E" w:rsidRDefault="00794C7E" w:rsidP="00794C7E">
      <w:pPr>
        <w:pStyle w:val="Nadpis2"/>
        <w:rPr>
          <w:sz w:val="32"/>
          <w:szCs w:val="32"/>
        </w:rPr>
      </w:pPr>
      <w:r w:rsidRPr="00794C7E">
        <w:rPr>
          <w:color w:val="C00000"/>
          <w:sz w:val="32"/>
          <w:szCs w:val="32"/>
        </w:rPr>
        <w:t xml:space="preserve">Klíčová data o ČR v Education </w:t>
      </w:r>
      <w:proofErr w:type="spellStart"/>
      <w:r w:rsidRPr="00794C7E">
        <w:rPr>
          <w:color w:val="C00000"/>
          <w:sz w:val="32"/>
          <w:szCs w:val="32"/>
        </w:rPr>
        <w:t>at</w:t>
      </w:r>
      <w:proofErr w:type="spellEnd"/>
      <w:r w:rsidRPr="00794C7E">
        <w:rPr>
          <w:color w:val="C00000"/>
          <w:sz w:val="32"/>
          <w:szCs w:val="32"/>
        </w:rPr>
        <w:t xml:space="preserve"> a Glance 201</w:t>
      </w:r>
      <w:r>
        <w:rPr>
          <w:color w:val="C00000"/>
          <w:sz w:val="32"/>
          <w:szCs w:val="32"/>
        </w:rPr>
        <w:t>6</w:t>
      </w:r>
    </w:p>
    <w:p w:rsidR="00794C7E" w:rsidRDefault="00794C7E" w:rsidP="00874DE0">
      <w:pPr>
        <w:contextualSpacing/>
        <w:jc w:val="both"/>
        <w:rPr>
          <w:rFonts w:asciiTheme="majorHAnsi" w:hAnsiTheme="majorHAnsi"/>
        </w:rPr>
      </w:pPr>
    </w:p>
    <w:p w:rsidR="00F30B01" w:rsidRDefault="00F30B01" w:rsidP="00874DE0">
      <w:pPr>
        <w:contextualSpacing/>
        <w:jc w:val="both"/>
        <w:rPr>
          <w:rFonts w:asciiTheme="majorHAnsi" w:hAnsiTheme="majorHAnsi"/>
        </w:rPr>
      </w:pPr>
    </w:p>
    <w:p w:rsidR="00874DE0" w:rsidRDefault="00794C7E" w:rsidP="00874DE0">
      <w:pPr>
        <w:contextualSpacing/>
        <w:jc w:val="both"/>
        <w:rPr>
          <w:rFonts w:asciiTheme="majorHAnsi" w:hAnsiTheme="majorHAnsi"/>
        </w:rPr>
      </w:pPr>
      <w:r w:rsidRPr="00794C7E">
        <w:rPr>
          <w:noProof/>
        </w:rPr>
        <w:drawing>
          <wp:inline distT="0" distB="0" distL="0" distR="0" wp14:anchorId="336DF1DD" wp14:editId="410A1860">
            <wp:extent cx="5731510" cy="7412990"/>
            <wp:effectExtent l="0" t="0" r="254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412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4DE0" w:rsidRDefault="00874DE0" w:rsidP="00874DE0">
      <w:pPr>
        <w:contextualSpacing/>
        <w:jc w:val="both"/>
        <w:rPr>
          <w:rFonts w:asciiTheme="majorHAnsi" w:hAnsiTheme="majorHAnsi"/>
        </w:rPr>
      </w:pPr>
    </w:p>
    <w:p w:rsidR="00874DE0" w:rsidRDefault="00874DE0" w:rsidP="00874DE0">
      <w:pPr>
        <w:contextualSpacing/>
        <w:jc w:val="both"/>
        <w:rPr>
          <w:rFonts w:asciiTheme="majorHAnsi" w:hAnsiTheme="majorHAnsi"/>
        </w:rPr>
      </w:pPr>
    </w:p>
    <w:p w:rsidR="00874DE0" w:rsidRDefault="00874DE0" w:rsidP="00874DE0">
      <w:pPr>
        <w:contextualSpacing/>
        <w:jc w:val="both"/>
        <w:rPr>
          <w:rFonts w:asciiTheme="majorHAnsi" w:hAnsiTheme="majorHAnsi"/>
        </w:rPr>
      </w:pPr>
    </w:p>
    <w:p w:rsidR="00874DE0" w:rsidRDefault="00794C7E" w:rsidP="00874DE0">
      <w:pPr>
        <w:contextualSpacing/>
        <w:jc w:val="both"/>
        <w:rPr>
          <w:rFonts w:asciiTheme="majorHAnsi" w:hAnsiTheme="majorHAnsi"/>
        </w:rPr>
      </w:pPr>
      <w:r w:rsidRPr="00794C7E">
        <w:rPr>
          <w:noProof/>
        </w:rPr>
        <w:drawing>
          <wp:inline distT="0" distB="0" distL="0" distR="0" wp14:anchorId="06C34AA0" wp14:editId="1C967113">
            <wp:extent cx="5731510" cy="6905625"/>
            <wp:effectExtent l="0" t="0" r="2540" b="9525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90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4DE0" w:rsidRPr="00794C7E" w:rsidRDefault="00794C7E" w:rsidP="00874DE0">
      <w:pPr>
        <w:contextualSpacing/>
        <w:jc w:val="both"/>
        <w:rPr>
          <w:rFonts w:asciiTheme="majorHAnsi" w:hAnsiTheme="majorHAnsi"/>
          <w:i/>
        </w:rPr>
      </w:pPr>
      <w:r w:rsidRPr="00794C7E">
        <w:rPr>
          <w:rFonts w:asciiTheme="majorHAnsi" w:hAnsiTheme="majorHAnsi"/>
          <w:i/>
        </w:rPr>
        <w:t>m: data nejsou dostupná</w:t>
      </w:r>
    </w:p>
    <w:p w:rsidR="00794C7E" w:rsidRDefault="00794C7E" w:rsidP="00DE00C0">
      <w:pPr>
        <w:pStyle w:val="Aucunstyledeparagraphe"/>
        <w:jc w:val="both"/>
        <w:rPr>
          <w:rFonts w:asciiTheme="majorHAnsi" w:hAnsiTheme="majorHAnsi"/>
          <w:b/>
          <w:sz w:val="22"/>
          <w:lang w:val="cs-CZ"/>
        </w:rPr>
      </w:pPr>
    </w:p>
    <w:p w:rsidR="00794C7E" w:rsidRDefault="00794C7E" w:rsidP="00DE00C0">
      <w:pPr>
        <w:pStyle w:val="Aucunstyledeparagraphe"/>
        <w:jc w:val="both"/>
        <w:rPr>
          <w:rFonts w:asciiTheme="majorHAnsi" w:hAnsiTheme="majorHAnsi"/>
          <w:b/>
          <w:sz w:val="22"/>
          <w:lang w:val="cs-CZ"/>
        </w:rPr>
      </w:pPr>
    </w:p>
    <w:p w:rsidR="00794C7E" w:rsidRDefault="00794C7E" w:rsidP="00DE00C0">
      <w:pPr>
        <w:pStyle w:val="Aucunstyledeparagraphe"/>
        <w:jc w:val="both"/>
        <w:rPr>
          <w:rFonts w:asciiTheme="majorHAnsi" w:hAnsiTheme="majorHAnsi"/>
          <w:b/>
          <w:sz w:val="22"/>
          <w:lang w:val="cs-CZ"/>
        </w:rPr>
      </w:pPr>
    </w:p>
    <w:p w:rsidR="00A93EF2" w:rsidRDefault="005555D5" w:rsidP="00DE00C0">
      <w:pPr>
        <w:pStyle w:val="Aucunstyledeparagraphe"/>
        <w:jc w:val="both"/>
        <w:rPr>
          <w:rFonts w:asciiTheme="majorHAnsi" w:hAnsiTheme="majorHAnsi"/>
          <w:sz w:val="22"/>
          <w:lang w:val="cs-CZ"/>
        </w:rPr>
      </w:pPr>
      <w:r>
        <w:rPr>
          <w:rFonts w:asciiTheme="majorHAnsi" w:hAnsiTheme="majorHAnsi"/>
          <w:b/>
          <w:sz w:val="22"/>
          <w:lang w:val="cs-CZ"/>
        </w:rPr>
        <w:lastRenderedPageBreak/>
        <w:t>Zkrácený přehled</w:t>
      </w:r>
      <w:r w:rsidR="00B47AFC">
        <w:rPr>
          <w:rStyle w:val="Znakapoznpodarou"/>
          <w:rFonts w:asciiTheme="majorHAnsi" w:hAnsiTheme="majorHAnsi"/>
          <w:b/>
          <w:sz w:val="22"/>
          <w:lang w:val="cs-CZ"/>
        </w:rPr>
        <w:footnoteReference w:id="5"/>
      </w:r>
      <w:r>
        <w:rPr>
          <w:rFonts w:asciiTheme="majorHAnsi" w:hAnsiTheme="majorHAnsi"/>
          <w:b/>
          <w:sz w:val="22"/>
          <w:lang w:val="cs-CZ"/>
        </w:rPr>
        <w:t xml:space="preserve"> zařazení českých vzdělávacích programů</w:t>
      </w:r>
      <w:r w:rsidR="002E7947">
        <w:rPr>
          <w:rFonts w:asciiTheme="majorHAnsi" w:hAnsiTheme="majorHAnsi"/>
          <w:b/>
          <w:sz w:val="22"/>
          <w:lang w:val="cs-CZ"/>
        </w:rPr>
        <w:t xml:space="preserve"> a dosaženého vzdělání</w:t>
      </w:r>
      <w:r>
        <w:rPr>
          <w:rFonts w:asciiTheme="majorHAnsi" w:hAnsiTheme="majorHAnsi"/>
          <w:b/>
          <w:sz w:val="22"/>
          <w:lang w:val="cs-CZ"/>
        </w:rPr>
        <w:t xml:space="preserve"> do ú</w:t>
      </w:r>
      <w:r w:rsidR="00A93EF2">
        <w:rPr>
          <w:rFonts w:asciiTheme="majorHAnsi" w:hAnsiTheme="majorHAnsi"/>
          <w:b/>
          <w:sz w:val="22"/>
          <w:lang w:val="cs-CZ"/>
        </w:rPr>
        <w:t>rovn</w:t>
      </w:r>
      <w:r>
        <w:rPr>
          <w:rFonts w:asciiTheme="majorHAnsi" w:hAnsiTheme="majorHAnsi"/>
          <w:b/>
          <w:sz w:val="22"/>
          <w:lang w:val="cs-CZ"/>
        </w:rPr>
        <w:t>í klasifikace</w:t>
      </w:r>
      <w:r w:rsidR="00A93EF2">
        <w:rPr>
          <w:rFonts w:asciiTheme="majorHAnsi" w:hAnsiTheme="majorHAnsi"/>
          <w:b/>
          <w:sz w:val="22"/>
          <w:lang w:val="cs-CZ"/>
        </w:rPr>
        <w:t xml:space="preserve"> ISCED 2011</w:t>
      </w:r>
      <w:r w:rsidR="00CF7B28">
        <w:rPr>
          <w:rFonts w:asciiTheme="majorHAnsi" w:hAnsiTheme="majorHAnsi"/>
          <w:b/>
          <w:sz w:val="22"/>
          <w:lang w:val="cs-CZ"/>
        </w:rPr>
        <w:t xml:space="preserve"> v České republice</w:t>
      </w:r>
    </w:p>
    <w:p w:rsidR="00A93EF2" w:rsidRDefault="00A93EF2" w:rsidP="00DE00C0">
      <w:pPr>
        <w:pStyle w:val="Aucunstyledeparagraphe"/>
        <w:jc w:val="both"/>
        <w:rPr>
          <w:rFonts w:asciiTheme="majorHAnsi" w:hAnsiTheme="majorHAnsi"/>
          <w:sz w:val="22"/>
          <w:lang w:val="cs-CZ"/>
        </w:rPr>
      </w:pPr>
      <w:r w:rsidRPr="00F07306">
        <w:rPr>
          <w:rFonts w:asciiTheme="majorHAnsi" w:hAnsiTheme="majorHAnsi"/>
          <w:b/>
          <w:color w:val="C00000"/>
          <w:sz w:val="22"/>
          <w:lang w:val="cs-CZ"/>
        </w:rPr>
        <w:t>ISCED 0</w:t>
      </w:r>
      <w:r>
        <w:rPr>
          <w:rFonts w:asciiTheme="majorHAnsi" w:hAnsiTheme="majorHAnsi"/>
          <w:sz w:val="22"/>
          <w:lang w:val="cs-CZ"/>
        </w:rPr>
        <w:t xml:space="preserve"> – předškolní vzdělávání (mateřské školy</w:t>
      </w:r>
      <w:r w:rsidR="0026670B">
        <w:rPr>
          <w:rFonts w:asciiTheme="majorHAnsi" w:hAnsiTheme="majorHAnsi"/>
          <w:sz w:val="22"/>
          <w:lang w:val="cs-CZ"/>
        </w:rPr>
        <w:t>, přípravné třídy ZŠ, přípravný stupeň ZŠ speciální</w:t>
      </w:r>
      <w:r>
        <w:rPr>
          <w:rFonts w:asciiTheme="majorHAnsi" w:hAnsiTheme="majorHAnsi"/>
          <w:sz w:val="22"/>
          <w:lang w:val="cs-CZ"/>
        </w:rPr>
        <w:t>)</w:t>
      </w:r>
    </w:p>
    <w:p w:rsidR="00A93EF2" w:rsidRDefault="00A93EF2" w:rsidP="00DE00C0">
      <w:pPr>
        <w:pStyle w:val="Aucunstyledeparagraphe"/>
        <w:jc w:val="both"/>
        <w:rPr>
          <w:rFonts w:asciiTheme="majorHAnsi" w:hAnsiTheme="majorHAnsi"/>
          <w:sz w:val="22"/>
          <w:lang w:val="cs-CZ"/>
        </w:rPr>
      </w:pPr>
      <w:r w:rsidRPr="00F07306">
        <w:rPr>
          <w:rFonts w:asciiTheme="majorHAnsi" w:hAnsiTheme="majorHAnsi"/>
          <w:b/>
          <w:color w:val="C00000"/>
          <w:sz w:val="22"/>
          <w:lang w:val="cs-CZ"/>
        </w:rPr>
        <w:t>ISCED 1</w:t>
      </w:r>
      <w:r w:rsidRPr="00F07306">
        <w:rPr>
          <w:rFonts w:asciiTheme="majorHAnsi" w:hAnsiTheme="majorHAnsi"/>
          <w:color w:val="C00000"/>
          <w:sz w:val="22"/>
          <w:lang w:val="cs-CZ"/>
        </w:rPr>
        <w:t xml:space="preserve"> </w:t>
      </w:r>
      <w:r>
        <w:rPr>
          <w:rFonts w:asciiTheme="majorHAnsi" w:hAnsiTheme="majorHAnsi"/>
          <w:sz w:val="22"/>
          <w:lang w:val="cs-CZ"/>
        </w:rPr>
        <w:t>– primární vzdělávání (1. stupeň ZŠ</w:t>
      </w:r>
      <w:r w:rsidR="008C41DC">
        <w:rPr>
          <w:rFonts w:asciiTheme="majorHAnsi" w:hAnsiTheme="majorHAnsi"/>
          <w:sz w:val="22"/>
          <w:lang w:val="cs-CZ"/>
        </w:rPr>
        <w:t>/ZŠ speciální</w:t>
      </w:r>
      <w:r w:rsidR="002E7947">
        <w:rPr>
          <w:rFonts w:asciiTheme="majorHAnsi" w:hAnsiTheme="majorHAnsi"/>
          <w:sz w:val="22"/>
          <w:lang w:val="cs-CZ"/>
        </w:rPr>
        <w:t>, praktické školy</w:t>
      </w:r>
      <w:r w:rsidR="008C41DC">
        <w:rPr>
          <w:rFonts w:asciiTheme="majorHAnsi" w:hAnsiTheme="majorHAnsi"/>
          <w:sz w:val="22"/>
          <w:lang w:val="cs-CZ"/>
        </w:rPr>
        <w:t>)</w:t>
      </w:r>
    </w:p>
    <w:p w:rsidR="00A93EF2" w:rsidRDefault="00A93EF2" w:rsidP="00DE00C0">
      <w:pPr>
        <w:pStyle w:val="Aucunstyledeparagraphe"/>
        <w:jc w:val="both"/>
        <w:rPr>
          <w:rFonts w:asciiTheme="majorHAnsi" w:hAnsiTheme="majorHAnsi"/>
          <w:sz w:val="22"/>
          <w:lang w:val="cs-CZ"/>
        </w:rPr>
      </w:pPr>
      <w:proofErr w:type="gramStart"/>
      <w:r w:rsidRPr="00F07306">
        <w:rPr>
          <w:rFonts w:asciiTheme="majorHAnsi" w:hAnsiTheme="majorHAnsi"/>
          <w:b/>
          <w:color w:val="C00000"/>
          <w:sz w:val="22"/>
          <w:lang w:val="cs-CZ"/>
        </w:rPr>
        <w:t>ISCED 2</w:t>
      </w:r>
      <w:r w:rsidRPr="00F07306">
        <w:rPr>
          <w:rFonts w:asciiTheme="majorHAnsi" w:hAnsiTheme="majorHAnsi"/>
          <w:color w:val="C00000"/>
          <w:sz w:val="22"/>
          <w:lang w:val="cs-CZ"/>
        </w:rPr>
        <w:t xml:space="preserve"> </w:t>
      </w:r>
      <w:r>
        <w:rPr>
          <w:rFonts w:asciiTheme="majorHAnsi" w:hAnsiTheme="majorHAnsi"/>
          <w:sz w:val="22"/>
          <w:lang w:val="cs-CZ"/>
        </w:rPr>
        <w:softHyphen/>
      </w:r>
      <w:r w:rsidR="008C41DC">
        <w:rPr>
          <w:rFonts w:asciiTheme="majorHAnsi" w:hAnsiTheme="majorHAnsi"/>
          <w:sz w:val="22"/>
          <w:lang w:val="cs-CZ"/>
        </w:rPr>
        <w:t>–</w:t>
      </w:r>
      <w:r>
        <w:rPr>
          <w:rFonts w:asciiTheme="majorHAnsi" w:hAnsiTheme="majorHAnsi"/>
          <w:sz w:val="22"/>
          <w:lang w:val="cs-CZ"/>
        </w:rPr>
        <w:t xml:space="preserve"> </w:t>
      </w:r>
      <w:r w:rsidR="008C41DC">
        <w:rPr>
          <w:rFonts w:asciiTheme="majorHAnsi" w:hAnsiTheme="majorHAnsi"/>
          <w:sz w:val="22"/>
          <w:lang w:val="cs-CZ"/>
        </w:rPr>
        <w:t>nižší</w:t>
      </w:r>
      <w:proofErr w:type="gramEnd"/>
      <w:r w:rsidR="008C41DC">
        <w:rPr>
          <w:rFonts w:asciiTheme="majorHAnsi" w:hAnsiTheme="majorHAnsi"/>
          <w:sz w:val="22"/>
          <w:lang w:val="cs-CZ"/>
        </w:rPr>
        <w:t xml:space="preserve"> sekundární vzděláv</w:t>
      </w:r>
      <w:r w:rsidR="0026670B">
        <w:rPr>
          <w:rFonts w:asciiTheme="majorHAnsi" w:hAnsiTheme="majorHAnsi"/>
          <w:sz w:val="22"/>
          <w:lang w:val="cs-CZ"/>
        </w:rPr>
        <w:t>ání (2. stupeň ZŠ/ZŠ speciální, nižší stupeň víceletých gymnázií a konzervatoří)</w:t>
      </w:r>
      <w:r w:rsidR="002E7947">
        <w:rPr>
          <w:rFonts w:asciiTheme="majorHAnsi" w:hAnsiTheme="majorHAnsi"/>
          <w:sz w:val="22"/>
          <w:lang w:val="cs-CZ"/>
        </w:rPr>
        <w:t>; stupeň vzdělání: základní vzdělání, základy vzdělání</w:t>
      </w:r>
      <w:r w:rsidR="00435770">
        <w:rPr>
          <w:rFonts w:asciiTheme="majorHAnsi" w:hAnsiTheme="majorHAnsi"/>
          <w:sz w:val="22"/>
          <w:lang w:val="cs-CZ"/>
        </w:rPr>
        <w:t>, střední vzdělání v praktické škole</w:t>
      </w:r>
    </w:p>
    <w:p w:rsidR="00A93EF2" w:rsidRDefault="00A93EF2" w:rsidP="00DE00C0">
      <w:pPr>
        <w:pStyle w:val="Aucunstyledeparagraphe"/>
        <w:jc w:val="both"/>
        <w:rPr>
          <w:rFonts w:asciiTheme="majorHAnsi" w:hAnsiTheme="majorHAnsi"/>
          <w:sz w:val="22"/>
          <w:lang w:val="cs-CZ"/>
        </w:rPr>
      </w:pPr>
      <w:r w:rsidRPr="00F07306">
        <w:rPr>
          <w:rFonts w:asciiTheme="majorHAnsi" w:hAnsiTheme="majorHAnsi"/>
          <w:b/>
          <w:color w:val="C00000"/>
          <w:sz w:val="22"/>
          <w:lang w:val="cs-CZ"/>
        </w:rPr>
        <w:t>ISCED 3</w:t>
      </w:r>
      <w:r w:rsidR="008C41DC" w:rsidRPr="00F07306">
        <w:rPr>
          <w:rFonts w:asciiTheme="majorHAnsi" w:hAnsiTheme="majorHAnsi"/>
          <w:color w:val="C00000"/>
          <w:sz w:val="22"/>
          <w:lang w:val="cs-CZ"/>
        </w:rPr>
        <w:t xml:space="preserve"> </w:t>
      </w:r>
      <w:r w:rsidR="008C41DC">
        <w:rPr>
          <w:rFonts w:asciiTheme="majorHAnsi" w:hAnsiTheme="majorHAnsi"/>
          <w:sz w:val="22"/>
          <w:lang w:val="cs-CZ"/>
        </w:rPr>
        <w:t xml:space="preserve">– vyšší sekundární </w:t>
      </w:r>
      <w:r w:rsidR="0026670B">
        <w:rPr>
          <w:rFonts w:asciiTheme="majorHAnsi" w:hAnsiTheme="majorHAnsi"/>
          <w:sz w:val="22"/>
          <w:lang w:val="cs-CZ"/>
        </w:rPr>
        <w:t>vzdělávání (vyšší stupeň</w:t>
      </w:r>
      <w:r w:rsidR="00BD096B">
        <w:rPr>
          <w:rFonts w:asciiTheme="majorHAnsi" w:hAnsiTheme="majorHAnsi"/>
          <w:sz w:val="22"/>
          <w:lang w:val="cs-CZ"/>
        </w:rPr>
        <w:t xml:space="preserve"> víceletých gymnázií,</w:t>
      </w:r>
      <w:r w:rsidR="0026670B">
        <w:rPr>
          <w:rFonts w:asciiTheme="majorHAnsi" w:hAnsiTheme="majorHAnsi"/>
          <w:sz w:val="22"/>
          <w:lang w:val="cs-CZ"/>
        </w:rPr>
        <w:t xml:space="preserve"> střední vzdělávání</w:t>
      </w:r>
      <w:r w:rsidR="005555D5">
        <w:rPr>
          <w:rFonts w:asciiTheme="majorHAnsi" w:hAnsiTheme="majorHAnsi"/>
          <w:sz w:val="22"/>
          <w:lang w:val="cs-CZ"/>
        </w:rPr>
        <w:t>, nástavbové a zkrácené studium</w:t>
      </w:r>
      <w:r w:rsidR="00191714">
        <w:rPr>
          <w:rFonts w:asciiTheme="majorHAnsi" w:hAnsiTheme="majorHAnsi"/>
          <w:sz w:val="22"/>
          <w:lang w:val="cs-CZ"/>
        </w:rPr>
        <w:t xml:space="preserve">, </w:t>
      </w:r>
      <w:proofErr w:type="gramStart"/>
      <w:r w:rsidR="00B47AFC" w:rsidRPr="00B47AFC">
        <w:rPr>
          <w:rFonts w:asciiTheme="majorHAnsi" w:hAnsiTheme="majorHAnsi"/>
          <w:sz w:val="22"/>
          <w:lang w:val="cs-CZ"/>
        </w:rPr>
        <w:t>vzdělávání v 5.–6. ročníku</w:t>
      </w:r>
      <w:proofErr w:type="gramEnd"/>
      <w:r w:rsidR="00B47AFC" w:rsidRPr="00B47AFC">
        <w:rPr>
          <w:rFonts w:asciiTheme="majorHAnsi" w:hAnsiTheme="majorHAnsi"/>
          <w:sz w:val="22"/>
          <w:lang w:val="cs-CZ"/>
        </w:rPr>
        <w:t xml:space="preserve"> 8leté konzervatoře nebo v 1.–4. ročníku 6leté konzervatoře</w:t>
      </w:r>
      <w:r w:rsidR="0026670B">
        <w:rPr>
          <w:rFonts w:asciiTheme="majorHAnsi" w:hAnsiTheme="majorHAnsi"/>
          <w:sz w:val="22"/>
          <w:lang w:val="cs-CZ"/>
        </w:rPr>
        <w:t>)</w:t>
      </w:r>
      <w:r w:rsidR="002E7947">
        <w:rPr>
          <w:rFonts w:asciiTheme="majorHAnsi" w:hAnsiTheme="majorHAnsi"/>
          <w:sz w:val="22"/>
          <w:lang w:val="cs-CZ"/>
        </w:rPr>
        <w:t xml:space="preserve">; stupeň vzdělání: </w:t>
      </w:r>
      <w:r w:rsidR="007E00C9">
        <w:rPr>
          <w:rFonts w:asciiTheme="majorHAnsi" w:hAnsiTheme="majorHAnsi"/>
          <w:sz w:val="22"/>
          <w:lang w:val="cs-CZ"/>
        </w:rPr>
        <w:t>střední vzdělání, střední vzdělání s výučním listem, střední vzdělání s maturitní zkouškou</w:t>
      </w:r>
    </w:p>
    <w:p w:rsidR="00A93EF2" w:rsidRDefault="00A93EF2" w:rsidP="00DE00C0">
      <w:pPr>
        <w:pStyle w:val="Aucunstyledeparagraphe"/>
        <w:jc w:val="both"/>
        <w:rPr>
          <w:rFonts w:asciiTheme="majorHAnsi" w:hAnsiTheme="majorHAnsi"/>
          <w:sz w:val="22"/>
          <w:lang w:val="cs-CZ"/>
        </w:rPr>
      </w:pPr>
      <w:r w:rsidRPr="00F07306">
        <w:rPr>
          <w:rFonts w:asciiTheme="majorHAnsi" w:hAnsiTheme="majorHAnsi"/>
          <w:b/>
          <w:color w:val="C00000"/>
          <w:sz w:val="22"/>
          <w:lang w:val="cs-CZ"/>
        </w:rPr>
        <w:t>ISCED 4</w:t>
      </w:r>
      <w:r w:rsidR="00CF7B28" w:rsidRPr="00F07306">
        <w:rPr>
          <w:rFonts w:asciiTheme="majorHAnsi" w:hAnsiTheme="majorHAnsi"/>
          <w:color w:val="C00000"/>
          <w:sz w:val="22"/>
          <w:lang w:val="cs-CZ"/>
        </w:rPr>
        <w:t xml:space="preserve"> </w:t>
      </w:r>
      <w:r w:rsidR="00CF7B28">
        <w:rPr>
          <w:rFonts w:asciiTheme="majorHAnsi" w:hAnsiTheme="majorHAnsi"/>
          <w:sz w:val="22"/>
          <w:lang w:val="cs-CZ"/>
        </w:rPr>
        <w:t>– postsekundární neterciární studium (</w:t>
      </w:r>
      <w:r w:rsidR="005555D5">
        <w:rPr>
          <w:rFonts w:asciiTheme="majorHAnsi" w:hAnsiTheme="majorHAnsi"/>
          <w:sz w:val="22"/>
          <w:lang w:val="cs-CZ"/>
        </w:rPr>
        <w:t xml:space="preserve">akreditované </w:t>
      </w:r>
      <w:r w:rsidR="00BD096B">
        <w:rPr>
          <w:rFonts w:asciiTheme="majorHAnsi" w:hAnsiTheme="majorHAnsi"/>
          <w:sz w:val="22"/>
          <w:lang w:val="cs-CZ"/>
        </w:rPr>
        <w:t>rekvalifika</w:t>
      </w:r>
      <w:r w:rsidR="005555D5">
        <w:rPr>
          <w:rFonts w:asciiTheme="majorHAnsi" w:hAnsiTheme="majorHAnsi"/>
          <w:sz w:val="22"/>
          <w:lang w:val="cs-CZ"/>
        </w:rPr>
        <w:t>ční kurzy</w:t>
      </w:r>
      <w:r w:rsidR="00BD096B">
        <w:rPr>
          <w:rFonts w:asciiTheme="majorHAnsi" w:hAnsiTheme="majorHAnsi"/>
          <w:sz w:val="22"/>
          <w:lang w:val="cs-CZ"/>
        </w:rPr>
        <w:t xml:space="preserve">, </w:t>
      </w:r>
      <w:r w:rsidR="00CF7B28">
        <w:rPr>
          <w:rFonts w:asciiTheme="majorHAnsi" w:hAnsiTheme="majorHAnsi"/>
          <w:sz w:val="22"/>
          <w:lang w:val="cs-CZ"/>
        </w:rPr>
        <w:t>pomaturitní studium</w:t>
      </w:r>
      <w:r w:rsidR="00BD096B">
        <w:rPr>
          <w:rFonts w:asciiTheme="majorHAnsi" w:hAnsiTheme="majorHAnsi"/>
          <w:sz w:val="22"/>
          <w:lang w:val="cs-CZ"/>
        </w:rPr>
        <w:t xml:space="preserve">, </w:t>
      </w:r>
      <w:r w:rsidR="005555D5">
        <w:rPr>
          <w:rFonts w:asciiTheme="majorHAnsi" w:hAnsiTheme="majorHAnsi"/>
          <w:sz w:val="22"/>
          <w:lang w:val="cs-CZ"/>
        </w:rPr>
        <w:t>jednoleté</w:t>
      </w:r>
      <w:r w:rsidR="005555D5" w:rsidRPr="005555D5">
        <w:rPr>
          <w:rFonts w:asciiTheme="majorHAnsi" w:hAnsiTheme="majorHAnsi"/>
          <w:sz w:val="22"/>
          <w:lang w:val="cs-CZ"/>
        </w:rPr>
        <w:t xml:space="preserve"> kurz</w:t>
      </w:r>
      <w:r w:rsidR="005555D5">
        <w:rPr>
          <w:rFonts w:asciiTheme="majorHAnsi" w:hAnsiTheme="majorHAnsi"/>
          <w:sz w:val="22"/>
          <w:lang w:val="cs-CZ"/>
        </w:rPr>
        <w:t>y</w:t>
      </w:r>
      <w:r w:rsidR="005555D5" w:rsidRPr="005555D5">
        <w:rPr>
          <w:rFonts w:asciiTheme="majorHAnsi" w:hAnsiTheme="majorHAnsi"/>
          <w:sz w:val="22"/>
          <w:lang w:val="cs-CZ"/>
        </w:rPr>
        <w:t xml:space="preserve"> cizích jazyků s denní výukou</w:t>
      </w:r>
      <w:r w:rsidR="00CF7B28">
        <w:rPr>
          <w:rFonts w:asciiTheme="majorHAnsi" w:hAnsiTheme="majorHAnsi"/>
          <w:sz w:val="22"/>
          <w:lang w:val="cs-CZ"/>
        </w:rPr>
        <w:t>)</w:t>
      </w:r>
    </w:p>
    <w:p w:rsidR="00A93EF2" w:rsidRDefault="00A93EF2" w:rsidP="00DE00C0">
      <w:pPr>
        <w:pStyle w:val="Aucunstyledeparagraphe"/>
        <w:jc w:val="both"/>
        <w:rPr>
          <w:rFonts w:asciiTheme="majorHAnsi" w:hAnsiTheme="majorHAnsi"/>
          <w:sz w:val="22"/>
          <w:lang w:val="cs-CZ"/>
        </w:rPr>
      </w:pPr>
      <w:r w:rsidRPr="00F07306">
        <w:rPr>
          <w:rFonts w:asciiTheme="majorHAnsi" w:hAnsiTheme="majorHAnsi"/>
          <w:b/>
          <w:color w:val="C00000"/>
          <w:sz w:val="22"/>
          <w:lang w:val="cs-CZ"/>
        </w:rPr>
        <w:t>ISCED 5</w:t>
      </w:r>
      <w:r w:rsidR="00CF7B28" w:rsidRPr="00F07306">
        <w:rPr>
          <w:rFonts w:asciiTheme="majorHAnsi" w:hAnsiTheme="majorHAnsi"/>
          <w:color w:val="C00000"/>
          <w:sz w:val="22"/>
          <w:lang w:val="cs-CZ"/>
        </w:rPr>
        <w:t xml:space="preserve"> </w:t>
      </w:r>
      <w:r w:rsidR="00CF7B28">
        <w:rPr>
          <w:rFonts w:asciiTheme="majorHAnsi" w:hAnsiTheme="majorHAnsi"/>
          <w:sz w:val="22"/>
          <w:lang w:val="cs-CZ"/>
        </w:rPr>
        <w:t>– terciární</w:t>
      </w:r>
      <w:r w:rsidR="0026670B">
        <w:rPr>
          <w:rFonts w:asciiTheme="majorHAnsi" w:hAnsiTheme="majorHAnsi"/>
          <w:sz w:val="22"/>
          <w:lang w:val="cs-CZ"/>
        </w:rPr>
        <w:t xml:space="preserve"> – krátký cyklus (</w:t>
      </w:r>
      <w:r w:rsidR="00BD096B">
        <w:rPr>
          <w:rFonts w:asciiTheme="majorHAnsi" w:hAnsiTheme="majorHAnsi"/>
          <w:sz w:val="22"/>
          <w:lang w:val="cs-CZ"/>
        </w:rPr>
        <w:t xml:space="preserve">poslední dva ročníky </w:t>
      </w:r>
      <w:r w:rsidR="0026670B">
        <w:rPr>
          <w:rFonts w:asciiTheme="majorHAnsi" w:hAnsiTheme="majorHAnsi"/>
          <w:sz w:val="22"/>
          <w:lang w:val="cs-CZ"/>
        </w:rPr>
        <w:t>konzervatoře)</w:t>
      </w:r>
      <w:r w:rsidR="007E00C9">
        <w:rPr>
          <w:rFonts w:asciiTheme="majorHAnsi" w:hAnsiTheme="majorHAnsi"/>
          <w:sz w:val="22"/>
          <w:lang w:val="cs-CZ"/>
        </w:rPr>
        <w:t xml:space="preserve">; stupeň vzdělání: </w:t>
      </w:r>
      <w:r w:rsidR="00C21B22">
        <w:rPr>
          <w:rFonts w:asciiTheme="majorHAnsi" w:hAnsiTheme="majorHAnsi"/>
          <w:sz w:val="22"/>
          <w:lang w:val="cs-CZ"/>
        </w:rPr>
        <w:t xml:space="preserve">terciární – </w:t>
      </w:r>
      <w:r w:rsidR="007E00C9">
        <w:rPr>
          <w:rFonts w:asciiTheme="majorHAnsi" w:hAnsiTheme="majorHAnsi"/>
          <w:sz w:val="22"/>
          <w:lang w:val="cs-CZ"/>
        </w:rPr>
        <w:t>vyšší</w:t>
      </w:r>
      <w:r w:rsidR="00C21B22">
        <w:rPr>
          <w:rFonts w:asciiTheme="majorHAnsi" w:hAnsiTheme="majorHAnsi"/>
          <w:sz w:val="22"/>
          <w:lang w:val="cs-CZ"/>
        </w:rPr>
        <w:t xml:space="preserve"> odborné</w:t>
      </w:r>
      <w:r w:rsidR="007E00C9">
        <w:rPr>
          <w:rFonts w:asciiTheme="majorHAnsi" w:hAnsiTheme="majorHAnsi"/>
          <w:sz w:val="22"/>
          <w:lang w:val="cs-CZ"/>
        </w:rPr>
        <w:t xml:space="preserve"> vzdělání v konzervatoři</w:t>
      </w:r>
    </w:p>
    <w:p w:rsidR="00A93EF2" w:rsidRDefault="00A93EF2" w:rsidP="00DE00C0">
      <w:pPr>
        <w:pStyle w:val="Aucunstyledeparagraphe"/>
        <w:jc w:val="both"/>
        <w:rPr>
          <w:rFonts w:asciiTheme="majorHAnsi" w:hAnsiTheme="majorHAnsi"/>
          <w:sz w:val="22"/>
          <w:lang w:val="cs-CZ"/>
        </w:rPr>
      </w:pPr>
      <w:r w:rsidRPr="00F07306">
        <w:rPr>
          <w:rFonts w:asciiTheme="majorHAnsi" w:hAnsiTheme="majorHAnsi"/>
          <w:b/>
          <w:color w:val="C00000"/>
          <w:sz w:val="22"/>
          <w:lang w:val="cs-CZ"/>
        </w:rPr>
        <w:t>ISCED 6</w:t>
      </w:r>
      <w:r w:rsidR="00CF7B28" w:rsidRPr="00F07306">
        <w:rPr>
          <w:rFonts w:asciiTheme="majorHAnsi" w:hAnsiTheme="majorHAnsi"/>
          <w:color w:val="C00000"/>
          <w:sz w:val="22"/>
          <w:lang w:val="cs-CZ"/>
        </w:rPr>
        <w:t xml:space="preserve"> </w:t>
      </w:r>
      <w:r w:rsidR="00CF7B28">
        <w:rPr>
          <w:rFonts w:asciiTheme="majorHAnsi" w:hAnsiTheme="majorHAnsi"/>
          <w:sz w:val="22"/>
          <w:lang w:val="cs-CZ"/>
        </w:rPr>
        <w:t>– studium v bakalářských studijních program</w:t>
      </w:r>
      <w:r w:rsidR="0026670B">
        <w:rPr>
          <w:rFonts w:asciiTheme="majorHAnsi" w:hAnsiTheme="majorHAnsi"/>
          <w:sz w:val="22"/>
          <w:lang w:val="cs-CZ"/>
        </w:rPr>
        <w:t>ech a vyšší odborné vzdělávání</w:t>
      </w:r>
      <w:r w:rsidR="00C21B22">
        <w:rPr>
          <w:rFonts w:asciiTheme="majorHAnsi" w:hAnsiTheme="majorHAnsi"/>
          <w:sz w:val="22"/>
          <w:lang w:val="cs-CZ"/>
        </w:rPr>
        <w:t>; stupeň vzdělání: terciární – vysokoškolské vzdělání (bakalářské), vyšší odborné vzdělání</w:t>
      </w:r>
    </w:p>
    <w:p w:rsidR="00A93EF2" w:rsidRDefault="00A93EF2" w:rsidP="00DE00C0">
      <w:pPr>
        <w:pStyle w:val="Aucunstyledeparagraphe"/>
        <w:jc w:val="both"/>
        <w:rPr>
          <w:rFonts w:asciiTheme="majorHAnsi" w:hAnsiTheme="majorHAnsi"/>
          <w:sz w:val="22"/>
          <w:lang w:val="cs-CZ"/>
        </w:rPr>
      </w:pPr>
      <w:r w:rsidRPr="00F07306">
        <w:rPr>
          <w:rFonts w:asciiTheme="majorHAnsi" w:hAnsiTheme="majorHAnsi"/>
          <w:b/>
          <w:color w:val="C00000"/>
          <w:sz w:val="22"/>
          <w:lang w:val="cs-CZ"/>
        </w:rPr>
        <w:t>ISCED 7</w:t>
      </w:r>
      <w:r w:rsidR="00CF7B28" w:rsidRPr="00F07306">
        <w:rPr>
          <w:rFonts w:asciiTheme="majorHAnsi" w:hAnsiTheme="majorHAnsi"/>
          <w:color w:val="C00000"/>
          <w:sz w:val="22"/>
          <w:lang w:val="cs-CZ"/>
        </w:rPr>
        <w:t xml:space="preserve"> </w:t>
      </w:r>
      <w:r w:rsidR="00CF7B28">
        <w:rPr>
          <w:rFonts w:asciiTheme="majorHAnsi" w:hAnsiTheme="majorHAnsi"/>
          <w:sz w:val="22"/>
          <w:lang w:val="cs-CZ"/>
        </w:rPr>
        <w:t>– studium v magi</w:t>
      </w:r>
      <w:r w:rsidR="00BD096B">
        <w:rPr>
          <w:rFonts w:asciiTheme="majorHAnsi" w:hAnsiTheme="majorHAnsi"/>
          <w:sz w:val="22"/>
          <w:lang w:val="cs-CZ"/>
        </w:rPr>
        <w:t>sterských studijních programech</w:t>
      </w:r>
      <w:r w:rsidR="00C21B22">
        <w:rPr>
          <w:rFonts w:asciiTheme="majorHAnsi" w:hAnsiTheme="majorHAnsi"/>
          <w:sz w:val="22"/>
          <w:lang w:val="cs-CZ"/>
        </w:rPr>
        <w:t>; stupeň vzdělání: terciární – vysokoškolské vzdělání (</w:t>
      </w:r>
      <w:r w:rsidR="00435770">
        <w:rPr>
          <w:rFonts w:asciiTheme="majorHAnsi" w:hAnsiTheme="majorHAnsi"/>
          <w:sz w:val="22"/>
          <w:lang w:val="cs-CZ"/>
        </w:rPr>
        <w:t>magisterské</w:t>
      </w:r>
      <w:r w:rsidR="00C21B22">
        <w:rPr>
          <w:rFonts w:asciiTheme="majorHAnsi" w:hAnsiTheme="majorHAnsi"/>
          <w:sz w:val="22"/>
          <w:lang w:val="cs-CZ"/>
        </w:rPr>
        <w:t>)</w:t>
      </w:r>
    </w:p>
    <w:p w:rsidR="00A93EF2" w:rsidRPr="007878D7" w:rsidRDefault="00A93EF2" w:rsidP="00DE00C0">
      <w:pPr>
        <w:pStyle w:val="Aucunstyledeparagraphe"/>
        <w:jc w:val="both"/>
        <w:rPr>
          <w:rFonts w:asciiTheme="majorHAnsi" w:hAnsiTheme="majorHAnsi"/>
          <w:sz w:val="22"/>
          <w:lang w:val="cs-CZ"/>
        </w:rPr>
      </w:pPr>
      <w:r w:rsidRPr="00F07306">
        <w:rPr>
          <w:rFonts w:asciiTheme="majorHAnsi" w:hAnsiTheme="majorHAnsi"/>
          <w:b/>
          <w:color w:val="C00000"/>
          <w:sz w:val="22"/>
          <w:lang w:val="cs-CZ"/>
        </w:rPr>
        <w:t>ISCED 8</w:t>
      </w:r>
      <w:r w:rsidR="00CF7B28" w:rsidRPr="00F07306">
        <w:rPr>
          <w:rFonts w:asciiTheme="majorHAnsi" w:hAnsiTheme="majorHAnsi"/>
          <w:color w:val="C00000"/>
          <w:sz w:val="22"/>
          <w:lang w:val="cs-CZ"/>
        </w:rPr>
        <w:t xml:space="preserve"> </w:t>
      </w:r>
      <w:r w:rsidR="00CF7B28">
        <w:rPr>
          <w:rFonts w:asciiTheme="majorHAnsi" w:hAnsiTheme="majorHAnsi"/>
          <w:sz w:val="22"/>
          <w:lang w:val="cs-CZ"/>
        </w:rPr>
        <w:t>– s</w:t>
      </w:r>
      <w:r w:rsidR="00BD096B">
        <w:rPr>
          <w:rFonts w:asciiTheme="majorHAnsi" w:hAnsiTheme="majorHAnsi"/>
          <w:sz w:val="22"/>
          <w:lang w:val="cs-CZ"/>
        </w:rPr>
        <w:t>tudium v doktorských studijních programech</w:t>
      </w:r>
      <w:r w:rsidR="00435770">
        <w:rPr>
          <w:rFonts w:asciiTheme="majorHAnsi" w:hAnsiTheme="majorHAnsi"/>
          <w:sz w:val="22"/>
          <w:lang w:val="cs-CZ"/>
        </w:rPr>
        <w:t>; stupeň vzdělání: terciární – vysokoškolské vzdělání (doktorské)</w:t>
      </w:r>
    </w:p>
    <w:sectPr w:rsidR="00A93EF2" w:rsidRPr="007878D7" w:rsidSect="008A38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05C2" w:rsidRDefault="00AA05C2" w:rsidP="00651BAC">
      <w:pPr>
        <w:spacing w:after="0" w:line="240" w:lineRule="auto"/>
      </w:pPr>
      <w:r>
        <w:separator/>
      </w:r>
    </w:p>
  </w:endnote>
  <w:endnote w:type="continuationSeparator" w:id="0">
    <w:p w:rsidR="00AA05C2" w:rsidRDefault="00AA05C2" w:rsidP="00651B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05C2" w:rsidRDefault="00AA05C2" w:rsidP="00651BAC">
      <w:pPr>
        <w:spacing w:after="0" w:line="240" w:lineRule="auto"/>
      </w:pPr>
      <w:r>
        <w:separator/>
      </w:r>
    </w:p>
  </w:footnote>
  <w:footnote w:type="continuationSeparator" w:id="0">
    <w:p w:rsidR="00AA05C2" w:rsidRDefault="00AA05C2" w:rsidP="00651BAC">
      <w:pPr>
        <w:spacing w:after="0" w:line="240" w:lineRule="auto"/>
      </w:pPr>
      <w:r>
        <w:continuationSeparator/>
      </w:r>
    </w:p>
  </w:footnote>
  <w:footnote w:id="1">
    <w:p w:rsidR="007878D7" w:rsidRPr="007878D7" w:rsidRDefault="007878D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bookmarkStart w:id="0" w:name="_GoBack"/>
      <w:bookmarkEnd w:id="0"/>
      <w:r w:rsidRPr="0058209C">
        <w:rPr>
          <w:rFonts w:asciiTheme="majorHAnsi" w:hAnsiTheme="majorHAnsi"/>
          <w:sz w:val="18"/>
          <w:szCs w:val="18"/>
        </w:rPr>
        <w:t xml:space="preserve">Pro více informací o </w:t>
      </w:r>
      <w:r w:rsidRPr="0058209C">
        <w:rPr>
          <w:rFonts w:asciiTheme="majorHAnsi" w:hAnsiTheme="majorHAnsi"/>
          <w:i/>
          <w:sz w:val="18"/>
          <w:szCs w:val="18"/>
        </w:rPr>
        <w:t xml:space="preserve">Education </w:t>
      </w:r>
      <w:proofErr w:type="spellStart"/>
      <w:r w:rsidRPr="0058209C">
        <w:rPr>
          <w:rFonts w:asciiTheme="majorHAnsi" w:hAnsiTheme="majorHAnsi"/>
          <w:i/>
          <w:sz w:val="18"/>
          <w:szCs w:val="18"/>
        </w:rPr>
        <w:t>at</w:t>
      </w:r>
      <w:proofErr w:type="spellEnd"/>
      <w:r w:rsidRPr="0058209C">
        <w:rPr>
          <w:rFonts w:asciiTheme="majorHAnsi" w:hAnsiTheme="majorHAnsi"/>
          <w:i/>
          <w:sz w:val="18"/>
          <w:szCs w:val="18"/>
        </w:rPr>
        <w:t xml:space="preserve"> a Glance 201</w:t>
      </w:r>
      <w:r w:rsidR="0065799C" w:rsidRPr="0058209C">
        <w:rPr>
          <w:rFonts w:asciiTheme="majorHAnsi" w:hAnsiTheme="majorHAnsi"/>
          <w:i/>
          <w:sz w:val="18"/>
          <w:szCs w:val="18"/>
        </w:rPr>
        <w:t>6</w:t>
      </w:r>
      <w:r w:rsidRPr="0058209C">
        <w:rPr>
          <w:rFonts w:asciiTheme="majorHAnsi" w:hAnsiTheme="majorHAnsi"/>
          <w:i/>
          <w:sz w:val="18"/>
          <w:szCs w:val="18"/>
        </w:rPr>
        <w:t xml:space="preserve"> </w:t>
      </w:r>
      <w:r w:rsidRPr="0058209C">
        <w:rPr>
          <w:rFonts w:asciiTheme="majorHAnsi" w:hAnsiTheme="majorHAnsi"/>
          <w:sz w:val="18"/>
          <w:szCs w:val="18"/>
        </w:rPr>
        <w:t>a přístup ke všem indikátorům navštivte stránky OECD (</w:t>
      </w:r>
      <w:hyperlink r:id="rId1" w:history="1">
        <w:r w:rsidR="0058209C" w:rsidRPr="0058209C">
          <w:rPr>
            <w:rStyle w:val="Hypertextovodkaz"/>
          </w:rPr>
          <w:t>http://www.oecd-ilibrary.org/education/education-at-a-glance-2016_eag-2016-en</w:t>
        </w:r>
      </w:hyperlink>
      <w:r w:rsidRPr="0058209C">
        <w:rPr>
          <w:rFonts w:asciiTheme="majorHAnsi" w:hAnsiTheme="majorHAnsi" w:cs="Times New Roman"/>
          <w:sz w:val="18"/>
          <w:szCs w:val="18"/>
        </w:rPr>
        <w:t>) nebo stránky MŠMT (</w:t>
      </w:r>
      <w:hyperlink r:id="rId2" w:history="1">
        <w:r w:rsidRPr="0058209C">
          <w:rPr>
            <w:rStyle w:val="Hypertextovodkaz"/>
            <w:rFonts w:asciiTheme="majorHAnsi" w:hAnsiTheme="majorHAnsi" w:cs="Times New Roman"/>
            <w:i/>
            <w:sz w:val="18"/>
            <w:szCs w:val="18"/>
          </w:rPr>
          <w:t>http://www.msmt.cz/vzdelavani/skolstvi-v-cr/statistika-skolstvi/publikace-education-at-a-glance-1</w:t>
        </w:r>
      </w:hyperlink>
      <w:r w:rsidRPr="0058209C">
        <w:rPr>
          <w:rFonts w:asciiTheme="majorHAnsi" w:hAnsiTheme="majorHAnsi" w:cs="Times New Roman"/>
          <w:sz w:val="18"/>
          <w:szCs w:val="18"/>
        </w:rPr>
        <w:t>).</w:t>
      </w:r>
    </w:p>
  </w:footnote>
  <w:footnote w:id="2">
    <w:p w:rsidR="00414A4D" w:rsidRPr="0097221F" w:rsidRDefault="00414A4D" w:rsidP="00414A4D">
      <w:pPr>
        <w:pStyle w:val="Textpoznpodarou"/>
      </w:pPr>
      <w:r>
        <w:rPr>
          <w:rStyle w:val="Znakapoznpodarou"/>
        </w:rPr>
        <w:footnoteRef/>
      </w:r>
      <w:r>
        <w:t xml:space="preserve"> Středoškolským vzděláním je zde míněno „</w:t>
      </w:r>
      <w:proofErr w:type="spellStart"/>
      <w:r>
        <w:t>upper</w:t>
      </w:r>
      <w:proofErr w:type="spellEnd"/>
      <w:r>
        <w:t xml:space="preserve"> </w:t>
      </w:r>
      <w:proofErr w:type="spellStart"/>
      <w:r>
        <w:t>secondary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>“, tedy vzdělání na úrovni ISCED 3. Do něj v České republice zahrnujeme střední vzdělání, střední vzdělání s výučním listem a střední vzdělání s maturitní zkouškou.</w:t>
      </w:r>
    </w:p>
  </w:footnote>
  <w:footnote w:id="3">
    <w:p w:rsidR="00414A4D" w:rsidRPr="0097221F" w:rsidRDefault="00414A4D" w:rsidP="00414A4D">
      <w:pPr>
        <w:pStyle w:val="Textpoznpodarou"/>
      </w:pPr>
      <w:r>
        <w:rPr>
          <w:rStyle w:val="Znakapoznpodarou"/>
        </w:rPr>
        <w:footnoteRef/>
      </w:r>
      <w:r>
        <w:t xml:space="preserve"> Mezi země </w:t>
      </w:r>
      <w:r w:rsidRPr="0097221F">
        <w:t xml:space="preserve">EU22 </w:t>
      </w:r>
      <w:r>
        <w:t>započítáváme ty, které jsou zároveň členy Evropské Unie i OECD</w:t>
      </w:r>
      <w:r w:rsidRPr="0097221F">
        <w:t xml:space="preserve">. </w:t>
      </w:r>
      <w:r>
        <w:t>Těchto 22 zemí je:</w:t>
      </w:r>
      <w:r w:rsidRPr="0097221F">
        <w:t xml:space="preserve"> </w:t>
      </w:r>
      <w:r>
        <w:t>Rakousko</w:t>
      </w:r>
      <w:r w:rsidRPr="0097221F">
        <w:t>, Belgi</w:t>
      </w:r>
      <w:r>
        <w:t>e</w:t>
      </w:r>
      <w:r w:rsidRPr="0097221F">
        <w:t xml:space="preserve">, </w:t>
      </w:r>
      <w:r>
        <w:t>Česko</w:t>
      </w:r>
      <w:r w:rsidRPr="0097221F">
        <w:t>, D</w:t>
      </w:r>
      <w:r>
        <w:t>ánsko</w:t>
      </w:r>
      <w:r w:rsidRPr="0097221F">
        <w:t>, Eston</w:t>
      </w:r>
      <w:r>
        <w:t>sko</w:t>
      </w:r>
      <w:r w:rsidRPr="0097221F">
        <w:t>, Fin</w:t>
      </w:r>
      <w:r>
        <w:t>sko</w:t>
      </w:r>
      <w:r w:rsidRPr="0097221F">
        <w:t>, Franc</w:t>
      </w:r>
      <w:r>
        <w:t>i</w:t>
      </w:r>
      <w:r w:rsidRPr="0097221F">
        <w:t xml:space="preserve">e, </w:t>
      </w:r>
      <w:r>
        <w:t>Německo</w:t>
      </w:r>
      <w:r w:rsidRPr="0097221F">
        <w:t xml:space="preserve">, </w:t>
      </w:r>
      <w:r>
        <w:t>Řecko</w:t>
      </w:r>
      <w:r w:rsidRPr="0097221F">
        <w:t xml:space="preserve">, </w:t>
      </w:r>
      <w:r>
        <w:t>Maďarsko</w:t>
      </w:r>
      <w:r w:rsidRPr="0097221F">
        <w:t>, Ir</w:t>
      </w:r>
      <w:r>
        <w:t>sko</w:t>
      </w:r>
      <w:r w:rsidRPr="0097221F">
        <w:t>, It</w:t>
      </w:r>
      <w:r>
        <w:t>álie</w:t>
      </w:r>
      <w:r w:rsidRPr="0097221F">
        <w:t>, L</w:t>
      </w:r>
      <w:r>
        <w:t>otyšsko</w:t>
      </w:r>
      <w:r w:rsidRPr="0097221F">
        <w:t>, Lu</w:t>
      </w:r>
      <w:r>
        <w:t>cembursko</w:t>
      </w:r>
      <w:r w:rsidRPr="0097221F">
        <w:t>, N</w:t>
      </w:r>
      <w:r>
        <w:t>izozemí</w:t>
      </w:r>
      <w:r w:rsidRPr="0097221F">
        <w:t>, Pol</w:t>
      </w:r>
      <w:r>
        <w:t>sko</w:t>
      </w:r>
      <w:r w:rsidRPr="0097221F">
        <w:t>, Portugal</w:t>
      </w:r>
      <w:r>
        <w:t>sko</w:t>
      </w:r>
      <w:r w:rsidRPr="0097221F">
        <w:t>, Slov</w:t>
      </w:r>
      <w:r>
        <w:t>insko</w:t>
      </w:r>
      <w:r w:rsidRPr="0097221F">
        <w:t>, Slov</w:t>
      </w:r>
      <w:r>
        <w:t>ensko</w:t>
      </w:r>
      <w:r w:rsidRPr="0097221F">
        <w:t xml:space="preserve">, </w:t>
      </w:r>
      <w:r>
        <w:t>Španělsko</w:t>
      </w:r>
      <w:r w:rsidRPr="0097221F">
        <w:t xml:space="preserve">, </w:t>
      </w:r>
      <w:r>
        <w:t>Švédsko</w:t>
      </w:r>
      <w:r w:rsidRPr="0097221F">
        <w:t xml:space="preserve"> a</w:t>
      </w:r>
      <w:r>
        <w:t xml:space="preserve"> Velká Británie</w:t>
      </w:r>
      <w:r w:rsidRPr="0097221F">
        <w:t>.</w:t>
      </w:r>
    </w:p>
  </w:footnote>
  <w:footnote w:id="4">
    <w:p w:rsidR="00FB7FC8" w:rsidRDefault="00FB7FC8">
      <w:pPr>
        <w:pStyle w:val="Textpoznpodarou"/>
      </w:pPr>
      <w:r>
        <w:rPr>
          <w:rStyle w:val="Znakapoznpodarou"/>
        </w:rPr>
        <w:footnoteRef/>
      </w:r>
      <w:r>
        <w:t xml:space="preserve"> Uvedené hodnoty v</w:t>
      </w:r>
      <w:r w:rsidRPr="00651BAC">
        <w:t xml:space="preserve"> </w:t>
      </w:r>
      <w:r>
        <w:t>amerických dolarech</w:t>
      </w:r>
      <w:r w:rsidRPr="00651BAC">
        <w:t xml:space="preserve"> (USD) </w:t>
      </w:r>
      <w:r>
        <w:t>byly přepočítány z národní měny pomocí parity kupní síly</w:t>
      </w:r>
      <w:r w:rsidR="00CA1B8C">
        <w:t xml:space="preserve"> (</w:t>
      </w:r>
      <w:hyperlink r:id="rId3" w:history="1">
        <w:r w:rsidR="00CA1B8C" w:rsidRPr="006D2EF4">
          <w:rPr>
            <w:rStyle w:val="Hypertextovodkaz"/>
          </w:rPr>
          <w:t>https://stats.oecd.org/Index.aspx?DataSetCode=PPPGDP</w:t>
        </w:r>
      </w:hyperlink>
      <w:r w:rsidR="00CA1B8C">
        <w:t>)</w:t>
      </w:r>
      <w:r>
        <w:t>.</w:t>
      </w:r>
    </w:p>
  </w:footnote>
  <w:footnote w:id="5">
    <w:p w:rsidR="00B47AFC" w:rsidRPr="00B47AFC" w:rsidRDefault="00B47AFC">
      <w:pPr>
        <w:pStyle w:val="Textpoznpodarou"/>
      </w:pPr>
      <w:r>
        <w:rPr>
          <w:rStyle w:val="Znakapoznpodarou"/>
        </w:rPr>
        <w:footnoteRef/>
      </w:r>
      <w:r>
        <w:t xml:space="preserve"> Úplné zařazení </w:t>
      </w:r>
      <w:r w:rsidRPr="00B47AFC">
        <w:t>českých vzdělávacích programů</w:t>
      </w:r>
      <w:r w:rsidR="002E7947">
        <w:t xml:space="preserve"> i dosaženého vzdělání</w:t>
      </w:r>
      <w:r w:rsidRPr="00B47AFC">
        <w:t xml:space="preserve"> do úrovní klasifikace ISCED 2011</w:t>
      </w:r>
      <w:r>
        <w:t xml:space="preserve"> je k dispozici na stránkách Českého statistického úřadu</w:t>
      </w:r>
      <w:r w:rsidR="00062F52">
        <w:t>.</w:t>
      </w:r>
      <w:r>
        <w:t xml:space="preserve"> </w:t>
      </w:r>
      <w:r w:rsidR="00DE00C0">
        <w:t>(</w:t>
      </w:r>
      <w:hyperlink r:id="rId4" w:history="1">
        <w:r w:rsidR="002E7947" w:rsidRPr="00A160D1">
          <w:rPr>
            <w:rStyle w:val="Hypertextovodkaz"/>
            <w:i/>
          </w:rPr>
          <w:t>https://www.czso.cz/csu/czso/klasifikace_vzdelani_cz_isced_2011</w:t>
        </w:r>
      </w:hyperlink>
      <w:r w:rsidR="002E7947">
        <w:t>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5072F0"/>
    <w:multiLevelType w:val="hybridMultilevel"/>
    <w:tmpl w:val="DB20F1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5176BE"/>
    <w:multiLevelType w:val="hybridMultilevel"/>
    <w:tmpl w:val="5344D83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54350CC"/>
    <w:multiLevelType w:val="hybridMultilevel"/>
    <w:tmpl w:val="B4FA62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135A66"/>
    <w:multiLevelType w:val="hybridMultilevel"/>
    <w:tmpl w:val="69B271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954405"/>
    <w:multiLevelType w:val="hybridMultilevel"/>
    <w:tmpl w:val="E9CAAE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812B5B"/>
    <w:multiLevelType w:val="hybridMultilevel"/>
    <w:tmpl w:val="0870EF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C5D411B"/>
    <w:multiLevelType w:val="hybridMultilevel"/>
    <w:tmpl w:val="D6228E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F856A6C"/>
    <w:multiLevelType w:val="hybridMultilevel"/>
    <w:tmpl w:val="DA5A2F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7"/>
  </w:num>
  <w:num w:numId="6">
    <w:abstractNumId w:val="6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167"/>
    <w:rsid w:val="00042A49"/>
    <w:rsid w:val="000545DA"/>
    <w:rsid w:val="00062F52"/>
    <w:rsid w:val="00070B80"/>
    <w:rsid w:val="00086885"/>
    <w:rsid w:val="0009344D"/>
    <w:rsid w:val="000B1CE7"/>
    <w:rsid w:val="000B5E71"/>
    <w:rsid w:val="000B6FC2"/>
    <w:rsid w:val="00162A86"/>
    <w:rsid w:val="0019117D"/>
    <w:rsid w:val="00191714"/>
    <w:rsid w:val="001C434D"/>
    <w:rsid w:val="001C5B4E"/>
    <w:rsid w:val="001D4F48"/>
    <w:rsid w:val="001E32B8"/>
    <w:rsid w:val="00255181"/>
    <w:rsid w:val="00255541"/>
    <w:rsid w:val="002627FF"/>
    <w:rsid w:val="002641DF"/>
    <w:rsid w:val="00265120"/>
    <w:rsid w:val="00265E96"/>
    <w:rsid w:val="0026670B"/>
    <w:rsid w:val="00274BD4"/>
    <w:rsid w:val="002C3ACE"/>
    <w:rsid w:val="002E7947"/>
    <w:rsid w:val="003036FD"/>
    <w:rsid w:val="00386F69"/>
    <w:rsid w:val="00396832"/>
    <w:rsid w:val="003A51E8"/>
    <w:rsid w:val="003B5B8E"/>
    <w:rsid w:val="00403545"/>
    <w:rsid w:val="00405368"/>
    <w:rsid w:val="00410A10"/>
    <w:rsid w:val="00414A4D"/>
    <w:rsid w:val="00431ED5"/>
    <w:rsid w:val="00435770"/>
    <w:rsid w:val="004625E9"/>
    <w:rsid w:val="00463459"/>
    <w:rsid w:val="004816EA"/>
    <w:rsid w:val="00481BB4"/>
    <w:rsid w:val="00487C26"/>
    <w:rsid w:val="004A6F96"/>
    <w:rsid w:val="004C309C"/>
    <w:rsid w:val="004C3D6A"/>
    <w:rsid w:val="004E13B9"/>
    <w:rsid w:val="004E55A7"/>
    <w:rsid w:val="004F667F"/>
    <w:rsid w:val="00501980"/>
    <w:rsid w:val="00517D46"/>
    <w:rsid w:val="005555D5"/>
    <w:rsid w:val="00576602"/>
    <w:rsid w:val="005779A8"/>
    <w:rsid w:val="0058209C"/>
    <w:rsid w:val="005901F1"/>
    <w:rsid w:val="005A0727"/>
    <w:rsid w:val="005C1CB2"/>
    <w:rsid w:val="005C76E2"/>
    <w:rsid w:val="005D4882"/>
    <w:rsid w:val="005D6E43"/>
    <w:rsid w:val="00611F62"/>
    <w:rsid w:val="00626AFF"/>
    <w:rsid w:val="00651BAC"/>
    <w:rsid w:val="0065799C"/>
    <w:rsid w:val="00672B84"/>
    <w:rsid w:val="006B0B5B"/>
    <w:rsid w:val="006C175F"/>
    <w:rsid w:val="006C5FAE"/>
    <w:rsid w:val="006D096A"/>
    <w:rsid w:val="006E07EF"/>
    <w:rsid w:val="006F2FDB"/>
    <w:rsid w:val="00740D0D"/>
    <w:rsid w:val="00746A38"/>
    <w:rsid w:val="0075060B"/>
    <w:rsid w:val="007536FE"/>
    <w:rsid w:val="00762AAC"/>
    <w:rsid w:val="00766F3F"/>
    <w:rsid w:val="0077785C"/>
    <w:rsid w:val="007878D7"/>
    <w:rsid w:val="00794C7E"/>
    <w:rsid w:val="007C1556"/>
    <w:rsid w:val="007D3875"/>
    <w:rsid w:val="007E00C9"/>
    <w:rsid w:val="007E3CB3"/>
    <w:rsid w:val="00817368"/>
    <w:rsid w:val="00835BAB"/>
    <w:rsid w:val="0085637A"/>
    <w:rsid w:val="00874DE0"/>
    <w:rsid w:val="00881A32"/>
    <w:rsid w:val="00890A8E"/>
    <w:rsid w:val="008A38E9"/>
    <w:rsid w:val="008A40A8"/>
    <w:rsid w:val="008C41DC"/>
    <w:rsid w:val="00907CF3"/>
    <w:rsid w:val="009224D5"/>
    <w:rsid w:val="00931497"/>
    <w:rsid w:val="0093292B"/>
    <w:rsid w:val="00935035"/>
    <w:rsid w:val="00935F82"/>
    <w:rsid w:val="00973AB0"/>
    <w:rsid w:val="009853F5"/>
    <w:rsid w:val="009A2597"/>
    <w:rsid w:val="009E4B3D"/>
    <w:rsid w:val="009F0102"/>
    <w:rsid w:val="009F794B"/>
    <w:rsid w:val="00A160D1"/>
    <w:rsid w:val="00A222E2"/>
    <w:rsid w:val="00A44FEF"/>
    <w:rsid w:val="00A52156"/>
    <w:rsid w:val="00A650B7"/>
    <w:rsid w:val="00A70396"/>
    <w:rsid w:val="00A743B0"/>
    <w:rsid w:val="00A93EF2"/>
    <w:rsid w:val="00A9686F"/>
    <w:rsid w:val="00AA05C2"/>
    <w:rsid w:val="00AB0CBD"/>
    <w:rsid w:val="00AC55F8"/>
    <w:rsid w:val="00AD2F19"/>
    <w:rsid w:val="00AD4565"/>
    <w:rsid w:val="00AD644C"/>
    <w:rsid w:val="00B159F1"/>
    <w:rsid w:val="00B2667D"/>
    <w:rsid w:val="00B35836"/>
    <w:rsid w:val="00B47AFC"/>
    <w:rsid w:val="00B608E1"/>
    <w:rsid w:val="00B87741"/>
    <w:rsid w:val="00B94A73"/>
    <w:rsid w:val="00BB701B"/>
    <w:rsid w:val="00BD096B"/>
    <w:rsid w:val="00BD2E3C"/>
    <w:rsid w:val="00BE671C"/>
    <w:rsid w:val="00BF6099"/>
    <w:rsid w:val="00C02DF4"/>
    <w:rsid w:val="00C05BD8"/>
    <w:rsid w:val="00C11198"/>
    <w:rsid w:val="00C21B22"/>
    <w:rsid w:val="00C71189"/>
    <w:rsid w:val="00C85ADA"/>
    <w:rsid w:val="00C85E59"/>
    <w:rsid w:val="00CA1B8C"/>
    <w:rsid w:val="00CB02D6"/>
    <w:rsid w:val="00CB0ACC"/>
    <w:rsid w:val="00CC0322"/>
    <w:rsid w:val="00CC0D99"/>
    <w:rsid w:val="00CD0391"/>
    <w:rsid w:val="00CE1D3B"/>
    <w:rsid w:val="00CE2391"/>
    <w:rsid w:val="00CE69F3"/>
    <w:rsid w:val="00CF40BA"/>
    <w:rsid w:val="00CF7B28"/>
    <w:rsid w:val="00D03167"/>
    <w:rsid w:val="00D03E23"/>
    <w:rsid w:val="00D14173"/>
    <w:rsid w:val="00D2468F"/>
    <w:rsid w:val="00D44428"/>
    <w:rsid w:val="00D71ED3"/>
    <w:rsid w:val="00D8039C"/>
    <w:rsid w:val="00D836B8"/>
    <w:rsid w:val="00D86285"/>
    <w:rsid w:val="00DB585A"/>
    <w:rsid w:val="00DB5CD5"/>
    <w:rsid w:val="00DC4AB3"/>
    <w:rsid w:val="00DC4F4E"/>
    <w:rsid w:val="00DD7C4B"/>
    <w:rsid w:val="00DE00C0"/>
    <w:rsid w:val="00DF0646"/>
    <w:rsid w:val="00E3056D"/>
    <w:rsid w:val="00E45630"/>
    <w:rsid w:val="00EA1F60"/>
    <w:rsid w:val="00EA7B15"/>
    <w:rsid w:val="00EB634E"/>
    <w:rsid w:val="00EC2645"/>
    <w:rsid w:val="00EE3F99"/>
    <w:rsid w:val="00EF1E78"/>
    <w:rsid w:val="00EF42B1"/>
    <w:rsid w:val="00F07306"/>
    <w:rsid w:val="00F30B01"/>
    <w:rsid w:val="00F40727"/>
    <w:rsid w:val="00F67AA3"/>
    <w:rsid w:val="00F7457B"/>
    <w:rsid w:val="00FB3ACC"/>
    <w:rsid w:val="00FB7FC8"/>
    <w:rsid w:val="00FD4B48"/>
    <w:rsid w:val="00FE0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298F66-E9D8-46C2-A392-F6C03F605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nhideWhenUsed/>
    <w:qFormat/>
    <w:rsid w:val="0093292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AD456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D456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D4565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D45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D456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0B5E71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rsid w:val="009329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textovodkaz">
    <w:name w:val="Hyperlink"/>
    <w:basedOn w:val="Standardnpsmoodstavce"/>
    <w:uiPriority w:val="99"/>
    <w:unhideWhenUsed/>
    <w:rsid w:val="0093292B"/>
    <w:rPr>
      <w:color w:val="0000FF"/>
      <w:u w:val="single"/>
    </w:rPr>
  </w:style>
  <w:style w:type="paragraph" w:customStyle="1" w:styleId="Aucunstyledeparagraphe">
    <w:name w:val="[Aucun style de paragraphe]"/>
    <w:rsid w:val="0093292B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="MS Mincho" w:hAnsi="Times-Roman" w:cs="Times-Roman"/>
      <w:color w:val="000000"/>
      <w:sz w:val="24"/>
      <w:szCs w:val="24"/>
      <w:lang w:val="fr-FR" w:eastAsia="fr-FR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E55A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E55A7"/>
    <w:rPr>
      <w:b/>
      <w:bCs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51B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51B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51BAC"/>
    <w:rPr>
      <w:vertAlign w:val="superscript"/>
    </w:rPr>
  </w:style>
  <w:style w:type="paragraph" w:styleId="Revize">
    <w:name w:val="Revision"/>
    <w:hidden/>
    <w:uiPriority w:val="99"/>
    <w:semiHidden/>
    <w:rsid w:val="00DC4F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0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image" Target="media/image4.png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image" Target="media/image2.emf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emf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stats.oecd.org/Index.aspx?DataSetCode=PPPGDP" TargetMode="External"/><Relationship Id="rId2" Type="http://schemas.openxmlformats.org/officeDocument/2006/relationships/hyperlink" Target="http://www.msmt.cz/vzdelavani/skolstvi-v-cr/statistika-skolstvi/publikace-education-at-a-glance-1" TargetMode="External"/><Relationship Id="rId1" Type="http://schemas.openxmlformats.org/officeDocument/2006/relationships/hyperlink" Target="http://www.oecd-ilibrary.org/education/education-at-a-glance-2016_eag-2016-en" TargetMode="External"/><Relationship Id="rId4" Type="http://schemas.openxmlformats.org/officeDocument/2006/relationships/hyperlink" Target="https://www.czso.cz/csu/czso/klasifikace_vzdelani_cz_isced_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orking Document" ma:contentTypeID="0x0101008B4DD370EC31429186F3AD49F0D3098F00D44DBCB9EB4F45278CB5C9765BE5299500A4858B360C6A491AA753F8BCA47AA9100014A2018E1BB9544A8FBAB2EE07D37855" ma:contentTypeVersion="84" ma:contentTypeDescription="Create a new document." ma:contentTypeScope="" ma:versionID="217f8e5f03352717b9f7898cb6ceb37a">
  <xsd:schema xmlns:xsd="http://www.w3.org/2001/XMLSchema" xmlns:xs="http://www.w3.org/2001/XMLSchema" xmlns:p="http://schemas.microsoft.com/office/2006/metadata/properties" xmlns:ns1="http://schemas.microsoft.com/sharepoint/v3" xmlns:ns2="54c4cd27-f286-408f-9ce0-33c1e0f3ab39" xmlns:ns3="1684bd79-52b6-45ad-8153-7a6215e64acc" xmlns:ns4="e17e282e-9611-44ec-9739-20d5a34fe778" xmlns:ns5="c9f238dd-bb73-4aef-a7a5-d644ad823e52" xmlns:ns6="ca82dde9-3436-4d3d-bddd-d31447390034" targetNamespace="http://schemas.microsoft.com/office/2006/metadata/properties" ma:root="true" ma:fieldsID="b4c2ee357c3f050a301cdbcdabda4fd4" ns1:_="" ns2:_="" ns3:_="" ns4:_="" ns5:_="" ns6:_="">
    <xsd:import namespace="http://schemas.microsoft.com/sharepoint/v3"/>
    <xsd:import namespace="54c4cd27-f286-408f-9ce0-33c1e0f3ab39"/>
    <xsd:import namespace="1684bd79-52b6-45ad-8153-7a6215e64acc"/>
    <xsd:import namespace="e17e282e-9611-44ec-9739-20d5a34fe778"/>
    <xsd:import namespace="c9f238dd-bb73-4aef-a7a5-d644ad823e52"/>
    <xsd:import namespace="ca82dde9-3436-4d3d-bddd-d31447390034"/>
    <xsd:element name="properties">
      <xsd:complexType>
        <xsd:sequence>
          <xsd:element name="documentManagement">
            <xsd:complexType>
              <xsd:all>
                <xsd:element ref="ns2:OECDKimStatus" minOccurs="0"/>
                <xsd:element ref="ns4:OECDProjectLookup" minOccurs="0"/>
                <xsd:element ref="ns3:_dlc_DocId" minOccurs="0"/>
                <xsd:element ref="ns3:_dlc_DocIdUrl" minOccurs="0"/>
                <xsd:element ref="ns4:OECDProjectManager" minOccurs="0"/>
                <xsd:element ref="ns4:OECDProjectMembers" minOccurs="0"/>
                <xsd:element ref="ns4:OECDTagsCache" minOccurs="0"/>
                <xsd:element ref="ns4:OECDPinnedBy" minOccurs="0"/>
                <xsd:element ref="ns5:eShareCountryTaxHTField0" minOccurs="0"/>
                <xsd:element ref="ns5:eShareTopicTaxHTField0" minOccurs="0"/>
                <xsd:element ref="ns5:eShareKeywordsTaxHTField0" minOccurs="0"/>
                <xsd:element ref="ns5:eShareCommitteeTaxHTField0" minOccurs="0"/>
                <xsd:element ref="ns5:eSharePWBTaxHTField0" minOccurs="0"/>
                <xsd:element ref="ns4:Project_x003a_ID" minOccurs="0"/>
                <xsd:element ref="ns4:Project_x003a_Project_x0020_status_x0020_calculated" minOccurs="0"/>
                <xsd:element ref="ns4:f94ef5d5be104a9b994d4c7c4f3d268a" minOccurs="0"/>
                <xsd:element ref="ns6:TaxCatchAll" minOccurs="0"/>
                <xsd:element ref="ns3:_dlc_DocIdPersistId" minOccurs="0"/>
                <xsd:element ref="ns6:TaxCatchAllLabel" minOccurs="0"/>
                <xsd:element ref="ns2:OECDKimProvenance" minOccurs="0"/>
                <xsd:element ref="ns4:OECDMainProject" minOccurs="0"/>
                <xsd:element ref="ns3:OECDExpirationDate" minOccurs="0"/>
                <xsd:element ref="ns1:DocumentSetDescription" minOccurs="0"/>
                <xsd:element ref="ns4:fa9e4784786d4da6a600e050e04c81aa" minOccurs="0"/>
                <xsd:element ref="ns2:OECDDocumentType" minOccurs="0"/>
                <xsd:element ref="ns2:OECDKimBussinessContext" minOccurs="0"/>
                <xsd:element ref="ns4:m085e41044db47838e5e4783c5ddfe92" minOccurs="0"/>
                <xsd:element ref="ns4:Project_x003A_ID1" minOccurs="0"/>
                <xsd:element ref="ns4:Project_x003a_Project_x0020_status" minOccurs="0"/>
                <xsd:element ref="ns3:m49dce442af64f59b762f831aa8de435" minOccurs="0"/>
                <xsd:element ref="ns4:kd75f6e4f01741a8b1cee43ec2c0a7a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36" nillable="true" ma:displayName="Description" ma:description="A description of the Document Set" ma:internalName="DocumentSetDescription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c4cd27-f286-408f-9ce0-33c1e0f3ab39" elementFormDefault="qualified">
    <xsd:import namespace="http://schemas.microsoft.com/office/2006/documentManagement/types"/>
    <xsd:import namespace="http://schemas.microsoft.com/office/infopath/2007/PartnerControls"/>
    <xsd:element name="OECDKimStatus" ma:index="7" nillable="true" ma:displayName="Kim status" ma:default="Draft" ma:description="" ma:format="Dropdown" ma:hidden="true" ma:internalName="OECDKimStatus">
      <xsd:simpleType>
        <xsd:restriction base="dms:Choice">
          <xsd:enumeration value="Draft"/>
          <xsd:enumeration value="Final"/>
        </xsd:restriction>
      </xsd:simpleType>
    </xsd:element>
    <xsd:element name="OECDKimProvenance" ma:index="33" nillable="true" ma:displayName="Kim provenance" ma:description="" ma:hidden="true" ma:internalName="OECDKimProvenance">
      <xsd:simpleType>
        <xsd:restriction base="dms:Text"/>
      </xsd:simpleType>
    </xsd:element>
    <xsd:element name="OECDDocumentType" ma:index="41" nillable="true" ma:displayName="Document Type" ma:description="" ma:hidden="true" ma:internalName="OECDDocumentType" ma:readOnly="false">
      <xsd:simpleType>
        <xsd:restriction base="dms:Text">
          <xsd:maxLength value="255"/>
        </xsd:restriction>
      </xsd:simpleType>
    </xsd:element>
    <xsd:element name="OECDKimBussinessContext" ma:index="42" nillable="true" ma:displayName="Kim business context" ma:description="" ma:hidden="true" ma:internalName="OECDKimBussinessContex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84bd79-52b6-45ad-8153-7a6215e64acc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cument ID" ma:description="" ma:hidden="true" ma:internalName="_dlc_DocId" ma:readOnly="true">
      <xsd:simpleType>
        <xsd:restriction base="dms:Text"/>
      </xsd:simpleType>
    </xsd:element>
    <xsd:element name="_dlc_DocIdUrl" ma:index="15" nillable="true" ma:displayName="Document ID" ma:description="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OECDExpirationDate" ma:index="35" nillable="true" ma:displayName="Highlights" ma:default="" ma:description="" ma:format="DateOnly" ma:indexed="true" ma:internalName="OECDExpirationDate">
      <xsd:simpleType>
        <xsd:restriction base="dms:DateTime"/>
      </xsd:simpleType>
    </xsd:element>
    <xsd:element name="m49dce442af64f59b762f831aa8de435" ma:index="46" nillable="true" ma:taxonomy="true" ma:internalName="m49dce442af64f59b762f831aa8de435" ma:taxonomyFieldName="OECDHorizontalProjects" ma:displayName="Horizontal project" ma:default="" ma:fieldId="649dce44-2af6-4f59-b762-f831aa8de435" ma:taxonomyMulti="true" ma:sspId="27ec883c-a62c-444f-a935-fcddb579e39d" ma:termSetId="d3ca0e0e-65f9-44bf-9d98-5271504f6d6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7e282e-9611-44ec-9739-20d5a34fe778" elementFormDefault="qualified">
    <xsd:import namespace="http://schemas.microsoft.com/office/2006/documentManagement/types"/>
    <xsd:import namespace="http://schemas.microsoft.com/office/infopath/2007/PartnerControls"/>
    <xsd:element name="OECDProjectLookup" ma:index="8" nillable="true" ma:displayName="Project" ma:hidden="true" ma:indexed="true" ma:list="e121798c-086c-442d-894f-40b8a8686382" ma:internalName="OECDProjectLookup" ma:readOnly="false" ma:showField="OECDShortProjectName" ma:web="e17e282e-9611-44ec-9739-20d5a34fe778">
      <xsd:simpleType>
        <xsd:restriction base="dms:Unknown"/>
      </xsd:simpleType>
    </xsd:element>
    <xsd:element name="OECDProjectManager" ma:index="16" nillable="true" ma:displayName="Project manager" ma:description="" ma:hidden="true" ma:indexed="true" ma:internalName="OECDProjectManage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ECDProjectMembers" ma:index="17" nillable="true" ma:displayName="Project members" ma:description="" ma:hidden="true" ma:internalName="OECDProjectMembers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ECDTagsCache" ma:index="19" nillable="true" ma:displayName="Tags cache" ma:description="" ma:hidden="true" ma:internalName="OECDTagsCache">
      <xsd:simpleType>
        <xsd:restriction base="dms:Note"/>
      </xsd:simpleType>
    </xsd:element>
    <xsd:element name="OECDPinnedBy" ma:index="20" nillable="true" ma:displayName="Pinned by" ma:description="" ma:hidden="true" ma:internalName="OECDPinn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oject_x003a_ID" ma:index="27" nillable="true" ma:displayName="Project:ID" ma:hidden="true" ma:list="e121798c-086c-442d-894f-40b8a8686382" ma:internalName="Project_x003A_ID" ma:readOnly="true" ma:showField="ID" ma:web="e17e282e-9611-44ec-9739-20d5a34fe778">
      <xsd:simpleType>
        <xsd:restriction base="dms:Lookup"/>
      </xsd:simpleType>
    </xsd:element>
    <xsd:element name="Project_x003a_Project_x0020_status_x0020_calculated" ma:index="28" nillable="true" ma:displayName="Project:Project status calculated" ma:list="e121798c-086c-442d-894f-40b8a8686382" ma:internalName="Project_x003A_Project_x0020_status_x0020_calculated" ma:readOnly="true" ma:showField="OECDProjectStatusTxt" ma:web="e17e282e-9611-44ec-9739-20d5a34fe778">
      <xsd:simpleType>
        <xsd:restriction base="dms:Lookup"/>
      </xsd:simpleType>
    </xsd:element>
    <xsd:element name="f94ef5d5be104a9b994d4c7c4f3d268a" ma:index="29" nillable="true" ma:displayName="Deliverable partners_0" ma:hidden="true" ma:internalName="f94ef5d5be104a9b994d4c7c4f3d268a">
      <xsd:simpleType>
        <xsd:restriction base="dms:Note"/>
      </xsd:simpleType>
    </xsd:element>
    <xsd:element name="OECDMainProject" ma:index="34" nillable="true" ma:displayName="Main project" ma:description="" ma:hidden="true" ma:indexed="true" ma:list="e121798c-086c-442d-894f-40b8a8686382" ma:internalName="OECDMainProject" ma:readOnly="false" ma:showField="OECDShortProjectName">
      <xsd:simpleType>
        <xsd:restriction base="dms:Unknown"/>
      </xsd:simpleType>
    </xsd:element>
    <xsd:element name="fa9e4784786d4da6a600e050e04c81aa" ma:index="37" nillable="true" ma:displayName="Deliverable owner_0" ma:hidden="true" ma:internalName="fa9e4784786d4da6a600e050e04c81aa">
      <xsd:simpleType>
        <xsd:restriction base="dms:Note"/>
      </xsd:simpleType>
    </xsd:element>
    <xsd:element name="m085e41044db47838e5e4783c5ddfe92" ma:index="43" nillable="true" ma:displayName="Project partners_0" ma:hidden="true" ma:internalName="m085e41044db47838e5e4783c5ddfe92">
      <xsd:simpleType>
        <xsd:restriction base="dms:Note"/>
      </xsd:simpleType>
    </xsd:element>
    <xsd:element name="Project_x003A_ID1" ma:index="44" nillable="true" ma:displayName="Project:ID" ma:list="e121798c-086c-442d-894f-40b8a8686382" ma:internalName="Project_x003A_ID1" ma:readOnly="true" ma:showField="ID" ma:web="e17e282e-9611-44ec-9739-20d5a34fe778">
      <xsd:simpleType>
        <xsd:restriction base="dms:Lookup"/>
      </xsd:simpleType>
    </xsd:element>
    <xsd:element name="Project_x003a_Project_x0020_status" ma:index="45" nillable="true" ma:displayName="Project:Project status" ma:hidden="true" ma:list="e121798c-086c-442d-894f-40b8a8686382" ma:internalName="Project_x003A_Project_x0020_status" ma:readOnly="true" ma:showField="OECDProjectStatus" ma:web="e17e282e-9611-44ec-9739-20d5a34fe778">
      <xsd:simpleType>
        <xsd:restriction base="dms:Lookup"/>
      </xsd:simpleType>
    </xsd:element>
    <xsd:element name="kd75f6e4f01741a8b1cee43ec2c0a7ac" ma:index="47" nillable="true" ma:taxonomy="true" ma:internalName="kd75f6e4f01741a8b1cee43ec2c0a7ac" ma:taxonomyFieldName="OECDProjectOwnerStructure" ma:displayName="Project owner" ma:indexed="true" ma:readOnly="false" ma:default="" ma:fieldId="4d75f6e4-f017-41a8-b1ce-e43ec2c0a7ac" ma:sspId="27ec883c-a62c-444f-a935-fcddb579e39d" ma:termSetId="aeec4dcb-19ee-4bc0-941f-681845b568c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f238dd-bb73-4aef-a7a5-d644ad823e52" elementFormDefault="qualified">
    <xsd:import namespace="http://schemas.microsoft.com/office/2006/documentManagement/types"/>
    <xsd:import namespace="http://schemas.microsoft.com/office/infopath/2007/PartnerControls"/>
    <xsd:element name="eShareCountryTaxHTField0" ma:index="22" nillable="true" ma:taxonomy="true" ma:internalName="eShareCountryTaxHTField0" ma:taxonomyFieldName="OECDCountry" ma:displayName="Country" ma:readOnly="false" ma:default="" ma:fieldId="{aa366335-bba6-4f71-86c6-f91b1ae503c2}" ma:taxonomyMulti="true" ma:sspId="27ec883c-a62c-444f-a935-fcddb579e39d" ma:termSetId="e1026e78-e24d-4b33-a8f4-6ff75b8e5ad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ShareTopicTaxHTField0" ma:index="23" nillable="true" ma:taxonomy="true" ma:internalName="eShareTopicTaxHTField0" ma:taxonomyFieldName="OECDTopic" ma:displayName="Topic" ma:readOnly="false" ma:default="" ma:fieldId="{9b5335f8-765c-484a-86dd-d10580650a95}" ma:taxonomyMulti="true" ma:sspId="27ec883c-a62c-444f-a935-fcddb579e39d" ma:termSetId="d0043ed9-7fdc-4b21-8641-a864cc50d2b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ShareKeywordsTaxHTField0" ma:index="24" nillable="true" ma:taxonomy="true" ma:internalName="eShareKeywordsTaxHTField0" ma:taxonomyFieldName="OECDKeywords" ma:displayName="Keywords" ma:default="" ma:fieldId="{8a7c3663-990d-467c-b1b8-bb4b775674ad}" ma:taxonomyMulti="true" ma:sspId="27ec883c-a62c-444f-a935-fcddb579e39d" ma:termSetId="f51791ee-8e04-4654-a875-fc747102cd45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ShareCommitteeTaxHTField0" ma:index="25" nillable="true" ma:taxonomy="true" ma:internalName="eShareCommitteeTaxHTField0" ma:taxonomyFieldName="OECDCommittee" ma:displayName="Committee" ma:fieldId="{29494d90-e667-47b5-adc1-d09dfb5832ab}" ma:sspId="27ec883c-a62c-444f-a935-fcddb579e39d" ma:termSetId="87919aae-be42-4481-84cf-2389a5c84ac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SharePWBTaxHTField0" ma:index="26" nillable="true" ma:taxonomy="true" ma:internalName="eSharePWBTaxHTField0" ma:taxonomyFieldName="OECDPWB" ma:displayName="PWB" ma:fieldId="{fe327ce1-b783-48aa-9b0b-52ad26d1c9f6}" ma:sspId="27ec883c-a62c-444f-a935-fcddb579e39d" ma:termSetId="7bc7477d-4ef0-4820-a158-bb7b3cda138d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82dde9-3436-4d3d-bddd-d31447390034" elementFormDefault="qualified">
    <xsd:import namespace="http://schemas.microsoft.com/office/2006/documentManagement/types"/>
    <xsd:import namespace="http://schemas.microsoft.com/office/infopath/2007/PartnerControls"/>
    <xsd:element name="TaxCatchAll" ma:index="30" nillable="true" ma:displayName="Taxonomy Catch All Column" ma:hidden="true" ma:list="{510acfa0-d58a-46a0-af1e-eb8c813eb6b2}" ma:internalName="TaxCatchAll" ma:showField="CatchAllData" ma:web="1684bd79-52b6-45ad-8153-7a6215e64a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2" nillable="true" ma:displayName="Taxonomy Catch All Column1" ma:hidden="true" ma:list="{510acfa0-d58a-46a0-af1e-eb8c813eb6b2}" ma:internalName="TaxCatchAllLabel" ma:readOnly="true" ma:showField="CatchAllDataLabel" ma:web="1684bd79-52b6-45ad-8153-7a6215e64a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ShareCountryTaxHTField0 xmlns="c9f238dd-bb73-4aef-a7a5-d644ad823e52">
      <Terms xmlns="http://schemas.microsoft.com/office/infopath/2007/PartnerControls">
        <TermInfo xmlns="http://schemas.microsoft.com/office/infopath/2007/PartnerControls">
          <TermName xmlns="http://schemas.microsoft.com/office/infopath/2007/PartnerControls">Czech Republic</TermName>
          <TermId xmlns="http://schemas.microsoft.com/office/infopath/2007/PartnerControls">1e8d1367-8c1b-41cd-8167-d290c7793bef</TermId>
        </TermInfo>
      </Terms>
    </eShareCountryTaxHTField0>
    <eShareTopicTaxHTField0 xmlns="c9f238dd-bb73-4aef-a7a5-d644ad823e52">
      <Terms xmlns="http://schemas.microsoft.com/office/infopath/2007/PartnerControls">
        <TermInfo xmlns="http://schemas.microsoft.com/office/infopath/2007/PartnerControls">
          <TermName xmlns="http://schemas.microsoft.com/office/infopath/2007/PartnerControls">Education</TermName>
          <TermId xmlns="http://schemas.microsoft.com/office/infopath/2007/PartnerControls">efa18019-c5e7-4d07-b5cf-a61d17d44208</TermId>
        </TermInfo>
      </Terms>
    </eShareTopicTaxHTField0>
    <OECDProjectLookup xmlns="e17e282e-9611-44ec-9739-20d5a34fe778">35</OECDProjectLookup>
    <eSharePWBTaxHTField0 xmlns="c9f238dd-bb73-4aef-a7a5-d644ad823e52">
      <Terms xmlns="http://schemas.microsoft.com/office/infopath/2007/PartnerControls">
        <TermInfo xmlns="http://schemas.microsoft.com/office/infopath/2007/PartnerControls">
          <TermName xmlns="http://schemas.microsoft.com/office/infopath/2007/PartnerControls">2.1.1.1.1 INES: Education at a Glance - Flagship Publication</TermName>
          <TermId xmlns="http://schemas.microsoft.com/office/infopath/2007/PartnerControls">27372e3c-5222-4b52-a97b-7705d66f768e</TermId>
        </TermInfo>
      </Terms>
    </eSharePWBTaxHTField0>
    <m085e41044db47838e5e4783c5ddfe92 xmlns="e17e282e-9611-44ec-9739-20d5a34fe778" xsi:nil="true"/>
    <TaxCatchAll xmlns="ca82dde9-3436-4d3d-bddd-d31447390034">
      <Value>21</Value>
      <Value>931</Value>
      <Value>18</Value>
      <Value>930</Value>
      <Value>40</Value>
    </TaxCatchAll>
    <kd75f6e4f01741a8b1cee43ec2c0a7ac xmlns="e17e282e-9611-44ec-9739-20d5a34fe778">
      <Terms xmlns="http://schemas.microsoft.com/office/infopath/2007/PartnerControls"/>
    </kd75f6e4f01741a8b1cee43ec2c0a7ac>
    <eShareKeywordsTaxHTField0 xmlns="c9f238dd-bb73-4aef-a7a5-d644ad823e52">
      <Terms xmlns="http://schemas.microsoft.com/office/infopath/2007/PartnerControls">
        <TermInfo xmlns="http://schemas.microsoft.com/office/infopath/2007/PartnerControls">
          <TermName xmlns="http://schemas.microsoft.com/office/infopath/2007/PartnerControls">EAG 2015</TermName>
          <TermId xmlns="http://schemas.microsoft.com/office/infopath/2007/PartnerControls">93e2b584-1df7-43a8-8d47-4f770f2518ec</TermId>
        </TermInfo>
      </Terms>
    </eShareKeywordsTaxHTField0>
    <m49dce442af64f59b762f831aa8de435 xmlns="1684bd79-52b6-45ad-8153-7a6215e64acc">
      <Terms xmlns="http://schemas.microsoft.com/office/infopath/2007/PartnerControls"/>
    </m49dce442af64f59b762f831aa8de435>
    <eShareCommitteeTaxHTField0 xmlns="c9f238dd-bb73-4aef-a7a5-d644ad823e52">
      <Terms xmlns="http://schemas.microsoft.com/office/infopath/2007/PartnerControls">
        <TermInfo xmlns="http://schemas.microsoft.com/office/infopath/2007/PartnerControls">
          <TermName xmlns="http://schemas.microsoft.com/office/infopath/2007/PartnerControls">Education Policy Committee</TermName>
          <TermId xmlns="http://schemas.microsoft.com/office/infopath/2007/PartnerControls">c67b295a-63a1-442e-96af-7f8610159b9a</TermId>
        </TermInfo>
      </Terms>
    </eShareCommitteeTaxHTField0>
    <OECDProjectMembers xmlns="e17e282e-9611-44ec-9739-20d5a34fe778">
      <UserInfo>
        <DisplayName/>
        <AccountId xsi:nil="true"/>
        <AccountType/>
      </UserInfo>
    </OECDProjectMembers>
    <OECDKimBussinessContext xmlns="54c4cd27-f286-408f-9ce0-33c1e0f3ab39" xsi:nil="true"/>
    <OECDMainProject xmlns="e17e282e-9611-44ec-9739-20d5a34fe778" xsi:nil="true"/>
    <OECDExpirationDate xmlns="1684bd79-52b6-45ad-8153-7a6215e64acc" xsi:nil="true"/>
    <DocumentSetDescription xmlns="http://schemas.microsoft.com/sharepoint/v3" xsi:nil="true"/>
    <OECDProjectManager xmlns="e17e282e-9611-44ec-9739-20d5a34fe778">
      <UserInfo>
        <DisplayName/>
        <AccountId xsi:nil="true"/>
        <AccountType/>
      </UserInfo>
    </OECDProjectManager>
    <OECDTagsCache xmlns="e17e282e-9611-44ec-9739-20d5a34fe778" xsi:nil="true"/>
    <OECDDocumentType xmlns="54c4cd27-f286-408f-9ce0-33c1e0f3ab39" xsi:nil="true"/>
    <OECDPinnedBy xmlns="e17e282e-9611-44ec-9739-20d5a34fe778">
      <UserInfo>
        <DisplayName/>
        <AccountId xsi:nil="true"/>
        <AccountType/>
      </UserInfo>
    </OECDPinnedBy>
    <OECDKimProvenance xmlns="54c4cd27-f286-408f-9ce0-33c1e0f3ab39" xsi:nil="true"/>
    <OECDKimStatus xmlns="54c4cd27-f286-408f-9ce0-33c1e0f3ab39">Draft</OECDKimStatus>
    <fa9e4784786d4da6a600e050e04c81aa xmlns="e17e282e-9611-44ec-9739-20d5a34fe778" xsi:nil="true"/>
    <f94ef5d5be104a9b994d4c7c4f3d268a xmlns="e17e282e-9611-44ec-9739-20d5a34fe778" xsi:nil="true"/>
  </documentManagement>
</p:properties>
</file>

<file path=customXml/item4.xml><?xml version="1.0" encoding="utf-8"?>
<?mso-contentType ?>
<SharedContentType xmlns="Microsoft.SharePoint.Taxonomy.ContentTypeSync" SourceId="27ec883c-a62c-444f-a935-fcddb579e39d" ContentTypeId="0x0101008B4DD370EC31429186F3AD49F0D3098F00D44DBCB9EB4F45278CB5C9765BE52995" PreviousValue="false"/>
</file>

<file path=customXml/item5.xml><?xml version="1.0" encoding="utf-8"?>
<?mso-contentType ?>
<FormTemplates xmlns="http://schemas.microsoft.com/sharepoint/v3/contenttype/forms">
  <Display>OECDListFormCollapsible</Display>
  <Edit>OECDListFormCollapsible</Edit>
  <New>OECDListFormCollapsible</New>
</FormTemplates>
</file>

<file path=customXml/item6.xml><?xml version="1.0" encoding="utf-8"?>
<?mso-contentType ?>
<CtFieldPriority xmlns="http://www.oecd.org/eshare/projectsentre/CtFieldPriority/" xmlns:i="http://www.w3.org/2001/XMLSchema-instance" NameSpaceURI="http://www.oecd.org/eshare/projectsentre/CtFieldPriority/">
  <PriorityFields xmlns:a="http://schemas.microsoft.com/2003/10/Serialization/Arrays">
    <a:string>Title</a:string>
    <a:string>FileLeafRef</a:string>
    <a:string>OECDCountry</a:string>
    <a:string>OECDTopic</a:string>
    <a:string>OECDKeywords</a:string>
  </PriorityFields>
</CtFieldPriority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09BB8B-A00A-4D8C-BA1E-583B37F1AEB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BC3DBF1-4B5A-4FF8-912C-FFB2683617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4c4cd27-f286-408f-9ce0-33c1e0f3ab39"/>
    <ds:schemaRef ds:uri="1684bd79-52b6-45ad-8153-7a6215e64acc"/>
    <ds:schemaRef ds:uri="e17e282e-9611-44ec-9739-20d5a34fe778"/>
    <ds:schemaRef ds:uri="c9f238dd-bb73-4aef-a7a5-d644ad823e52"/>
    <ds:schemaRef ds:uri="ca82dde9-3436-4d3d-bddd-d314473900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2B202DE-DC41-4EC4-A860-36BBC175BA59}">
  <ds:schemaRefs>
    <ds:schemaRef ds:uri="http://schemas.microsoft.com/office/2006/metadata/properties"/>
    <ds:schemaRef ds:uri="http://schemas.microsoft.com/office/infopath/2007/PartnerControls"/>
    <ds:schemaRef ds:uri="c9f238dd-bb73-4aef-a7a5-d644ad823e52"/>
    <ds:schemaRef ds:uri="e17e282e-9611-44ec-9739-20d5a34fe778"/>
    <ds:schemaRef ds:uri="ca82dde9-3436-4d3d-bddd-d31447390034"/>
    <ds:schemaRef ds:uri="1684bd79-52b6-45ad-8153-7a6215e64acc"/>
    <ds:schemaRef ds:uri="54c4cd27-f286-408f-9ce0-33c1e0f3ab39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21CA96FB-9EB4-4871-8CCB-3EB68CBDD1EC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86FED730-FB84-434E-8F19-C5685AE556DC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DDA86BA6-85DB-4677-AD31-8E6DF2F5A468}">
  <ds:schemaRefs>
    <ds:schemaRef ds:uri="http://www.oecd.org/eshare/projectsentre/CtFieldPriority/"/>
    <ds:schemaRef ds:uri="http://schemas.microsoft.com/2003/10/Serialization/Arrays"/>
  </ds:schemaRefs>
</ds:datastoreItem>
</file>

<file path=customXml/itemProps7.xml><?xml version="1.0" encoding="utf-8"?>
<ds:datastoreItem xmlns:ds="http://schemas.openxmlformats.org/officeDocument/2006/customXml" ds:itemID="{4429ABCC-288A-44A5-A7D1-C19C83759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7</Pages>
  <Words>1446</Words>
  <Characters>8532</Characters>
  <Application>Microsoft Office Word</Application>
  <DocSecurity>0</DocSecurity>
  <Lines>71</Lines>
  <Paragraphs>19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OECD</Company>
  <LinksUpToDate>false</LinksUpToDate>
  <CharactersWithSpaces>9959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JONAS Nicolas</dc:creator>
  <cp:lastModifiedBy>Hulík Vladimír</cp:lastModifiedBy>
  <cp:revision>7</cp:revision>
  <dcterms:created xsi:type="dcterms:W3CDTF">2016-09-14T13:28:00Z</dcterms:created>
  <dcterms:modified xsi:type="dcterms:W3CDTF">2016-09-15T10:10:00Z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ECDCountry">
    <vt:lpwstr>18;#Czech Republic|1e8d1367-8c1b-41cd-8167-d290c7793bef</vt:lpwstr>
  </property>
  <property fmtid="{D5CDD505-2E9C-101B-9397-08002B2CF9AE}" pid="3" name="OECDTopic">
    <vt:lpwstr>21;#Education|efa18019-c5e7-4d07-b5cf-a61d17d44208</vt:lpwstr>
  </property>
  <property fmtid="{D5CDD505-2E9C-101B-9397-08002B2CF9AE}" pid="4" name="OECDProjectPartnersStructure">
    <vt:lpwstr/>
  </property>
  <property fmtid="{D5CDD505-2E9C-101B-9397-08002B2CF9AE}" pid="5" name="OECDOrganisation">
    <vt:lpwstr/>
  </property>
  <property fmtid="{D5CDD505-2E9C-101B-9397-08002B2CF9AE}" pid="6" name="OECDCommittee">
    <vt:lpwstr>40;#Education Policy Committee|c67b295a-63a1-442e-96af-7f8610159b9a</vt:lpwstr>
  </property>
  <property fmtid="{D5CDD505-2E9C-101B-9397-08002B2CF9AE}" pid="7" name="ContentTypeId">
    <vt:lpwstr>0x0101008B4DD370EC31429186F3AD49F0D3098F00D44DBCB9EB4F45278CB5C9765BE5299500A4858B360C6A491AA753F8BCA47AA9100014A2018E1BB9544A8FBAB2EE07D37855</vt:lpwstr>
  </property>
  <property fmtid="{D5CDD505-2E9C-101B-9397-08002B2CF9AE}" pid="8" name="OECDPWB">
    <vt:lpwstr>931;#2.1.1.1.1 INES: Education at a Glance - Flagship Publication|27372e3c-5222-4b52-a97b-7705d66f768e</vt:lpwstr>
  </property>
  <property fmtid="{D5CDD505-2E9C-101B-9397-08002B2CF9AE}" pid="9" name="OECDProjectPageLink">
    <vt:lpwstr>15573</vt:lpwstr>
  </property>
  <property fmtid="{D5CDD505-2E9C-101B-9397-08002B2CF9AE}" pid="10" name="eShareOrganisationTaxHTField0">
    <vt:lpwstr/>
  </property>
  <property fmtid="{D5CDD505-2E9C-101B-9397-08002B2CF9AE}" pid="11" name="OECDKeywords">
    <vt:lpwstr>930;#EAG 2015|93e2b584-1df7-43a8-8d47-4f770f2518ec</vt:lpwstr>
  </property>
  <property fmtid="{D5CDD505-2E9C-101B-9397-08002B2CF9AE}" pid="12" name="OECDHorizontalProjects">
    <vt:lpwstr/>
  </property>
  <property fmtid="{D5CDD505-2E9C-101B-9397-08002B2CF9AE}" pid="13" name="OECDProjectOwnerStructure">
    <vt:lpwstr/>
  </property>
</Properties>
</file>