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22" w:rsidRDefault="00491822" w:rsidP="00491822">
      <w:pPr>
        <w:spacing w:before="120"/>
        <w:jc w:val="center"/>
        <w:rPr>
          <w:b/>
        </w:rPr>
      </w:pPr>
      <w:r>
        <w:rPr>
          <w:b/>
        </w:rPr>
        <w:t>Podpora nadaných žáků základních a středních škol v roce 2017</w:t>
      </w:r>
    </w:p>
    <w:p w:rsidR="00491822" w:rsidRDefault="00491822" w:rsidP="00491822">
      <w:pPr>
        <w:spacing w:before="120"/>
        <w:jc w:val="center"/>
        <w:rPr>
          <w:b/>
        </w:rPr>
      </w:pPr>
    </w:p>
    <w:p w:rsidR="00491822" w:rsidRDefault="00491822" w:rsidP="00491822">
      <w:pPr>
        <w:spacing w:before="120"/>
        <w:ind w:firstLine="426"/>
        <w:jc w:val="both"/>
      </w:pPr>
      <w:r>
        <w:t>Ministerstvo školství, mládeže a tělovýchovy (dále jen „ministerstvo“) vyhlašuje na základě plnění Strategie vzdělávací politiky do roku 2020, Koncepce podpory mládeže na období 2014 – 2020 a Koncepce podpory rozvoje nadání a péče o nadané na období let 2014 – 2020, v souladu s § 14 zákona č. 218/2000 Sb., o rozpočtových pravidlech a o změně některých souvisejících zákonů (rozpočtová pravidla), ve znění pozdějších p</w:t>
      </w:r>
      <w:bookmarkStart w:id="0" w:name="_GoBack"/>
      <w:bookmarkEnd w:id="0"/>
      <w:r>
        <w:t xml:space="preserve">ředpisů, a v souladu se Zásadami vlády pro poskytování dotací ze státního rozpočtu České republiky nestátním neziskovým organizacím ústředními orgány státní správy schválené usnesením vlády ze dne 1. února 2010 č. 92, v platném znění (dále jen „zásady“), tento dotační program.                                  </w:t>
      </w:r>
    </w:p>
    <w:p w:rsidR="00491822" w:rsidRDefault="00491822" w:rsidP="00491822">
      <w:pPr>
        <w:spacing w:before="120"/>
        <w:jc w:val="center"/>
      </w:pPr>
    </w:p>
    <w:p w:rsidR="00491822" w:rsidRDefault="00491822" w:rsidP="00491822">
      <w:pPr>
        <w:spacing w:before="120"/>
        <w:jc w:val="center"/>
      </w:pPr>
      <w:r>
        <w:t>Čl. 1</w:t>
      </w:r>
    </w:p>
    <w:p w:rsidR="00491822" w:rsidRDefault="00491822" w:rsidP="00491822">
      <w:pPr>
        <w:spacing w:before="120"/>
        <w:jc w:val="center"/>
        <w:rPr>
          <w:b/>
        </w:rPr>
      </w:pPr>
      <w:r>
        <w:rPr>
          <w:b/>
        </w:rPr>
        <w:t>Cíle programu</w:t>
      </w:r>
    </w:p>
    <w:p w:rsidR="00491822" w:rsidRDefault="00491822" w:rsidP="00491822">
      <w:pPr>
        <w:pStyle w:val="Zkladntextodsazen2"/>
        <w:numPr>
          <w:ilvl w:val="0"/>
          <w:numId w:val="1"/>
        </w:numPr>
        <w:spacing w:before="120"/>
        <w:ind w:left="426" w:hanging="426"/>
      </w:pPr>
      <w:r>
        <w:t>Základním cílem programu je podpoření, zvyšování kvality a rozšiřování péče o podporu kognitivního nadání žáků základních škol a středních škol (dále jen „škola“).</w:t>
      </w:r>
    </w:p>
    <w:p w:rsidR="00491822" w:rsidRDefault="00491822" w:rsidP="00491822">
      <w:pPr>
        <w:pStyle w:val="Zkladntextodsazen2"/>
        <w:numPr>
          <w:ilvl w:val="0"/>
          <w:numId w:val="1"/>
        </w:numPr>
        <w:spacing w:before="120"/>
        <w:ind w:left="426" w:hanging="426"/>
      </w:pPr>
      <w:r>
        <w:t>Mezi další cíle programu patří:</w:t>
      </w:r>
    </w:p>
    <w:p w:rsidR="00491822" w:rsidRDefault="00491822" w:rsidP="00491822">
      <w:pPr>
        <w:pStyle w:val="Zkladntextodsazen"/>
        <w:numPr>
          <w:ilvl w:val="0"/>
          <w:numId w:val="2"/>
        </w:numPr>
        <w:spacing w:before="60"/>
        <w:ind w:left="709" w:hanging="283"/>
      </w:pPr>
      <w:r>
        <w:t>posílit zájem a motivaci nadaných žáků (dále jen „žák“) pro zvyšování své vědomostní úrovně nad rámec školních vzdělávacích programů;</w:t>
      </w:r>
    </w:p>
    <w:p w:rsidR="00491822" w:rsidRDefault="00491822" w:rsidP="00491822">
      <w:pPr>
        <w:pStyle w:val="Zkladntextodsazen"/>
        <w:numPr>
          <w:ilvl w:val="0"/>
          <w:numId w:val="2"/>
        </w:numPr>
        <w:spacing w:before="60"/>
        <w:ind w:left="709" w:hanging="283"/>
      </w:pPr>
      <w:r>
        <w:t>propojit vzdělávání žáků v jednotlivých vzdělávacích oblastech zejména v technických a přírodovědných oborech a vytvořit předpoklady pro přípravu dostatečného počtu špičkových odborníků v preferovaných oborech;</w:t>
      </w:r>
    </w:p>
    <w:p w:rsidR="00491822" w:rsidRDefault="00491822" w:rsidP="00491822">
      <w:pPr>
        <w:pStyle w:val="Zkladntextodsazen"/>
        <w:numPr>
          <w:ilvl w:val="0"/>
          <w:numId w:val="2"/>
        </w:numPr>
        <w:spacing w:before="60"/>
        <w:ind w:left="709" w:hanging="283"/>
      </w:pPr>
      <w:r>
        <w:t>posílit roli propojení školních, zájmových a neformálních vzdělávacích aktivit mezi jednotlivými druhy škol, které povedou ke zkvalitnění vědomostí, odborných znalostí a dovedností žáků;</w:t>
      </w:r>
    </w:p>
    <w:p w:rsidR="00491822" w:rsidRDefault="00491822" w:rsidP="00491822">
      <w:pPr>
        <w:pStyle w:val="Zkladntextodsazen"/>
        <w:numPr>
          <w:ilvl w:val="0"/>
          <w:numId w:val="2"/>
        </w:numPr>
        <w:spacing w:before="60"/>
        <w:ind w:left="709" w:hanging="284"/>
      </w:pPr>
      <w:r>
        <w:t>podpořit vznik nových zájmových a neformálních vzdělávacích aktivit s vysokou odbornou úrovní zacílených na rozvoj nových metod a forem vzdělávání a reagujících na aktuální vývoj technologií (např. v oblasti digitálního vzdělávání a informatického myšlení), včetně možnosti jejich uplatnění v distančním vzdělávání, které budou připravovat budoucí pracovníky pro zvládnutí nových technologií;</w:t>
      </w:r>
    </w:p>
    <w:p w:rsidR="00491822" w:rsidRDefault="00491822" w:rsidP="00491822">
      <w:pPr>
        <w:pStyle w:val="Zkladntextodsazen"/>
        <w:numPr>
          <w:ilvl w:val="0"/>
          <w:numId w:val="2"/>
        </w:numPr>
        <w:spacing w:before="60"/>
        <w:ind w:left="709" w:hanging="284"/>
      </w:pPr>
      <w:r>
        <w:t>všestranně využít personální a materiální zázemí vysokých škol, výzkumných pracovišť a hospodářských podniků pro rozvoj zájmového a neformálního vzdělávání žáků;</w:t>
      </w:r>
    </w:p>
    <w:p w:rsidR="00491822" w:rsidRDefault="00491822" w:rsidP="00491822">
      <w:pPr>
        <w:pStyle w:val="Zkladntextodsazen"/>
        <w:numPr>
          <w:ilvl w:val="0"/>
          <w:numId w:val="2"/>
        </w:numPr>
        <w:spacing w:before="60"/>
        <w:ind w:left="709" w:hanging="284"/>
      </w:pPr>
      <w:r>
        <w:t>propojit nabídku aktivit pro nadané žáky s činností krajských sítí podpory nadání</w:t>
      </w:r>
      <w:r>
        <w:rPr>
          <w:rStyle w:val="Znakapoznpodarou"/>
        </w:rPr>
        <w:footnoteReference w:id="1"/>
      </w:r>
      <w:r>
        <w:t>.</w:t>
      </w:r>
    </w:p>
    <w:p w:rsidR="00491822" w:rsidRDefault="00491822" w:rsidP="00491822">
      <w:pPr>
        <w:spacing w:before="360"/>
        <w:ind w:left="284" w:hanging="284"/>
        <w:jc w:val="center"/>
      </w:pPr>
      <w:r>
        <w:t>Čl. 2</w:t>
      </w:r>
    </w:p>
    <w:p w:rsidR="00491822" w:rsidRDefault="00491822" w:rsidP="00491822">
      <w:pPr>
        <w:spacing w:before="120"/>
        <w:jc w:val="center"/>
        <w:rPr>
          <w:b/>
        </w:rPr>
      </w:pPr>
      <w:r>
        <w:rPr>
          <w:b/>
        </w:rPr>
        <w:t>Předmět programu</w:t>
      </w:r>
    </w:p>
    <w:p w:rsidR="00491822" w:rsidRDefault="00491822" w:rsidP="00491822">
      <w:pPr>
        <w:pStyle w:val="Zkladntextodsazen2"/>
        <w:numPr>
          <w:ilvl w:val="0"/>
          <w:numId w:val="3"/>
        </w:numPr>
        <w:spacing w:before="120"/>
        <w:ind w:left="426" w:hanging="426"/>
      </w:pPr>
      <w:r>
        <w:t xml:space="preserve">Ministerstvo v tomto programu poskytuje nestátním neziskovým organizacím (spolkům, ústavům, obecně prospěšným společnostem, účelovým zařízením registrovaných církví a náboženských společností), jejichž předmětem činnosti je podpora nadaných dětí a mládeže, právnickým osobám vykonávajícím činnost střediska volného času všech zřizovatelů, veřejným a soukromým vysokým školám a veřejným výzkumným institucím (dále jen „žadatel“) dotace ze státního rozpočtu na vzdělávání, rozvoj vědomostí a dovedností žáků v zájmovém a neformálním vzdělávání, jehož obsah výrazně přesahuje </w:t>
      </w:r>
      <w:r>
        <w:lastRenderedPageBreak/>
        <w:t xml:space="preserve">rámec příslušného stupně vzdělávání žáka a které jsou zaměřeny zejména na přírodovědné a  technické obory. </w:t>
      </w:r>
    </w:p>
    <w:p w:rsidR="00491822" w:rsidRDefault="00491822" w:rsidP="00491822">
      <w:pPr>
        <w:pStyle w:val="Zkladntextodsazen2"/>
        <w:numPr>
          <w:ilvl w:val="0"/>
          <w:numId w:val="3"/>
        </w:numPr>
        <w:spacing w:before="120"/>
        <w:ind w:left="426" w:hanging="426"/>
      </w:pPr>
      <w:r>
        <w:t xml:space="preserve">Dotace je určena na financování zájmového a neformálního vzdělávání souvisejícího se vzděláváním žáků ve věku 13 - 19 let. </w:t>
      </w:r>
    </w:p>
    <w:p w:rsidR="00491822" w:rsidRDefault="00491822" w:rsidP="00491822">
      <w:pPr>
        <w:pStyle w:val="Zkladntextodsazen2"/>
        <w:numPr>
          <w:ilvl w:val="0"/>
          <w:numId w:val="3"/>
        </w:numPr>
        <w:spacing w:before="120"/>
      </w:pPr>
      <w:r>
        <w:t>Žadatel o dotaci musí být přímo organizátor vzdělávací aktivity.</w:t>
      </w:r>
    </w:p>
    <w:p w:rsidR="00491822" w:rsidRDefault="00491822" w:rsidP="00491822">
      <w:pPr>
        <w:pStyle w:val="Zkladntextodsazen2"/>
        <w:numPr>
          <w:ilvl w:val="0"/>
          <w:numId w:val="3"/>
        </w:numPr>
        <w:spacing w:before="120"/>
        <w:ind w:left="426" w:hanging="426"/>
      </w:pPr>
      <w:r>
        <w:t xml:space="preserve">Z hlediska významu programu pro vzdělávací proces v rámci zájmového a neformálního vzdělávání může být dotace poskytnuta až do výše 100 % požadované částky. U nestátních neziskových organizací může být poskytnuta dotace dle zásad do výše 70 % celkových nákladů projektu uvedených v žádosti a tato podmínka je zahrnuta do příslušného rozhodnutí o poskytnutí dotace ze státního rozpočtu. V odůvodněných případech může ministerstvo rozhodnout o poskytnutí dotace až do výše 100 % rozpočtových nákladů projektu.  </w:t>
      </w:r>
    </w:p>
    <w:p w:rsidR="00491822" w:rsidRDefault="00491822" w:rsidP="00491822">
      <w:pPr>
        <w:pStyle w:val="Zkladntextodsazen2"/>
        <w:numPr>
          <w:ilvl w:val="0"/>
          <w:numId w:val="3"/>
        </w:numPr>
        <w:spacing w:before="120"/>
        <w:ind w:left="426" w:hanging="426"/>
      </w:pPr>
      <w:r>
        <w:t xml:space="preserve">Na dotaci z tohoto programu není právní nárok. </w:t>
      </w:r>
    </w:p>
    <w:p w:rsidR="00491822" w:rsidRDefault="00491822" w:rsidP="00491822">
      <w:pPr>
        <w:pStyle w:val="Zkladntextodsazen2"/>
        <w:numPr>
          <w:ilvl w:val="0"/>
          <w:numId w:val="3"/>
        </w:numPr>
        <w:spacing w:before="120"/>
        <w:ind w:left="426" w:hanging="426"/>
      </w:pPr>
      <w:r>
        <w:t>Maximální výše dotace, kterou může žadatel z tohoto programu obdržet, je 1,5 mil. Kč.</w:t>
      </w:r>
    </w:p>
    <w:p w:rsidR="00491822" w:rsidRDefault="00491822" w:rsidP="00491822">
      <w:pPr>
        <w:pStyle w:val="Zkladntextodsazen2"/>
        <w:numPr>
          <w:ilvl w:val="0"/>
          <w:numId w:val="3"/>
        </w:numPr>
        <w:spacing w:before="120"/>
        <w:ind w:left="426" w:hanging="426"/>
      </w:pPr>
      <w:r>
        <w:t xml:space="preserve">Z dotace je možné hradit pouze vzdělávací aktivitu v minimální délce trvání 25 hodin pracovní zátěže žáka/rok. </w:t>
      </w:r>
    </w:p>
    <w:p w:rsidR="00491822" w:rsidRDefault="00491822" w:rsidP="00491822">
      <w:pPr>
        <w:pStyle w:val="Zkladntextodsazen2"/>
        <w:numPr>
          <w:ilvl w:val="0"/>
          <w:numId w:val="3"/>
        </w:numPr>
        <w:spacing w:before="120"/>
        <w:ind w:left="426" w:hanging="426"/>
      </w:pPr>
      <w:r>
        <w:t xml:space="preserve">Žadatel musí prokazatelně existovat minimálně 2 roky ke dni podání žádosti. </w:t>
      </w:r>
    </w:p>
    <w:p w:rsidR="00491822" w:rsidRDefault="00491822" w:rsidP="00491822">
      <w:pPr>
        <w:pStyle w:val="Zkladntextodsazen2"/>
        <w:numPr>
          <w:ilvl w:val="0"/>
          <w:numId w:val="3"/>
        </w:numPr>
        <w:spacing w:before="120"/>
        <w:ind w:left="426" w:hanging="426"/>
      </w:pPr>
      <w:r>
        <w:t xml:space="preserve">V projektu musí být uvedeny podrobné údaje o obsahu, rozsahu a formě vzdělávací aktivity, popis výběru účastníků a osob, které danou vzdělávací aktivitu vedou a garantují obsah po odborné stránce. </w:t>
      </w:r>
    </w:p>
    <w:p w:rsidR="00491822" w:rsidRDefault="00491822" w:rsidP="00491822">
      <w:pPr>
        <w:pStyle w:val="Zkladntextodsazen2"/>
        <w:numPr>
          <w:ilvl w:val="0"/>
          <w:numId w:val="3"/>
        </w:numPr>
        <w:spacing w:before="120"/>
        <w:ind w:left="426" w:hanging="426"/>
      </w:pPr>
      <w:r>
        <w:t>Vzdělávací aktivita se musí konat v průběhu roku 2017.</w:t>
      </w:r>
    </w:p>
    <w:p w:rsidR="00491822" w:rsidRDefault="00491822" w:rsidP="00491822">
      <w:pPr>
        <w:spacing w:before="360"/>
        <w:ind w:left="284" w:hanging="284"/>
        <w:jc w:val="center"/>
      </w:pPr>
      <w:r>
        <w:t>Čl. 3</w:t>
      </w:r>
    </w:p>
    <w:p w:rsidR="00491822" w:rsidRDefault="00491822" w:rsidP="00491822">
      <w:pPr>
        <w:spacing w:before="120"/>
        <w:jc w:val="center"/>
        <w:rPr>
          <w:b/>
        </w:rPr>
      </w:pPr>
      <w:r>
        <w:rPr>
          <w:b/>
        </w:rPr>
        <w:t>Postup při podání žádosti, příjemci dotace a podmínky podávání žádostí</w:t>
      </w:r>
    </w:p>
    <w:p w:rsidR="00491822" w:rsidRDefault="00491822" w:rsidP="00491822">
      <w:pPr>
        <w:pStyle w:val="Zkladntextodsazen2"/>
        <w:numPr>
          <w:ilvl w:val="0"/>
          <w:numId w:val="4"/>
        </w:numPr>
        <w:spacing w:before="120"/>
        <w:ind w:left="426" w:hanging="426"/>
      </w:pPr>
      <w:r>
        <w:t>Pro zařazení do dotačního řízení odboru pro mládež MŠMT je žadatel povinen se nejprve zaregistrovat v elektronickém systému ISPROM na adrese http://isprom.msmt.cz. Po řádné registraci obdrží e-mail s uživatelským jménem a heslem. Dále žadatel vyplní základní údaje k organizaci (tzv. profil organizace) a vloží relevantní přílohy týkající se organizace (viz níže). Dalším krokem je vložení žádosti a příloh. Přílohy se do elektronického systému vkládají jako dokumenty ve formátech DOC/DOCX, XLS/XLSX (případně ODT, ODS) nebo PDF.</w:t>
      </w:r>
    </w:p>
    <w:p w:rsidR="00491822" w:rsidRDefault="00491822" w:rsidP="00491822">
      <w:pPr>
        <w:pStyle w:val="Zkladntextodsazen2"/>
        <w:spacing w:before="120"/>
        <w:ind w:left="426" w:firstLine="0"/>
      </w:pPr>
    </w:p>
    <w:p w:rsidR="00491822" w:rsidRDefault="00491822" w:rsidP="00491822">
      <w:pPr>
        <w:pStyle w:val="Odstavecseseznamem"/>
        <w:numPr>
          <w:ilvl w:val="0"/>
          <w:numId w:val="4"/>
        </w:numPr>
        <w:jc w:val="both"/>
      </w:pPr>
      <w:r>
        <w:t xml:space="preserve">Žádost se podává v elektronické i v listinné podobě. Zaslání žádosti jinou formou (např. elektronickou poštou, na CD apod.) není možné. Po uzavření elektronické žádosti je nutné vyplněnou žádost vytisknout a v jednom vyhotovení zaslat či doručit </w:t>
      </w:r>
      <w:r>
        <w:rPr>
          <w:color w:val="000000"/>
        </w:rPr>
        <w:t xml:space="preserve">na adresu Národního institutu pro další vzdělávání </w:t>
      </w:r>
      <w:r>
        <w:t>(dále jen „NIDV“)</w:t>
      </w:r>
      <w:r>
        <w:rPr>
          <w:color w:val="000000"/>
        </w:rPr>
        <w:t>, Senovážné nám. 25, 110 00 Praha 1</w:t>
      </w:r>
      <w:r>
        <w:t>. Listinná forma žádosti musí být opatřena podpisem statutárního orgánu žadatele. Obálka se žádostí musí být označena slovy „Podpora nadání“. NIDV vykonává tuto činnost v souladu s plánem hlavních úkolů.</w:t>
      </w:r>
    </w:p>
    <w:p w:rsidR="00491822" w:rsidRDefault="00491822" w:rsidP="00491822">
      <w:pPr>
        <w:pStyle w:val="Odstavecseseznamem"/>
        <w:ind w:left="360"/>
        <w:jc w:val="both"/>
      </w:pPr>
    </w:p>
    <w:p w:rsidR="00491822" w:rsidRDefault="00491822" w:rsidP="00491822">
      <w:pPr>
        <w:pStyle w:val="Odstavecseseznamem"/>
        <w:tabs>
          <w:tab w:val="left" w:pos="540"/>
        </w:tabs>
        <w:ind w:hanging="436"/>
        <w:jc w:val="both"/>
      </w:pPr>
      <w:r>
        <w:rPr>
          <w:u w:val="single"/>
        </w:rPr>
        <w:t>a)  Elektronická forma žádosti</w:t>
      </w:r>
      <w:r>
        <w:t xml:space="preserve"> (v systému ISPROM) musí obsahovat:</w:t>
      </w:r>
    </w:p>
    <w:p w:rsidR="00491822" w:rsidRDefault="00491822" w:rsidP="00491822">
      <w:pPr>
        <w:pStyle w:val="Odstavecseseznamem"/>
        <w:numPr>
          <w:ilvl w:val="0"/>
          <w:numId w:val="5"/>
        </w:numPr>
        <w:ind w:left="1260"/>
        <w:jc w:val="both"/>
      </w:pPr>
      <w:r>
        <w:t>Vyplněný profil organizace</w:t>
      </w:r>
    </w:p>
    <w:p w:rsidR="00491822" w:rsidRDefault="00491822" w:rsidP="00491822">
      <w:pPr>
        <w:pStyle w:val="Odstavecseseznamem"/>
        <w:numPr>
          <w:ilvl w:val="0"/>
          <w:numId w:val="5"/>
        </w:numPr>
        <w:ind w:left="1260"/>
        <w:jc w:val="both"/>
      </w:pPr>
      <w:r>
        <w:t>V</w:t>
      </w:r>
      <w:r>
        <w:rPr>
          <w:szCs w:val="20"/>
          <w:lang w:eastAsia="ar-SA"/>
        </w:rPr>
        <w:t xml:space="preserve">yplněnou žádost a projekt </w:t>
      </w:r>
      <w:r>
        <w:t>(dle závazné osnovy v ISPROM).</w:t>
      </w:r>
    </w:p>
    <w:p w:rsidR="00491822" w:rsidRDefault="00491822" w:rsidP="00491822">
      <w:pPr>
        <w:pStyle w:val="Odstavecseseznamem"/>
        <w:tabs>
          <w:tab w:val="left" w:pos="540"/>
        </w:tabs>
        <w:ind w:left="900" w:hanging="540"/>
        <w:jc w:val="both"/>
      </w:pPr>
    </w:p>
    <w:p w:rsidR="00491822" w:rsidRDefault="00491822" w:rsidP="00491822">
      <w:pPr>
        <w:pStyle w:val="Odstavecseseznamem"/>
        <w:tabs>
          <w:tab w:val="left" w:pos="540"/>
        </w:tabs>
        <w:ind w:left="900" w:hanging="540"/>
        <w:jc w:val="both"/>
      </w:pPr>
      <w:r>
        <w:rPr>
          <w:u w:val="single"/>
        </w:rPr>
        <w:t>b) Listinná forma žádosti</w:t>
      </w:r>
      <w:r>
        <w:t xml:space="preserve"> o dotaci musí obsahovat:</w:t>
      </w:r>
    </w:p>
    <w:p w:rsidR="00491822" w:rsidRDefault="00491822" w:rsidP="00491822">
      <w:pPr>
        <w:pStyle w:val="Odstavecseseznamem"/>
        <w:numPr>
          <w:ilvl w:val="0"/>
          <w:numId w:val="5"/>
        </w:numPr>
        <w:ind w:left="1260"/>
        <w:jc w:val="both"/>
      </w:pPr>
      <w:r>
        <w:lastRenderedPageBreak/>
        <w:t xml:space="preserve">Žádost o dotaci vytištěnou ze systému ISPROM a opatřenou podpisem statutárního orgánu. </w:t>
      </w:r>
    </w:p>
    <w:p w:rsidR="00491822" w:rsidRDefault="00491822" w:rsidP="00491822">
      <w:pPr>
        <w:pStyle w:val="Odstavecseseznamem"/>
        <w:ind w:left="1260" w:hanging="360"/>
      </w:pPr>
    </w:p>
    <w:p w:rsidR="00491822" w:rsidRDefault="00491822" w:rsidP="00491822">
      <w:pPr>
        <w:pStyle w:val="Odstavecseseznamem"/>
        <w:ind w:left="1260" w:hanging="360"/>
        <w:jc w:val="both"/>
      </w:pPr>
      <w:r>
        <w:t>- S ohledem na další technické zpracování musí být všechny části listinné formy žádosti jednoduše sešité (ne volné listy nebo kroužková vazba).</w:t>
      </w:r>
    </w:p>
    <w:p w:rsidR="00491822" w:rsidRDefault="00491822" w:rsidP="00491822">
      <w:pPr>
        <w:pStyle w:val="Zkladntextodsazen2"/>
      </w:pPr>
    </w:p>
    <w:p w:rsidR="00491822" w:rsidRDefault="00491822" w:rsidP="00491822">
      <w:pPr>
        <w:pStyle w:val="Odstavecseseznamem"/>
        <w:numPr>
          <w:ilvl w:val="0"/>
          <w:numId w:val="4"/>
        </w:numPr>
        <w:jc w:val="both"/>
      </w:pPr>
      <w:r>
        <w:t xml:space="preserve">Žádost o poskytnutí dotace musí být vložena a uzavřena v systému ISPROM nejpozději do 13.00 hod. dne </w:t>
      </w:r>
      <w:r>
        <w:rPr>
          <w:b/>
        </w:rPr>
        <w:t>10. 11. 2016</w:t>
      </w:r>
      <w:r>
        <w:t>. Poté je systém uzavřen.</w:t>
      </w:r>
    </w:p>
    <w:p w:rsidR="00491822" w:rsidRDefault="00491822" w:rsidP="00491822">
      <w:pPr>
        <w:ind w:firstLine="360"/>
        <w:jc w:val="both"/>
      </w:pPr>
      <w:r>
        <w:t xml:space="preserve">    </w:t>
      </w:r>
    </w:p>
    <w:p w:rsidR="00491822" w:rsidRDefault="00491822" w:rsidP="00491822">
      <w:pPr>
        <w:pStyle w:val="Odstavecseseznamem"/>
        <w:numPr>
          <w:ilvl w:val="0"/>
          <w:numId w:val="4"/>
        </w:numPr>
        <w:jc w:val="both"/>
      </w:pPr>
      <w:r>
        <w:t xml:space="preserve">V listinné podobě musí být žádost doručena na adresu Národního institutu pro další vzdělávání (NIDV), Senovážné nám. 25, 110 00 Praha 1 nebo fyzicky do podatelny NIDV nejpozději do 14.00 hod. </w:t>
      </w:r>
      <w:r>
        <w:rPr>
          <w:b/>
        </w:rPr>
        <w:t>10. 11. 2016</w:t>
      </w:r>
      <w:r>
        <w:t xml:space="preserve">. Pokud je písemná podoba žádosti zasílána poštou, musí být na poštovním razítku uvedeno datum nejpozději </w:t>
      </w:r>
      <w:r>
        <w:rPr>
          <w:b/>
        </w:rPr>
        <w:t>10. 11. 2016</w:t>
      </w:r>
      <w:r>
        <w:t>.</w:t>
      </w:r>
    </w:p>
    <w:p w:rsidR="00491822" w:rsidRDefault="00491822" w:rsidP="00491822">
      <w:pPr>
        <w:pStyle w:val="Odstavecseseznamem"/>
        <w:ind w:left="360"/>
        <w:jc w:val="both"/>
      </w:pPr>
    </w:p>
    <w:p w:rsidR="00491822" w:rsidRDefault="00491822" w:rsidP="00491822">
      <w:pPr>
        <w:pStyle w:val="Odstavecseseznamem"/>
        <w:numPr>
          <w:ilvl w:val="0"/>
          <w:numId w:val="4"/>
        </w:numPr>
        <w:spacing w:before="360" w:line="300" w:lineRule="auto"/>
        <w:jc w:val="both"/>
      </w:pPr>
      <w:r>
        <w:t xml:space="preserve">Na žádosti doručené po stanoveném termínu, na jinou adresu nebo s pozdějším poštovním razítkem nebude brán zřetel. </w:t>
      </w:r>
    </w:p>
    <w:p w:rsidR="00491822" w:rsidRDefault="00491822" w:rsidP="00491822">
      <w:pPr>
        <w:pStyle w:val="Odstavecseseznamem"/>
        <w:spacing w:before="360" w:line="300" w:lineRule="auto"/>
        <w:ind w:left="360"/>
        <w:jc w:val="both"/>
      </w:pPr>
    </w:p>
    <w:p w:rsidR="00491822" w:rsidRDefault="00491822" w:rsidP="00491822">
      <w:pPr>
        <w:pStyle w:val="Odstavecseseznamem"/>
        <w:spacing w:before="360" w:line="300" w:lineRule="auto"/>
        <w:ind w:left="284"/>
      </w:pPr>
      <w:r>
        <w:t xml:space="preserve">                                                                  Čl. 4</w:t>
      </w:r>
    </w:p>
    <w:p w:rsidR="00491822" w:rsidRDefault="00491822" w:rsidP="00491822">
      <w:pPr>
        <w:spacing w:before="120"/>
        <w:jc w:val="center"/>
        <w:rPr>
          <w:b/>
        </w:rPr>
      </w:pPr>
      <w:r>
        <w:rPr>
          <w:b/>
        </w:rPr>
        <w:t>Hodnocení žádostí</w:t>
      </w:r>
    </w:p>
    <w:p w:rsidR="00491822" w:rsidRDefault="00491822" w:rsidP="00491822">
      <w:pPr>
        <w:pStyle w:val="Zkladntextodsazen2"/>
        <w:numPr>
          <w:ilvl w:val="0"/>
          <w:numId w:val="6"/>
        </w:numPr>
        <w:spacing w:before="120"/>
        <w:ind w:left="426" w:hanging="426"/>
      </w:pPr>
      <w:r>
        <w:t>Pro posouzení žádostí bude náměstkyní pro řízení sekce sportu a mládeže ustavena desetičlenná hodnotící komise složená ze zaměstnanců ministerstva, organizací zřízených ministerstvem, expertů a krajských úřadů. Nepodjatost těchto hodnotitelů je zajištěna čestným prohlášením.</w:t>
      </w:r>
    </w:p>
    <w:p w:rsidR="00491822" w:rsidRDefault="00491822" w:rsidP="00491822">
      <w:pPr>
        <w:pStyle w:val="Zkladntextodsazen2"/>
        <w:numPr>
          <w:ilvl w:val="0"/>
          <w:numId w:val="6"/>
        </w:numPr>
        <w:spacing w:before="120"/>
        <w:ind w:left="426" w:hanging="426"/>
      </w:pPr>
      <w:r>
        <w:t>Hodnotící komise bude posuzovat žádosti podle následujících kritérií (viz formulář č. 1):</w:t>
      </w:r>
    </w:p>
    <w:p w:rsidR="00491822" w:rsidRDefault="00491822" w:rsidP="00491822">
      <w:pPr>
        <w:pStyle w:val="Zkladntextodsazen"/>
        <w:numPr>
          <w:ilvl w:val="0"/>
          <w:numId w:val="7"/>
        </w:numPr>
        <w:spacing w:before="60"/>
        <w:ind w:left="709" w:hanging="283"/>
      </w:pPr>
      <w:r>
        <w:t>úplnost žádosti a její včasné podání,</w:t>
      </w:r>
    </w:p>
    <w:p w:rsidR="00491822" w:rsidRDefault="00491822" w:rsidP="00491822">
      <w:pPr>
        <w:pStyle w:val="Zkladntextodsazen"/>
        <w:numPr>
          <w:ilvl w:val="0"/>
          <w:numId w:val="7"/>
        </w:numPr>
        <w:ind w:left="709" w:hanging="283"/>
      </w:pPr>
      <w:r>
        <w:t>soulad obsahu vzdělávací aktivity s cíli dotačního programu, rozsah a forma vzdělávací aktivity, návaznost na RVP a provázanost na aktivity nabízející další rozvoj získaných dovedností,</w:t>
      </w:r>
    </w:p>
    <w:p w:rsidR="00491822" w:rsidRDefault="00491822" w:rsidP="00491822">
      <w:pPr>
        <w:pStyle w:val="Zkladntextodsazen"/>
        <w:numPr>
          <w:ilvl w:val="0"/>
          <w:numId w:val="7"/>
        </w:numPr>
        <w:spacing w:before="60"/>
        <w:ind w:left="709" w:hanging="283"/>
      </w:pPr>
      <w:r>
        <w:t>zdůvodnění, jak forma vzdělávací aktivity rozvíjí tvořivost, podporuje odborný růst a podnikavost zejména v technických a přírodovědných oborech,</w:t>
      </w:r>
    </w:p>
    <w:p w:rsidR="00491822" w:rsidRDefault="00491822" w:rsidP="00491822">
      <w:pPr>
        <w:pStyle w:val="Zkladntextodsazen"/>
        <w:numPr>
          <w:ilvl w:val="0"/>
          <w:numId w:val="7"/>
        </w:numPr>
        <w:ind w:left="709" w:hanging="283"/>
      </w:pPr>
      <w:r>
        <w:t>personální a odborné zabezpečení vzdělávací aktivity,</w:t>
      </w:r>
    </w:p>
    <w:p w:rsidR="00491822" w:rsidRDefault="00491822" w:rsidP="00491822">
      <w:pPr>
        <w:pStyle w:val="Zkladntextodsazen"/>
        <w:numPr>
          <w:ilvl w:val="0"/>
          <w:numId w:val="7"/>
        </w:numPr>
        <w:ind w:left="709" w:hanging="283"/>
      </w:pPr>
      <w:r>
        <w:t>inovativnost vzdělávací aktivity a další využití výsledků aktivity,</w:t>
      </w:r>
    </w:p>
    <w:p w:rsidR="00491822" w:rsidRDefault="00491822" w:rsidP="00491822">
      <w:pPr>
        <w:pStyle w:val="Zkladntextodsazen"/>
        <w:numPr>
          <w:ilvl w:val="0"/>
          <w:numId w:val="7"/>
        </w:numPr>
        <w:ind w:left="709" w:hanging="283"/>
      </w:pPr>
      <w:r>
        <w:t>zajištění systematické práce se žáky,</w:t>
      </w:r>
    </w:p>
    <w:p w:rsidR="00491822" w:rsidRDefault="00491822" w:rsidP="00491822">
      <w:pPr>
        <w:pStyle w:val="Zkladntextodsazen"/>
        <w:numPr>
          <w:ilvl w:val="0"/>
          <w:numId w:val="7"/>
        </w:numPr>
        <w:ind w:left="709" w:hanging="283"/>
      </w:pPr>
      <w:r>
        <w:t xml:space="preserve">účelnost, efektivnost a ekonomická náročnost aktivity. </w:t>
      </w:r>
    </w:p>
    <w:p w:rsidR="00491822" w:rsidRDefault="00491822" w:rsidP="00491822">
      <w:pPr>
        <w:pStyle w:val="Zkladntextodsazen"/>
        <w:ind w:left="709" w:firstLine="0"/>
      </w:pPr>
    </w:p>
    <w:p w:rsidR="00491822" w:rsidRDefault="00491822" w:rsidP="00491822">
      <w:pPr>
        <w:pStyle w:val="Zkladntextodsazen2"/>
        <w:numPr>
          <w:ilvl w:val="0"/>
          <w:numId w:val="6"/>
        </w:numPr>
        <w:ind w:left="426" w:hanging="426"/>
      </w:pPr>
      <w:r>
        <w:t xml:space="preserve">Dotace bude poskytnuta na základě vyhodnocení dle bodového systému. </w:t>
      </w:r>
    </w:p>
    <w:p w:rsidR="00491822" w:rsidRDefault="00491822" w:rsidP="00491822">
      <w:pPr>
        <w:spacing w:before="360"/>
        <w:ind w:left="284" w:hanging="284"/>
        <w:jc w:val="center"/>
      </w:pPr>
      <w:r>
        <w:t>Čl. 5</w:t>
      </w:r>
    </w:p>
    <w:p w:rsidR="00491822" w:rsidRDefault="00491822" w:rsidP="00491822">
      <w:pPr>
        <w:spacing w:before="120"/>
        <w:jc w:val="center"/>
      </w:pPr>
      <w:r>
        <w:rPr>
          <w:b/>
        </w:rPr>
        <w:t>Poskytnutí a čerpání dotace</w:t>
      </w:r>
    </w:p>
    <w:p w:rsidR="00491822" w:rsidRDefault="00491822" w:rsidP="00491822">
      <w:pPr>
        <w:pStyle w:val="Zkladntextodsazen2"/>
        <w:numPr>
          <w:ilvl w:val="0"/>
          <w:numId w:val="8"/>
        </w:numPr>
        <w:spacing w:before="120"/>
        <w:ind w:left="426" w:hanging="426"/>
      </w:pPr>
      <w:r>
        <w:t>Dotace se poskytuje na základě rozhodnutí o poskytnutí dotace. V rozhodnutí se stanoví časové a účelové určení dotace na úhradu aktivity uvedené v žádosti, které organizátor zabezpečuje v roce 2017, a upraví se další podmínky v souladu s tímto vyhlášením a s příslušnými právními předpisy.</w:t>
      </w:r>
    </w:p>
    <w:p w:rsidR="00491822" w:rsidRDefault="00491822" w:rsidP="00491822">
      <w:pPr>
        <w:pStyle w:val="Zkladntextodsazen2"/>
        <w:spacing w:before="120"/>
        <w:ind w:left="426" w:firstLine="0"/>
      </w:pPr>
    </w:p>
    <w:p w:rsidR="00491822" w:rsidRDefault="00491822" w:rsidP="00491822">
      <w:pPr>
        <w:pStyle w:val="Zkladntextodsazen2"/>
        <w:numPr>
          <w:ilvl w:val="0"/>
          <w:numId w:val="8"/>
        </w:numPr>
        <w:ind w:left="426" w:hanging="426"/>
      </w:pPr>
      <w:r>
        <w:t xml:space="preserve">Dotace se poskytuje bezhotovostně na účet příjemce uvedený v žádosti o dotaci u peněžního ústavu. Příjemci, který je příspěvkovou organizací nebo školskou právnickou </w:t>
      </w:r>
      <w:r>
        <w:lastRenderedPageBreak/>
        <w:t xml:space="preserve">osobou zřizovanou krajem nebo obcí, se dotace poskytuje prostřednictvím rozpočtu kraje. Dotace ze státního rozpočtu do rozpočtu obcí se poskytují prostřednictvím krajů, na jehož území leží příslušné obce. Činnost krajů je činností vykonávanou v přenesené působnosti. </w:t>
      </w:r>
    </w:p>
    <w:p w:rsidR="00491822" w:rsidRDefault="00491822" w:rsidP="00491822">
      <w:pPr>
        <w:pStyle w:val="Zkladntextodsazen2"/>
        <w:numPr>
          <w:ilvl w:val="0"/>
          <w:numId w:val="8"/>
        </w:numPr>
        <w:spacing w:before="120"/>
        <w:ind w:left="426" w:hanging="426"/>
      </w:pPr>
      <w:r>
        <w:t>Součástí vyúčtování dotace je prokázání splnění stanoveného účelu dotace, a to počtem</w:t>
      </w:r>
      <w:r>
        <w:rPr>
          <w:color w:val="000000"/>
          <w:lang w:eastAsia="en-US"/>
        </w:rPr>
        <w:t xml:space="preserve"> zúčastněných žáků, který byl uveden v projektu.</w:t>
      </w:r>
    </w:p>
    <w:p w:rsidR="00491822" w:rsidRDefault="00491822" w:rsidP="00491822">
      <w:pPr>
        <w:pStyle w:val="Zkladntextodsazen2"/>
        <w:numPr>
          <w:ilvl w:val="0"/>
          <w:numId w:val="8"/>
        </w:numPr>
        <w:spacing w:before="120"/>
        <w:ind w:left="426" w:hanging="426"/>
      </w:pPr>
      <w:r>
        <w:t>Základní informace o schválených žádostech, poskytnutých dotacích a výsledcích programu budou zveřejněny na webových stránkách ministerstva.</w:t>
      </w:r>
    </w:p>
    <w:p w:rsidR="00491822" w:rsidRDefault="00491822" w:rsidP="00491822">
      <w:pPr>
        <w:pStyle w:val="Zkladntextodsazen2"/>
        <w:numPr>
          <w:ilvl w:val="0"/>
          <w:numId w:val="8"/>
        </w:numPr>
        <w:spacing w:before="120"/>
        <w:ind w:left="426" w:hanging="426"/>
      </w:pPr>
      <w:r>
        <w:t xml:space="preserve">Aktivita bude muset být po případném schválení zveřejněna na webové stránce www.talentovani.cz.  </w:t>
      </w:r>
    </w:p>
    <w:p w:rsidR="00491822" w:rsidRDefault="00491822" w:rsidP="00491822">
      <w:pPr>
        <w:spacing w:before="120"/>
        <w:jc w:val="center"/>
      </w:pPr>
      <w:r>
        <w:t>Čl. 6</w:t>
      </w:r>
    </w:p>
    <w:p w:rsidR="00491822" w:rsidRDefault="00491822" w:rsidP="00491822">
      <w:pPr>
        <w:spacing w:before="120"/>
        <w:jc w:val="center"/>
      </w:pPr>
      <w:r>
        <w:rPr>
          <w:b/>
        </w:rPr>
        <w:t>Kontrola využití dotace</w:t>
      </w:r>
      <w:r>
        <w:t xml:space="preserve"> </w:t>
      </w:r>
    </w:p>
    <w:p w:rsidR="00491822" w:rsidRDefault="00491822" w:rsidP="00491822">
      <w:pPr>
        <w:pStyle w:val="Odstavecseseznamem"/>
        <w:numPr>
          <w:ilvl w:val="0"/>
          <w:numId w:val="9"/>
        </w:numPr>
        <w:autoSpaceDE w:val="0"/>
        <w:autoSpaceDN w:val="0"/>
        <w:adjustRightInd w:val="0"/>
        <w:ind w:left="425" w:hanging="425"/>
        <w:jc w:val="both"/>
        <w:rPr>
          <w:color w:val="000000"/>
          <w:lang w:eastAsia="en-US"/>
        </w:rPr>
      </w:pPr>
      <w:r>
        <w:rPr>
          <w:color w:val="000000"/>
          <w:lang w:eastAsia="en-US"/>
        </w:rPr>
        <w:t>Příjemce dotace odpovídá za hospodárné, efektivní a účelné využití dotace.</w:t>
      </w:r>
    </w:p>
    <w:p w:rsidR="00491822" w:rsidRDefault="00491822" w:rsidP="00491822">
      <w:pPr>
        <w:pStyle w:val="Odstavecseseznamem"/>
        <w:autoSpaceDE w:val="0"/>
        <w:autoSpaceDN w:val="0"/>
        <w:adjustRightInd w:val="0"/>
        <w:ind w:left="425"/>
        <w:jc w:val="both"/>
        <w:rPr>
          <w:color w:val="000000"/>
          <w:lang w:eastAsia="en-US"/>
        </w:rPr>
      </w:pPr>
    </w:p>
    <w:p w:rsidR="00491822" w:rsidRDefault="00491822" w:rsidP="00491822">
      <w:pPr>
        <w:pStyle w:val="Odstavecseseznamem"/>
        <w:numPr>
          <w:ilvl w:val="0"/>
          <w:numId w:val="9"/>
        </w:numPr>
        <w:autoSpaceDE w:val="0"/>
        <w:autoSpaceDN w:val="0"/>
        <w:adjustRightInd w:val="0"/>
        <w:ind w:left="425" w:hanging="425"/>
        <w:jc w:val="both"/>
        <w:rPr>
          <w:color w:val="000000"/>
          <w:lang w:eastAsia="en-US"/>
        </w:rPr>
      </w:pPr>
      <w:r>
        <w:t xml:space="preserve">Nakládání s poskytnutou dotací podléhá kontrole podle souvisejících platných právních předpisů. </w:t>
      </w:r>
    </w:p>
    <w:p w:rsidR="00491822" w:rsidRDefault="00491822" w:rsidP="00491822">
      <w:pPr>
        <w:pStyle w:val="Odstavecseseznamem"/>
        <w:rPr>
          <w:color w:val="000000"/>
          <w:lang w:eastAsia="en-US"/>
        </w:rPr>
      </w:pPr>
    </w:p>
    <w:p w:rsidR="00491822" w:rsidRDefault="00491822" w:rsidP="00491822">
      <w:pPr>
        <w:pStyle w:val="Odstavecseseznamem"/>
        <w:numPr>
          <w:ilvl w:val="0"/>
          <w:numId w:val="9"/>
        </w:numPr>
        <w:autoSpaceDE w:val="0"/>
        <w:autoSpaceDN w:val="0"/>
        <w:adjustRightInd w:val="0"/>
        <w:ind w:left="425" w:hanging="425"/>
        <w:jc w:val="both"/>
        <w:rPr>
          <w:color w:val="000000"/>
          <w:lang w:eastAsia="en-US"/>
        </w:rPr>
      </w:pPr>
      <w:r>
        <w:rPr>
          <w:color w:val="000000"/>
          <w:lang w:eastAsia="en-US"/>
        </w:rPr>
        <w:t xml:space="preserve">Příjemce dotace je povinen poskytnout při výkonu kontroly potřebnou součinnost. </w:t>
      </w:r>
    </w:p>
    <w:p w:rsidR="00491822" w:rsidRDefault="00491822" w:rsidP="00491822">
      <w:pPr>
        <w:spacing w:after="200" w:line="276" w:lineRule="auto"/>
        <w:jc w:val="center"/>
      </w:pPr>
    </w:p>
    <w:p w:rsidR="00491822" w:rsidRDefault="00491822" w:rsidP="00491822">
      <w:pPr>
        <w:pStyle w:val="Zkladntext"/>
        <w:spacing w:before="120" w:after="0"/>
        <w:jc w:val="center"/>
      </w:pPr>
      <w:r>
        <w:t>Čl. 7</w:t>
      </w:r>
    </w:p>
    <w:p w:rsidR="00491822" w:rsidRDefault="00491822" w:rsidP="00491822">
      <w:pPr>
        <w:spacing w:before="120"/>
        <w:ind w:left="284"/>
        <w:jc w:val="center"/>
        <w:rPr>
          <w:b/>
        </w:rPr>
      </w:pPr>
      <w:r>
        <w:rPr>
          <w:b/>
        </w:rPr>
        <w:t>Finanční vypořádání a předkládání zpráv využití dotace</w:t>
      </w:r>
    </w:p>
    <w:p w:rsidR="00491822" w:rsidRDefault="00491822" w:rsidP="00491822">
      <w:pPr>
        <w:pStyle w:val="Odstavecseseznamem"/>
        <w:numPr>
          <w:ilvl w:val="0"/>
          <w:numId w:val="10"/>
        </w:numPr>
        <w:autoSpaceDE w:val="0"/>
        <w:autoSpaceDN w:val="0"/>
        <w:adjustRightInd w:val="0"/>
        <w:jc w:val="both"/>
        <w:rPr>
          <w:color w:val="000000"/>
          <w:lang w:eastAsia="en-US"/>
        </w:rPr>
      </w:pPr>
      <w:r>
        <w:rPr>
          <w:color w:val="000000"/>
          <w:lang w:eastAsia="en-US"/>
        </w:rPr>
        <w:t xml:space="preserve">Příjemce je povinen vypořádat dotaci podle vyhlášky </w:t>
      </w:r>
      <w:r>
        <w:rPr>
          <w:color w:val="000000"/>
        </w:rPr>
        <w:t>č. 367/2015 Sb., o zásadách a lhůtách finančního vypořádání vztahů se státním rozpočtem, státními finančními aktivy a Národním fondem (vyhláška o finančním vypořádání)</w:t>
      </w:r>
      <w:r>
        <w:rPr>
          <w:color w:val="000000"/>
          <w:lang w:eastAsia="en-US"/>
        </w:rPr>
        <w:t>. Spolu s vypořádáním příjemce předloží ministerstvu zprávu o způsobu využití dotace, která bude obsahovat stručné hodnocení vzdělávací aktivity. Řídí se přitom podmínkami a termíny stanovenými v rozhodnutí o poskytnutí dotace.</w:t>
      </w:r>
    </w:p>
    <w:p w:rsidR="00491822" w:rsidRDefault="00491822" w:rsidP="00491822">
      <w:pPr>
        <w:pStyle w:val="Odstavecseseznamem"/>
        <w:autoSpaceDE w:val="0"/>
        <w:autoSpaceDN w:val="0"/>
        <w:adjustRightInd w:val="0"/>
        <w:ind w:left="360"/>
        <w:jc w:val="both"/>
        <w:rPr>
          <w:color w:val="000000"/>
          <w:lang w:eastAsia="en-US"/>
        </w:rPr>
      </w:pPr>
    </w:p>
    <w:p w:rsidR="00491822" w:rsidRDefault="00491822" w:rsidP="00491822">
      <w:pPr>
        <w:pStyle w:val="Odstavecseseznamem"/>
        <w:numPr>
          <w:ilvl w:val="0"/>
          <w:numId w:val="10"/>
        </w:numPr>
        <w:autoSpaceDE w:val="0"/>
        <w:autoSpaceDN w:val="0"/>
        <w:adjustRightInd w:val="0"/>
        <w:jc w:val="both"/>
        <w:rPr>
          <w:color w:val="000000"/>
          <w:lang w:eastAsia="en-US"/>
        </w:rPr>
      </w:pPr>
      <w:r>
        <w:rPr>
          <w:color w:val="000000"/>
          <w:lang w:eastAsia="en-US"/>
        </w:rPr>
        <w:t>Vyúčtování poskytnutých dotací předloží žadatel ministerstvu nejpozději do 31. 1. 2018 dle formuláře č.1 k rozhodnutí Vyúčtování dotace.</w:t>
      </w:r>
    </w:p>
    <w:p w:rsidR="00491822" w:rsidRDefault="00491822" w:rsidP="00491822">
      <w:pPr>
        <w:pStyle w:val="Zkladntextodsazen"/>
        <w:spacing w:before="120"/>
        <w:ind w:firstLine="0"/>
        <w:jc w:val="center"/>
      </w:pPr>
      <w:r>
        <w:t>Čl. 8</w:t>
      </w:r>
    </w:p>
    <w:p w:rsidR="00491822" w:rsidRDefault="00491822" w:rsidP="00491822">
      <w:pPr>
        <w:pStyle w:val="Zkladntextodsazen"/>
        <w:spacing w:before="120"/>
        <w:ind w:firstLine="0"/>
        <w:jc w:val="center"/>
        <w:rPr>
          <w:b/>
        </w:rPr>
      </w:pPr>
      <w:r>
        <w:rPr>
          <w:b/>
        </w:rPr>
        <w:t>Účinnost</w:t>
      </w:r>
    </w:p>
    <w:p w:rsidR="00491822" w:rsidRDefault="00491822" w:rsidP="00491822">
      <w:pPr>
        <w:pStyle w:val="Zkladntextodsazen"/>
        <w:spacing w:before="120"/>
        <w:ind w:firstLine="284"/>
      </w:pPr>
      <w:r>
        <w:t>Tento program se vyhlašuje s účinností ke dni 30. září 2016.</w:t>
      </w:r>
    </w:p>
    <w:p w:rsidR="00491822" w:rsidRDefault="00491822" w:rsidP="00491822">
      <w:pPr>
        <w:pStyle w:val="Zkladntextodsazen"/>
        <w:ind w:firstLine="0"/>
        <w:jc w:val="center"/>
      </w:pPr>
    </w:p>
    <w:p w:rsidR="00491822" w:rsidRDefault="00491822" w:rsidP="00491822">
      <w:pPr>
        <w:pStyle w:val="Zkladntextodsazen"/>
        <w:ind w:firstLine="0"/>
        <w:jc w:val="center"/>
      </w:pPr>
      <w:r>
        <w:t>Mgr. Kateřina Valachová, Ph.D.</w:t>
      </w:r>
    </w:p>
    <w:p w:rsidR="00491822" w:rsidRDefault="00491822" w:rsidP="00491822">
      <w:pPr>
        <w:pStyle w:val="Zkladntextodsazen"/>
        <w:ind w:firstLine="0"/>
        <w:jc w:val="center"/>
      </w:pPr>
      <w:r>
        <w:t>v. r.</w:t>
      </w:r>
    </w:p>
    <w:p w:rsidR="00491822" w:rsidRDefault="00491822" w:rsidP="00491822">
      <w:pPr>
        <w:pStyle w:val="Zkladntextodsazen"/>
        <w:ind w:firstLine="0"/>
        <w:jc w:val="center"/>
      </w:pPr>
      <w:r>
        <w:t>ministryně</w:t>
      </w:r>
    </w:p>
    <w:p w:rsidR="00491822" w:rsidRDefault="00491822" w:rsidP="00491822">
      <w:pPr>
        <w:pStyle w:val="Zkladntextodsazen"/>
        <w:ind w:firstLine="0"/>
        <w:jc w:val="center"/>
      </w:pPr>
      <w:r>
        <w:br w:type="page"/>
      </w:r>
    </w:p>
    <w:p w:rsidR="00491822" w:rsidRDefault="00491822" w:rsidP="00491822">
      <w:pPr>
        <w:jc w:val="center"/>
        <w:rPr>
          <w:b/>
        </w:rPr>
      </w:pPr>
      <w:r>
        <w:rPr>
          <w:b/>
        </w:rPr>
        <w:lastRenderedPageBreak/>
        <w:t xml:space="preserve">                                                                                                                Formulář č. 1</w:t>
      </w:r>
    </w:p>
    <w:p w:rsidR="00491822" w:rsidRDefault="00491822" w:rsidP="00491822">
      <w:pPr>
        <w:jc w:val="center"/>
        <w:rPr>
          <w:u w:val="single"/>
        </w:rPr>
      </w:pPr>
      <w:r>
        <w:rPr>
          <w:u w:val="single"/>
        </w:rPr>
        <w:t>Bodový systém hodnocení podané žádosti do programu (pro žadatele)</w:t>
      </w:r>
    </w:p>
    <w:p w:rsidR="00491822" w:rsidRDefault="00491822" w:rsidP="00491822">
      <w:pPr>
        <w:jc w:val="center"/>
        <w:rPr>
          <w:u w:val="single"/>
        </w:rPr>
      </w:pPr>
    </w:p>
    <w:tbl>
      <w:tblPr>
        <w:tblW w:w="9653" w:type="dxa"/>
        <w:tblInd w:w="55" w:type="dxa"/>
        <w:tblCellMar>
          <w:left w:w="70" w:type="dxa"/>
          <w:right w:w="70" w:type="dxa"/>
        </w:tblCellMar>
        <w:tblLook w:val="04A0" w:firstRow="1" w:lastRow="0" w:firstColumn="1" w:lastColumn="0" w:noHBand="0" w:noVBand="1"/>
      </w:tblPr>
      <w:tblGrid>
        <w:gridCol w:w="5685"/>
        <w:gridCol w:w="2126"/>
        <w:gridCol w:w="1842"/>
      </w:tblGrid>
      <w:tr w:rsidR="00491822" w:rsidTr="00491822">
        <w:trPr>
          <w:trHeight w:val="330"/>
        </w:trPr>
        <w:tc>
          <w:tcPr>
            <w:tcW w:w="5685" w:type="dxa"/>
            <w:tcBorders>
              <w:top w:val="single" w:sz="8" w:space="0" w:color="auto"/>
              <w:left w:val="single" w:sz="8" w:space="0" w:color="auto"/>
              <w:bottom w:val="single" w:sz="4" w:space="0" w:color="auto"/>
              <w:right w:val="single" w:sz="8" w:space="0" w:color="auto"/>
            </w:tcBorders>
            <w:shd w:val="clear" w:color="auto" w:fill="BFBFBF"/>
            <w:vAlign w:val="center"/>
            <w:hideMark/>
          </w:tcPr>
          <w:p w:rsidR="00491822" w:rsidRDefault="00491822">
            <w:pPr>
              <w:ind w:left="87" w:right="71"/>
              <w:rPr>
                <w:color w:val="000000"/>
              </w:rPr>
            </w:pPr>
            <w:r>
              <w:rPr>
                <w:color w:val="000000"/>
              </w:rPr>
              <w:t>Hodnotící kritérium</w:t>
            </w:r>
          </w:p>
        </w:tc>
        <w:tc>
          <w:tcPr>
            <w:tcW w:w="2126" w:type="dxa"/>
            <w:tcBorders>
              <w:top w:val="single" w:sz="8" w:space="0" w:color="auto"/>
              <w:left w:val="nil"/>
              <w:bottom w:val="single" w:sz="8" w:space="0" w:color="auto"/>
              <w:right w:val="single" w:sz="8" w:space="0" w:color="auto"/>
            </w:tcBorders>
            <w:shd w:val="clear" w:color="auto" w:fill="BFBFBF"/>
            <w:vAlign w:val="center"/>
            <w:hideMark/>
          </w:tcPr>
          <w:p w:rsidR="00491822" w:rsidRDefault="00491822">
            <w:pPr>
              <w:rPr>
                <w:color w:val="000000"/>
              </w:rPr>
            </w:pPr>
            <w:r>
              <w:rPr>
                <w:color w:val="000000"/>
                <w:lang w:eastAsia="en-US"/>
              </w:rPr>
              <w:t>Počet bodů</w:t>
            </w:r>
          </w:p>
        </w:tc>
        <w:tc>
          <w:tcPr>
            <w:tcW w:w="1842" w:type="dxa"/>
            <w:tcBorders>
              <w:top w:val="single" w:sz="8" w:space="0" w:color="auto"/>
              <w:left w:val="nil"/>
              <w:bottom w:val="single" w:sz="8" w:space="0" w:color="auto"/>
              <w:right w:val="single" w:sz="8" w:space="0" w:color="auto"/>
            </w:tcBorders>
            <w:shd w:val="clear" w:color="auto" w:fill="BFBFBF"/>
            <w:vAlign w:val="center"/>
            <w:hideMark/>
          </w:tcPr>
          <w:p w:rsidR="00491822" w:rsidRDefault="00491822">
            <w:pPr>
              <w:jc w:val="both"/>
              <w:rPr>
                <w:color w:val="000000"/>
              </w:rPr>
            </w:pPr>
            <w:r>
              <w:rPr>
                <w:color w:val="000000"/>
                <w:lang w:eastAsia="en-US"/>
              </w:rPr>
              <w:t>přiděleno</w:t>
            </w:r>
          </w:p>
        </w:tc>
      </w:tr>
      <w:tr w:rsidR="00491822" w:rsidTr="00491822">
        <w:trPr>
          <w:trHeight w:val="2778"/>
        </w:trPr>
        <w:tc>
          <w:tcPr>
            <w:tcW w:w="5685" w:type="dxa"/>
            <w:tcBorders>
              <w:top w:val="single" w:sz="4" w:space="0" w:color="auto"/>
              <w:left w:val="single" w:sz="4" w:space="0" w:color="auto"/>
              <w:bottom w:val="single" w:sz="4" w:space="0" w:color="auto"/>
              <w:right w:val="single" w:sz="4" w:space="0" w:color="auto"/>
            </w:tcBorders>
            <w:vAlign w:val="center"/>
            <w:hideMark/>
          </w:tcPr>
          <w:p w:rsidR="00491822" w:rsidRDefault="00491822">
            <w:pPr>
              <w:ind w:left="87" w:right="71"/>
              <w:jc w:val="both"/>
              <w:rPr>
                <w:color w:val="000000"/>
              </w:rPr>
            </w:pPr>
            <w:r>
              <w:rPr>
                <w:color w:val="000000"/>
              </w:rPr>
              <w:t>Soulad obsahu vzdělávací aktivity s cíli dotačního programu, rozsah a forma vzdělávací aktivity, návaznost na RVP a provázanost na aktivity nabízející další rozvoj získaných dovedností</w:t>
            </w:r>
          </w:p>
          <w:p w:rsidR="00491822" w:rsidRDefault="00491822">
            <w:pPr>
              <w:ind w:left="87" w:right="71"/>
              <w:jc w:val="both"/>
              <w:rPr>
                <w:color w:val="000000"/>
              </w:rPr>
            </w:pPr>
            <w:r>
              <w:rPr>
                <w:i/>
                <w:color w:val="000000"/>
              </w:rPr>
              <w:t>(Obsah, struktura a cíle</w:t>
            </w:r>
            <w:r>
              <w:rPr>
                <w:color w:val="000000"/>
              </w:rPr>
              <w:t xml:space="preserve"> </w:t>
            </w:r>
            <w:r>
              <w:rPr>
                <w:i/>
                <w:iCs/>
                <w:color w:val="000000"/>
              </w:rPr>
              <w:t>dílčích aktivit zaměřených na podporu nadání rozvojem odbornosti a tvořivosti: charakter činnosti žáka, forma, téma, časová dotace, výstupy činnosti žáka</w:t>
            </w:r>
            <w:r>
              <w:rPr>
                <w:color w:val="000000"/>
              </w:rPr>
              <w:t>)</w:t>
            </w:r>
          </w:p>
        </w:tc>
        <w:tc>
          <w:tcPr>
            <w:tcW w:w="2126" w:type="dxa"/>
            <w:tcBorders>
              <w:top w:val="nil"/>
              <w:left w:val="single" w:sz="4" w:space="0" w:color="auto"/>
              <w:bottom w:val="single" w:sz="8" w:space="0" w:color="000000"/>
              <w:right w:val="single" w:sz="8" w:space="0" w:color="auto"/>
            </w:tcBorders>
            <w:hideMark/>
          </w:tcPr>
          <w:p w:rsidR="00491822" w:rsidRDefault="00491822">
            <w:pPr>
              <w:ind w:left="-70" w:firstLine="70"/>
              <w:jc w:val="center"/>
              <w:rPr>
                <w:color w:val="000000"/>
              </w:rPr>
            </w:pPr>
            <w:r>
              <w:rPr>
                <w:color w:val="000000"/>
                <w:lang w:eastAsia="en-US"/>
              </w:rPr>
              <w:t>0 - 10</w:t>
            </w:r>
          </w:p>
        </w:tc>
        <w:tc>
          <w:tcPr>
            <w:tcW w:w="1842" w:type="dxa"/>
            <w:tcBorders>
              <w:top w:val="nil"/>
              <w:left w:val="single" w:sz="8" w:space="0" w:color="auto"/>
              <w:bottom w:val="single" w:sz="8" w:space="0" w:color="000000"/>
              <w:right w:val="single" w:sz="8" w:space="0" w:color="auto"/>
            </w:tcBorders>
            <w:vAlign w:val="center"/>
            <w:hideMark/>
          </w:tcPr>
          <w:p w:rsidR="00491822" w:rsidRDefault="00491822">
            <w:pPr>
              <w:jc w:val="both"/>
              <w:rPr>
                <w:color w:val="000000"/>
              </w:rPr>
            </w:pPr>
            <w:r>
              <w:rPr>
                <w:color w:val="000000"/>
                <w:lang w:eastAsia="en-US"/>
              </w:rPr>
              <w:t> </w:t>
            </w:r>
          </w:p>
        </w:tc>
      </w:tr>
      <w:tr w:rsidR="00491822" w:rsidTr="00491822">
        <w:trPr>
          <w:trHeight w:val="1761"/>
        </w:trPr>
        <w:tc>
          <w:tcPr>
            <w:tcW w:w="5685" w:type="dxa"/>
            <w:tcBorders>
              <w:top w:val="single" w:sz="4" w:space="0" w:color="auto"/>
              <w:left w:val="single" w:sz="4" w:space="0" w:color="auto"/>
              <w:bottom w:val="single" w:sz="4" w:space="0" w:color="auto"/>
              <w:right w:val="single" w:sz="4" w:space="0" w:color="auto"/>
            </w:tcBorders>
            <w:vAlign w:val="center"/>
            <w:hideMark/>
          </w:tcPr>
          <w:p w:rsidR="00491822" w:rsidRDefault="00491822">
            <w:pPr>
              <w:ind w:left="87" w:right="71"/>
              <w:jc w:val="both"/>
              <w:rPr>
                <w:color w:val="000000"/>
              </w:rPr>
            </w:pPr>
            <w:r>
              <w:rPr>
                <w:color w:val="000000"/>
                <w:lang w:eastAsia="en-US"/>
              </w:rPr>
              <w:t>Jak vzdělávací aktivita rozvíjí tvořivost, podporuje odborný, růst a podnikavost zejména v technických a přírodovědných oborech</w:t>
            </w:r>
          </w:p>
          <w:p w:rsidR="00491822" w:rsidRDefault="00491822">
            <w:pPr>
              <w:ind w:left="87" w:right="71"/>
              <w:jc w:val="both"/>
              <w:rPr>
                <w:color w:val="000000"/>
              </w:rPr>
            </w:pPr>
            <w:r>
              <w:rPr>
                <w:color w:val="000000"/>
                <w:lang w:eastAsia="en-US"/>
              </w:rPr>
              <w:t>(</w:t>
            </w:r>
            <w:r>
              <w:rPr>
                <w:i/>
                <w:iCs/>
                <w:color w:val="000000"/>
                <w:lang w:eastAsia="en-US"/>
              </w:rPr>
              <w:t>cíle klíčových odborných aktivit z pohledu rozvoje nadání a způsob jejich hodnocení</w:t>
            </w:r>
            <w:r>
              <w:rPr>
                <w:color w:val="000000"/>
                <w:lang w:eastAsia="en-US"/>
              </w:rPr>
              <w:t>)</w:t>
            </w:r>
          </w:p>
        </w:tc>
        <w:tc>
          <w:tcPr>
            <w:tcW w:w="2126" w:type="dxa"/>
            <w:tcBorders>
              <w:top w:val="nil"/>
              <w:left w:val="single" w:sz="4" w:space="0" w:color="auto"/>
              <w:bottom w:val="single" w:sz="8" w:space="0" w:color="000000"/>
              <w:right w:val="single" w:sz="8" w:space="0" w:color="auto"/>
            </w:tcBorders>
            <w:hideMark/>
          </w:tcPr>
          <w:p w:rsidR="00491822" w:rsidRDefault="00491822">
            <w:pPr>
              <w:jc w:val="center"/>
              <w:rPr>
                <w:color w:val="000000"/>
              </w:rPr>
            </w:pPr>
            <w:r>
              <w:rPr>
                <w:color w:val="000000"/>
                <w:lang w:eastAsia="en-US"/>
              </w:rPr>
              <w:t>0 - 10</w:t>
            </w:r>
          </w:p>
        </w:tc>
        <w:tc>
          <w:tcPr>
            <w:tcW w:w="1842" w:type="dxa"/>
            <w:tcBorders>
              <w:top w:val="nil"/>
              <w:left w:val="single" w:sz="8" w:space="0" w:color="auto"/>
              <w:bottom w:val="single" w:sz="8" w:space="0" w:color="000000"/>
              <w:right w:val="single" w:sz="8" w:space="0" w:color="auto"/>
            </w:tcBorders>
            <w:vAlign w:val="center"/>
            <w:hideMark/>
          </w:tcPr>
          <w:p w:rsidR="00491822" w:rsidRDefault="00491822">
            <w:pPr>
              <w:jc w:val="both"/>
              <w:rPr>
                <w:color w:val="000000"/>
              </w:rPr>
            </w:pPr>
            <w:r>
              <w:rPr>
                <w:color w:val="000000"/>
                <w:lang w:eastAsia="en-US"/>
              </w:rPr>
              <w:t> </w:t>
            </w:r>
          </w:p>
        </w:tc>
      </w:tr>
      <w:tr w:rsidR="00491822" w:rsidTr="00491822">
        <w:trPr>
          <w:trHeight w:val="1609"/>
        </w:trPr>
        <w:tc>
          <w:tcPr>
            <w:tcW w:w="5685" w:type="dxa"/>
            <w:tcBorders>
              <w:top w:val="single" w:sz="4" w:space="0" w:color="auto"/>
              <w:left w:val="single" w:sz="4" w:space="0" w:color="auto"/>
              <w:bottom w:val="single" w:sz="4" w:space="0" w:color="auto"/>
              <w:right w:val="single" w:sz="4" w:space="0" w:color="auto"/>
            </w:tcBorders>
            <w:vAlign w:val="center"/>
            <w:hideMark/>
          </w:tcPr>
          <w:p w:rsidR="00491822" w:rsidRDefault="00491822">
            <w:pPr>
              <w:ind w:left="87" w:right="71"/>
              <w:jc w:val="both"/>
              <w:rPr>
                <w:color w:val="000000"/>
              </w:rPr>
            </w:pPr>
            <w:r>
              <w:rPr>
                <w:color w:val="000000"/>
                <w:lang w:eastAsia="en-US"/>
              </w:rPr>
              <w:t>Personální a odborné zabezpečení vzdělávací aktivity</w:t>
            </w:r>
          </w:p>
          <w:p w:rsidR="00491822" w:rsidRDefault="00491822">
            <w:pPr>
              <w:ind w:left="87" w:right="71"/>
              <w:jc w:val="both"/>
              <w:rPr>
                <w:color w:val="000000"/>
              </w:rPr>
            </w:pPr>
            <w:r>
              <w:rPr>
                <w:color w:val="000000"/>
                <w:lang w:eastAsia="en-US"/>
              </w:rPr>
              <w:t>(</w:t>
            </w:r>
            <w:r>
              <w:rPr>
                <w:i/>
                <w:iCs/>
                <w:color w:val="000000"/>
                <w:lang w:eastAsia="en-US"/>
              </w:rPr>
              <w:t>přehled zajištění aktivit odborníky vč. relevantních referencí, popis přípravy zapojených lektorů, organizátorů)</w:t>
            </w:r>
          </w:p>
        </w:tc>
        <w:tc>
          <w:tcPr>
            <w:tcW w:w="2126" w:type="dxa"/>
            <w:tcBorders>
              <w:top w:val="nil"/>
              <w:left w:val="single" w:sz="4" w:space="0" w:color="auto"/>
              <w:bottom w:val="single" w:sz="8" w:space="0" w:color="000000"/>
              <w:right w:val="single" w:sz="8" w:space="0" w:color="auto"/>
            </w:tcBorders>
            <w:hideMark/>
          </w:tcPr>
          <w:p w:rsidR="00491822" w:rsidRDefault="00491822">
            <w:pPr>
              <w:jc w:val="center"/>
              <w:rPr>
                <w:color w:val="000000"/>
              </w:rPr>
            </w:pPr>
            <w:r>
              <w:rPr>
                <w:color w:val="000000"/>
                <w:lang w:eastAsia="en-US"/>
              </w:rPr>
              <w:t xml:space="preserve"> 0 - 6</w:t>
            </w:r>
          </w:p>
        </w:tc>
        <w:tc>
          <w:tcPr>
            <w:tcW w:w="1842" w:type="dxa"/>
            <w:tcBorders>
              <w:top w:val="nil"/>
              <w:left w:val="single" w:sz="8" w:space="0" w:color="auto"/>
              <w:bottom w:val="single" w:sz="8" w:space="0" w:color="000000"/>
              <w:right w:val="single" w:sz="8" w:space="0" w:color="auto"/>
            </w:tcBorders>
            <w:vAlign w:val="center"/>
            <w:hideMark/>
          </w:tcPr>
          <w:p w:rsidR="00491822" w:rsidRDefault="00491822">
            <w:pPr>
              <w:jc w:val="both"/>
              <w:rPr>
                <w:color w:val="000000"/>
              </w:rPr>
            </w:pPr>
            <w:r>
              <w:rPr>
                <w:color w:val="000000"/>
                <w:lang w:eastAsia="en-US"/>
              </w:rPr>
              <w:t> </w:t>
            </w:r>
          </w:p>
        </w:tc>
      </w:tr>
      <w:tr w:rsidR="00491822" w:rsidTr="00491822">
        <w:trPr>
          <w:trHeight w:val="1308"/>
        </w:trPr>
        <w:tc>
          <w:tcPr>
            <w:tcW w:w="5685" w:type="dxa"/>
            <w:tcBorders>
              <w:top w:val="single" w:sz="4" w:space="0" w:color="auto"/>
              <w:left w:val="single" w:sz="4" w:space="0" w:color="auto"/>
              <w:bottom w:val="single" w:sz="4" w:space="0" w:color="auto"/>
              <w:right w:val="single" w:sz="4" w:space="0" w:color="auto"/>
            </w:tcBorders>
            <w:vAlign w:val="center"/>
            <w:hideMark/>
          </w:tcPr>
          <w:p w:rsidR="00491822" w:rsidRDefault="00491822">
            <w:pPr>
              <w:ind w:left="87" w:right="71"/>
              <w:rPr>
                <w:color w:val="000000"/>
              </w:rPr>
            </w:pPr>
            <w:r>
              <w:rPr>
                <w:color w:val="000000"/>
                <w:lang w:eastAsia="en-US"/>
              </w:rPr>
              <w:t>Zajištění systematické práce se žáky</w:t>
            </w:r>
          </w:p>
          <w:p w:rsidR="00491822" w:rsidRDefault="00491822">
            <w:pPr>
              <w:ind w:left="87" w:right="71"/>
              <w:rPr>
                <w:color w:val="000000"/>
              </w:rPr>
            </w:pPr>
            <w:r>
              <w:rPr>
                <w:color w:val="000000"/>
                <w:lang w:eastAsia="en-US"/>
              </w:rPr>
              <w:t>(</w:t>
            </w:r>
            <w:r>
              <w:rPr>
                <w:i/>
                <w:iCs/>
                <w:color w:val="000000"/>
                <w:lang w:eastAsia="en-US"/>
              </w:rPr>
              <w:t>akce pro žáky, na které aktivita navazuje, dále rozvíjí, způsob výběru žáků na aktivitu,…)</w:t>
            </w:r>
          </w:p>
        </w:tc>
        <w:tc>
          <w:tcPr>
            <w:tcW w:w="2126" w:type="dxa"/>
            <w:tcBorders>
              <w:top w:val="nil"/>
              <w:left w:val="single" w:sz="4" w:space="0" w:color="auto"/>
              <w:bottom w:val="single" w:sz="8" w:space="0" w:color="000000"/>
              <w:right w:val="single" w:sz="8" w:space="0" w:color="auto"/>
            </w:tcBorders>
            <w:hideMark/>
          </w:tcPr>
          <w:p w:rsidR="00491822" w:rsidRDefault="00491822">
            <w:pPr>
              <w:jc w:val="center"/>
              <w:rPr>
                <w:color w:val="000000"/>
              </w:rPr>
            </w:pPr>
            <w:r>
              <w:rPr>
                <w:color w:val="000000"/>
                <w:lang w:eastAsia="en-US"/>
              </w:rPr>
              <w:t>0 - 6</w:t>
            </w:r>
          </w:p>
        </w:tc>
        <w:tc>
          <w:tcPr>
            <w:tcW w:w="1842" w:type="dxa"/>
            <w:tcBorders>
              <w:top w:val="nil"/>
              <w:left w:val="single" w:sz="8" w:space="0" w:color="auto"/>
              <w:bottom w:val="single" w:sz="8" w:space="0" w:color="000000"/>
              <w:right w:val="single" w:sz="8" w:space="0" w:color="auto"/>
            </w:tcBorders>
            <w:vAlign w:val="center"/>
            <w:hideMark/>
          </w:tcPr>
          <w:p w:rsidR="00491822" w:rsidRDefault="00491822">
            <w:pPr>
              <w:jc w:val="both"/>
              <w:rPr>
                <w:color w:val="000000"/>
              </w:rPr>
            </w:pPr>
            <w:r>
              <w:rPr>
                <w:color w:val="000000"/>
                <w:lang w:eastAsia="en-US"/>
              </w:rPr>
              <w:t> </w:t>
            </w:r>
          </w:p>
        </w:tc>
      </w:tr>
      <w:tr w:rsidR="00491822" w:rsidTr="00491822">
        <w:trPr>
          <w:trHeight w:val="2062"/>
        </w:trPr>
        <w:tc>
          <w:tcPr>
            <w:tcW w:w="5685" w:type="dxa"/>
            <w:tcBorders>
              <w:top w:val="single" w:sz="4" w:space="0" w:color="auto"/>
              <w:left w:val="single" w:sz="4" w:space="0" w:color="auto"/>
              <w:bottom w:val="single" w:sz="4" w:space="0" w:color="auto"/>
              <w:right w:val="single" w:sz="4" w:space="0" w:color="auto"/>
            </w:tcBorders>
            <w:vAlign w:val="center"/>
            <w:hideMark/>
          </w:tcPr>
          <w:p w:rsidR="00491822" w:rsidRDefault="00491822">
            <w:pPr>
              <w:ind w:left="87" w:right="71"/>
              <w:rPr>
                <w:color w:val="000000"/>
              </w:rPr>
            </w:pPr>
            <w:r>
              <w:rPr>
                <w:color w:val="000000"/>
                <w:lang w:eastAsia="en-US"/>
              </w:rPr>
              <w:t>Inovativnost a další využití výsledků aktivity</w:t>
            </w:r>
          </w:p>
          <w:p w:rsidR="00491822" w:rsidRDefault="00491822">
            <w:pPr>
              <w:ind w:left="87" w:right="71"/>
              <w:jc w:val="both"/>
              <w:rPr>
                <w:color w:val="000000"/>
              </w:rPr>
            </w:pPr>
            <w:r>
              <w:rPr>
                <w:i/>
                <w:color w:val="000000"/>
                <w:lang w:eastAsia="en-US"/>
              </w:rPr>
              <w:t>(</w:t>
            </w:r>
            <w:r>
              <w:rPr>
                <w:i/>
                <w:iCs/>
                <w:color w:val="000000"/>
                <w:lang w:eastAsia="en-US"/>
              </w:rPr>
              <w:t>inovativní přínos aktivity – charakteristika stávajícího stavu a očekávaný přínos aktivity – návaznost na Systém podpory nadání v ČR, zpřístupnění a charakteristiky materiálů a akcí pro další rozvoj nadání a využití výsledků aktivity</w:t>
            </w:r>
            <w:r>
              <w:rPr>
                <w:i/>
                <w:color w:val="000000"/>
                <w:lang w:eastAsia="en-US"/>
              </w:rPr>
              <w:t>)</w:t>
            </w:r>
          </w:p>
        </w:tc>
        <w:tc>
          <w:tcPr>
            <w:tcW w:w="2126" w:type="dxa"/>
            <w:tcBorders>
              <w:top w:val="nil"/>
              <w:left w:val="single" w:sz="4" w:space="0" w:color="auto"/>
              <w:bottom w:val="single" w:sz="8" w:space="0" w:color="000000"/>
              <w:right w:val="single" w:sz="8" w:space="0" w:color="auto"/>
            </w:tcBorders>
            <w:hideMark/>
          </w:tcPr>
          <w:p w:rsidR="00491822" w:rsidRDefault="00491822">
            <w:pPr>
              <w:jc w:val="center"/>
              <w:rPr>
                <w:color w:val="000000"/>
              </w:rPr>
            </w:pPr>
            <w:r>
              <w:rPr>
                <w:color w:val="000000"/>
                <w:lang w:eastAsia="en-US"/>
              </w:rPr>
              <w:t xml:space="preserve">  0 - 10</w:t>
            </w:r>
          </w:p>
        </w:tc>
        <w:tc>
          <w:tcPr>
            <w:tcW w:w="1842" w:type="dxa"/>
            <w:tcBorders>
              <w:top w:val="nil"/>
              <w:left w:val="single" w:sz="8" w:space="0" w:color="auto"/>
              <w:bottom w:val="single" w:sz="8" w:space="0" w:color="000000"/>
              <w:right w:val="single" w:sz="8" w:space="0" w:color="auto"/>
            </w:tcBorders>
            <w:vAlign w:val="center"/>
            <w:hideMark/>
          </w:tcPr>
          <w:p w:rsidR="00491822" w:rsidRDefault="00491822">
            <w:pPr>
              <w:jc w:val="both"/>
              <w:rPr>
                <w:color w:val="000000"/>
              </w:rPr>
            </w:pPr>
            <w:r>
              <w:rPr>
                <w:color w:val="000000"/>
                <w:lang w:eastAsia="en-US"/>
              </w:rPr>
              <w:t> </w:t>
            </w:r>
          </w:p>
        </w:tc>
      </w:tr>
      <w:tr w:rsidR="00491822" w:rsidTr="00491822">
        <w:trPr>
          <w:trHeight w:val="300"/>
        </w:trPr>
        <w:tc>
          <w:tcPr>
            <w:tcW w:w="5685" w:type="dxa"/>
            <w:vMerge w:val="restart"/>
            <w:tcBorders>
              <w:top w:val="single" w:sz="4" w:space="0" w:color="auto"/>
              <w:left w:val="single" w:sz="4" w:space="0" w:color="auto"/>
              <w:bottom w:val="single" w:sz="4" w:space="0" w:color="auto"/>
              <w:right w:val="single" w:sz="4" w:space="0" w:color="auto"/>
            </w:tcBorders>
            <w:vAlign w:val="center"/>
            <w:hideMark/>
          </w:tcPr>
          <w:p w:rsidR="00491822" w:rsidRDefault="00491822">
            <w:pPr>
              <w:ind w:left="87" w:right="71"/>
              <w:rPr>
                <w:color w:val="000000"/>
              </w:rPr>
            </w:pPr>
            <w:r>
              <w:rPr>
                <w:color w:val="000000"/>
              </w:rPr>
              <w:t>Účelnost, efektivnost a ekonomická náročnost aktivity</w:t>
            </w:r>
          </w:p>
        </w:tc>
        <w:tc>
          <w:tcPr>
            <w:tcW w:w="2126" w:type="dxa"/>
            <w:vMerge w:val="restart"/>
            <w:tcBorders>
              <w:top w:val="nil"/>
              <w:left w:val="single" w:sz="4" w:space="0" w:color="auto"/>
              <w:bottom w:val="single" w:sz="8" w:space="0" w:color="000000"/>
              <w:right w:val="single" w:sz="8" w:space="0" w:color="auto"/>
            </w:tcBorders>
            <w:hideMark/>
          </w:tcPr>
          <w:p w:rsidR="00491822" w:rsidRDefault="00491822">
            <w:pPr>
              <w:jc w:val="center"/>
              <w:rPr>
                <w:color w:val="000000"/>
              </w:rPr>
            </w:pPr>
            <w:r>
              <w:rPr>
                <w:color w:val="000000"/>
                <w:lang w:eastAsia="en-US"/>
              </w:rPr>
              <w:t>0 - 8</w:t>
            </w:r>
          </w:p>
        </w:tc>
        <w:tc>
          <w:tcPr>
            <w:tcW w:w="1842" w:type="dxa"/>
            <w:vMerge w:val="restart"/>
            <w:tcBorders>
              <w:top w:val="nil"/>
              <w:left w:val="single" w:sz="8" w:space="0" w:color="auto"/>
              <w:bottom w:val="single" w:sz="8" w:space="0" w:color="000000"/>
              <w:right w:val="single" w:sz="8" w:space="0" w:color="auto"/>
            </w:tcBorders>
            <w:vAlign w:val="center"/>
            <w:hideMark/>
          </w:tcPr>
          <w:p w:rsidR="00491822" w:rsidRDefault="00491822">
            <w:pPr>
              <w:jc w:val="both"/>
              <w:rPr>
                <w:color w:val="000000"/>
              </w:rPr>
            </w:pPr>
            <w:r>
              <w:rPr>
                <w:color w:val="000000"/>
                <w:lang w:eastAsia="en-US"/>
              </w:rPr>
              <w:t> </w:t>
            </w:r>
          </w:p>
        </w:tc>
      </w:tr>
      <w:tr w:rsidR="00491822" w:rsidTr="0049182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822" w:rsidRDefault="00491822">
            <w:pPr>
              <w:rPr>
                <w:color w:val="000000"/>
              </w:rPr>
            </w:pPr>
          </w:p>
        </w:tc>
        <w:tc>
          <w:tcPr>
            <w:tcW w:w="0" w:type="auto"/>
            <w:vMerge/>
            <w:tcBorders>
              <w:top w:val="nil"/>
              <w:left w:val="single" w:sz="4" w:space="0" w:color="auto"/>
              <w:bottom w:val="single" w:sz="8" w:space="0" w:color="000000"/>
              <w:right w:val="single" w:sz="8" w:space="0" w:color="auto"/>
            </w:tcBorders>
            <w:vAlign w:val="center"/>
            <w:hideMark/>
          </w:tcPr>
          <w:p w:rsidR="00491822" w:rsidRDefault="00491822">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491822" w:rsidRDefault="00491822">
            <w:pPr>
              <w:rPr>
                <w:color w:val="000000"/>
              </w:rPr>
            </w:pPr>
          </w:p>
        </w:tc>
      </w:tr>
      <w:tr w:rsidR="00491822" w:rsidTr="00491822">
        <w:trPr>
          <w:trHeight w:val="330"/>
        </w:trPr>
        <w:tc>
          <w:tcPr>
            <w:tcW w:w="5685" w:type="dxa"/>
            <w:tcBorders>
              <w:top w:val="single" w:sz="4" w:space="0" w:color="auto"/>
              <w:left w:val="single" w:sz="8" w:space="0" w:color="auto"/>
              <w:bottom w:val="single" w:sz="8" w:space="0" w:color="auto"/>
              <w:right w:val="single" w:sz="8" w:space="0" w:color="auto"/>
            </w:tcBorders>
            <w:vAlign w:val="center"/>
            <w:hideMark/>
          </w:tcPr>
          <w:p w:rsidR="00491822" w:rsidRDefault="00491822">
            <w:pPr>
              <w:ind w:left="87" w:right="71"/>
              <w:rPr>
                <w:color w:val="000000"/>
              </w:rPr>
            </w:pPr>
            <w:r>
              <w:rPr>
                <w:color w:val="000000"/>
                <w:highlight w:val="lightGray"/>
                <w:lang w:eastAsia="en-US"/>
              </w:rPr>
              <w:t xml:space="preserve">Celkem přiděleno bodů </w:t>
            </w:r>
          </w:p>
        </w:tc>
        <w:tc>
          <w:tcPr>
            <w:tcW w:w="2126" w:type="dxa"/>
            <w:tcBorders>
              <w:top w:val="nil"/>
              <w:left w:val="nil"/>
              <w:bottom w:val="single" w:sz="8" w:space="0" w:color="auto"/>
              <w:right w:val="single" w:sz="8" w:space="0" w:color="auto"/>
            </w:tcBorders>
            <w:vAlign w:val="center"/>
            <w:hideMark/>
          </w:tcPr>
          <w:p w:rsidR="00491822" w:rsidRDefault="00491822">
            <w:pPr>
              <w:jc w:val="center"/>
              <w:rPr>
                <w:color w:val="000000"/>
              </w:rPr>
            </w:pPr>
            <w:r>
              <w:rPr>
                <w:color w:val="000000"/>
                <w:highlight w:val="lightGray"/>
                <w:lang w:eastAsia="en-US"/>
              </w:rPr>
              <w:t>max. 50</w:t>
            </w:r>
          </w:p>
        </w:tc>
        <w:tc>
          <w:tcPr>
            <w:tcW w:w="1842" w:type="dxa"/>
            <w:tcBorders>
              <w:top w:val="nil"/>
              <w:left w:val="nil"/>
              <w:bottom w:val="single" w:sz="8" w:space="0" w:color="auto"/>
              <w:right w:val="single" w:sz="8" w:space="0" w:color="auto"/>
            </w:tcBorders>
            <w:vAlign w:val="center"/>
            <w:hideMark/>
          </w:tcPr>
          <w:p w:rsidR="00491822" w:rsidRDefault="00491822">
            <w:pPr>
              <w:jc w:val="both"/>
              <w:rPr>
                <w:color w:val="000000"/>
              </w:rPr>
            </w:pPr>
            <w:r>
              <w:rPr>
                <w:color w:val="000000"/>
                <w:highlight w:val="lightGray"/>
                <w:lang w:eastAsia="en-US"/>
              </w:rPr>
              <w:t> </w:t>
            </w:r>
          </w:p>
        </w:tc>
      </w:tr>
    </w:tbl>
    <w:p w:rsidR="00491822" w:rsidRDefault="00491822" w:rsidP="00491822">
      <w:pPr>
        <w:jc w:val="center"/>
        <w:rPr>
          <w:u w:val="single"/>
        </w:rPr>
      </w:pPr>
    </w:p>
    <w:p w:rsidR="00491822" w:rsidRDefault="00491822" w:rsidP="00491822">
      <w:pPr>
        <w:jc w:val="center"/>
        <w:rPr>
          <w:u w:val="single"/>
        </w:rPr>
      </w:pPr>
      <w:r>
        <w:rPr>
          <w:u w:val="single"/>
        </w:rPr>
        <w:br w:type="page"/>
      </w:r>
    </w:p>
    <w:p w:rsidR="008E6B09" w:rsidRDefault="008E6B09"/>
    <w:sectPr w:rsidR="008E6B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63" w:rsidRDefault="00522863" w:rsidP="00491822">
      <w:r>
        <w:separator/>
      </w:r>
    </w:p>
  </w:endnote>
  <w:endnote w:type="continuationSeparator" w:id="0">
    <w:p w:rsidR="00522863" w:rsidRDefault="00522863" w:rsidP="0049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63" w:rsidRDefault="00522863" w:rsidP="00491822">
      <w:r>
        <w:separator/>
      </w:r>
    </w:p>
  </w:footnote>
  <w:footnote w:type="continuationSeparator" w:id="0">
    <w:p w:rsidR="00522863" w:rsidRDefault="00522863" w:rsidP="00491822">
      <w:r>
        <w:continuationSeparator/>
      </w:r>
    </w:p>
  </w:footnote>
  <w:footnote w:id="1">
    <w:p w:rsidR="00491822" w:rsidRDefault="00491822" w:rsidP="00491822">
      <w:pPr>
        <w:pStyle w:val="Textpoznpodarou"/>
      </w:pPr>
      <w:r>
        <w:rPr>
          <w:rStyle w:val="Znakapoznpodarou"/>
        </w:rPr>
        <w:footnoteRef/>
      </w:r>
      <w:r>
        <w:t xml:space="preserve"> http://www.msmt.cz/mladez/system-podpory-nadani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6122"/>
    <w:multiLevelType w:val="hybridMultilevel"/>
    <w:tmpl w:val="ADC04766"/>
    <w:lvl w:ilvl="0" w:tplc="D4CC42A2">
      <w:start w:val="1"/>
      <w:numFmt w:val="lowerLetter"/>
      <w:lvlText w:val="%1)"/>
      <w:lvlJc w:val="left"/>
      <w:pPr>
        <w:ind w:left="644"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12ED3621"/>
    <w:multiLevelType w:val="hybridMultilevel"/>
    <w:tmpl w:val="1AD2588E"/>
    <w:lvl w:ilvl="0" w:tplc="99303B74">
      <w:start w:val="1"/>
      <w:numFmt w:val="decimal"/>
      <w:lvlText w:val="%1)"/>
      <w:lvlJc w:val="left"/>
      <w:pPr>
        <w:ind w:left="78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2E714F97"/>
    <w:multiLevelType w:val="hybridMultilevel"/>
    <w:tmpl w:val="48020CD4"/>
    <w:lvl w:ilvl="0" w:tplc="D9B22C98">
      <w:start w:val="1"/>
      <w:numFmt w:val="lowerLetter"/>
      <w:lvlText w:val="%1)"/>
      <w:lvlJc w:val="left"/>
      <w:pPr>
        <w:ind w:left="2830" w:hanging="360"/>
      </w:pPr>
      <w:rPr>
        <w:rFonts w:cs="Times New Roman"/>
      </w:rPr>
    </w:lvl>
    <w:lvl w:ilvl="1" w:tplc="04050019">
      <w:start w:val="1"/>
      <w:numFmt w:val="decimal"/>
      <w:lvlText w:val="%2."/>
      <w:lvlJc w:val="left"/>
      <w:pPr>
        <w:tabs>
          <w:tab w:val="num" w:pos="3740"/>
        </w:tabs>
        <w:ind w:left="3740" w:hanging="360"/>
      </w:pPr>
      <w:rPr>
        <w:rFonts w:cs="Times New Roman"/>
      </w:rPr>
    </w:lvl>
    <w:lvl w:ilvl="2" w:tplc="0405001B">
      <w:start w:val="1"/>
      <w:numFmt w:val="decimal"/>
      <w:lvlText w:val="%3."/>
      <w:lvlJc w:val="left"/>
      <w:pPr>
        <w:tabs>
          <w:tab w:val="num" w:pos="4460"/>
        </w:tabs>
        <w:ind w:left="4460" w:hanging="360"/>
      </w:pPr>
      <w:rPr>
        <w:rFonts w:cs="Times New Roman"/>
      </w:rPr>
    </w:lvl>
    <w:lvl w:ilvl="3" w:tplc="0405000F">
      <w:start w:val="1"/>
      <w:numFmt w:val="decimal"/>
      <w:lvlText w:val="%4."/>
      <w:lvlJc w:val="left"/>
      <w:pPr>
        <w:tabs>
          <w:tab w:val="num" w:pos="5180"/>
        </w:tabs>
        <w:ind w:left="5180" w:hanging="360"/>
      </w:pPr>
      <w:rPr>
        <w:rFonts w:cs="Times New Roman"/>
      </w:rPr>
    </w:lvl>
    <w:lvl w:ilvl="4" w:tplc="04050019">
      <w:start w:val="1"/>
      <w:numFmt w:val="decimal"/>
      <w:lvlText w:val="%5."/>
      <w:lvlJc w:val="left"/>
      <w:pPr>
        <w:tabs>
          <w:tab w:val="num" w:pos="5900"/>
        </w:tabs>
        <w:ind w:left="5900" w:hanging="360"/>
      </w:pPr>
      <w:rPr>
        <w:rFonts w:cs="Times New Roman"/>
      </w:rPr>
    </w:lvl>
    <w:lvl w:ilvl="5" w:tplc="0405001B">
      <w:start w:val="1"/>
      <w:numFmt w:val="decimal"/>
      <w:lvlText w:val="%6."/>
      <w:lvlJc w:val="left"/>
      <w:pPr>
        <w:tabs>
          <w:tab w:val="num" w:pos="6620"/>
        </w:tabs>
        <w:ind w:left="6620" w:hanging="360"/>
      </w:pPr>
      <w:rPr>
        <w:rFonts w:cs="Times New Roman"/>
      </w:rPr>
    </w:lvl>
    <w:lvl w:ilvl="6" w:tplc="0405000F">
      <w:start w:val="1"/>
      <w:numFmt w:val="decimal"/>
      <w:lvlText w:val="%7."/>
      <w:lvlJc w:val="left"/>
      <w:pPr>
        <w:tabs>
          <w:tab w:val="num" w:pos="7340"/>
        </w:tabs>
        <w:ind w:left="7340" w:hanging="360"/>
      </w:pPr>
      <w:rPr>
        <w:rFonts w:cs="Times New Roman"/>
      </w:rPr>
    </w:lvl>
    <w:lvl w:ilvl="7" w:tplc="04050019">
      <w:start w:val="1"/>
      <w:numFmt w:val="decimal"/>
      <w:lvlText w:val="%8."/>
      <w:lvlJc w:val="left"/>
      <w:pPr>
        <w:tabs>
          <w:tab w:val="num" w:pos="8060"/>
        </w:tabs>
        <w:ind w:left="8060" w:hanging="360"/>
      </w:pPr>
      <w:rPr>
        <w:rFonts w:cs="Times New Roman"/>
      </w:rPr>
    </w:lvl>
    <w:lvl w:ilvl="8" w:tplc="0405001B">
      <w:start w:val="1"/>
      <w:numFmt w:val="decimal"/>
      <w:lvlText w:val="%9."/>
      <w:lvlJc w:val="left"/>
      <w:pPr>
        <w:tabs>
          <w:tab w:val="num" w:pos="8780"/>
        </w:tabs>
        <w:ind w:left="8780" w:hanging="360"/>
      </w:pPr>
      <w:rPr>
        <w:rFonts w:cs="Times New Roman"/>
      </w:rPr>
    </w:lvl>
  </w:abstractNum>
  <w:abstractNum w:abstractNumId="3">
    <w:nsid w:val="312177A5"/>
    <w:multiLevelType w:val="hybridMultilevel"/>
    <w:tmpl w:val="139EF992"/>
    <w:lvl w:ilvl="0" w:tplc="B81A2E12">
      <w:start w:val="1"/>
      <w:numFmt w:val="decimal"/>
      <w:lvlText w:val="%1)"/>
      <w:lvlJc w:val="left"/>
      <w:pPr>
        <w:ind w:left="786"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46DB08A0"/>
    <w:multiLevelType w:val="hybridMultilevel"/>
    <w:tmpl w:val="26AAC5C8"/>
    <w:lvl w:ilvl="0" w:tplc="5B788426">
      <w:start w:val="1"/>
      <w:numFmt w:val="decimal"/>
      <w:lvlText w:val="%1)"/>
      <w:lvlJc w:val="left"/>
      <w:pPr>
        <w:ind w:left="360" w:hanging="360"/>
      </w:pPr>
      <w:rPr>
        <w:rFonts w:cs="Times New Roman"/>
      </w:rPr>
    </w:lvl>
    <w:lvl w:ilvl="1" w:tplc="04050019">
      <w:start w:val="1"/>
      <w:numFmt w:val="decimal"/>
      <w:lvlText w:val="%2."/>
      <w:lvlJc w:val="left"/>
      <w:pPr>
        <w:tabs>
          <w:tab w:val="num" w:pos="1014"/>
        </w:tabs>
        <w:ind w:left="1014" w:hanging="360"/>
      </w:pPr>
      <w:rPr>
        <w:rFonts w:cs="Times New Roman"/>
      </w:rPr>
    </w:lvl>
    <w:lvl w:ilvl="2" w:tplc="0405001B">
      <w:start w:val="1"/>
      <w:numFmt w:val="decimal"/>
      <w:lvlText w:val="%3."/>
      <w:lvlJc w:val="left"/>
      <w:pPr>
        <w:tabs>
          <w:tab w:val="num" w:pos="1734"/>
        </w:tabs>
        <w:ind w:left="1734" w:hanging="36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decimal"/>
      <w:lvlText w:val="%5."/>
      <w:lvlJc w:val="left"/>
      <w:pPr>
        <w:tabs>
          <w:tab w:val="num" w:pos="3174"/>
        </w:tabs>
        <w:ind w:left="3174" w:hanging="360"/>
      </w:pPr>
      <w:rPr>
        <w:rFonts w:cs="Times New Roman"/>
      </w:rPr>
    </w:lvl>
    <w:lvl w:ilvl="5" w:tplc="0405001B">
      <w:start w:val="1"/>
      <w:numFmt w:val="decimal"/>
      <w:lvlText w:val="%6."/>
      <w:lvlJc w:val="left"/>
      <w:pPr>
        <w:tabs>
          <w:tab w:val="num" w:pos="3894"/>
        </w:tabs>
        <w:ind w:left="3894" w:hanging="36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decimal"/>
      <w:lvlText w:val="%8."/>
      <w:lvlJc w:val="left"/>
      <w:pPr>
        <w:tabs>
          <w:tab w:val="num" w:pos="5334"/>
        </w:tabs>
        <w:ind w:left="5334" w:hanging="360"/>
      </w:pPr>
      <w:rPr>
        <w:rFonts w:cs="Times New Roman"/>
      </w:rPr>
    </w:lvl>
    <w:lvl w:ilvl="8" w:tplc="0405001B">
      <w:start w:val="1"/>
      <w:numFmt w:val="decimal"/>
      <w:lvlText w:val="%9."/>
      <w:lvlJc w:val="left"/>
      <w:pPr>
        <w:tabs>
          <w:tab w:val="num" w:pos="6054"/>
        </w:tabs>
        <w:ind w:left="6054" w:hanging="360"/>
      </w:pPr>
      <w:rPr>
        <w:rFonts w:cs="Times New Roman"/>
      </w:rPr>
    </w:lvl>
  </w:abstractNum>
  <w:abstractNum w:abstractNumId="5">
    <w:nsid w:val="494D45F0"/>
    <w:multiLevelType w:val="hybridMultilevel"/>
    <w:tmpl w:val="2CD06E8E"/>
    <w:lvl w:ilvl="0" w:tplc="7374893C">
      <w:start w:val="3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nsid w:val="57517417"/>
    <w:multiLevelType w:val="hybridMultilevel"/>
    <w:tmpl w:val="B2BEA448"/>
    <w:lvl w:ilvl="0" w:tplc="B81A2E12">
      <w:start w:val="1"/>
      <w:numFmt w:val="decimal"/>
      <w:lvlText w:val="%1)"/>
      <w:lvlJc w:val="left"/>
      <w:pPr>
        <w:ind w:left="360" w:hanging="360"/>
      </w:pPr>
      <w:rPr>
        <w:rFonts w:cs="Times New Roman"/>
      </w:rPr>
    </w:lvl>
    <w:lvl w:ilvl="1" w:tplc="04050019">
      <w:start w:val="1"/>
      <w:numFmt w:val="decimal"/>
      <w:lvlText w:val="%2."/>
      <w:lvlJc w:val="left"/>
      <w:pPr>
        <w:tabs>
          <w:tab w:val="num" w:pos="1014"/>
        </w:tabs>
        <w:ind w:left="1014" w:hanging="360"/>
      </w:pPr>
      <w:rPr>
        <w:rFonts w:cs="Times New Roman"/>
      </w:rPr>
    </w:lvl>
    <w:lvl w:ilvl="2" w:tplc="0405001B">
      <w:start w:val="1"/>
      <w:numFmt w:val="decimal"/>
      <w:lvlText w:val="%3."/>
      <w:lvlJc w:val="left"/>
      <w:pPr>
        <w:tabs>
          <w:tab w:val="num" w:pos="1734"/>
        </w:tabs>
        <w:ind w:left="1734" w:hanging="36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decimal"/>
      <w:lvlText w:val="%5."/>
      <w:lvlJc w:val="left"/>
      <w:pPr>
        <w:tabs>
          <w:tab w:val="num" w:pos="3174"/>
        </w:tabs>
        <w:ind w:left="3174" w:hanging="360"/>
      </w:pPr>
      <w:rPr>
        <w:rFonts w:cs="Times New Roman"/>
      </w:rPr>
    </w:lvl>
    <w:lvl w:ilvl="5" w:tplc="0405001B">
      <w:start w:val="1"/>
      <w:numFmt w:val="decimal"/>
      <w:lvlText w:val="%6."/>
      <w:lvlJc w:val="left"/>
      <w:pPr>
        <w:tabs>
          <w:tab w:val="num" w:pos="3894"/>
        </w:tabs>
        <w:ind w:left="3894" w:hanging="36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decimal"/>
      <w:lvlText w:val="%8."/>
      <w:lvlJc w:val="left"/>
      <w:pPr>
        <w:tabs>
          <w:tab w:val="num" w:pos="5334"/>
        </w:tabs>
        <w:ind w:left="5334" w:hanging="360"/>
      </w:pPr>
      <w:rPr>
        <w:rFonts w:cs="Times New Roman"/>
      </w:rPr>
    </w:lvl>
    <w:lvl w:ilvl="8" w:tplc="0405001B">
      <w:start w:val="1"/>
      <w:numFmt w:val="decimal"/>
      <w:lvlText w:val="%9."/>
      <w:lvlJc w:val="left"/>
      <w:pPr>
        <w:tabs>
          <w:tab w:val="num" w:pos="6054"/>
        </w:tabs>
        <w:ind w:left="6054" w:hanging="360"/>
      </w:pPr>
      <w:rPr>
        <w:rFonts w:cs="Times New Roman"/>
      </w:rPr>
    </w:lvl>
  </w:abstractNum>
  <w:abstractNum w:abstractNumId="7">
    <w:nsid w:val="5F672F5D"/>
    <w:multiLevelType w:val="hybridMultilevel"/>
    <w:tmpl w:val="332C9858"/>
    <w:lvl w:ilvl="0" w:tplc="F3B29BBE">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6DE414DD"/>
    <w:multiLevelType w:val="hybridMultilevel"/>
    <w:tmpl w:val="B2BEA448"/>
    <w:lvl w:ilvl="0" w:tplc="B81A2E12">
      <w:start w:val="1"/>
      <w:numFmt w:val="decimal"/>
      <w:lvlText w:val="%1)"/>
      <w:lvlJc w:val="left"/>
      <w:pPr>
        <w:ind w:left="360" w:hanging="360"/>
      </w:pPr>
      <w:rPr>
        <w:rFonts w:cs="Times New Roman"/>
      </w:rPr>
    </w:lvl>
    <w:lvl w:ilvl="1" w:tplc="04050019">
      <w:start w:val="1"/>
      <w:numFmt w:val="decimal"/>
      <w:lvlText w:val="%2."/>
      <w:lvlJc w:val="left"/>
      <w:pPr>
        <w:tabs>
          <w:tab w:val="num" w:pos="1014"/>
        </w:tabs>
        <w:ind w:left="1014" w:hanging="360"/>
      </w:pPr>
      <w:rPr>
        <w:rFonts w:cs="Times New Roman"/>
      </w:rPr>
    </w:lvl>
    <w:lvl w:ilvl="2" w:tplc="0405001B">
      <w:start w:val="1"/>
      <w:numFmt w:val="decimal"/>
      <w:lvlText w:val="%3."/>
      <w:lvlJc w:val="left"/>
      <w:pPr>
        <w:tabs>
          <w:tab w:val="num" w:pos="1734"/>
        </w:tabs>
        <w:ind w:left="1734" w:hanging="36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decimal"/>
      <w:lvlText w:val="%5."/>
      <w:lvlJc w:val="left"/>
      <w:pPr>
        <w:tabs>
          <w:tab w:val="num" w:pos="3174"/>
        </w:tabs>
        <w:ind w:left="3174" w:hanging="360"/>
      </w:pPr>
      <w:rPr>
        <w:rFonts w:cs="Times New Roman"/>
      </w:rPr>
    </w:lvl>
    <w:lvl w:ilvl="5" w:tplc="0405001B">
      <w:start w:val="1"/>
      <w:numFmt w:val="decimal"/>
      <w:lvlText w:val="%6."/>
      <w:lvlJc w:val="left"/>
      <w:pPr>
        <w:tabs>
          <w:tab w:val="num" w:pos="3894"/>
        </w:tabs>
        <w:ind w:left="3894" w:hanging="36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decimal"/>
      <w:lvlText w:val="%8."/>
      <w:lvlJc w:val="left"/>
      <w:pPr>
        <w:tabs>
          <w:tab w:val="num" w:pos="5334"/>
        </w:tabs>
        <w:ind w:left="5334" w:hanging="360"/>
      </w:pPr>
      <w:rPr>
        <w:rFonts w:cs="Times New Roman"/>
      </w:rPr>
    </w:lvl>
    <w:lvl w:ilvl="8" w:tplc="0405001B">
      <w:start w:val="1"/>
      <w:numFmt w:val="decimal"/>
      <w:lvlText w:val="%9."/>
      <w:lvlJc w:val="left"/>
      <w:pPr>
        <w:tabs>
          <w:tab w:val="num" w:pos="6054"/>
        </w:tabs>
        <w:ind w:left="6054" w:hanging="360"/>
      </w:pPr>
      <w:rPr>
        <w:rFonts w:cs="Times New Roman"/>
      </w:rPr>
    </w:lvl>
  </w:abstractNum>
  <w:abstractNum w:abstractNumId="9">
    <w:nsid w:val="771F3912"/>
    <w:multiLevelType w:val="hybridMultilevel"/>
    <w:tmpl w:val="26AAC5C8"/>
    <w:lvl w:ilvl="0" w:tplc="5B788426">
      <w:start w:val="1"/>
      <w:numFmt w:val="decimal"/>
      <w:lvlText w:val="%1)"/>
      <w:lvlJc w:val="left"/>
      <w:pPr>
        <w:ind w:left="360" w:hanging="360"/>
      </w:pPr>
      <w:rPr>
        <w:rFonts w:cs="Times New Roman"/>
      </w:rPr>
    </w:lvl>
    <w:lvl w:ilvl="1" w:tplc="04050019">
      <w:start w:val="1"/>
      <w:numFmt w:val="decimal"/>
      <w:lvlText w:val="%2."/>
      <w:lvlJc w:val="left"/>
      <w:pPr>
        <w:tabs>
          <w:tab w:val="num" w:pos="1014"/>
        </w:tabs>
        <w:ind w:left="1014" w:hanging="360"/>
      </w:pPr>
      <w:rPr>
        <w:rFonts w:cs="Times New Roman"/>
      </w:rPr>
    </w:lvl>
    <w:lvl w:ilvl="2" w:tplc="0405001B">
      <w:start w:val="1"/>
      <w:numFmt w:val="decimal"/>
      <w:lvlText w:val="%3."/>
      <w:lvlJc w:val="left"/>
      <w:pPr>
        <w:tabs>
          <w:tab w:val="num" w:pos="1734"/>
        </w:tabs>
        <w:ind w:left="1734" w:hanging="360"/>
      </w:pPr>
      <w:rPr>
        <w:rFonts w:cs="Times New Roman"/>
      </w:rPr>
    </w:lvl>
    <w:lvl w:ilvl="3" w:tplc="0405000F">
      <w:start w:val="1"/>
      <w:numFmt w:val="decimal"/>
      <w:lvlText w:val="%4."/>
      <w:lvlJc w:val="left"/>
      <w:pPr>
        <w:tabs>
          <w:tab w:val="num" w:pos="2454"/>
        </w:tabs>
        <w:ind w:left="2454" w:hanging="360"/>
      </w:pPr>
      <w:rPr>
        <w:rFonts w:cs="Times New Roman"/>
      </w:rPr>
    </w:lvl>
    <w:lvl w:ilvl="4" w:tplc="04050019">
      <w:start w:val="1"/>
      <w:numFmt w:val="decimal"/>
      <w:lvlText w:val="%5."/>
      <w:lvlJc w:val="left"/>
      <w:pPr>
        <w:tabs>
          <w:tab w:val="num" w:pos="3174"/>
        </w:tabs>
        <w:ind w:left="3174" w:hanging="360"/>
      </w:pPr>
      <w:rPr>
        <w:rFonts w:cs="Times New Roman"/>
      </w:rPr>
    </w:lvl>
    <w:lvl w:ilvl="5" w:tplc="0405001B">
      <w:start w:val="1"/>
      <w:numFmt w:val="decimal"/>
      <w:lvlText w:val="%6."/>
      <w:lvlJc w:val="left"/>
      <w:pPr>
        <w:tabs>
          <w:tab w:val="num" w:pos="3894"/>
        </w:tabs>
        <w:ind w:left="3894" w:hanging="360"/>
      </w:pPr>
      <w:rPr>
        <w:rFonts w:cs="Times New Roman"/>
      </w:rPr>
    </w:lvl>
    <w:lvl w:ilvl="6" w:tplc="0405000F">
      <w:start w:val="1"/>
      <w:numFmt w:val="decimal"/>
      <w:lvlText w:val="%7."/>
      <w:lvlJc w:val="left"/>
      <w:pPr>
        <w:tabs>
          <w:tab w:val="num" w:pos="4614"/>
        </w:tabs>
        <w:ind w:left="4614" w:hanging="360"/>
      </w:pPr>
      <w:rPr>
        <w:rFonts w:cs="Times New Roman"/>
      </w:rPr>
    </w:lvl>
    <w:lvl w:ilvl="7" w:tplc="04050019">
      <w:start w:val="1"/>
      <w:numFmt w:val="decimal"/>
      <w:lvlText w:val="%8."/>
      <w:lvlJc w:val="left"/>
      <w:pPr>
        <w:tabs>
          <w:tab w:val="num" w:pos="5334"/>
        </w:tabs>
        <w:ind w:left="5334" w:hanging="360"/>
      </w:pPr>
      <w:rPr>
        <w:rFonts w:cs="Times New Roman"/>
      </w:rPr>
    </w:lvl>
    <w:lvl w:ilvl="8" w:tplc="0405001B">
      <w:start w:val="1"/>
      <w:numFmt w:val="decimal"/>
      <w:lvlText w:val="%9."/>
      <w:lvlJc w:val="left"/>
      <w:pPr>
        <w:tabs>
          <w:tab w:val="num" w:pos="6054"/>
        </w:tabs>
        <w:ind w:left="6054"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22"/>
    <w:rsid w:val="0011283B"/>
    <w:rsid w:val="0030654D"/>
    <w:rsid w:val="00491822"/>
    <w:rsid w:val="00522863"/>
    <w:rsid w:val="008E6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0C801-366E-4A89-A59E-803AD765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182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91822"/>
    <w:rPr>
      <w:sz w:val="20"/>
      <w:szCs w:val="20"/>
    </w:rPr>
  </w:style>
  <w:style w:type="character" w:customStyle="1" w:styleId="TextpoznpodarouChar">
    <w:name w:val="Text pozn. pod čarou Char"/>
    <w:basedOn w:val="Standardnpsmoodstavce"/>
    <w:link w:val="Textpoznpodarou"/>
    <w:semiHidden/>
    <w:rsid w:val="004918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491822"/>
    <w:pPr>
      <w:spacing w:after="120"/>
    </w:pPr>
  </w:style>
  <w:style w:type="character" w:customStyle="1" w:styleId="ZkladntextChar">
    <w:name w:val="Základní text Char"/>
    <w:basedOn w:val="Standardnpsmoodstavce"/>
    <w:link w:val="Zkladntext"/>
    <w:uiPriority w:val="99"/>
    <w:semiHidden/>
    <w:rsid w:val="0049182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491822"/>
    <w:pPr>
      <w:ind w:firstLine="709"/>
      <w:jc w:val="both"/>
    </w:pPr>
  </w:style>
  <w:style w:type="character" w:customStyle="1" w:styleId="ZkladntextodsazenChar">
    <w:name w:val="Základní text odsazený Char"/>
    <w:basedOn w:val="Standardnpsmoodstavce"/>
    <w:link w:val="Zkladntextodsazen"/>
    <w:semiHidden/>
    <w:rsid w:val="0049182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491822"/>
    <w:pPr>
      <w:ind w:left="284" w:hanging="284"/>
      <w:jc w:val="both"/>
    </w:pPr>
  </w:style>
  <w:style w:type="character" w:customStyle="1" w:styleId="Zkladntextodsazen2Char">
    <w:name w:val="Základní text odsazený 2 Char"/>
    <w:basedOn w:val="Standardnpsmoodstavce"/>
    <w:link w:val="Zkladntextodsazen2"/>
    <w:uiPriority w:val="99"/>
    <w:semiHidden/>
    <w:rsid w:val="0049182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91822"/>
    <w:pPr>
      <w:ind w:left="720"/>
      <w:contextualSpacing/>
    </w:pPr>
  </w:style>
  <w:style w:type="character" w:styleId="Znakapoznpodarou">
    <w:name w:val="footnote reference"/>
    <w:semiHidden/>
    <w:unhideWhenUsed/>
    <w:rsid w:val="0049182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9577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Froulík Jaroslav</dc:creator>
  <cp:keywords/>
  <dc:description/>
  <cp:lastModifiedBy>Drobilová Karolína</cp:lastModifiedBy>
  <cp:revision>2</cp:revision>
  <dcterms:created xsi:type="dcterms:W3CDTF">2016-09-29T09:03:00Z</dcterms:created>
  <dcterms:modified xsi:type="dcterms:W3CDTF">2016-09-29T09:03:00Z</dcterms:modified>
</cp:coreProperties>
</file>