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B7" w:rsidRDefault="001A3079" w:rsidP="00177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A30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Nejča</w:t>
      </w:r>
      <w:r w:rsidR="001779E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stěji kladené otázky a odpovědi</w:t>
      </w:r>
      <w:r w:rsidR="00984A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984AB7" w:rsidRPr="00FF106B" w:rsidRDefault="00984AB7" w:rsidP="00984AB7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Výzvě MŠMT k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předložení žádostí o podporu v rámci programu 133 310 Rozvoj výukových kapacit mateřských a základních škol zřizov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aných územně samosprávnými celky 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letech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2018</w:t>
      </w:r>
      <w:r w:rsidR="00C203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2039B" w:rsidRPr="00C2039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„Výzva“)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A3079" w:rsidRPr="00A60DA8" w:rsidRDefault="001A3079" w:rsidP="00984A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60D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Co má obsahovat věcný záměr rozvoje vzdělávání v obci?</w:t>
      </w:r>
      <w:r w:rsidRPr="00A60DA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7819D6" w:rsidRDefault="007819D6" w:rsidP="002E0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 úkolem vyhlášené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ýzvy je dosáhnout prostřednictvím řízené přípravy projektů co nejefektivnějšího využití budovaných kapacit v území. Výsledkem vyhodnocení těchto informací bude snaha předejít budování nadbytečných kapacit předškolního a základního vzdělávání ve spádových oblastech, ale současně napomoci zajištění dostupných kapacit mateřských a základních škol v lokalitách ohrožených nedostupností podmínek plnění povinné školní docházky. </w:t>
      </w:r>
    </w:p>
    <w:p w:rsidR="001A3079" w:rsidRPr="001A3079" w:rsidRDefault="001A3079" w:rsidP="00781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079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předložených podkladů bude povinnost zpracovat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ěcný záměr rozvoje vzdělávání v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A3079">
        <w:rPr>
          <w:rFonts w:ascii="Times New Roman" w:eastAsia="Times New Roman" w:hAnsi="Times New Roman" w:cs="Times New Roman"/>
          <w:sz w:val="24"/>
          <w:szCs w:val="24"/>
          <w:lang w:eastAsia="cs-CZ"/>
        </w:rPr>
        <w:t>obci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zároveň rozšiřuje a doplňuje přehledné informace uvedené v Projektovém záměru</w:t>
      </w:r>
      <w:r w:rsidR="00455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„PZ“)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následujícími informacemi:</w:t>
      </w:r>
    </w:p>
    <w:p w:rsidR="001A3079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aléhavost řešení situace, proč dosavadní snaha o budování potřebných kapacit nebyla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dodnes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naplněna?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doplnění bodu 9</w:t>
      </w:r>
      <w:r w:rsidR="00455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PZ</w:t>
      </w:r>
    </w:p>
    <w:p w:rsidR="008F1908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ýhled aktivit obce nebo svazku obcí v oblasti r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ozvoje vzdělávání v příštích 10 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kalendářních letech, demografická studie vývoje v počtu žáků za posledníc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h 10 let a v 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příštích 5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 s důrazem na naléhavost situac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e podložené konkrétními údaji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naplněnosti kapacity, podrobným rozborem demografického vývoje týka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jícího 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se dané věkové skupiny v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školského obvodu za poslední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10 let a v příštích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doložením údajů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narozených dětí s trval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ým pobytem 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školském obvodu a souvisejících informací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zápise pro školní docházku (např. počet odmítnutých a počet zapsaných žáků).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>– doplnění bodu 13 PZ</w:t>
      </w:r>
    </w:p>
    <w:p w:rsidR="001A3079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nalýza stávající infrastruktury (např. formou pasportizace) v oblasti vzdělávání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rozlišením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stávajících ploch 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účelu využití (kmenové učebny, odborné učebny, stravování, ostatní plochy atd.) a podle toho, zda budou nadále využívány i po vytvoření nových </w:t>
      </w:r>
      <w:r w:rsidR="009C3B7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vzdělávacích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</w:t>
      </w:r>
      <w:r w:rsidR="009C3B7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72EA">
        <w:rPr>
          <w:rFonts w:ascii="Times New Roman" w:eastAsia="Times New Roman" w:hAnsi="Times New Roman" w:cs="Times New Roman"/>
          <w:sz w:val="24"/>
          <w:szCs w:val="24"/>
          <w:lang w:eastAsia="cs-CZ"/>
        </w:rPr>
        <w:t>Lze akceptovat i informace ve formuláři.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bod 14 PZ</w:t>
      </w:r>
    </w:p>
    <w:p w:rsidR="00DD3B69" w:rsidRDefault="00DB0000" w:rsidP="004C0E7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A307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távající nebo připravované dohody o spolupráci okolních obcí při zajištění školní</w:t>
      </w:r>
      <w:r w:rsid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docházky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souladu s § 178 odst. </w:t>
      </w:r>
      <w:smartTag w:uri="urn:schemas-microsoft-com:office:smarttags" w:element="metricconverter">
        <w:smartTagPr>
          <w:attr w:name="ProductID" w:val="1 a"/>
        </w:smartTagPr>
        <w:r w:rsidR="00DD3B69" w:rsidRPr="004C0E7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a</w:t>
        </w:r>
      </w:smartTag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2 zákona č. 561/2004 Sb., o předškolním, základním, středním, vyšším odborném a jiném vzdělávání (školský zákon), ve znění pozdějších předpisů –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obecně závaznou vyhláškou obce, smluvního vztahu mezi obcemi).  Popište dosavadní historii a spolupráci v rámci spádového území, vazbu </w:t>
      </w:r>
      <w:r w:rsid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spádovou úplnou základní školu (zejména zda bude kapacita spádové školy využita i nadále) </w:t>
      </w:r>
      <w:r w:rsidR="004C0E7D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 zároveň informaci, zda zřizovatel předkládaným projektem usiluje o školu vlastní a předchozí spádovost bude změněna (vč. důvodu změny).</w:t>
      </w:r>
      <w:r w:rsidR="004C0E7D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Přiložte kopie veškerých dokumentů smluvních vztahů nebo dohod mezi obcemi (počínaje rokem 2012/2013), to se týká i případných výpovědí ze stávajícího smluvního vztahu nebo dohod o spolupráci.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bod 6 PZ</w:t>
      </w:r>
    </w:p>
    <w:p w:rsidR="00932BD2" w:rsidRPr="004C0E7D" w:rsidRDefault="00932BD2" w:rsidP="004C0E7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má vazbu na Strategický rámec Místního akčního plánu a je v něm zmíněn. Popište soulad projektu na Místní akční plán vzdělávání (MAP), pokud je jeho součástí, uveďte elektronický odkaz na uvedený dokument. Uveďte rovněž, že projekt není součástí MAP.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</w:t>
      </w:r>
      <w:r w:rsidR="0070520D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bod 9</w:t>
      </w:r>
      <w:r w:rsidR="007E0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PZ</w:t>
      </w:r>
    </w:p>
    <w:p w:rsidR="001779E2" w:rsidRPr="001779E2" w:rsidRDefault="003C0EEB" w:rsidP="006B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KONKRÉTNÍ </w:t>
      </w:r>
      <w:r w:rsidR="00892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OTÁZKY A ODPOVĚDI</w:t>
      </w:r>
    </w:p>
    <w:p w:rsidR="00756FDE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Vztahuje se tato </w:t>
      </w:r>
      <w:r w:rsidR="00B81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ýzva i na Prahu?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E8014C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Ano, ale pouze</w:t>
      </w:r>
      <w:r w:rsidR="00EF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novostavby mateřských škol na území hlavního města Prahy.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mohou podávat jednotlivé městské části v souladu s „</w:t>
      </w:r>
      <w:r w:rsidR="001779E2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</w:t>
      </w:r>
      <w:r w:rsidR="00636B00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vaznou vyhláškou </w:t>
      </w:r>
      <w:r w:rsidR="00EF66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36B00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>č. 55/2000 Sb.</w:t>
      </w:r>
      <w:r w:rsidR="001779E2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hl. m. Prahy, kterou se vydává Statut hlavního města Prahy“.</w:t>
      </w:r>
      <w:r w:rsidR="00756FDE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schválení žádosti o dotaci bude nutné doložit „Usnesení</w:t>
      </w:r>
      <w:r w:rsidR="00756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</w:t>
      </w:r>
      <w:r w:rsidR="003C0E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Hlavního města</w:t>
      </w:r>
      <w:r w:rsidR="00756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Prahy k podpoře projektů spolufinancovaných z MŠMT v rámci programu „Rozvoj výukových kapacit mateřských a základních škol zřizovaných územně samosprávnými celky“. </w:t>
      </w:r>
    </w:p>
    <w:p w:rsidR="001779E2" w:rsidRPr="001779E2" w:rsidRDefault="001779E2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6FDE" w:rsidRPr="00756FDE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rozestavěné stavby?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1908" w:rsidRDefault="008F1908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Ano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, vztahuje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. H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radit z dotace lze však pouze výdaje aktuálního rozpočtového roku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847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povinné spoluúčasti však mohou být </w:t>
      </w:r>
      <w:r w:rsidR="00756FDE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zahrnuty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předchozích let - jedná se např. 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779E2">
        <w:rPr>
          <w:rFonts w:ascii="Times New Roman" w:hAnsi="Times New Roman"/>
          <w:sz w:val="24"/>
          <w:szCs w:val="24"/>
        </w:rPr>
        <w:t xml:space="preserve">výdaje na </w:t>
      </w:r>
      <w:r w:rsidR="00AA31EE" w:rsidRPr="001779E2">
        <w:rPr>
          <w:rFonts w:ascii="Times New Roman" w:eastAsia="Times New Roman" w:hAnsi="Times New Roman"/>
          <w:sz w:val="24"/>
          <w:szCs w:val="24"/>
          <w:lang w:eastAsia="cs-CZ"/>
        </w:rPr>
        <w:t>přípravu a zabezpečení akce/projektu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A31EE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které </w:t>
      </w:r>
      <w:r w:rsidRPr="001779E2">
        <w:rPr>
          <w:rFonts w:ascii="Times New Roman" w:hAnsi="Times New Roman"/>
          <w:sz w:val="24"/>
          <w:szCs w:val="24"/>
        </w:rPr>
        <w:t xml:space="preserve">bezprostředně </w:t>
      </w:r>
      <w:r w:rsidR="00C25D22" w:rsidRPr="001779E2">
        <w:rPr>
          <w:rFonts w:ascii="Times New Roman" w:hAnsi="Times New Roman"/>
          <w:sz w:val="24"/>
          <w:szCs w:val="24"/>
        </w:rPr>
        <w:t>souvisejí</w:t>
      </w:r>
      <w:r w:rsidRPr="001779E2">
        <w:rPr>
          <w:rFonts w:ascii="Times New Roman" w:hAnsi="Times New Roman"/>
          <w:sz w:val="24"/>
          <w:szCs w:val="24"/>
        </w:rPr>
        <w:t xml:space="preserve"> </w:t>
      </w:r>
      <w:r w:rsidR="00AA31EE" w:rsidRPr="001779E2">
        <w:rPr>
          <w:rFonts w:ascii="Times New Roman" w:hAnsi="Times New Roman"/>
          <w:sz w:val="24"/>
          <w:szCs w:val="24"/>
        </w:rPr>
        <w:t>s věcným obsahem předkládané</w:t>
      </w:r>
      <w:r w:rsidRPr="001779E2">
        <w:rPr>
          <w:rFonts w:ascii="Times New Roman" w:hAnsi="Times New Roman"/>
          <w:sz w:val="24"/>
          <w:szCs w:val="24"/>
        </w:rPr>
        <w:t xml:space="preserve"> </w:t>
      </w:r>
      <w:r w:rsidR="00AA31EE" w:rsidRPr="001779E2">
        <w:rPr>
          <w:rFonts w:ascii="Times New Roman" w:hAnsi="Times New Roman"/>
          <w:sz w:val="24"/>
          <w:szCs w:val="24"/>
        </w:rPr>
        <w:t>žádosti</w:t>
      </w:r>
      <w:r w:rsidR="003269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t>(viz bod II. Uznatelnost výdajů).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2A10" w:rsidRPr="00756FDE">
        <w:rPr>
          <w:rFonts w:ascii="Times New Roman" w:eastAsia="Times New Roman" w:hAnsi="Times New Roman"/>
          <w:b/>
          <w:sz w:val="24"/>
          <w:szCs w:val="24"/>
          <w:lang w:eastAsia="cs-CZ"/>
        </w:rPr>
        <w:t>Nelze však financovat akce/projekty, které budou ukončeny před datem podání žádosti.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V případě stavby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se termínem ukončení realizace akce/projektu rozumí</w:t>
      </w:r>
      <w:r w:rsidR="003C0EEB">
        <w:rPr>
          <w:rFonts w:ascii="Times New Roman" w:eastAsia="Times New Roman" w:hAnsi="Times New Roman"/>
          <w:sz w:val="24"/>
          <w:szCs w:val="24"/>
          <w:lang w:eastAsia="cs-CZ"/>
        </w:rPr>
        <w:t xml:space="preserve"> den, kdy byl sepsán protokol o 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předání a převzetí stavby, a to bez vad a nedodělků bránících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v užívání. V případě, že se nejedná o stavbu, je za termín ukončení realizace považován termín převzetí věci nebo jiný úkon.</w:t>
      </w:r>
    </w:p>
    <w:p w:rsidR="00756FDE" w:rsidRPr="001779E2" w:rsidRDefault="00756FDE" w:rsidP="00756FDE">
      <w:pPr>
        <w:pStyle w:val="Odstavecseseznamem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Pokud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částka požadované dotace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 jednoho projektového záměru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nižší než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mil.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 nebo vyšší než 30</w:t>
      </w:r>
      <w:r w:rsidR="001F7AFF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mil.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mohu se přihlásit do Výzvy?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0B2A10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 se přihlásit. </w:t>
      </w:r>
    </w:p>
    <w:p w:rsidR="00756FDE" w:rsidRPr="001779E2" w:rsidRDefault="00756FDE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9E3" w:rsidRPr="004F59E3" w:rsidRDefault="003C0EEB" w:rsidP="003C0EEB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poskytována dotace i na neinvestiční výdaje? </w:t>
      </w:r>
    </w:p>
    <w:p w:rsidR="003C0EEB" w:rsidRDefault="004E5CE7" w:rsidP="004F59E3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 dotace mohou být hrazeny pouze dodávky interiérového vybavení</w:t>
      </w:r>
      <w:r w:rsidR="0032696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typu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mobiliáře. Nelze hradit neinvestiční IT vybavení (např. PC)</w:t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, provozní výdaje, mzdové náklady </w:t>
      </w:r>
      <w:r w:rsidR="0069151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br/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a související náklady, zpracování a administraci žádosti o poskytnutí dotace vč. </w:t>
      </w:r>
      <w:r w:rsidR="007D3B7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</w:t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ýdajů na související pora</w:t>
      </w:r>
      <w:r w:rsidR="007C64B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denství (vyjma organizace veřejných zakázek na stavební práce, dodávky a služby), právní služby, bankovní a jiné poplatky, bankovní záruky.</w:t>
      </w:r>
    </w:p>
    <w:p w:rsidR="004F59E3" w:rsidRDefault="004F59E3" w:rsidP="004F59E3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1A3079" w:rsidRPr="001779E2" w:rsidRDefault="001A3079" w:rsidP="003C0EEB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Mohu se do Výzvy přihlásit, pokud potřebuji 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pouze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vybavit třídu?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1A3079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potřebných pro vzdělávání v dané obci. Financovat bude možné pouze základní 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prvotní vybavení dané investice (viz bod 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03E63">
        <w:rPr>
          <w:rFonts w:ascii="Times New Roman" w:eastAsia="Times New Roman" w:hAnsi="Times New Roman" w:cs="Times New Roman"/>
          <w:sz w:val="24"/>
          <w:szCs w:val="24"/>
          <w:lang w:eastAsia="cs-CZ"/>
        </w:rPr>
        <w:t>II. U</w:t>
      </w:r>
      <w:r w:rsidR="002C7E8B">
        <w:rPr>
          <w:rFonts w:ascii="Times New Roman" w:eastAsia="Times New Roman" w:hAnsi="Times New Roman" w:cs="Times New Roman"/>
          <w:sz w:val="24"/>
          <w:szCs w:val="24"/>
          <w:lang w:eastAsia="cs-CZ"/>
        </w:rPr>
        <w:t>znatelnost výdajů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vybavení d</w:t>
      </w:r>
      <w:r w:rsidR="00425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oporučujeme 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zahrnout </w:t>
      </w:r>
      <w:r w:rsid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místních (krajských) akčních plánů rozvoje vzdělávání,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využít podporu z jiných dotačních titulů především operačních programů Evropské unie.</w:t>
      </w:r>
    </w:p>
    <w:p w:rsidR="00294F89" w:rsidRDefault="00294F89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Mohu se přihlásit do Výzvy, pokud potřebuji zvýšit kapacitu pouze družiny, 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jídelny,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dílen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apod.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779E2" w:rsidRDefault="00B815FB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kmenových učeben. Družiny, jídelny, odborné učebny, apod. mohou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kryty z dotace jen</w:t>
      </w:r>
      <w:r w:rsidR="006B0ACD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jsou v rámci projektového záměru doplňkovými </w:t>
      </w:r>
      <w:r w:rsidR="00DD6E85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kapacitami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bezprostředně souvisejícími s navyšovanou kapacitou kmenových učeben.</w:t>
      </w:r>
      <w:r w:rsidR="00E03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- viz bod </w:t>
      </w:r>
      <w:r w:rsidR="002C7E8B">
        <w:rPr>
          <w:rFonts w:ascii="Times New Roman" w:eastAsia="Times New Roman" w:hAnsi="Times New Roman" w:cs="Times New Roman"/>
          <w:sz w:val="24"/>
          <w:szCs w:val="24"/>
          <w:lang w:eastAsia="cs-CZ"/>
        </w:rPr>
        <w:t>II Uznatelnost výdajů</w:t>
      </w:r>
    </w:p>
    <w:p w:rsidR="008A6A8E" w:rsidRDefault="008A6A8E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uznatelné se v rámci projektu považují výdaje na:</w:t>
      </w:r>
    </w:p>
    <w:p w:rsidR="007D3CDB" w:rsidRDefault="007D3CDB" w:rsidP="007D3CD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D6F9D">
        <w:rPr>
          <w:rFonts w:ascii="Times New Roman" w:hAnsi="Times New Roman"/>
          <w:sz w:val="24"/>
          <w:szCs w:val="24"/>
        </w:rPr>
        <w:t>stavební práce související</w:t>
      </w:r>
      <w:r w:rsidR="00B30C4E">
        <w:rPr>
          <w:rFonts w:ascii="Times New Roman" w:hAnsi="Times New Roman"/>
          <w:sz w:val="24"/>
          <w:szCs w:val="24"/>
        </w:rPr>
        <w:t xml:space="preserve"> primárně</w:t>
      </w:r>
      <w:r w:rsidRPr="00CD6F9D">
        <w:rPr>
          <w:rFonts w:ascii="Times New Roman" w:hAnsi="Times New Roman"/>
          <w:sz w:val="24"/>
          <w:szCs w:val="24"/>
        </w:rPr>
        <w:t xml:space="preserve"> s navyšováním výukové kapacity kmenových tříd</w:t>
      </w:r>
      <w:r>
        <w:rPr>
          <w:rFonts w:ascii="Times New Roman" w:hAnsi="Times New Roman"/>
          <w:sz w:val="24"/>
          <w:szCs w:val="24"/>
        </w:rPr>
        <w:t>, v tom rovněž</w:t>
      </w:r>
    </w:p>
    <w:p w:rsidR="007D3CDB" w:rsidRPr="00CD6F9D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budování odborných učeben, které v souvislosti s navýšením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výukové 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kapacity povedou </w:t>
      </w:r>
      <w:r w:rsidRPr="00CD6F9D">
        <w:rPr>
          <w:rFonts w:ascii="Times New Roman" w:hAnsi="Times New Roman"/>
          <w:sz w:val="24"/>
          <w:szCs w:val="24"/>
        </w:rPr>
        <w:t>k celistvému řešení organizace výuky</w:t>
      </w:r>
      <w:r>
        <w:rPr>
          <w:rFonts w:ascii="Times New Roman" w:hAnsi="Times New Roman"/>
          <w:sz w:val="24"/>
          <w:szCs w:val="24"/>
        </w:rPr>
        <w:t>,</w:t>
      </w:r>
    </w:p>
    <w:p w:rsidR="007D3CDB" w:rsidRPr="00CD6F9D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výstavbu tělocvičny, pokud </w:t>
      </w:r>
      <w:r w:rsidRPr="00CD6F9D">
        <w:rPr>
          <w:rFonts w:ascii="Times New Roman" w:hAnsi="Times New Roman"/>
          <w:sz w:val="24"/>
          <w:szCs w:val="24"/>
        </w:rPr>
        <w:t xml:space="preserve">povede k celistvému řešení organizace výuky a bude prokázáno dlouhodobé provozování výuky tělesné výchovy v nevyhovujících prostorách 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>(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např.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 kmenových třídách)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 w:rsidR="00B30C4E">
        <w:rPr>
          <w:rFonts w:ascii="Times New Roman" w:eastAsia="Times New Roman" w:hAnsi="Times New Roman"/>
          <w:sz w:val="24"/>
          <w:szCs w:val="20"/>
          <w:lang w:eastAsia="cs-CZ"/>
        </w:rPr>
        <w:t xml:space="preserve"> v tomto případě je minimální výše spolufinancování ze strany příjemce dotace 30 % z celkových nákladů akce</w:t>
      </w:r>
    </w:p>
    <w:p w:rsidR="007D3CDB" w:rsidRPr="00FC382A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výstavbu školní družiny související s navýšením kapacity </w:t>
      </w:r>
      <w:r w:rsidRPr="002068EB">
        <w:rPr>
          <w:rFonts w:ascii="Times New Roman" w:eastAsia="Times New Roman" w:hAnsi="Times New Roman"/>
          <w:sz w:val="24"/>
          <w:szCs w:val="20"/>
          <w:lang w:eastAsia="cs-CZ"/>
        </w:rPr>
        <w:t xml:space="preserve">kmenových učeben,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které povede</w:t>
      </w:r>
      <w:r w:rsidRPr="00FE3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382A">
        <w:rPr>
          <w:rFonts w:ascii="Times New Roman" w:eastAsia="Times New Roman" w:hAnsi="Times New Roman"/>
          <w:sz w:val="24"/>
          <w:szCs w:val="20"/>
          <w:lang w:eastAsia="cs-CZ"/>
        </w:rPr>
        <w:t>k celistvému řešení organizace výuky a bude prokázáno dlouhodobé provozování činnosti školní družiny v nevyhovujících prostorách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(např. kmenových třídách),</w:t>
      </w:r>
    </w:p>
    <w:p w:rsidR="007D3CDB" w:rsidRPr="00FC382A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výstavbu školní jídelny, pokud je navýšení její kapacity provázáno s realizovaným navýšením rejstříkové kapacity školy (lze akceptovat i navýšení kapacity kmenových tříd v předchozích etapách výstavby, které nejsou předmětem předloženého projektového záměru) a ve vztahu k hygienickým předpisům (potřeba navýšení kapacity školní jídelny bude podložena stanoviskem Krajské hygienické stanice),</w:t>
      </w:r>
    </w:p>
    <w:p w:rsidR="008A6A8E" w:rsidRDefault="008A6A8E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zřizovatelem není obec, ale např. arcibiskupství (církevní škola)</w:t>
      </w:r>
      <w:r w:rsidR="00124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nebo jiná </w:t>
      </w:r>
      <w:r w:rsidR="00B81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fyzická nebo </w:t>
      </w:r>
      <w:r w:rsidR="00124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právnická osoba než územní samosprávný celek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6B0ACD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Výzva se týká pouze škol a školských zařízení zřizovaných územn</w:t>
      </w:r>
      <w:r w:rsidR="00124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ími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samosprávnými celky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124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dobrovolnými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svazky obcí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E5C0B" w:rsidRDefault="000E5C0B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691A" w:rsidRPr="009C3B78" w:rsidRDefault="009C3B78" w:rsidP="009C3B78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 se myslí zdroji spolufinancování (vlastní a ostatní zdroje)?</w:t>
      </w:r>
    </w:p>
    <w:p w:rsid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spolufinancování se předpokládá zapojení především zdrojů obecních rozpočtů. Vlastními zdroji jsou zdroje obecního rozpočtu a fondu investic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školské právnické 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 rámci ostatních zdrojů mohou být zapojeny např. zdroje krajských rozpočtů a</w:t>
      </w:r>
      <w:r w:rsidR="00F43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jiných dotačních titulů (např. Operačního programu Životní prostředí 2014 – 2020, prioritní osy 5, specifického cíle 5.2</w:t>
      </w:r>
      <w:r w:rsidR="00567257">
        <w:rPr>
          <w:rFonts w:ascii="Times New Roman" w:eastAsia="Times New Roman" w:hAnsi="Times New Roman" w:cs="Times New Roman"/>
          <w:sz w:val="24"/>
          <w:szCs w:val="24"/>
          <w:lang w:eastAsia="cs-CZ"/>
        </w:rPr>
        <w:t>), včetně úvěrů.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Použité typy zdrojů spolufinancování v projektovém záměru vysvětlete.</w:t>
      </w:r>
    </w:p>
    <w:p w:rsid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B78" w:rsidRPr="009C3B78" w:rsidRDefault="009C3B78" w:rsidP="009C3B78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v předepsaném limitu dotace zahrnuta částka DPH?</w:t>
      </w:r>
    </w:p>
    <w:p w:rsidR="009C3B78" w:rsidRP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dotace je částkou konečnou, která bude vyplacena, zahrnuje tedy i potřebnou částku DPH.</w:t>
      </w:r>
      <w:r w:rsid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poskytnutí dotace v této souvislosti platí ustanovení § 14 odst. 12 zákona č. 218/2000 Sb. „</w:t>
      </w:r>
      <w:r w:rsidR="00291B34"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měsíce od uplatnění nároku odvést částku odpočtu na účet finančního vypořádání.</w:t>
      </w:r>
      <w:r w:rsid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EB691A" w:rsidRDefault="00EB691A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E4E" w:rsidRPr="009C3B78" w:rsidRDefault="002E0E4E" w:rsidP="002E0E4E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Lze poskytnout dotaci na projekt, který byl předmětem předchozí dotace v rámci jiného dotačního titulu?</w:t>
      </w:r>
    </w:p>
    <w:p w:rsidR="00C37EB2" w:rsidRDefault="002E0E4E" w:rsidP="00892DAF">
      <w:pPr>
        <w:pStyle w:val="Odstavecseseznamem"/>
        <w:spacing w:before="120"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především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dotac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E0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kapitoly Ministerstva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životního pros</w:t>
      </w:r>
      <w:r w:rsidR="00A847E9">
        <w:rPr>
          <w:rFonts w:ascii="Times New Roman" w:eastAsia="Times New Roman" w:hAnsi="Times New Roman" w:cs="Times New Roman"/>
          <w:sz w:val="24"/>
          <w:szCs w:val="24"/>
          <w:lang w:eastAsia="cs-CZ"/>
        </w:rPr>
        <w:t>tředí na opatření k energetický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úsporám (např. zateplení obvodových plášťů, apod.). Poskytnout do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z programu MŠMT je možné, ale příjemce dotace v plném rozsahu zodpovídá za dodržení podmínek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příslušného dotačního titulu vč.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 udržitelnosti 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</w:t>
      </w:r>
      <w:r w:rsidR="005459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2DAF">
        <w:t xml:space="preserve"> </w:t>
      </w:r>
    </w:p>
    <w:p w:rsidR="001779E2" w:rsidRDefault="001779E2" w:rsidP="006B0ACD">
      <w:pPr>
        <w:jc w:val="both"/>
      </w:pPr>
    </w:p>
    <w:p w:rsidR="00DD2704" w:rsidRPr="009C3B78" w:rsidRDefault="00DD2704" w:rsidP="00DD2704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Musí být v žádosti uveden popis souladu projektu s Místním akčním plánem vzdělávání (MAP)?</w:t>
      </w:r>
      <w:r w:rsidR="004B1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031F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třeba </w:t>
      </w:r>
      <w:r w:rsidR="00511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MAP </w:t>
      </w:r>
      <w:r w:rsidR="00031F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</w:t>
      </w:r>
      <w:r w:rsidR="00E72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oložit do 31. 10. 2016?</w:t>
      </w:r>
    </w:p>
    <w:p w:rsidR="00DD2704" w:rsidRDefault="00E97517" w:rsidP="00DD270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není povinná podmínka, ale </w:t>
      </w:r>
      <w:r w:rsidR="002966A1">
        <w:rPr>
          <w:rFonts w:ascii="Times New Roman" w:hAnsi="Times New Roman" w:cs="Times New Roman"/>
          <w:sz w:val="24"/>
          <w:szCs w:val="24"/>
        </w:rPr>
        <w:t xml:space="preserve">bude součástí hodnotících kritérií. </w:t>
      </w:r>
      <w:r w:rsidR="00031F3F">
        <w:rPr>
          <w:rFonts w:ascii="Times New Roman" w:hAnsi="Times New Roman" w:cs="Times New Roman"/>
          <w:sz w:val="24"/>
          <w:szCs w:val="24"/>
        </w:rPr>
        <w:t xml:space="preserve">MŠMT </w:t>
      </w:r>
      <w:r w:rsidR="0011195D">
        <w:rPr>
          <w:rFonts w:ascii="Times New Roman" w:hAnsi="Times New Roman" w:cs="Times New Roman"/>
          <w:sz w:val="24"/>
          <w:szCs w:val="24"/>
        </w:rPr>
        <w:br/>
      </w:r>
      <w:r w:rsidR="00031F3F">
        <w:rPr>
          <w:rFonts w:ascii="Times New Roman" w:hAnsi="Times New Roman" w:cs="Times New Roman"/>
          <w:sz w:val="24"/>
          <w:szCs w:val="24"/>
        </w:rPr>
        <w:t xml:space="preserve">je obeznámeno se skutečností, že projekty MAP mají časové zpoždění, z čehož </w:t>
      </w:r>
      <w:r w:rsidR="00511311">
        <w:rPr>
          <w:rFonts w:ascii="Times New Roman" w:hAnsi="Times New Roman" w:cs="Times New Roman"/>
          <w:sz w:val="24"/>
          <w:szCs w:val="24"/>
        </w:rPr>
        <w:t>vyplývá i </w:t>
      </w:r>
      <w:r w:rsidR="00031F3F">
        <w:rPr>
          <w:rFonts w:ascii="Times New Roman" w:hAnsi="Times New Roman" w:cs="Times New Roman"/>
          <w:sz w:val="24"/>
          <w:szCs w:val="24"/>
        </w:rPr>
        <w:t>zpožděná tvorba Strategických rámců MAP. Z toho důvodu h</w:t>
      </w:r>
      <w:r>
        <w:rPr>
          <w:rFonts w:ascii="Times New Roman" w:hAnsi="Times New Roman" w:cs="Times New Roman"/>
          <w:sz w:val="24"/>
          <w:szCs w:val="24"/>
        </w:rPr>
        <w:t xml:space="preserve">odnotící komise </w:t>
      </w:r>
      <w:r w:rsidR="002966A1">
        <w:rPr>
          <w:rFonts w:ascii="Times New Roman" w:hAnsi="Times New Roman" w:cs="Times New Roman"/>
          <w:sz w:val="24"/>
          <w:szCs w:val="24"/>
        </w:rPr>
        <w:t>posuzuje, zda je</w:t>
      </w:r>
      <w:r>
        <w:rPr>
          <w:rFonts w:ascii="Times New Roman" w:hAnsi="Times New Roman" w:cs="Times New Roman"/>
          <w:sz w:val="24"/>
          <w:szCs w:val="24"/>
        </w:rPr>
        <w:t xml:space="preserve"> v žádosti uvedena </w:t>
      </w:r>
      <w:r w:rsidR="00031F3F">
        <w:rPr>
          <w:rFonts w:ascii="Times New Roman" w:hAnsi="Times New Roman" w:cs="Times New Roman"/>
          <w:sz w:val="24"/>
          <w:szCs w:val="24"/>
        </w:rPr>
        <w:t xml:space="preserve">alespoň </w:t>
      </w:r>
      <w:r>
        <w:rPr>
          <w:rFonts w:ascii="Times New Roman" w:hAnsi="Times New Roman" w:cs="Times New Roman"/>
          <w:sz w:val="24"/>
          <w:szCs w:val="24"/>
        </w:rPr>
        <w:t>informace</w:t>
      </w:r>
      <w:r w:rsidR="002966A1">
        <w:rPr>
          <w:rFonts w:ascii="Times New Roman" w:hAnsi="Times New Roman" w:cs="Times New Roman"/>
          <w:sz w:val="24"/>
          <w:szCs w:val="24"/>
        </w:rPr>
        <w:t xml:space="preserve"> o tom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2966A1">
        <w:rPr>
          <w:rFonts w:ascii="Times New Roman" w:hAnsi="Times New Roman" w:cs="Times New Roman"/>
          <w:sz w:val="24"/>
          <w:szCs w:val="24"/>
        </w:rPr>
        <w:t xml:space="preserve">je projekt </w:t>
      </w: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E82148">
        <w:rPr>
          <w:rFonts w:ascii="Times New Roman" w:hAnsi="Times New Roman" w:cs="Times New Roman"/>
          <w:sz w:val="24"/>
          <w:szCs w:val="24"/>
        </w:rPr>
        <w:t>Strategick</w:t>
      </w:r>
      <w:r w:rsidR="00E82148">
        <w:rPr>
          <w:rFonts w:ascii="Times New Roman" w:hAnsi="Times New Roman" w:cs="Times New Roman"/>
          <w:sz w:val="24"/>
          <w:szCs w:val="24"/>
        </w:rPr>
        <w:t>ého</w:t>
      </w:r>
      <w:r w:rsidR="00E82148">
        <w:rPr>
          <w:rFonts w:ascii="Times New Roman" w:hAnsi="Times New Roman" w:cs="Times New Roman"/>
          <w:sz w:val="24"/>
          <w:szCs w:val="24"/>
        </w:rPr>
        <w:t xml:space="preserve"> rámc</w:t>
      </w:r>
      <w:r w:rsidR="00E82148">
        <w:rPr>
          <w:rFonts w:ascii="Times New Roman" w:hAnsi="Times New Roman" w:cs="Times New Roman"/>
          <w:sz w:val="24"/>
          <w:szCs w:val="24"/>
        </w:rPr>
        <w:t>e</w:t>
      </w:r>
      <w:r w:rsidR="00E8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 (např. formou čestného prohlášení</w:t>
      </w:r>
      <w:r w:rsidR="004B1A19">
        <w:rPr>
          <w:rFonts w:ascii="Times New Roman" w:hAnsi="Times New Roman" w:cs="Times New Roman"/>
          <w:sz w:val="24"/>
          <w:szCs w:val="24"/>
        </w:rPr>
        <w:t xml:space="preserve">). </w:t>
      </w:r>
      <w:r w:rsidR="00E82148">
        <w:rPr>
          <w:rFonts w:ascii="Times New Roman" w:hAnsi="Times New Roman" w:cs="Times New Roman"/>
          <w:sz w:val="24"/>
          <w:szCs w:val="24"/>
        </w:rPr>
        <w:t>Strategický rám</w:t>
      </w:r>
      <w:r w:rsidR="00E82148">
        <w:rPr>
          <w:rFonts w:ascii="Times New Roman" w:hAnsi="Times New Roman" w:cs="Times New Roman"/>
          <w:sz w:val="24"/>
          <w:szCs w:val="24"/>
        </w:rPr>
        <w:t>ec</w:t>
      </w:r>
      <w:r w:rsidR="00E82148">
        <w:rPr>
          <w:rFonts w:ascii="Times New Roman" w:hAnsi="Times New Roman" w:cs="Times New Roman"/>
          <w:sz w:val="24"/>
          <w:szCs w:val="24"/>
        </w:rPr>
        <w:t xml:space="preserve"> </w:t>
      </w:r>
      <w:r w:rsidR="00E72C09">
        <w:rPr>
          <w:rFonts w:ascii="Times New Roman" w:hAnsi="Times New Roman" w:cs="Times New Roman"/>
          <w:sz w:val="24"/>
          <w:szCs w:val="24"/>
        </w:rPr>
        <w:t>MAP je možné doložit, až bude</w:t>
      </w:r>
      <w:r w:rsidR="00511311">
        <w:rPr>
          <w:rFonts w:ascii="Times New Roman" w:hAnsi="Times New Roman" w:cs="Times New Roman"/>
          <w:sz w:val="24"/>
          <w:szCs w:val="24"/>
        </w:rPr>
        <w:t xml:space="preserve"> reálně k dispozici</w:t>
      </w:r>
      <w:r w:rsidR="0011195D">
        <w:rPr>
          <w:rFonts w:ascii="Times New Roman" w:hAnsi="Times New Roman" w:cs="Times New Roman"/>
          <w:sz w:val="24"/>
          <w:szCs w:val="24"/>
        </w:rPr>
        <w:t>, nejpozději však do registrace akce (nejdříve březen 2017).</w:t>
      </w:r>
    </w:p>
    <w:sectPr w:rsidR="00DD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53C"/>
    <w:multiLevelType w:val="hybridMultilevel"/>
    <w:tmpl w:val="32681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5EED"/>
    <w:multiLevelType w:val="hybridMultilevel"/>
    <w:tmpl w:val="ECFE6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F1954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C004E"/>
    <w:multiLevelType w:val="hybridMultilevel"/>
    <w:tmpl w:val="ACDC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79"/>
    <w:rsid w:val="00031F3F"/>
    <w:rsid w:val="00086D7F"/>
    <w:rsid w:val="000B2A10"/>
    <w:rsid w:val="000D1406"/>
    <w:rsid w:val="000E5C0B"/>
    <w:rsid w:val="0011195D"/>
    <w:rsid w:val="00124132"/>
    <w:rsid w:val="0017550F"/>
    <w:rsid w:val="001779E2"/>
    <w:rsid w:val="001A3079"/>
    <w:rsid w:val="001E6154"/>
    <w:rsid w:val="001F7AFF"/>
    <w:rsid w:val="002752AC"/>
    <w:rsid w:val="00291B34"/>
    <w:rsid w:val="00294F89"/>
    <w:rsid w:val="002966A1"/>
    <w:rsid w:val="002C7E8B"/>
    <w:rsid w:val="002D38AF"/>
    <w:rsid w:val="002E099D"/>
    <w:rsid w:val="002E0E4E"/>
    <w:rsid w:val="00326965"/>
    <w:rsid w:val="00337AD3"/>
    <w:rsid w:val="00354351"/>
    <w:rsid w:val="003A36B3"/>
    <w:rsid w:val="003A653B"/>
    <w:rsid w:val="003C0EEB"/>
    <w:rsid w:val="003E0183"/>
    <w:rsid w:val="004255A1"/>
    <w:rsid w:val="00451C22"/>
    <w:rsid w:val="00455A90"/>
    <w:rsid w:val="004B1A19"/>
    <w:rsid w:val="004C0E7D"/>
    <w:rsid w:val="004E5CE7"/>
    <w:rsid w:val="004F59E3"/>
    <w:rsid w:val="00511311"/>
    <w:rsid w:val="00522B2D"/>
    <w:rsid w:val="005459D5"/>
    <w:rsid w:val="00567257"/>
    <w:rsid w:val="00604FF2"/>
    <w:rsid w:val="00626E61"/>
    <w:rsid w:val="00636B00"/>
    <w:rsid w:val="0066132A"/>
    <w:rsid w:val="0069151A"/>
    <w:rsid w:val="00692F70"/>
    <w:rsid w:val="006B0ACD"/>
    <w:rsid w:val="0070520D"/>
    <w:rsid w:val="00741168"/>
    <w:rsid w:val="00756FDE"/>
    <w:rsid w:val="007819D6"/>
    <w:rsid w:val="007B72EA"/>
    <w:rsid w:val="007C64BD"/>
    <w:rsid w:val="007D3B70"/>
    <w:rsid w:val="007D3CDB"/>
    <w:rsid w:val="007E0227"/>
    <w:rsid w:val="00826DBE"/>
    <w:rsid w:val="00830DC2"/>
    <w:rsid w:val="00870DDA"/>
    <w:rsid w:val="008837E0"/>
    <w:rsid w:val="00892DAF"/>
    <w:rsid w:val="008A6A8E"/>
    <w:rsid w:val="008C63F3"/>
    <w:rsid w:val="008F1908"/>
    <w:rsid w:val="00903103"/>
    <w:rsid w:val="00914021"/>
    <w:rsid w:val="00932BD2"/>
    <w:rsid w:val="009634E9"/>
    <w:rsid w:val="00984AB7"/>
    <w:rsid w:val="009A4850"/>
    <w:rsid w:val="009C3B78"/>
    <w:rsid w:val="00A33F2C"/>
    <w:rsid w:val="00A60DA8"/>
    <w:rsid w:val="00A847E9"/>
    <w:rsid w:val="00AA31EE"/>
    <w:rsid w:val="00B227B7"/>
    <w:rsid w:val="00B30C4E"/>
    <w:rsid w:val="00B3385B"/>
    <w:rsid w:val="00B4050F"/>
    <w:rsid w:val="00B815FB"/>
    <w:rsid w:val="00C2039B"/>
    <w:rsid w:val="00C25D22"/>
    <w:rsid w:val="00C37EB2"/>
    <w:rsid w:val="00D27156"/>
    <w:rsid w:val="00DB0000"/>
    <w:rsid w:val="00DD2704"/>
    <w:rsid w:val="00DD3B69"/>
    <w:rsid w:val="00DD6E85"/>
    <w:rsid w:val="00E03E63"/>
    <w:rsid w:val="00E03FF6"/>
    <w:rsid w:val="00E72C09"/>
    <w:rsid w:val="00E8014C"/>
    <w:rsid w:val="00E82148"/>
    <w:rsid w:val="00E8396A"/>
    <w:rsid w:val="00E97517"/>
    <w:rsid w:val="00EB691A"/>
    <w:rsid w:val="00EF663D"/>
    <w:rsid w:val="00F43992"/>
    <w:rsid w:val="00F65B2C"/>
    <w:rsid w:val="00F673C3"/>
    <w:rsid w:val="00F90F80"/>
    <w:rsid w:val="00F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5A5E00-30C0-4358-9F82-3B0D0EB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D38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8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EC88-2CB0-40E4-8FE3-C8162B31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1453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Kurfürstová Yveta</dc:creator>
  <cp:lastModifiedBy>Kurfürstová Yveta</cp:lastModifiedBy>
  <cp:revision>3</cp:revision>
  <cp:lastPrinted>2015-10-02T06:35:00Z</cp:lastPrinted>
  <dcterms:created xsi:type="dcterms:W3CDTF">2016-10-18T07:35:00Z</dcterms:created>
  <dcterms:modified xsi:type="dcterms:W3CDTF">2016-10-18T07:37:00Z</dcterms:modified>
</cp:coreProperties>
</file>