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5C46A5" w:rsidRPr="00355EF0" w:rsidRDefault="005C46A5" w:rsidP="005C46A5">
      <w:pPr>
        <w:spacing w:line="20" w:lineRule="atLeast"/>
        <w:jc w:val="center"/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</w:pPr>
      <w:r w:rsidRPr="00355EF0"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  <w:t>Finanční limity na vybavení</w:t>
      </w:r>
      <w:r w:rsidR="00BE4261"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  <w:t xml:space="preserve"> určené pro </w:t>
      </w:r>
      <w:r w:rsidR="003F2DD9"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  <w:t>nein</w:t>
      </w:r>
      <w:r w:rsidR="00BE4261"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  <w:t>vestiční dotační progra</w:t>
      </w:r>
      <w:r w:rsidR="00AC5D15">
        <w:rPr>
          <w:rFonts w:ascii="Times New Roman" w:eastAsiaTheme="minorHAnsi" w:hAnsi="Times New Roman"/>
          <w:b/>
          <w:color w:val="auto"/>
          <w:sz w:val="32"/>
          <w:szCs w:val="32"/>
          <w:lang w:eastAsia="en-US"/>
        </w:rPr>
        <w:t>m III</w:t>
      </w:r>
    </w:p>
    <w:p w:rsidR="005C46A5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0"/>
        <w:gridCol w:w="4775"/>
        <w:gridCol w:w="3057"/>
      </w:tblGrid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Pořadí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Položka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Cena včetně DPH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Digitální videokamera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7 000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Mobilní telefon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5 000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3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Multifunkční zařízení (tiskárna, skener, kopírka)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10 000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4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Notebook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14 000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5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Sestava stolní PC, včetně monitoru</w:t>
            </w:r>
          </w:p>
        </w:tc>
        <w:tc>
          <w:tcPr>
            <w:tcW w:w="3071" w:type="dxa"/>
          </w:tcPr>
          <w:p w:rsidR="005C46A5" w:rsidRDefault="005C46A5" w:rsidP="00355EF0">
            <w:pPr>
              <w:spacing w:line="20" w:lineRule="atLeast"/>
              <w:jc w:val="righ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20 000 Kč</w:t>
            </w:r>
          </w:p>
        </w:tc>
      </w:tr>
      <w:tr w:rsidR="005C46A5" w:rsidTr="00355EF0">
        <w:tc>
          <w:tcPr>
            <w:tcW w:w="1242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6</w:t>
            </w:r>
          </w:p>
        </w:tc>
        <w:tc>
          <w:tcPr>
            <w:tcW w:w="4899" w:type="dxa"/>
          </w:tcPr>
          <w:p w:rsidR="005C46A5" w:rsidRDefault="005C46A5" w:rsidP="00355EF0">
            <w:pPr>
              <w:spacing w:line="20" w:lineRule="atLeast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Tablet</w:t>
            </w:r>
          </w:p>
        </w:tc>
        <w:tc>
          <w:tcPr>
            <w:tcW w:w="3071" w:type="dxa"/>
          </w:tcPr>
          <w:p w:rsidR="005C46A5" w:rsidRPr="00355EF0" w:rsidRDefault="005C46A5" w:rsidP="005C46A5">
            <w:pPr>
              <w:pStyle w:val="Odstavecseseznamem"/>
              <w:numPr>
                <w:ilvl w:val="0"/>
                <w:numId w:val="2"/>
              </w:numPr>
              <w:spacing w:line="20" w:lineRule="atLeast"/>
              <w:ind w:firstLine="859"/>
              <w:jc w:val="center"/>
              <w:rPr>
                <w:rFonts w:ascii="Times New Roman" w:eastAsiaTheme="minorHAnsi" w:hAnsi="Times New Roman"/>
                <w:b/>
                <w:color w:val="auto"/>
                <w:lang w:eastAsia="en-US"/>
              </w:rPr>
            </w:pPr>
            <w:r w:rsidRPr="00355EF0">
              <w:rPr>
                <w:rFonts w:ascii="Times New Roman" w:eastAsiaTheme="minorHAnsi" w:hAnsi="Times New Roman"/>
                <w:b/>
                <w:color w:val="auto"/>
                <w:lang w:eastAsia="en-US"/>
              </w:rPr>
              <w:t>000 Kč</w:t>
            </w:r>
          </w:p>
        </w:tc>
      </w:tr>
    </w:tbl>
    <w:p w:rsidR="005C46A5" w:rsidRPr="00FF27F0" w:rsidRDefault="005C46A5" w:rsidP="005C46A5">
      <w:pPr>
        <w:spacing w:line="20" w:lineRule="atLeast"/>
        <w:rPr>
          <w:rFonts w:ascii="Times New Roman" w:eastAsiaTheme="minorHAnsi" w:hAnsi="Times New Roman"/>
          <w:b/>
          <w:color w:val="auto"/>
          <w:lang w:eastAsia="en-US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5C46A5" w:rsidRDefault="005C46A5" w:rsidP="005C46A5">
      <w:pPr>
        <w:rPr>
          <w:rFonts w:ascii="Times New Roman" w:hAnsi="Times New Roman"/>
          <w:b/>
          <w:iCs/>
          <w:color w:val="auto"/>
          <w:lang w:eastAsia="ar-SA"/>
        </w:rPr>
      </w:pPr>
    </w:p>
    <w:p w:rsidR="008755D8" w:rsidRDefault="0065406B"/>
    <w:sectPr w:rsidR="00875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6B" w:rsidRDefault="0065406B" w:rsidP="00CB38D5">
      <w:r>
        <w:separator/>
      </w:r>
    </w:p>
  </w:endnote>
  <w:endnote w:type="continuationSeparator" w:id="0">
    <w:p w:rsidR="0065406B" w:rsidRDefault="0065406B" w:rsidP="00CB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E1" w:rsidRDefault="006800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E1" w:rsidRDefault="006800E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E1" w:rsidRDefault="006800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6B" w:rsidRDefault="0065406B" w:rsidP="00CB38D5">
      <w:r>
        <w:separator/>
      </w:r>
    </w:p>
  </w:footnote>
  <w:footnote w:type="continuationSeparator" w:id="0">
    <w:p w:rsidR="0065406B" w:rsidRDefault="0065406B" w:rsidP="00CB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E1" w:rsidRDefault="006800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B9" w:rsidRPr="00605BF6" w:rsidRDefault="00605BF6">
    <w:pPr>
      <w:pStyle w:val="Zhlav"/>
      <w:rPr>
        <w:rFonts w:ascii="Times New Roman" w:hAnsi="Times New Roman"/>
        <w:i/>
        <w:color w:val="auto"/>
        <w:sz w:val="20"/>
        <w:szCs w:val="20"/>
      </w:rPr>
    </w:pPr>
    <w:r>
      <w:rPr>
        <w:rFonts w:ascii="Times New Roman" w:hAnsi="Times New Roman"/>
        <w:i/>
        <w:color w:val="auto"/>
        <w:sz w:val="20"/>
        <w:szCs w:val="20"/>
      </w:rPr>
      <w:t xml:space="preserve">Příloha č. </w:t>
    </w:r>
    <w:r>
      <w:rPr>
        <w:rFonts w:ascii="Times New Roman" w:hAnsi="Times New Roman"/>
        <w:i/>
        <w:color w:val="auto"/>
        <w:sz w:val="20"/>
        <w:szCs w:val="20"/>
      </w:rPr>
      <w:t>2</w:t>
    </w:r>
    <w:r w:rsidR="006800E1">
      <w:rPr>
        <w:rFonts w:ascii="Times New Roman" w:hAnsi="Times New Roman"/>
        <w:i/>
        <w:color w:val="auto"/>
        <w:sz w:val="20"/>
        <w:szCs w:val="20"/>
      </w:rPr>
      <w:tab/>
    </w:r>
    <w:r w:rsidR="006800E1">
      <w:rPr>
        <w:rFonts w:ascii="Times New Roman" w:hAnsi="Times New Roman"/>
        <w:i/>
        <w:color w:val="auto"/>
        <w:sz w:val="20"/>
        <w:szCs w:val="20"/>
      </w:rPr>
      <w:tab/>
    </w:r>
    <w:bookmarkStart w:id="0" w:name="_GoBack"/>
    <w:bookmarkEnd w:id="0"/>
  </w:p>
  <w:p w:rsidR="00CB38D5" w:rsidRDefault="00CB38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0E1" w:rsidRDefault="006800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31FFD"/>
    <w:multiLevelType w:val="hybridMultilevel"/>
    <w:tmpl w:val="F4924D34"/>
    <w:lvl w:ilvl="0" w:tplc="5A886F5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F723B6"/>
    <w:multiLevelType w:val="hybridMultilevel"/>
    <w:tmpl w:val="7DE07BB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A5"/>
    <w:rsid w:val="001F2AB7"/>
    <w:rsid w:val="00231D13"/>
    <w:rsid w:val="003A64B9"/>
    <w:rsid w:val="003B572B"/>
    <w:rsid w:val="003F2DD9"/>
    <w:rsid w:val="00455737"/>
    <w:rsid w:val="005C46A5"/>
    <w:rsid w:val="005E3056"/>
    <w:rsid w:val="005F00EE"/>
    <w:rsid w:val="00605BF6"/>
    <w:rsid w:val="0065406B"/>
    <w:rsid w:val="006800E1"/>
    <w:rsid w:val="006B6040"/>
    <w:rsid w:val="0080006D"/>
    <w:rsid w:val="00864E7E"/>
    <w:rsid w:val="009904C6"/>
    <w:rsid w:val="00A673C9"/>
    <w:rsid w:val="00AC5D15"/>
    <w:rsid w:val="00BE4261"/>
    <w:rsid w:val="00CB38D5"/>
    <w:rsid w:val="00CD721E"/>
    <w:rsid w:val="00EF7747"/>
    <w:rsid w:val="00F33DF8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E29D7-64B1-4AC6-8847-F027EE49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6A5"/>
    <w:pPr>
      <w:spacing w:after="0" w:line="240" w:lineRule="auto"/>
    </w:pPr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46A5"/>
    <w:pPr>
      <w:ind w:left="708"/>
    </w:pPr>
  </w:style>
  <w:style w:type="table" w:styleId="Mkatabulky">
    <w:name w:val="Table Grid"/>
    <w:basedOn w:val="Normlntabulka"/>
    <w:uiPriority w:val="59"/>
    <w:rsid w:val="005C4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B3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8D5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3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8D5"/>
    <w:rPr>
      <w:rFonts w:ascii="Arial" w:eastAsia="Times New Roman" w:hAnsi="Arial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Hrubec Petr</dc:creator>
  <cp:keywords/>
  <dc:description/>
  <cp:lastModifiedBy>Kaňka Pavel</cp:lastModifiedBy>
  <cp:revision>3</cp:revision>
  <dcterms:created xsi:type="dcterms:W3CDTF">2017-07-03T12:02:00Z</dcterms:created>
  <dcterms:modified xsi:type="dcterms:W3CDTF">2017-07-04T12:39:00Z</dcterms:modified>
</cp:coreProperties>
</file>