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7F7" w:rsidRPr="00E34CD2" w:rsidRDefault="002657F7" w:rsidP="0092724E">
      <w:pPr>
        <w:pStyle w:val="Nadpis1"/>
        <w:keepNext w:val="0"/>
        <w:numPr>
          <w:ilvl w:val="0"/>
          <w:numId w:val="0"/>
        </w:numPr>
        <w:tabs>
          <w:tab w:val="left" w:pos="-709"/>
        </w:tabs>
        <w:suppressAutoHyphens/>
        <w:spacing w:before="60"/>
        <w:ind w:right="-567"/>
        <w:jc w:val="center"/>
        <w:rPr>
          <w:rFonts w:asciiTheme="minorHAnsi" w:hAnsiTheme="minorHAnsi"/>
          <w:sz w:val="22"/>
          <w:szCs w:val="22"/>
          <w:u w:val="single"/>
        </w:rPr>
      </w:pPr>
      <w:bookmarkStart w:id="0" w:name="_Ref390482979"/>
      <w:bookmarkStart w:id="1" w:name="_Toc390503554"/>
      <w:bookmarkStart w:id="2" w:name="_Toc390590747"/>
      <w:bookmarkStart w:id="3" w:name="_Toc400414743"/>
      <w:bookmarkStart w:id="4" w:name="_Toc367858147"/>
      <w:bookmarkStart w:id="5" w:name="_GoBack"/>
      <w:bookmarkEnd w:id="5"/>
    </w:p>
    <w:p w:rsidR="00432B4A" w:rsidRPr="00E34CD2" w:rsidRDefault="00432B4A" w:rsidP="0092724E">
      <w:pPr>
        <w:pStyle w:val="Nadpis1"/>
        <w:keepNext w:val="0"/>
        <w:numPr>
          <w:ilvl w:val="0"/>
          <w:numId w:val="0"/>
        </w:numPr>
        <w:tabs>
          <w:tab w:val="left" w:pos="-709"/>
        </w:tabs>
        <w:suppressAutoHyphens/>
        <w:spacing w:before="60"/>
        <w:ind w:right="-567"/>
        <w:jc w:val="center"/>
        <w:rPr>
          <w:rFonts w:asciiTheme="minorHAnsi" w:hAnsiTheme="minorHAnsi"/>
          <w:u w:val="single"/>
        </w:rPr>
      </w:pPr>
      <w:r w:rsidRPr="00E34CD2">
        <w:rPr>
          <w:rFonts w:asciiTheme="minorHAnsi" w:hAnsiTheme="minorHAnsi"/>
          <w:u w:val="single"/>
        </w:rPr>
        <w:t>P</w:t>
      </w:r>
      <w:bookmarkStart w:id="6" w:name="_Ref486319751"/>
      <w:bookmarkEnd w:id="6"/>
      <w:r w:rsidRPr="00E34CD2">
        <w:rPr>
          <w:rFonts w:asciiTheme="minorHAnsi" w:hAnsiTheme="minorHAnsi"/>
          <w:u w:val="single"/>
        </w:rPr>
        <w:t xml:space="preserve">ožadavky na rozsah </w:t>
      </w:r>
      <w:r w:rsidR="00C137AB" w:rsidRPr="00E34CD2">
        <w:rPr>
          <w:rFonts w:asciiTheme="minorHAnsi" w:hAnsiTheme="minorHAnsi"/>
          <w:u w:val="single"/>
        </w:rPr>
        <w:t xml:space="preserve">závěrečného </w:t>
      </w:r>
      <w:r w:rsidRPr="00E34CD2">
        <w:rPr>
          <w:rFonts w:asciiTheme="minorHAnsi" w:hAnsiTheme="minorHAnsi"/>
          <w:u w:val="single"/>
        </w:rPr>
        <w:t>oponentníh</w:t>
      </w:r>
      <w:r w:rsidR="00C137AB" w:rsidRPr="00E34CD2">
        <w:rPr>
          <w:rFonts w:asciiTheme="minorHAnsi" w:hAnsiTheme="minorHAnsi"/>
          <w:u w:val="single"/>
        </w:rPr>
        <w:t>o</w:t>
      </w:r>
      <w:r w:rsidRPr="00E34CD2">
        <w:rPr>
          <w:rFonts w:asciiTheme="minorHAnsi" w:hAnsiTheme="minorHAnsi"/>
          <w:u w:val="single"/>
        </w:rPr>
        <w:t xml:space="preserve"> řízení projektů </w:t>
      </w:r>
      <w:r w:rsidR="00C137AB" w:rsidRPr="00E34CD2">
        <w:rPr>
          <w:rFonts w:asciiTheme="minorHAnsi" w:hAnsiTheme="minorHAnsi"/>
          <w:u w:val="single"/>
        </w:rPr>
        <w:t>programu LR</w:t>
      </w:r>
      <w:bookmarkEnd w:id="0"/>
      <w:bookmarkEnd w:id="1"/>
      <w:bookmarkEnd w:id="2"/>
      <w:bookmarkEnd w:id="3"/>
    </w:p>
    <w:p w:rsidR="002657F7" w:rsidRPr="00E34CD2" w:rsidRDefault="002657F7" w:rsidP="0092724E">
      <w:pPr>
        <w:suppressAutoHyphens/>
        <w:rPr>
          <w:rFonts w:asciiTheme="minorHAnsi" w:hAnsiTheme="minorHAnsi"/>
          <w:sz w:val="22"/>
          <w:szCs w:val="22"/>
        </w:rPr>
      </w:pPr>
    </w:p>
    <w:p w:rsidR="00432B4A" w:rsidRPr="00E34CD2" w:rsidRDefault="00432B4A" w:rsidP="0092724E">
      <w:pPr>
        <w:pStyle w:val="Nadpis1"/>
        <w:keepNext w:val="0"/>
        <w:tabs>
          <w:tab w:val="clear" w:pos="360"/>
          <w:tab w:val="left" w:pos="-709"/>
          <w:tab w:val="num" w:pos="567"/>
        </w:tabs>
        <w:suppressAutoHyphens/>
        <w:spacing w:before="60"/>
        <w:ind w:right="-284"/>
        <w:rPr>
          <w:rFonts w:asciiTheme="minorHAnsi" w:hAnsiTheme="minorHAnsi"/>
          <w:sz w:val="22"/>
          <w:szCs w:val="22"/>
        </w:rPr>
      </w:pPr>
      <w:bookmarkStart w:id="7" w:name="_Toc367858160"/>
      <w:bookmarkStart w:id="8" w:name="_Ref370866307"/>
      <w:bookmarkStart w:id="9" w:name="_Toc390503562"/>
      <w:bookmarkStart w:id="10" w:name="_Toc390590755"/>
      <w:bookmarkStart w:id="11" w:name="_Toc400414748"/>
      <w:bookmarkEnd w:id="4"/>
      <w:r w:rsidRPr="00E34CD2">
        <w:rPr>
          <w:rFonts w:asciiTheme="minorHAnsi" w:hAnsiTheme="minorHAnsi"/>
          <w:sz w:val="22"/>
          <w:szCs w:val="22"/>
        </w:rPr>
        <w:tab/>
        <w:t>Obecná ustanovení</w:t>
      </w:r>
      <w:bookmarkEnd w:id="7"/>
      <w:bookmarkEnd w:id="8"/>
      <w:bookmarkEnd w:id="9"/>
      <w:bookmarkEnd w:id="10"/>
      <w:bookmarkEnd w:id="11"/>
    </w:p>
    <w:p w:rsidR="0072467B" w:rsidRPr="00E34CD2" w:rsidRDefault="0072467B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Kontrola plnění cílů projektu je poskytovatelem prováděna v souladu s § 13 zák. č. 130/2002 Sb. Kontrola a </w:t>
      </w:r>
      <w:r w:rsidRPr="00E34CD2">
        <w:rPr>
          <w:rFonts w:asciiTheme="minorHAnsi" w:hAnsiTheme="minorHAnsi" w:cs="Arial"/>
          <w:sz w:val="22"/>
          <w:szCs w:val="22"/>
        </w:rPr>
        <w:t>závěrečné z</w:t>
      </w:r>
      <w:r w:rsidRPr="00E34CD2">
        <w:rPr>
          <w:rFonts w:asciiTheme="minorHAnsi" w:hAnsiTheme="minorHAnsi" w:cs="Arial"/>
          <w:sz w:val="22"/>
          <w:szCs w:val="22"/>
        </w:rPr>
        <w:t xml:space="preserve">hodnocení řešení projektu, včetně jeho výsledků bude v souladu s čl. 5 smlouvy o poskytnutí podpory probíhat jak na úrovni stupně I. – monitoring, tak na úrovni stupně II. – evaluace (v oponentním řízení): </w:t>
      </w:r>
    </w:p>
    <w:p w:rsidR="0072467B" w:rsidRPr="00E34CD2" w:rsidRDefault="0072467B" w:rsidP="0092724E">
      <w:pPr>
        <w:pStyle w:val="Standard"/>
        <w:tabs>
          <w:tab w:val="left" w:pos="-1560"/>
          <w:tab w:val="left" w:pos="1134"/>
        </w:tabs>
        <w:spacing w:before="120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34CD2">
        <w:rPr>
          <w:rFonts w:asciiTheme="minorHAnsi" w:hAnsiTheme="minorHAnsi" w:cstheme="minorHAnsi"/>
          <w:i/>
          <w:sz w:val="22"/>
          <w:szCs w:val="22"/>
          <w:u w:val="single"/>
        </w:rPr>
        <w:t>„…</w:t>
      </w:r>
      <w:proofErr w:type="gramStart"/>
      <w:r w:rsidRPr="00E34CD2">
        <w:rPr>
          <w:rFonts w:asciiTheme="minorHAnsi" w:hAnsiTheme="minorHAnsi" w:cstheme="minorHAnsi"/>
          <w:i/>
          <w:sz w:val="22"/>
          <w:szCs w:val="22"/>
          <w:u w:val="single"/>
        </w:rPr>
        <w:t>II.- Evaluace</w:t>
      </w:r>
      <w:proofErr w:type="gramEnd"/>
      <w:r w:rsidRPr="00E34CD2">
        <w:rPr>
          <w:rFonts w:asciiTheme="minorHAnsi" w:hAnsiTheme="minorHAnsi" w:cstheme="minorHAnsi"/>
          <w:i/>
          <w:sz w:val="22"/>
          <w:szCs w:val="22"/>
          <w:u w:val="single"/>
        </w:rPr>
        <w:t>:</w:t>
      </w:r>
      <w:r w:rsidRPr="00E34CD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34CD2">
        <w:rPr>
          <w:rFonts w:asciiTheme="minorHAnsi" w:hAnsiTheme="minorHAnsi" w:cstheme="minorHAnsi"/>
          <w:i/>
          <w:sz w:val="22"/>
          <w:szCs w:val="22"/>
        </w:rPr>
        <w:t xml:space="preserve">V tomto případě bude poskytovatelem proveden monitoring v I. stupni a současně hloubkové vyhodnocení řešených projektů. Kontrolu a hodnocení v tomto druhém stupni provádí poskytovatel za účasti členů odborného poradního orgánu poskytovatele na základě průběžné zprávy předložené příjemcem a oponované alespoň dvěma nezávislými odbornými oponenty v oponentním řízení spojeném s kontrolou na místě. Kontrola na místě proběhne vždy za účasti alespoň jednoho člena odborného poradního orgánu poskytovatele a tajemnice, vyslané poskytovatelem. Při tomto hodnocení budou podrobně kontrolovány dosažené výsledky ve VaVaI, průběh plnění stanovených indikátorů projektu, soulad uskutečněných aktivit se schváleným harmonogramem prací, soulad využití prostředků s plánovaným rozpočtem, význam pořizovaných a zpřístupňovaných EIZ pro informační zabezpečení výzkumu v ČR a efektivita jejich využití, důsledky a kvalita použité akviziční strategie, řízení rizik, kvalitativní posouzení fungování řešitelského týmu, kvalita pravidelného předávání informací a proškolování uživatelů, propagace zpřístupňovaných EIZ, propagace otevřeného přístupu („green open </w:t>
      </w:r>
      <w:proofErr w:type="spellStart"/>
      <w:r w:rsidRPr="00E34CD2">
        <w:rPr>
          <w:rFonts w:asciiTheme="minorHAnsi" w:hAnsiTheme="minorHAnsi" w:cstheme="minorHAnsi"/>
          <w:i/>
          <w:sz w:val="22"/>
          <w:szCs w:val="22"/>
        </w:rPr>
        <w:t>access</w:t>
      </w:r>
      <w:proofErr w:type="spellEnd"/>
      <w:r w:rsidRPr="00E34CD2">
        <w:rPr>
          <w:rFonts w:asciiTheme="minorHAnsi" w:hAnsiTheme="minorHAnsi" w:cstheme="minorHAnsi"/>
          <w:i/>
          <w:sz w:val="22"/>
          <w:szCs w:val="22"/>
        </w:rPr>
        <w:t xml:space="preserve">“), vytváření nových možností pro efektivní a společná sdílení EIZ na celostátní úrovni, získávání dalších finančních zdrojů pro dosažení cílů projektu a optimalizace přístupů k EIZ a jejich nákupů, popř. další skutečnosti podle schváleného projektu. </w:t>
      </w:r>
    </w:p>
    <w:p w:rsidR="0072467B" w:rsidRPr="00E34CD2" w:rsidRDefault="0072467B" w:rsidP="0092724E">
      <w:pPr>
        <w:suppressAutoHyphens/>
        <w:spacing w:before="120"/>
        <w:ind w:firstLine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34CD2">
        <w:rPr>
          <w:rFonts w:asciiTheme="minorHAnsi" w:hAnsiTheme="minorHAnsi" w:cstheme="minorHAnsi"/>
          <w:i/>
          <w:sz w:val="22"/>
          <w:szCs w:val="22"/>
        </w:rPr>
        <w:t>Dle výsledku hodnocení ve II. stupni budou projekty řazeny do čtyř kategorií:</w:t>
      </w:r>
    </w:p>
    <w:p w:rsidR="0072467B" w:rsidRPr="00E34CD2" w:rsidRDefault="0072467B" w:rsidP="0092724E">
      <w:pPr>
        <w:pStyle w:val="Textodstavce"/>
        <w:spacing w:after="120" w:line="240" w:lineRule="auto"/>
        <w:ind w:left="1134" w:hanging="567"/>
        <w:rPr>
          <w:rFonts w:asciiTheme="minorHAnsi" w:hAnsiTheme="minorHAnsi" w:cstheme="minorHAnsi"/>
          <w:i/>
          <w:sz w:val="22"/>
          <w:szCs w:val="22"/>
        </w:rPr>
      </w:pPr>
      <w:r w:rsidRPr="00E34CD2">
        <w:rPr>
          <w:rFonts w:asciiTheme="minorHAnsi" w:hAnsiTheme="minorHAnsi" w:cstheme="minorHAnsi"/>
          <w:i/>
          <w:sz w:val="22"/>
          <w:szCs w:val="22"/>
        </w:rPr>
        <w:t>A)</w:t>
      </w:r>
      <w:r w:rsidRPr="00E34CD2">
        <w:rPr>
          <w:rFonts w:asciiTheme="minorHAnsi" w:hAnsiTheme="minorHAnsi" w:cstheme="minorHAnsi"/>
          <w:i/>
          <w:sz w:val="22"/>
          <w:szCs w:val="22"/>
        </w:rPr>
        <w:tab/>
        <w:t xml:space="preserve">Projekt úspěšně plní/splnil stanovené cíle v souladu se smlouvou o poskytnutí podpory; bylo dosaženo vynikajících výsledků mezinárodního významu. </w:t>
      </w:r>
    </w:p>
    <w:p w:rsidR="0072467B" w:rsidRPr="00E34CD2" w:rsidRDefault="0072467B" w:rsidP="0092724E">
      <w:pPr>
        <w:pStyle w:val="Textodstavce"/>
        <w:spacing w:after="120" w:line="240" w:lineRule="auto"/>
        <w:ind w:left="1134" w:hanging="567"/>
        <w:rPr>
          <w:rFonts w:asciiTheme="minorHAnsi" w:hAnsiTheme="minorHAnsi" w:cstheme="minorHAnsi"/>
          <w:i/>
          <w:sz w:val="22"/>
          <w:szCs w:val="22"/>
        </w:rPr>
      </w:pPr>
      <w:r w:rsidRPr="00E34CD2">
        <w:rPr>
          <w:rFonts w:asciiTheme="minorHAnsi" w:hAnsiTheme="minorHAnsi" w:cstheme="minorHAnsi"/>
          <w:i/>
          <w:sz w:val="22"/>
          <w:szCs w:val="22"/>
        </w:rPr>
        <w:t>B)</w:t>
      </w:r>
      <w:r w:rsidRPr="00E34CD2">
        <w:rPr>
          <w:rFonts w:asciiTheme="minorHAnsi" w:hAnsiTheme="minorHAnsi" w:cstheme="minorHAnsi"/>
          <w:i/>
          <w:sz w:val="22"/>
          <w:szCs w:val="22"/>
        </w:rPr>
        <w:tab/>
        <w:t>Projekt plní/splnil stanovené cíle v rozsahu stanoveném smlouvou o poskytnutí podpory a byly získány kvalitní výsledky na národní úrovni.</w:t>
      </w:r>
    </w:p>
    <w:p w:rsidR="0072467B" w:rsidRPr="00E34CD2" w:rsidRDefault="0072467B" w:rsidP="0092724E">
      <w:pPr>
        <w:pStyle w:val="Textodstavce"/>
        <w:spacing w:after="120" w:line="240" w:lineRule="auto"/>
        <w:ind w:left="1134" w:hanging="567"/>
        <w:rPr>
          <w:rFonts w:asciiTheme="minorHAnsi" w:hAnsiTheme="minorHAnsi" w:cstheme="minorHAnsi"/>
          <w:i/>
          <w:sz w:val="22"/>
          <w:szCs w:val="22"/>
        </w:rPr>
      </w:pPr>
      <w:r w:rsidRPr="00E34CD2">
        <w:rPr>
          <w:rFonts w:asciiTheme="minorHAnsi" w:hAnsiTheme="minorHAnsi" w:cstheme="minorHAnsi"/>
          <w:i/>
          <w:sz w:val="22"/>
          <w:szCs w:val="22"/>
        </w:rPr>
        <w:t>C)</w:t>
      </w:r>
      <w:r w:rsidRPr="00E34CD2">
        <w:rPr>
          <w:rFonts w:asciiTheme="minorHAnsi" w:hAnsiTheme="minorHAnsi" w:cstheme="minorHAnsi"/>
          <w:i/>
          <w:sz w:val="22"/>
          <w:szCs w:val="22"/>
        </w:rPr>
        <w:tab/>
        <w:t>Projekt neplní/nesplnil stanovené cíle z důvodů, které nemohl poskytovatel ani příjemce předvídat. Ostatní podmínky stanovené smlouvou o poskytnutí podpory byly ale dodrženy.</w:t>
      </w:r>
    </w:p>
    <w:p w:rsidR="0072467B" w:rsidRPr="00E34CD2" w:rsidRDefault="0072467B" w:rsidP="0092724E">
      <w:pPr>
        <w:pStyle w:val="Textodstavce"/>
        <w:tabs>
          <w:tab w:val="left" w:pos="567"/>
        </w:tabs>
        <w:spacing w:after="120" w:line="240" w:lineRule="auto"/>
        <w:ind w:left="1134" w:hanging="567"/>
        <w:rPr>
          <w:rFonts w:asciiTheme="minorHAnsi" w:hAnsiTheme="minorHAnsi" w:cstheme="minorHAnsi"/>
          <w:i/>
          <w:sz w:val="22"/>
          <w:szCs w:val="22"/>
        </w:rPr>
      </w:pPr>
      <w:r w:rsidRPr="00E34CD2">
        <w:rPr>
          <w:rFonts w:asciiTheme="minorHAnsi" w:hAnsiTheme="minorHAnsi" w:cstheme="minorHAnsi"/>
          <w:i/>
          <w:sz w:val="22"/>
          <w:szCs w:val="22"/>
        </w:rPr>
        <w:t>D)</w:t>
      </w:r>
      <w:r w:rsidRPr="00E34CD2">
        <w:rPr>
          <w:rFonts w:asciiTheme="minorHAnsi" w:hAnsiTheme="minorHAnsi" w:cstheme="minorHAnsi"/>
          <w:i/>
          <w:sz w:val="22"/>
          <w:szCs w:val="22"/>
        </w:rPr>
        <w:tab/>
        <w:t>Projekt neplní/nesplnil stanovené cíle, podmínky stanovené smlouvou o poskytnutí podpory nebyly ze strany příjemce dodrženy.</w:t>
      </w:r>
    </w:p>
    <w:p w:rsidR="0072467B" w:rsidRPr="00E34CD2" w:rsidRDefault="0072467B" w:rsidP="0092724E">
      <w:pPr>
        <w:pStyle w:val="Standard"/>
        <w:spacing w:before="120" w:after="120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34CD2">
        <w:rPr>
          <w:rFonts w:asciiTheme="minorHAnsi" w:hAnsiTheme="minorHAnsi" w:cstheme="minorHAnsi"/>
          <w:i/>
          <w:sz w:val="22"/>
          <w:szCs w:val="22"/>
        </w:rPr>
        <w:t>Výsledek hodnocení projektu v kategorii A musí být doložen a podrobně odůvodněn popisem skutečností, které prokazatelně ovlivňují nebo ovlivnily aktuální světové trendy VaVaI (např. vytvoření významného nadnárodního konsorciálního uskupení).</w:t>
      </w:r>
    </w:p>
    <w:p w:rsidR="0072467B" w:rsidRPr="00E34CD2" w:rsidRDefault="0072467B" w:rsidP="0092724E">
      <w:pPr>
        <w:pStyle w:val="Standard"/>
        <w:spacing w:before="120" w:after="120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34CD2">
        <w:rPr>
          <w:rFonts w:asciiTheme="minorHAnsi" w:hAnsiTheme="minorHAnsi" w:cstheme="minorHAnsi"/>
          <w:i/>
          <w:sz w:val="22"/>
          <w:szCs w:val="22"/>
        </w:rPr>
        <w:t>Výsledek hodnocení projektu v kategorii C musí být doložen a podrobně odůvodněn popisem a vysvětlením skutečností, které příjemce objektivně nemohl předvídat a které mu znemožnily z</w:t>
      </w:r>
      <w:r w:rsidR="0092724E" w:rsidRPr="00E34CD2">
        <w:rPr>
          <w:rFonts w:asciiTheme="minorHAnsi" w:hAnsiTheme="minorHAnsi" w:cstheme="minorHAnsi"/>
          <w:i/>
          <w:sz w:val="22"/>
          <w:szCs w:val="22"/>
        </w:rPr>
        <w:t> </w:t>
      </w:r>
      <w:r w:rsidRPr="00E34CD2">
        <w:rPr>
          <w:rFonts w:asciiTheme="minorHAnsi" w:hAnsiTheme="minorHAnsi" w:cstheme="minorHAnsi"/>
          <w:i/>
          <w:sz w:val="22"/>
          <w:szCs w:val="22"/>
        </w:rPr>
        <w:t>prokazatelně objektivních důvodů splnit všechny cíle stanovené smlouvou o poskytnutí podpory. Dále musí být popsáno, které ze stanovených cílů nebyly naplněny vůbec, které částečně a do jaké míry. Protože výsledek hodnocení projektu v kategorii C znamená nesplnění smluvních závazků, musí být individuálně řešen na úrovni smluvních vztahů mezi příjemcem a poskytovatelem, zejména s přihlédnutím k článku 15 této smlouvy o poskytnutí podpory.</w:t>
      </w:r>
    </w:p>
    <w:p w:rsidR="0072467B" w:rsidRPr="00E34CD2" w:rsidRDefault="0072467B" w:rsidP="0092724E">
      <w:pPr>
        <w:pStyle w:val="Standard"/>
        <w:spacing w:before="120" w:after="120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34CD2">
        <w:rPr>
          <w:rFonts w:asciiTheme="minorHAnsi" w:hAnsiTheme="minorHAnsi" w:cstheme="minorHAnsi"/>
          <w:i/>
          <w:sz w:val="22"/>
          <w:szCs w:val="22"/>
        </w:rPr>
        <w:t>Výsledek hodnocení projektu v kategorii D znamená neplnění smluvních závazků a musí být řešen na</w:t>
      </w:r>
      <w:r w:rsidR="0092724E" w:rsidRPr="00E34CD2">
        <w:rPr>
          <w:rFonts w:asciiTheme="minorHAnsi" w:hAnsiTheme="minorHAnsi" w:cstheme="minorHAnsi"/>
          <w:i/>
          <w:sz w:val="22"/>
          <w:szCs w:val="22"/>
        </w:rPr>
        <w:t> </w:t>
      </w:r>
      <w:r w:rsidRPr="00E34CD2">
        <w:rPr>
          <w:rFonts w:asciiTheme="minorHAnsi" w:hAnsiTheme="minorHAnsi" w:cstheme="minorHAnsi"/>
          <w:i/>
          <w:sz w:val="22"/>
          <w:szCs w:val="22"/>
        </w:rPr>
        <w:t xml:space="preserve">úrovni smluvních vztahů mezi příjemcem a poskytovatelem. </w:t>
      </w:r>
      <w:proofErr w:type="gramStart"/>
      <w:r w:rsidR="0092724E" w:rsidRPr="00E34CD2">
        <w:rPr>
          <w:rFonts w:asciiTheme="minorHAnsi" w:hAnsiTheme="minorHAnsi" w:cstheme="minorHAnsi"/>
          <w:i/>
          <w:sz w:val="22"/>
          <w:szCs w:val="22"/>
        </w:rPr>
        <w:t>….</w:t>
      </w:r>
      <w:r w:rsidRPr="00E34CD2">
        <w:rPr>
          <w:rFonts w:asciiTheme="minorHAnsi" w:hAnsiTheme="minorHAnsi" w:cstheme="minorHAnsi"/>
          <w:i/>
          <w:sz w:val="22"/>
          <w:szCs w:val="22"/>
        </w:rPr>
        <w:t>Výsledek</w:t>
      </w:r>
      <w:proofErr w:type="gramEnd"/>
      <w:r w:rsidRPr="00E34CD2">
        <w:rPr>
          <w:rFonts w:asciiTheme="minorHAnsi" w:hAnsiTheme="minorHAnsi" w:cstheme="minorHAnsi"/>
          <w:i/>
          <w:sz w:val="22"/>
          <w:szCs w:val="22"/>
        </w:rPr>
        <w:t xml:space="preserve"> hodnocení v kategorii D </w:t>
      </w:r>
      <w:r w:rsidRPr="00E34CD2">
        <w:rPr>
          <w:rFonts w:asciiTheme="minorHAnsi" w:hAnsiTheme="minorHAnsi" w:cstheme="minorHAnsi"/>
          <w:i/>
          <w:sz w:val="22"/>
          <w:szCs w:val="22"/>
        </w:rPr>
        <w:lastRenderedPageBreak/>
        <w:t>v posledním roce řešení bude řešen smluvní sankcí, která může mít i formu úplného odnětí podpory, požadavek na její vrácení nebo vrácení její části podle článku 15 této smlouvy o poskytnutí podpory…“</w:t>
      </w:r>
    </w:p>
    <w:p w:rsidR="0092724E" w:rsidRPr="00E34CD2" w:rsidRDefault="0092724E" w:rsidP="0092724E">
      <w:pPr>
        <w:pStyle w:val="Standard"/>
        <w:spacing w:before="120" w:after="120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2467B" w:rsidRPr="00E34CD2" w:rsidRDefault="0072467B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Oponentní řízení v roce 2017 je závěrečné (dále jen “oponentura”).</w:t>
      </w:r>
    </w:p>
    <w:p w:rsidR="000E1FF5" w:rsidRPr="00E34CD2" w:rsidRDefault="00432B4A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Oponent</w:t>
      </w:r>
      <w:r w:rsidR="000E1FF5" w:rsidRPr="00E34CD2">
        <w:rPr>
          <w:rFonts w:asciiTheme="minorHAnsi" w:hAnsiTheme="minorHAnsi" w:cs="Arial"/>
          <w:sz w:val="22"/>
          <w:szCs w:val="22"/>
        </w:rPr>
        <w:t>ura</w:t>
      </w:r>
      <w:r w:rsidRPr="00E34CD2">
        <w:rPr>
          <w:rFonts w:asciiTheme="minorHAnsi" w:hAnsiTheme="minorHAnsi" w:cs="Arial"/>
          <w:sz w:val="22"/>
          <w:szCs w:val="22"/>
        </w:rPr>
        <w:t xml:space="preserve"> </w:t>
      </w:r>
      <w:r w:rsidR="000E1FF5" w:rsidRPr="00E34CD2">
        <w:rPr>
          <w:rFonts w:asciiTheme="minorHAnsi" w:hAnsiTheme="minorHAnsi" w:cs="Arial"/>
          <w:sz w:val="22"/>
          <w:szCs w:val="22"/>
        </w:rPr>
        <w:t>se</w:t>
      </w:r>
      <w:r w:rsidRPr="00E34CD2">
        <w:rPr>
          <w:rFonts w:asciiTheme="minorHAnsi" w:hAnsiTheme="minorHAnsi" w:cs="Arial"/>
          <w:sz w:val="22"/>
          <w:szCs w:val="22"/>
        </w:rPr>
        <w:t xml:space="preserve"> pořádá za účelem </w:t>
      </w:r>
      <w:r w:rsidR="000E1FF5" w:rsidRPr="00E34CD2">
        <w:rPr>
          <w:rFonts w:asciiTheme="minorHAnsi" w:hAnsiTheme="minorHAnsi" w:cs="Arial"/>
          <w:sz w:val="22"/>
          <w:szCs w:val="22"/>
        </w:rPr>
        <w:t xml:space="preserve">nezávislého posouzení a </w:t>
      </w:r>
      <w:r w:rsidRPr="00E34CD2">
        <w:rPr>
          <w:rFonts w:asciiTheme="minorHAnsi" w:hAnsiTheme="minorHAnsi" w:cs="Arial"/>
          <w:sz w:val="22"/>
          <w:szCs w:val="22"/>
        </w:rPr>
        <w:t xml:space="preserve">ověření </w:t>
      </w:r>
      <w:r w:rsidR="003A3BBA" w:rsidRPr="00E34CD2">
        <w:rPr>
          <w:rFonts w:asciiTheme="minorHAnsi" w:hAnsiTheme="minorHAnsi" w:cs="Arial"/>
          <w:sz w:val="22"/>
          <w:szCs w:val="22"/>
        </w:rPr>
        <w:t>dosažených výsledků, naplnění cílů projektu, posouzení správnosti a účelnosti využití finančních prostředků projektu</w:t>
      </w:r>
      <w:r w:rsidR="000E1FF5" w:rsidRPr="00E34CD2">
        <w:rPr>
          <w:rFonts w:asciiTheme="minorHAnsi" w:hAnsiTheme="minorHAnsi" w:cs="Arial"/>
          <w:sz w:val="22"/>
          <w:szCs w:val="22"/>
        </w:rPr>
        <w:t xml:space="preserve">. </w:t>
      </w:r>
    </w:p>
    <w:p w:rsidR="00277078" w:rsidRPr="00E34CD2" w:rsidRDefault="00432B4A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K posouzení výsledků a splnění cílů projektu stanovených smlouvou a k posouzení účelnosti využití finančních prostředků předkládá řešitel projektu při oponentuře závěrečnou zprávu </w:t>
      </w:r>
      <w:r w:rsidR="003A3BBA" w:rsidRPr="00E34CD2">
        <w:rPr>
          <w:rFonts w:asciiTheme="minorHAnsi" w:hAnsiTheme="minorHAnsi" w:cs="Arial"/>
          <w:sz w:val="22"/>
          <w:szCs w:val="22"/>
        </w:rPr>
        <w:t>zpracovanou na formulářích poskytovatele</w:t>
      </w:r>
      <w:r w:rsidR="00277078" w:rsidRPr="00E34CD2">
        <w:rPr>
          <w:rFonts w:asciiTheme="minorHAnsi" w:hAnsiTheme="minorHAnsi" w:cs="Arial"/>
          <w:sz w:val="22"/>
          <w:szCs w:val="22"/>
        </w:rPr>
        <w:t xml:space="preserve">, které jsou k dispozici v programovém úložišti </w:t>
      </w:r>
      <w:hyperlink r:id="rId8" w:history="1">
        <w:r w:rsidR="00277078" w:rsidRPr="00E34CD2">
          <w:rPr>
            <w:rStyle w:val="Hypertextovodkaz"/>
            <w:rFonts w:asciiTheme="minorHAnsi" w:hAnsiTheme="minorHAnsi" w:cs="Arial"/>
            <w:sz w:val="22"/>
            <w:szCs w:val="22"/>
          </w:rPr>
          <w:t>https://vesvav.msmt.cz</w:t>
        </w:r>
      </w:hyperlink>
      <w:r w:rsidR="00277078" w:rsidRPr="00E34CD2">
        <w:rPr>
          <w:rFonts w:asciiTheme="minorHAnsi" w:hAnsiTheme="minorHAnsi" w:cs="Arial"/>
          <w:sz w:val="22"/>
          <w:szCs w:val="22"/>
        </w:rPr>
        <w:t xml:space="preserve"> v podadresáři programu LR v části „</w:t>
      </w:r>
      <w:r w:rsidR="00277078" w:rsidRPr="00E34CD2">
        <w:rPr>
          <w:rFonts w:asciiTheme="minorHAnsi" w:hAnsiTheme="minorHAnsi" w:cs="Arial"/>
          <w:i/>
          <w:sz w:val="22"/>
          <w:szCs w:val="22"/>
        </w:rPr>
        <w:t>pro řešitele“</w:t>
      </w:r>
      <w:r w:rsidR="00277078" w:rsidRPr="00E34CD2">
        <w:rPr>
          <w:rFonts w:asciiTheme="minorHAnsi" w:hAnsiTheme="minorHAnsi" w:cs="Arial"/>
          <w:sz w:val="22"/>
          <w:szCs w:val="22"/>
        </w:rPr>
        <w:t xml:space="preserve"> (LR13xx_zp_2017.*). </w:t>
      </w:r>
    </w:p>
    <w:p w:rsidR="00432B4A" w:rsidRPr="00E34CD2" w:rsidRDefault="00D430A8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Příjemce </w:t>
      </w:r>
      <w:r w:rsidRPr="00E34CD2">
        <w:rPr>
          <w:rFonts w:asciiTheme="minorHAnsi" w:hAnsiTheme="minorHAnsi" w:cs="Arial"/>
          <w:b/>
          <w:sz w:val="22"/>
          <w:szCs w:val="22"/>
        </w:rPr>
        <w:t>odpovídá za včasnou přípravu písemných podkladů k oponentuře</w:t>
      </w:r>
      <w:r w:rsidRPr="00E34CD2">
        <w:rPr>
          <w:rFonts w:asciiTheme="minorHAnsi" w:hAnsiTheme="minorHAnsi" w:cs="Arial"/>
          <w:sz w:val="22"/>
          <w:szCs w:val="22"/>
        </w:rPr>
        <w:t xml:space="preserve">, tj. závěrečné zprávy, kterou doručí poskytovateli v elektronické podobě datovou schránkou nejdéle </w:t>
      </w:r>
      <w:r w:rsidRPr="00E34CD2">
        <w:rPr>
          <w:rFonts w:asciiTheme="minorHAnsi" w:hAnsiTheme="minorHAnsi" w:cs="Arial"/>
          <w:b/>
          <w:sz w:val="22"/>
          <w:szCs w:val="22"/>
        </w:rPr>
        <w:t xml:space="preserve">do 30. 10. 2017. </w:t>
      </w:r>
      <w:r w:rsidRPr="00E34CD2">
        <w:rPr>
          <w:rFonts w:asciiTheme="minorHAnsi" w:hAnsiTheme="minorHAnsi" w:cs="Arial"/>
          <w:sz w:val="22"/>
          <w:szCs w:val="22"/>
        </w:rPr>
        <w:t>Oponovanou závěrečnou zprávu, včetně oponentských posudků a zápisu z oponentního řízení musí poskytovatel dle čl. 5 odst. 11 smlouvy o poskytnutí podpory obdržet nejdéle do 60 dnů od ukončení realizace projektu (tj. do 30. 11. 2017), pokud se tak nestane již v den konání oponentury.</w:t>
      </w:r>
    </w:p>
    <w:p w:rsidR="00E34CD2" w:rsidRDefault="00277078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4CD2">
        <w:rPr>
          <w:rFonts w:asciiTheme="minorHAnsi" w:hAnsiTheme="minorHAnsi" w:cstheme="minorHAnsi"/>
          <w:bCs/>
          <w:sz w:val="22"/>
          <w:szCs w:val="22"/>
        </w:rPr>
        <w:t xml:space="preserve">Pro kontrolu projektů programu LR a jejich výsledků se současně používá </w:t>
      </w:r>
      <w:r w:rsidRPr="00E34CD2">
        <w:rPr>
          <w:rFonts w:asciiTheme="minorHAnsi" w:hAnsiTheme="minorHAnsi" w:cstheme="minorHAnsi"/>
          <w:b/>
          <w:bCs/>
          <w:sz w:val="22"/>
          <w:szCs w:val="22"/>
        </w:rPr>
        <w:t>Registr akvizice EIZ</w:t>
      </w:r>
      <w:r w:rsidRPr="00E34CD2">
        <w:rPr>
          <w:rFonts w:asciiTheme="minorHAnsi" w:hAnsiTheme="minorHAnsi" w:cstheme="minorHAnsi"/>
          <w:bCs/>
          <w:sz w:val="22"/>
          <w:szCs w:val="22"/>
        </w:rPr>
        <w:t>, provozovaný NTK (</w:t>
      </w:r>
      <w:hyperlink r:id="rId9" w:history="1">
        <w:r w:rsidRPr="00E34CD2">
          <w:rPr>
            <w:rStyle w:val="Hypertextovodkaz"/>
            <w:rFonts w:asciiTheme="minorHAnsi" w:hAnsiTheme="minorHAnsi" w:cstheme="minorHAnsi"/>
            <w:bCs/>
            <w:sz w:val="22"/>
            <w:szCs w:val="22"/>
          </w:rPr>
          <w:t>http://raeiz.techlib.cz/eiz/</w:t>
        </w:r>
      </w:hyperlink>
      <w:r w:rsidRPr="00E34CD2">
        <w:rPr>
          <w:rFonts w:asciiTheme="minorHAnsi" w:hAnsiTheme="minorHAnsi" w:cstheme="minorHAnsi"/>
          <w:bCs/>
          <w:sz w:val="22"/>
          <w:szCs w:val="22"/>
        </w:rPr>
        <w:t xml:space="preserve"> ). Od příjemce podpory se požaduje předávání informací do</w:t>
      </w:r>
      <w:r w:rsidR="000E1FF5" w:rsidRPr="00E34CD2">
        <w:rPr>
          <w:rFonts w:asciiTheme="minorHAnsi" w:hAnsiTheme="minorHAnsi" w:cstheme="minorHAnsi"/>
          <w:bCs/>
          <w:sz w:val="22"/>
          <w:szCs w:val="22"/>
        </w:rPr>
        <w:t> </w:t>
      </w:r>
      <w:r w:rsidRPr="00E34CD2">
        <w:rPr>
          <w:rFonts w:asciiTheme="minorHAnsi" w:hAnsiTheme="minorHAnsi" w:cstheme="minorHAnsi"/>
          <w:bCs/>
          <w:sz w:val="22"/>
          <w:szCs w:val="22"/>
        </w:rPr>
        <w:t xml:space="preserve">tohoto registru o EIZ podpořených z projektu, včetně předávání statistik dokladujících jejich využívání v systému COUNTER. </w:t>
      </w:r>
      <w:r w:rsidR="000E1FF5" w:rsidRPr="00E34CD2">
        <w:rPr>
          <w:rFonts w:asciiTheme="minorHAnsi" w:hAnsiTheme="minorHAnsi" w:cstheme="minorHAnsi"/>
          <w:bCs/>
          <w:sz w:val="22"/>
          <w:szCs w:val="22"/>
        </w:rPr>
        <w:t>(</w:t>
      </w:r>
      <w:r w:rsidRPr="00E34CD2">
        <w:rPr>
          <w:rFonts w:asciiTheme="minorHAnsi" w:hAnsiTheme="minorHAnsi" w:cstheme="minorHAnsi"/>
          <w:bCs/>
          <w:sz w:val="22"/>
          <w:szCs w:val="22"/>
        </w:rPr>
        <w:t>Statistiky prosím nepředávejte v *.pdf. formátech – nejsou zpracovatelné!!!</w:t>
      </w:r>
      <w:r w:rsidR="000E1FF5" w:rsidRPr="00E34CD2">
        <w:rPr>
          <w:rFonts w:asciiTheme="minorHAnsi" w:hAnsiTheme="minorHAnsi" w:cstheme="minorHAnsi"/>
          <w:bCs/>
          <w:sz w:val="22"/>
          <w:szCs w:val="22"/>
        </w:rPr>
        <w:t>)</w:t>
      </w:r>
      <w:r w:rsidR="00E34CD2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:rsidR="00277078" w:rsidRPr="00E34CD2" w:rsidRDefault="00E34CD2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4CD2">
        <w:rPr>
          <w:rFonts w:asciiTheme="minorHAnsi" w:hAnsiTheme="minorHAnsi" w:cstheme="minorHAnsi"/>
          <w:b/>
          <w:bCs/>
          <w:sz w:val="22"/>
          <w:szCs w:val="22"/>
        </w:rPr>
        <w:t>V případě nedostupnosti části statistik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za poslední kalendářní rok řešení </w:t>
      </w:r>
      <w:r>
        <w:rPr>
          <w:rFonts w:asciiTheme="minorHAnsi" w:hAnsiTheme="minorHAnsi" w:cstheme="minorHAnsi"/>
          <w:bCs/>
          <w:sz w:val="22"/>
          <w:szCs w:val="22"/>
        </w:rPr>
        <w:t xml:space="preserve">do doby zpracování závěrečné zprávy, je řešitel </w:t>
      </w:r>
      <w:r w:rsidRPr="00E34CD2">
        <w:rPr>
          <w:rFonts w:asciiTheme="minorHAnsi" w:hAnsiTheme="minorHAnsi" w:cstheme="minorHAnsi"/>
          <w:b/>
          <w:bCs/>
          <w:sz w:val="22"/>
          <w:szCs w:val="22"/>
        </w:rPr>
        <w:t xml:space="preserve">povinen zajistit doplnění závěrečné zprávy o kompletní, finální vyhodnocení pokrývající celou dobu řešení projektu </w:t>
      </w:r>
      <w:r w:rsidR="00EE2B30">
        <w:rPr>
          <w:rFonts w:asciiTheme="minorHAnsi" w:hAnsiTheme="minorHAnsi" w:cstheme="minorHAnsi"/>
          <w:b/>
          <w:bCs/>
          <w:sz w:val="22"/>
          <w:szCs w:val="22"/>
        </w:rPr>
        <w:t xml:space="preserve">a doručit jej poskytovateli datovou schránkou </w:t>
      </w:r>
      <w:r w:rsidRPr="00E34CD2">
        <w:rPr>
          <w:rFonts w:asciiTheme="minorHAnsi" w:hAnsiTheme="minorHAnsi" w:cstheme="minorHAnsi"/>
          <w:b/>
          <w:bCs/>
          <w:sz w:val="22"/>
          <w:szCs w:val="22"/>
        </w:rPr>
        <w:t>nejdéle do 31.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34CD2">
        <w:rPr>
          <w:rFonts w:asciiTheme="minorHAnsi" w:hAnsiTheme="minorHAnsi" w:cstheme="minorHAnsi"/>
          <w:b/>
          <w:bCs/>
          <w:sz w:val="22"/>
          <w:szCs w:val="22"/>
        </w:rPr>
        <w:t>3.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34CD2">
        <w:rPr>
          <w:rFonts w:asciiTheme="minorHAnsi" w:hAnsiTheme="minorHAnsi" w:cstheme="minorHAnsi"/>
          <w:b/>
          <w:bCs/>
          <w:sz w:val="22"/>
          <w:szCs w:val="22"/>
        </w:rPr>
        <w:t>2018</w:t>
      </w:r>
      <w:r>
        <w:rPr>
          <w:rFonts w:asciiTheme="minorHAnsi" w:hAnsiTheme="minorHAnsi" w:cstheme="minorHAnsi"/>
          <w:b/>
          <w:bCs/>
          <w:sz w:val="22"/>
          <w:szCs w:val="22"/>
        </w:rPr>
        <w:t>, vč. přepracov</w:t>
      </w:r>
      <w:r w:rsidR="00EE2B30">
        <w:rPr>
          <w:rFonts w:asciiTheme="minorHAnsi" w:hAnsiTheme="minorHAnsi" w:cstheme="minorHAnsi"/>
          <w:b/>
          <w:bCs/>
          <w:sz w:val="22"/>
          <w:szCs w:val="22"/>
        </w:rPr>
        <w:t>ané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kapitoly 5 závěrečné zprávy.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277078" w:rsidRPr="00E34CD2" w:rsidRDefault="00277078" w:rsidP="0092724E">
      <w:pPr>
        <w:suppressAutoHyphens/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77078" w:rsidRPr="00E34CD2" w:rsidRDefault="00277078" w:rsidP="0092724E">
      <w:pPr>
        <w:suppressAutoHyphens/>
        <w:spacing w:before="120" w:after="12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34CD2">
        <w:rPr>
          <w:rFonts w:asciiTheme="minorHAnsi" w:hAnsiTheme="minorHAnsi" w:cstheme="minorHAnsi"/>
          <w:bCs/>
          <w:i/>
          <w:sz w:val="22"/>
          <w:szCs w:val="22"/>
        </w:rPr>
        <w:t>Další povinnosti a práva plynoucí ze smlouvy:</w:t>
      </w:r>
    </w:p>
    <w:p w:rsidR="00277078" w:rsidRPr="00E34CD2" w:rsidRDefault="00277078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4CD2">
        <w:rPr>
          <w:rFonts w:asciiTheme="minorHAnsi" w:hAnsiTheme="minorHAnsi" w:cstheme="minorHAnsi"/>
          <w:sz w:val="22"/>
          <w:szCs w:val="22"/>
        </w:rPr>
        <w:t>Čerpání uznaných nákladů projektu i každá provedená změna v uznaných nákladech projektu musí být popsána a odůvodněna v průběžné zprávě za daný kalendářní rok</w:t>
      </w:r>
      <w:r w:rsidR="000E1FF5" w:rsidRPr="00E34CD2">
        <w:rPr>
          <w:rFonts w:asciiTheme="minorHAnsi" w:hAnsiTheme="minorHAnsi" w:cstheme="minorHAnsi"/>
          <w:sz w:val="22"/>
          <w:szCs w:val="22"/>
        </w:rPr>
        <w:t xml:space="preserve">, pokud tak nebylo učiněno, musí být popsána </w:t>
      </w:r>
      <w:r w:rsidRPr="00E34CD2">
        <w:rPr>
          <w:rFonts w:asciiTheme="minorHAnsi" w:hAnsiTheme="minorHAnsi" w:cstheme="minorHAnsi"/>
          <w:sz w:val="22"/>
          <w:szCs w:val="22"/>
        </w:rPr>
        <w:t xml:space="preserve">ve zprávě závěrečné. </w:t>
      </w:r>
    </w:p>
    <w:p w:rsidR="00277078" w:rsidRPr="00E34CD2" w:rsidRDefault="00277078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4CD2">
        <w:rPr>
          <w:rFonts w:asciiTheme="minorHAnsi" w:hAnsiTheme="minorHAnsi" w:cstheme="minorHAnsi"/>
          <w:sz w:val="22"/>
          <w:szCs w:val="22"/>
        </w:rPr>
        <w:t xml:space="preserve">Příjemce musí jednoznačně a průkazně doložit úhradu podílu uznaných nákladů z vlastních finančních prostředků, z neveřejných i veřejných finančních zdrojů, včetně finančních prostředků uživatelů EIZ podle podmínek stanovených v zadávací dokumentaci k veřejné soutěži programu LR zveřejněné poskytovatelem dne 19. prosince 2012. Všechny finanční prostředky projektu musí být vedeny v účetní evidenci projektu. </w:t>
      </w:r>
      <w:r w:rsidRPr="00E34CD2">
        <w:rPr>
          <w:rFonts w:asciiTheme="minorHAnsi" w:hAnsiTheme="minorHAnsi" w:cstheme="minorHAnsi"/>
          <w:i/>
          <w:sz w:val="22"/>
          <w:szCs w:val="22"/>
        </w:rPr>
        <w:t xml:space="preserve">(Nesouhlasí-li některé souhrnné položky výpisů z účetní evidence s výkazem, který je součástí průběžné nebo závěrečné zprávy, pro dohledání je nutné připojit příslušný slovní komentář.) </w:t>
      </w:r>
    </w:p>
    <w:p w:rsidR="00277078" w:rsidRPr="00E34CD2" w:rsidRDefault="00277078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12" w:name="_Ref126926039"/>
      <w:r w:rsidRPr="00E34CD2">
        <w:rPr>
          <w:rFonts w:asciiTheme="minorHAnsi" w:hAnsiTheme="minorHAnsi" w:cstheme="minorHAnsi"/>
          <w:sz w:val="22"/>
          <w:szCs w:val="22"/>
        </w:rPr>
        <w:t xml:space="preserve">Příjemce je dle § 31 odst. 3 zák. č. 130/2002 Sb. a nařízení vlády č. 397/2009 Sb., o informačním systému výzkumu, experimentálního vývoje a inovací (IS VaVaI) povinen každoročně předává poskytovateli údaje o projektu programu LR prostřednictvím průběžné zprávy. Informace o výsledcích VaV podporovaného z veřejných prostředků. vč. výsledků projektu programu LR (tj. </w:t>
      </w:r>
      <w:r w:rsidRPr="00E34CD2">
        <w:rPr>
          <w:rFonts w:asciiTheme="minorHAnsi" w:hAnsiTheme="minorHAnsi" w:cstheme="minorHAnsi"/>
          <w:b/>
          <w:sz w:val="22"/>
          <w:szCs w:val="22"/>
        </w:rPr>
        <w:t xml:space="preserve">data pro </w:t>
      </w:r>
      <w:proofErr w:type="gramStart"/>
      <w:r w:rsidRPr="00E34CD2">
        <w:rPr>
          <w:rFonts w:asciiTheme="minorHAnsi" w:hAnsiTheme="minorHAnsi" w:cstheme="minorHAnsi"/>
          <w:b/>
          <w:sz w:val="22"/>
          <w:szCs w:val="22"/>
        </w:rPr>
        <w:t>RIV</w:t>
      </w:r>
      <w:proofErr w:type="gramEnd"/>
      <w:r w:rsidRPr="00E34CD2">
        <w:rPr>
          <w:rFonts w:asciiTheme="minorHAnsi" w:hAnsiTheme="minorHAnsi" w:cstheme="minorHAnsi"/>
          <w:sz w:val="22"/>
          <w:szCs w:val="22"/>
        </w:rPr>
        <w:t xml:space="preserve">) předává příjemce centrálně podle aktuálních pokynů poskytovatele (web MŠMT, kontaktní osoba: a Mgr. A. Santus) zpravidla </w:t>
      </w:r>
      <w:r w:rsidRPr="00E34CD2">
        <w:rPr>
          <w:rFonts w:asciiTheme="minorHAnsi" w:hAnsiTheme="minorHAnsi" w:cstheme="minorHAnsi"/>
          <w:b/>
          <w:sz w:val="22"/>
          <w:szCs w:val="22"/>
        </w:rPr>
        <w:t>do 30.4.</w:t>
      </w:r>
      <w:r w:rsidRPr="00E34CD2">
        <w:rPr>
          <w:rFonts w:asciiTheme="minorHAnsi" w:hAnsiTheme="minorHAnsi" w:cstheme="minorHAnsi"/>
          <w:sz w:val="22"/>
          <w:szCs w:val="22"/>
        </w:rPr>
        <w:t xml:space="preserve"> </w:t>
      </w:r>
      <w:r w:rsidRPr="00E34CD2">
        <w:rPr>
          <w:rFonts w:asciiTheme="minorHAnsi" w:hAnsiTheme="minorHAnsi" w:cstheme="minorHAnsi"/>
          <w:b/>
          <w:sz w:val="22"/>
          <w:szCs w:val="22"/>
        </w:rPr>
        <w:t>následujícího kalendářního roku</w:t>
      </w:r>
      <w:r w:rsidRPr="00E34CD2">
        <w:rPr>
          <w:rFonts w:asciiTheme="minorHAnsi" w:hAnsiTheme="minorHAnsi" w:cstheme="minorHAnsi"/>
          <w:sz w:val="22"/>
          <w:szCs w:val="22"/>
        </w:rPr>
        <w:t xml:space="preserve">. </w:t>
      </w:r>
    </w:p>
    <w:bookmarkEnd w:id="12"/>
    <w:p w:rsidR="00277078" w:rsidRPr="00E34CD2" w:rsidRDefault="00277078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4CD2">
        <w:rPr>
          <w:rFonts w:asciiTheme="minorHAnsi" w:hAnsiTheme="minorHAnsi" w:cstheme="minorHAnsi"/>
          <w:sz w:val="22"/>
          <w:szCs w:val="22"/>
        </w:rPr>
        <w:t xml:space="preserve">Poskytovatel vyžaduje </w:t>
      </w:r>
      <w:r w:rsidRPr="00E34CD2">
        <w:rPr>
          <w:rFonts w:asciiTheme="minorHAnsi" w:hAnsiTheme="minorHAnsi" w:cstheme="minorHAnsi"/>
          <w:b/>
          <w:sz w:val="22"/>
          <w:szCs w:val="22"/>
        </w:rPr>
        <w:t>předložení kopie licenční nebo jiné smlouvy</w:t>
      </w:r>
      <w:r w:rsidRPr="00E34CD2">
        <w:rPr>
          <w:rFonts w:asciiTheme="minorHAnsi" w:hAnsiTheme="minorHAnsi" w:cstheme="minorHAnsi"/>
          <w:sz w:val="22"/>
          <w:szCs w:val="22"/>
        </w:rPr>
        <w:t xml:space="preserve"> upravující vzájemné vztahy mezi producentem EIZ a příjemcem podpory, zejména upravující finanční spoluúčast příjemce a uživatelů EIZ na jejich nákupech, způsob a rozsah zpřístupňování EIZ a podíly příjemce a uživatelů na využití licenčních přístupů k pořizovaným EIZ, a to </w:t>
      </w:r>
      <w:r w:rsidRPr="00E34CD2">
        <w:rPr>
          <w:rFonts w:asciiTheme="minorHAnsi" w:hAnsiTheme="minorHAnsi" w:cstheme="minorHAnsi"/>
          <w:b/>
          <w:sz w:val="22"/>
          <w:szCs w:val="22"/>
        </w:rPr>
        <w:t>ve lhůtě 30 dnů</w:t>
      </w:r>
      <w:r w:rsidRPr="00E34CD2">
        <w:rPr>
          <w:rFonts w:asciiTheme="minorHAnsi" w:hAnsiTheme="minorHAnsi" w:cstheme="minorHAnsi"/>
          <w:sz w:val="22"/>
          <w:szCs w:val="22"/>
        </w:rPr>
        <w:t xml:space="preserve"> ode dne jejího podpisu. (Ti, kteří tak ještě </w:t>
      </w:r>
      <w:r w:rsidRPr="00E34CD2">
        <w:rPr>
          <w:rFonts w:asciiTheme="minorHAnsi" w:hAnsiTheme="minorHAnsi" w:cstheme="minorHAnsi"/>
          <w:b/>
          <w:sz w:val="22"/>
          <w:szCs w:val="22"/>
        </w:rPr>
        <w:lastRenderedPageBreak/>
        <w:t>neučinili</w:t>
      </w:r>
      <w:r w:rsidRPr="00E34CD2">
        <w:rPr>
          <w:rFonts w:asciiTheme="minorHAnsi" w:hAnsiTheme="minorHAnsi" w:cstheme="minorHAnsi"/>
          <w:sz w:val="22"/>
          <w:szCs w:val="22"/>
        </w:rPr>
        <w:t xml:space="preserve">, vloží uzavřené licenční smlouvy v elektronické podobě do úložiště </w:t>
      </w:r>
      <w:hyperlink r:id="rId10" w:history="1">
        <w:r w:rsidRPr="00E34CD2">
          <w:rPr>
            <w:rStyle w:val="Hypertextovodkaz"/>
            <w:rFonts w:asciiTheme="minorHAnsi" w:hAnsiTheme="minorHAnsi" w:cstheme="minorHAnsi"/>
            <w:sz w:val="22"/>
            <w:szCs w:val="22"/>
          </w:rPr>
          <w:t>https://vesvav.msmt.cz</w:t>
        </w:r>
      </w:hyperlink>
      <w:r w:rsidRPr="00E34CD2">
        <w:rPr>
          <w:rStyle w:val="Hypertextovodkaz"/>
          <w:rFonts w:asciiTheme="minorHAnsi" w:hAnsiTheme="minorHAnsi" w:cstheme="minorHAnsi"/>
          <w:sz w:val="22"/>
          <w:szCs w:val="22"/>
        </w:rPr>
        <w:t xml:space="preserve">, </w:t>
      </w:r>
      <w:r w:rsidRPr="00E34CD2">
        <w:rPr>
          <w:rFonts w:asciiTheme="minorHAnsi" w:hAnsiTheme="minorHAnsi"/>
          <w:sz w:val="22"/>
          <w:szCs w:val="22"/>
        </w:rPr>
        <w:t>a to pod číslo svého projektu do podadresáře „</w:t>
      </w:r>
      <w:proofErr w:type="spellStart"/>
      <w:r w:rsidRPr="00E34CD2">
        <w:rPr>
          <w:rFonts w:asciiTheme="minorHAnsi" w:hAnsiTheme="minorHAnsi"/>
          <w:sz w:val="22"/>
          <w:szCs w:val="22"/>
        </w:rPr>
        <w:t>sml+dodatky</w:t>
      </w:r>
      <w:proofErr w:type="spellEnd"/>
      <w:r w:rsidRPr="00E34CD2">
        <w:rPr>
          <w:rFonts w:asciiTheme="minorHAnsi" w:hAnsiTheme="minorHAnsi"/>
          <w:sz w:val="22"/>
          <w:szCs w:val="22"/>
        </w:rPr>
        <w:t xml:space="preserve">“ </w:t>
      </w:r>
      <w:r w:rsidRPr="00E34CD2">
        <w:rPr>
          <w:rFonts w:asciiTheme="minorHAnsi" w:hAnsiTheme="minorHAnsi" w:cstheme="minorHAnsi"/>
          <w:b/>
          <w:sz w:val="22"/>
          <w:szCs w:val="22"/>
        </w:rPr>
        <w:t>nejdéle do 30. 9. 2017!)</w:t>
      </w:r>
    </w:p>
    <w:p w:rsidR="00277078" w:rsidRPr="00E34CD2" w:rsidRDefault="00277078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theme="minorHAnsi"/>
          <w:sz w:val="22"/>
          <w:szCs w:val="22"/>
        </w:rPr>
      </w:pPr>
      <w:r w:rsidRPr="00E34CD2">
        <w:rPr>
          <w:rFonts w:asciiTheme="minorHAnsi" w:hAnsiTheme="minorHAnsi" w:cstheme="minorHAnsi"/>
          <w:sz w:val="22"/>
          <w:szCs w:val="22"/>
        </w:rPr>
        <w:t>Příjemce je povinen zveřejňovat úplné, pravdivé a včasné informace o projektu a získaných výsledcích projektu v souladu s § 12 zák. č. 130/2002 Sb.</w:t>
      </w:r>
    </w:p>
    <w:p w:rsidR="00277078" w:rsidRPr="00E34CD2" w:rsidRDefault="00277078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theme="minorHAnsi"/>
          <w:sz w:val="22"/>
          <w:szCs w:val="22"/>
        </w:rPr>
      </w:pPr>
      <w:r w:rsidRPr="00E34CD2">
        <w:rPr>
          <w:rFonts w:asciiTheme="minorHAnsi" w:hAnsiTheme="minorHAnsi" w:cstheme="minorHAnsi"/>
          <w:sz w:val="22"/>
          <w:szCs w:val="22"/>
        </w:rPr>
        <w:t>Příjemce je povinen zveřejňovat výsledky projektu v souladu se zák. č. 130/2002 Sb. a v informacích zveřejňovaných v souvislosti s tímto projektem uvádět důsledně identifikační kód projektu podle centrální evidence projektů a oficiální logo poskytovatele všude tam, kde je to možné, a dále skutečnost, že výsledek byl získán za finančního přispění poskytovatele v rámci účelové podpory výzkumu a vývoje v následující formě: „Výsledky tohoto projektu LR13xx byly získány za finančního přispění Ministerstva školství, mládeže a tělovýchovy v rámci účelové podpory programu „Informace – základ výzkumu“, nebo její plnohodnotný cizojazyčný ekvivalent.</w:t>
      </w:r>
    </w:p>
    <w:p w:rsidR="00277078" w:rsidRPr="00E34CD2" w:rsidRDefault="00277078" w:rsidP="0092724E">
      <w:pPr>
        <w:numPr>
          <w:ilvl w:val="0"/>
          <w:numId w:val="7"/>
        </w:numPr>
        <w:tabs>
          <w:tab w:val="clear" w:pos="360"/>
          <w:tab w:val="left" w:pos="-709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34CD2">
        <w:rPr>
          <w:rFonts w:asciiTheme="minorHAnsi" w:hAnsiTheme="minorHAnsi" w:cstheme="minorHAnsi"/>
          <w:b/>
          <w:sz w:val="22"/>
          <w:szCs w:val="22"/>
          <w:u w:val="single"/>
        </w:rPr>
        <w:t>POZOR</w:t>
      </w:r>
      <w:r w:rsidR="00EB1592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E34CD2">
        <w:rPr>
          <w:rFonts w:asciiTheme="minorHAnsi" w:hAnsiTheme="minorHAnsi" w:cstheme="minorHAnsi"/>
          <w:b/>
          <w:sz w:val="22"/>
          <w:szCs w:val="22"/>
          <w:u w:val="single"/>
        </w:rPr>
        <w:t xml:space="preserve"> – VRATKY</w:t>
      </w:r>
      <w:proofErr w:type="gramEnd"/>
      <w:r w:rsidRPr="00E34CD2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  <w:r w:rsidRPr="00E34CD2">
        <w:rPr>
          <w:rFonts w:asciiTheme="minorHAnsi" w:hAnsiTheme="minorHAnsi" w:cstheme="minorHAnsi"/>
          <w:sz w:val="22"/>
          <w:szCs w:val="22"/>
        </w:rPr>
        <w:t xml:space="preserve">  V případě zjištění, že finanční prostředky projektu </w:t>
      </w:r>
      <w:r w:rsidRPr="00E34CD2">
        <w:rPr>
          <w:rFonts w:asciiTheme="minorHAnsi" w:hAnsiTheme="minorHAnsi" w:cstheme="minorHAnsi"/>
          <w:b/>
          <w:sz w:val="22"/>
          <w:szCs w:val="22"/>
          <w:u w:val="single"/>
        </w:rPr>
        <w:t>nebudou vyčerpány v plné výši</w:t>
      </w:r>
      <w:r w:rsidRPr="00E34CD2">
        <w:rPr>
          <w:rFonts w:asciiTheme="minorHAnsi" w:hAnsiTheme="minorHAnsi" w:cstheme="minorHAnsi"/>
          <w:sz w:val="22"/>
          <w:szCs w:val="22"/>
        </w:rPr>
        <w:t xml:space="preserve">, prosím o převedení těchto prostředků </w:t>
      </w:r>
      <w:r w:rsidR="00EB1592" w:rsidRPr="00EB1592">
        <w:rPr>
          <w:rFonts w:asciiTheme="minorHAnsi" w:hAnsiTheme="minorHAnsi" w:cstheme="minorHAnsi"/>
          <w:b/>
          <w:sz w:val="22"/>
          <w:szCs w:val="22"/>
          <w:u w:val="single"/>
        </w:rPr>
        <w:t>s označením čísla projektu</w:t>
      </w:r>
      <w:r w:rsidR="00EB1592" w:rsidRPr="00EB1592">
        <w:rPr>
          <w:rFonts w:asciiTheme="minorHAnsi" w:hAnsiTheme="minorHAnsi" w:cstheme="minorHAnsi"/>
          <w:sz w:val="22"/>
          <w:szCs w:val="22"/>
        </w:rPr>
        <w:t xml:space="preserve"> </w:t>
      </w:r>
      <w:r w:rsidRPr="00E34CD2">
        <w:rPr>
          <w:rFonts w:asciiTheme="minorHAnsi" w:hAnsiTheme="minorHAnsi" w:cstheme="minorHAnsi"/>
          <w:sz w:val="22"/>
          <w:szCs w:val="22"/>
        </w:rPr>
        <w:t xml:space="preserve">zpět na účet ministerstva </w:t>
      </w:r>
      <w:r w:rsidR="00EB1592">
        <w:rPr>
          <w:rFonts w:asciiTheme="minorHAnsi" w:hAnsiTheme="minorHAnsi" w:cstheme="minorHAnsi"/>
          <w:sz w:val="22"/>
          <w:szCs w:val="22"/>
        </w:rPr>
        <w:t>s číslem</w:t>
      </w:r>
      <w:r w:rsidRPr="00E34CD2">
        <w:rPr>
          <w:rFonts w:asciiTheme="minorHAnsi" w:hAnsiTheme="minorHAnsi" w:cstheme="minorHAnsi"/>
          <w:sz w:val="22"/>
          <w:szCs w:val="22"/>
        </w:rPr>
        <w:t xml:space="preserve">: </w:t>
      </w:r>
      <w:r w:rsidRPr="00E34CD2">
        <w:rPr>
          <w:rFonts w:asciiTheme="minorHAnsi" w:hAnsiTheme="minorHAnsi" w:cstheme="minorHAnsi"/>
          <w:b/>
          <w:sz w:val="22"/>
          <w:szCs w:val="22"/>
        </w:rPr>
        <w:t>821001/0710</w:t>
      </w:r>
      <w:r w:rsidRPr="00E34CD2">
        <w:rPr>
          <w:rFonts w:asciiTheme="minorHAnsi" w:hAnsiTheme="minorHAnsi" w:cstheme="minorHAnsi"/>
          <w:sz w:val="22"/>
          <w:szCs w:val="22"/>
        </w:rPr>
        <w:t xml:space="preserve"> </w:t>
      </w:r>
      <w:r w:rsidR="00EB1592">
        <w:rPr>
          <w:rFonts w:asciiTheme="minorHAnsi" w:hAnsiTheme="minorHAnsi" w:cstheme="minorHAnsi"/>
          <w:sz w:val="22"/>
          <w:szCs w:val="22"/>
        </w:rPr>
        <w:t xml:space="preserve">nejdéle </w:t>
      </w:r>
      <w:r w:rsidRPr="00E34CD2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do 30. 11. 2015</w:t>
      </w:r>
      <w:r w:rsidRPr="00E34CD2">
        <w:rPr>
          <w:rFonts w:asciiTheme="minorHAnsi" w:hAnsiTheme="minorHAnsi" w:cstheme="minorHAnsi"/>
          <w:sz w:val="22"/>
          <w:szCs w:val="22"/>
        </w:rPr>
        <w:t>. Současně s převodem prostředků zašle</w:t>
      </w:r>
      <w:r w:rsidR="00EB1592">
        <w:rPr>
          <w:rFonts w:asciiTheme="minorHAnsi" w:hAnsiTheme="minorHAnsi" w:cstheme="minorHAnsi"/>
          <w:sz w:val="22"/>
          <w:szCs w:val="22"/>
        </w:rPr>
        <w:t xml:space="preserve"> ekonomický útvar příjemce</w:t>
      </w:r>
      <w:r w:rsidRPr="00E34CD2">
        <w:rPr>
          <w:rFonts w:asciiTheme="minorHAnsi" w:hAnsiTheme="minorHAnsi" w:cstheme="minorHAnsi"/>
          <w:sz w:val="22"/>
          <w:szCs w:val="22"/>
        </w:rPr>
        <w:t xml:space="preserve"> na ministerstvo - odbor podpory vysokých škol a výzkumu souhrnn</w:t>
      </w:r>
      <w:r w:rsidR="00EB1592">
        <w:rPr>
          <w:rFonts w:asciiTheme="minorHAnsi" w:hAnsiTheme="minorHAnsi" w:cstheme="minorHAnsi"/>
          <w:sz w:val="22"/>
          <w:szCs w:val="22"/>
        </w:rPr>
        <w:t xml:space="preserve">é avízo </w:t>
      </w:r>
      <w:r w:rsidRPr="00E34CD2">
        <w:rPr>
          <w:rFonts w:asciiTheme="minorHAnsi" w:hAnsiTheme="minorHAnsi" w:cstheme="minorHAnsi"/>
          <w:sz w:val="22"/>
          <w:szCs w:val="22"/>
        </w:rPr>
        <w:t>s</w:t>
      </w:r>
      <w:r w:rsidR="00EB1592">
        <w:rPr>
          <w:rFonts w:asciiTheme="minorHAnsi" w:hAnsiTheme="minorHAnsi" w:cstheme="minorHAnsi"/>
          <w:sz w:val="22"/>
          <w:szCs w:val="22"/>
        </w:rPr>
        <w:t> </w:t>
      </w:r>
      <w:r w:rsidRPr="00E34CD2">
        <w:rPr>
          <w:rFonts w:asciiTheme="minorHAnsi" w:hAnsiTheme="minorHAnsi" w:cstheme="minorHAnsi"/>
          <w:sz w:val="22"/>
          <w:szCs w:val="22"/>
        </w:rPr>
        <w:t>uvedením</w:t>
      </w:r>
      <w:r w:rsidR="00EB1592">
        <w:rPr>
          <w:rFonts w:asciiTheme="minorHAnsi" w:hAnsiTheme="minorHAnsi" w:cstheme="minorHAnsi"/>
          <w:sz w:val="22"/>
          <w:szCs w:val="22"/>
        </w:rPr>
        <w:t xml:space="preserve"> identifikace a výše všech odesílaných</w:t>
      </w:r>
      <w:r w:rsidRPr="00E34CD2">
        <w:rPr>
          <w:rFonts w:asciiTheme="minorHAnsi" w:hAnsiTheme="minorHAnsi" w:cstheme="minorHAnsi"/>
          <w:sz w:val="22"/>
          <w:szCs w:val="22"/>
        </w:rPr>
        <w:t xml:space="preserve"> vratek.</w:t>
      </w:r>
    </w:p>
    <w:p w:rsidR="00277078" w:rsidRPr="00E34CD2" w:rsidRDefault="00277078" w:rsidP="0092724E">
      <w:pPr>
        <w:suppressAutoHyphens/>
        <w:spacing w:before="60" w:after="60"/>
        <w:ind w:right="-284"/>
        <w:jc w:val="both"/>
        <w:rPr>
          <w:rFonts w:asciiTheme="minorHAnsi" w:hAnsiTheme="minorHAnsi" w:cs="Arial"/>
          <w:sz w:val="22"/>
          <w:szCs w:val="22"/>
        </w:rPr>
      </w:pPr>
    </w:p>
    <w:p w:rsidR="00432B4A" w:rsidRPr="00E34CD2" w:rsidRDefault="00432B4A" w:rsidP="0092724E">
      <w:pPr>
        <w:pStyle w:val="Nadpis1"/>
        <w:keepNext w:val="0"/>
        <w:numPr>
          <w:ilvl w:val="0"/>
          <w:numId w:val="29"/>
        </w:numPr>
        <w:tabs>
          <w:tab w:val="clear" w:pos="360"/>
          <w:tab w:val="num" w:pos="567"/>
        </w:tabs>
        <w:suppressAutoHyphens/>
        <w:spacing w:before="60"/>
        <w:ind w:right="-284"/>
        <w:rPr>
          <w:rFonts w:asciiTheme="minorHAnsi" w:hAnsiTheme="minorHAnsi"/>
          <w:sz w:val="22"/>
          <w:szCs w:val="22"/>
        </w:rPr>
      </w:pPr>
      <w:r w:rsidRPr="00E34CD2">
        <w:rPr>
          <w:rFonts w:asciiTheme="minorHAnsi" w:hAnsiTheme="minorHAnsi"/>
          <w:sz w:val="22"/>
          <w:szCs w:val="22"/>
        </w:rPr>
        <w:t>Organizace a průběh oponentury</w:t>
      </w:r>
    </w:p>
    <w:p w:rsidR="00432B4A" w:rsidRPr="00E34CD2" w:rsidRDefault="00432B4A" w:rsidP="0092724E">
      <w:pPr>
        <w:numPr>
          <w:ilvl w:val="0"/>
          <w:numId w:val="24"/>
        </w:numPr>
        <w:tabs>
          <w:tab w:val="clear" w:pos="360"/>
          <w:tab w:val="left" w:pos="-1134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ab/>
        <w:t xml:space="preserve">Oponenturu </w:t>
      </w:r>
      <w:r w:rsidR="00277078" w:rsidRPr="00E34CD2">
        <w:rPr>
          <w:rFonts w:asciiTheme="minorHAnsi" w:hAnsiTheme="minorHAnsi" w:cs="Arial"/>
          <w:sz w:val="22"/>
          <w:szCs w:val="22"/>
        </w:rPr>
        <w:t xml:space="preserve">na doporučení odborného poradního orgánu </w:t>
      </w:r>
      <w:r w:rsidRPr="00E34CD2">
        <w:rPr>
          <w:rFonts w:asciiTheme="minorHAnsi" w:hAnsiTheme="minorHAnsi" w:cs="Arial"/>
          <w:sz w:val="22"/>
          <w:szCs w:val="22"/>
        </w:rPr>
        <w:t xml:space="preserve">organizuje </w:t>
      </w:r>
      <w:r w:rsidR="003A3BBA" w:rsidRPr="00E34CD2">
        <w:rPr>
          <w:rFonts w:asciiTheme="minorHAnsi" w:hAnsiTheme="minorHAnsi" w:cs="Arial"/>
          <w:sz w:val="22"/>
          <w:szCs w:val="22"/>
        </w:rPr>
        <w:t>poskytovatel</w:t>
      </w:r>
      <w:r w:rsidRPr="00E34CD2">
        <w:rPr>
          <w:rFonts w:asciiTheme="minorHAnsi" w:hAnsiTheme="minorHAnsi" w:cs="Arial"/>
          <w:sz w:val="22"/>
          <w:szCs w:val="22"/>
        </w:rPr>
        <w:t>.</w:t>
      </w:r>
      <w:r w:rsidR="00C523B3" w:rsidRPr="00E34CD2">
        <w:rPr>
          <w:rFonts w:asciiTheme="minorHAnsi" w:hAnsiTheme="minorHAnsi" w:cs="Arial"/>
          <w:sz w:val="22"/>
          <w:szCs w:val="22"/>
        </w:rPr>
        <w:t xml:space="preserve"> </w:t>
      </w:r>
    </w:p>
    <w:p w:rsidR="00C523B3" w:rsidRPr="00E34CD2" w:rsidRDefault="00C523B3" w:rsidP="0092724E">
      <w:pPr>
        <w:numPr>
          <w:ilvl w:val="0"/>
          <w:numId w:val="24"/>
        </w:numPr>
        <w:tabs>
          <w:tab w:val="clear" w:pos="360"/>
          <w:tab w:val="left" w:pos="-1134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Oponentury se vzhledem k termínům určených smlouvou o poskytnutí podpory budou konat v prostorách poskytovatele </w:t>
      </w:r>
      <w:r w:rsidR="00401A07" w:rsidRPr="00E34CD2">
        <w:rPr>
          <w:rFonts w:asciiTheme="minorHAnsi" w:hAnsiTheme="minorHAnsi" w:cs="Arial"/>
          <w:sz w:val="22"/>
          <w:szCs w:val="22"/>
        </w:rPr>
        <w:t xml:space="preserve">E 106 a E 107 v Karmelitské ulici č. 529/5, v Praze 1 na Malé Straně, a to </w:t>
      </w:r>
      <w:r w:rsidRPr="00E34CD2">
        <w:rPr>
          <w:rFonts w:asciiTheme="minorHAnsi" w:hAnsiTheme="minorHAnsi" w:cs="Arial"/>
          <w:sz w:val="22"/>
          <w:szCs w:val="22"/>
        </w:rPr>
        <w:t>ve</w:t>
      </w:r>
      <w:r w:rsidR="00EB1592">
        <w:rPr>
          <w:rFonts w:asciiTheme="minorHAnsi" w:hAnsiTheme="minorHAnsi" w:cs="Arial"/>
          <w:sz w:val="22"/>
          <w:szCs w:val="22"/>
        </w:rPr>
        <w:t> </w:t>
      </w:r>
      <w:r w:rsidRPr="00E34CD2">
        <w:rPr>
          <w:rFonts w:asciiTheme="minorHAnsi" w:hAnsiTheme="minorHAnsi" w:cs="Arial"/>
          <w:sz w:val="22"/>
          <w:szCs w:val="22"/>
        </w:rPr>
        <w:t xml:space="preserve">dvou po sobě následujících dnech v termínu </w:t>
      </w:r>
      <w:r w:rsidRPr="00EB1592">
        <w:rPr>
          <w:rFonts w:asciiTheme="minorHAnsi" w:hAnsiTheme="minorHAnsi" w:cs="Arial"/>
          <w:b/>
          <w:sz w:val="22"/>
          <w:szCs w:val="22"/>
        </w:rPr>
        <w:t>od 21. - 23. 11. 2017</w:t>
      </w:r>
      <w:r w:rsidRPr="00E34CD2">
        <w:rPr>
          <w:rFonts w:asciiTheme="minorHAnsi" w:hAnsiTheme="minorHAnsi" w:cs="Arial"/>
          <w:sz w:val="22"/>
          <w:szCs w:val="22"/>
        </w:rPr>
        <w:t>.</w:t>
      </w:r>
      <w:r w:rsidR="00401A07" w:rsidRPr="00E34CD2">
        <w:rPr>
          <w:rFonts w:asciiTheme="minorHAnsi" w:hAnsiTheme="minorHAnsi" w:cs="Arial"/>
          <w:sz w:val="22"/>
          <w:szCs w:val="22"/>
        </w:rPr>
        <w:t xml:space="preserve"> </w:t>
      </w:r>
      <w:r w:rsidR="00032D28" w:rsidRPr="00E34CD2">
        <w:rPr>
          <w:rFonts w:asciiTheme="minorHAnsi" w:hAnsiTheme="minorHAnsi" w:cs="Arial"/>
          <w:sz w:val="22"/>
          <w:szCs w:val="22"/>
        </w:rPr>
        <w:t xml:space="preserve">Poskytovatel si vyhrazuje právo termíny oponentur změnit. </w:t>
      </w:r>
      <w:r w:rsidR="00401A07" w:rsidRPr="00E34CD2">
        <w:rPr>
          <w:rFonts w:asciiTheme="minorHAnsi" w:hAnsiTheme="minorHAnsi" w:cs="Arial"/>
          <w:sz w:val="22"/>
          <w:szCs w:val="22"/>
        </w:rPr>
        <w:t xml:space="preserve">Bližší termíny jednotlivých oponentur budou včas příjemcům oznámeny prostřednictvím řešitele. </w:t>
      </w:r>
    </w:p>
    <w:p w:rsidR="00C523B3" w:rsidRPr="00E34CD2" w:rsidRDefault="00C523B3" w:rsidP="0092724E">
      <w:pPr>
        <w:numPr>
          <w:ilvl w:val="0"/>
          <w:numId w:val="24"/>
        </w:numPr>
        <w:tabs>
          <w:tab w:val="clear" w:pos="360"/>
          <w:tab w:val="num" w:pos="-1560"/>
          <w:tab w:val="left" w:pos="-1134"/>
          <w:tab w:val="left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bookmarkStart w:id="13" w:name="_Ref486212201"/>
      <w:r w:rsidRPr="00E34CD2">
        <w:rPr>
          <w:rFonts w:asciiTheme="minorHAnsi" w:hAnsiTheme="minorHAnsi" w:cs="Arial"/>
          <w:sz w:val="22"/>
          <w:szCs w:val="22"/>
        </w:rPr>
        <w:t xml:space="preserve">Oponentní rady budou složeny ze dvou </w:t>
      </w:r>
      <w:r w:rsidR="00401A07" w:rsidRPr="00E34CD2">
        <w:rPr>
          <w:rFonts w:asciiTheme="minorHAnsi" w:hAnsiTheme="minorHAnsi" w:cs="Arial"/>
          <w:sz w:val="22"/>
          <w:szCs w:val="22"/>
        </w:rPr>
        <w:t xml:space="preserve">nezávislých </w:t>
      </w:r>
      <w:r w:rsidRPr="00E34CD2">
        <w:rPr>
          <w:rFonts w:asciiTheme="minorHAnsi" w:hAnsiTheme="minorHAnsi" w:cs="Arial"/>
          <w:sz w:val="22"/>
          <w:szCs w:val="22"/>
        </w:rPr>
        <w:t xml:space="preserve">oponentů, které </w:t>
      </w:r>
      <w:r w:rsidRPr="00E34CD2">
        <w:rPr>
          <w:rFonts w:asciiTheme="minorHAnsi" w:hAnsiTheme="minorHAnsi" w:cs="Arial"/>
          <w:b/>
          <w:sz w:val="22"/>
          <w:szCs w:val="22"/>
        </w:rPr>
        <w:t>určí poskytovatel</w:t>
      </w:r>
      <w:r w:rsidRPr="00E34CD2">
        <w:rPr>
          <w:rFonts w:asciiTheme="minorHAnsi" w:hAnsiTheme="minorHAnsi" w:cs="Arial"/>
          <w:sz w:val="22"/>
          <w:szCs w:val="22"/>
        </w:rPr>
        <w:t>, zástupců odborného poradního orgánu poskytovatele, jeho tajemnice a zástupce příjemce, pokud se na</w:t>
      </w:r>
      <w:r w:rsidR="00EB1592">
        <w:rPr>
          <w:rFonts w:asciiTheme="minorHAnsi" w:hAnsiTheme="minorHAnsi" w:cs="Arial"/>
          <w:sz w:val="22"/>
          <w:szCs w:val="22"/>
        </w:rPr>
        <w:t> </w:t>
      </w:r>
      <w:r w:rsidRPr="00E34CD2">
        <w:rPr>
          <w:rFonts w:asciiTheme="minorHAnsi" w:hAnsiTheme="minorHAnsi" w:cs="Arial"/>
          <w:sz w:val="22"/>
          <w:szCs w:val="22"/>
        </w:rPr>
        <w:t>oponenturu dostaví. V opačném případě bude zápis z oponentury odeslán poskytovatelem příjemci k případnému vyjádření.</w:t>
      </w:r>
    </w:p>
    <w:p w:rsidR="00432B4A" w:rsidRPr="00E34CD2" w:rsidRDefault="00401A07" w:rsidP="0092724E">
      <w:pPr>
        <w:numPr>
          <w:ilvl w:val="0"/>
          <w:numId w:val="24"/>
        </w:numPr>
        <w:tabs>
          <w:tab w:val="clear" w:pos="360"/>
          <w:tab w:val="num" w:pos="-1560"/>
          <w:tab w:val="left" w:pos="-1134"/>
          <w:tab w:val="left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P</w:t>
      </w:r>
      <w:r w:rsidR="00432B4A" w:rsidRPr="00E34CD2">
        <w:rPr>
          <w:rFonts w:asciiTheme="minorHAnsi" w:hAnsiTheme="minorHAnsi" w:cs="Arial"/>
          <w:sz w:val="22"/>
          <w:szCs w:val="22"/>
        </w:rPr>
        <w:t xml:space="preserve">říjemce </w:t>
      </w:r>
      <w:r w:rsidRPr="00E34CD2">
        <w:rPr>
          <w:rFonts w:asciiTheme="minorHAnsi" w:hAnsiTheme="minorHAnsi" w:cs="Arial"/>
          <w:sz w:val="22"/>
          <w:szCs w:val="22"/>
        </w:rPr>
        <w:t>může vznést námitku</w:t>
      </w:r>
      <w:r w:rsidR="00432B4A" w:rsidRPr="00E34CD2">
        <w:rPr>
          <w:rFonts w:asciiTheme="minorHAnsi" w:hAnsiTheme="minorHAnsi" w:cs="Arial"/>
          <w:sz w:val="22"/>
          <w:szCs w:val="22"/>
        </w:rPr>
        <w:t xml:space="preserve"> </w:t>
      </w:r>
      <w:r w:rsidRPr="00E34CD2">
        <w:rPr>
          <w:rFonts w:asciiTheme="minorHAnsi" w:hAnsiTheme="minorHAnsi" w:cs="Arial"/>
          <w:sz w:val="22"/>
          <w:szCs w:val="22"/>
        </w:rPr>
        <w:t xml:space="preserve">k složení oponentní rady a oponentů přímo na oponentuře, která bude zaznamenána s odůvodněním v zápise, v případě akceptace poskytovatel následně zajistí expertní posouzení projektu dalšími nezávislými oponenty, k jejichž posudkům bude při závěrečném vyhodnocení projektů a programu poskytovatele </w:t>
      </w:r>
      <w:r w:rsidR="00002468" w:rsidRPr="00E34CD2">
        <w:rPr>
          <w:rFonts w:asciiTheme="minorHAnsi" w:hAnsiTheme="minorHAnsi" w:cs="Arial"/>
          <w:sz w:val="22"/>
          <w:szCs w:val="22"/>
        </w:rPr>
        <w:t xml:space="preserve">dle zákonného ustanovení </w:t>
      </w:r>
      <w:r w:rsidRPr="00E34CD2">
        <w:rPr>
          <w:rFonts w:asciiTheme="minorHAnsi" w:hAnsiTheme="minorHAnsi" w:cs="Arial"/>
          <w:sz w:val="22"/>
          <w:szCs w:val="22"/>
        </w:rPr>
        <w:t xml:space="preserve">přihlédnuto. </w:t>
      </w:r>
      <w:bookmarkEnd w:id="13"/>
    </w:p>
    <w:p w:rsidR="00432B4A" w:rsidRPr="00E34CD2" w:rsidRDefault="00432B4A" w:rsidP="0092724E">
      <w:pPr>
        <w:numPr>
          <w:ilvl w:val="0"/>
          <w:numId w:val="24"/>
        </w:numPr>
        <w:tabs>
          <w:tab w:val="clear" w:pos="360"/>
          <w:tab w:val="num" w:pos="-1560"/>
          <w:tab w:val="left" w:pos="-1134"/>
          <w:tab w:val="left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Náklady </w:t>
      </w:r>
      <w:r w:rsidR="00002468" w:rsidRPr="00E34CD2">
        <w:rPr>
          <w:rFonts w:asciiTheme="minorHAnsi" w:hAnsiTheme="minorHAnsi" w:cs="Arial"/>
          <w:sz w:val="22"/>
          <w:szCs w:val="22"/>
        </w:rPr>
        <w:t xml:space="preserve">oponentů a zástupců odborného poradního orgánu poskytovatele </w:t>
      </w:r>
      <w:r w:rsidRPr="00E34CD2">
        <w:rPr>
          <w:rFonts w:asciiTheme="minorHAnsi" w:hAnsiTheme="minorHAnsi" w:cs="Arial"/>
          <w:sz w:val="22"/>
          <w:szCs w:val="22"/>
        </w:rPr>
        <w:t xml:space="preserve">spojené s oponenturou </w:t>
      </w:r>
      <w:r w:rsidR="00002468" w:rsidRPr="00E34CD2">
        <w:rPr>
          <w:rFonts w:asciiTheme="minorHAnsi" w:hAnsiTheme="minorHAnsi" w:cs="Arial"/>
          <w:sz w:val="22"/>
          <w:szCs w:val="22"/>
        </w:rPr>
        <w:t>hradí poskytovatel</w:t>
      </w:r>
      <w:r w:rsidRPr="00E34CD2">
        <w:rPr>
          <w:rFonts w:asciiTheme="minorHAnsi" w:hAnsiTheme="minorHAnsi" w:cs="Arial"/>
          <w:sz w:val="22"/>
          <w:szCs w:val="22"/>
        </w:rPr>
        <w:t>.</w:t>
      </w:r>
      <w:r w:rsidR="00002468" w:rsidRPr="00E34CD2">
        <w:rPr>
          <w:rFonts w:asciiTheme="minorHAnsi" w:hAnsiTheme="minorHAnsi" w:cs="Arial"/>
          <w:sz w:val="22"/>
          <w:szCs w:val="22"/>
        </w:rPr>
        <w:t xml:space="preserve"> Náklady zástupců řešitelských týmů projektu a zástupců příjemce spojené s oponenturou si příjemce může hradit z projektu.</w:t>
      </w:r>
    </w:p>
    <w:p w:rsidR="00432B4A" w:rsidRPr="00E34CD2" w:rsidRDefault="00432B4A" w:rsidP="0092724E">
      <w:pPr>
        <w:numPr>
          <w:ilvl w:val="0"/>
          <w:numId w:val="24"/>
        </w:numPr>
        <w:tabs>
          <w:tab w:val="clear" w:pos="360"/>
          <w:tab w:val="num" w:pos="-1560"/>
          <w:tab w:val="left" w:pos="-1134"/>
          <w:tab w:val="left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Oponentura je s výjimkou jednání oponentní rady veřejně přístupná, pokud zvláštní předpisy nestanoví jinak </w:t>
      </w:r>
      <w:r w:rsidRPr="00E34CD2">
        <w:rPr>
          <w:rFonts w:asciiTheme="minorHAnsi" w:hAnsiTheme="minorHAnsi" w:cs="Arial"/>
          <w:sz w:val="22"/>
          <w:szCs w:val="22"/>
          <w:vertAlign w:val="superscript"/>
        </w:rPr>
        <w:footnoteReference w:id="1"/>
      </w:r>
      <w:r w:rsidRPr="00E34CD2">
        <w:rPr>
          <w:rFonts w:asciiTheme="minorHAnsi" w:hAnsiTheme="minorHAnsi" w:cs="Arial"/>
          <w:sz w:val="22"/>
          <w:szCs w:val="22"/>
        </w:rPr>
        <w:t>.</w:t>
      </w:r>
    </w:p>
    <w:p w:rsidR="00432B4A" w:rsidRPr="00E34CD2" w:rsidRDefault="00432B4A" w:rsidP="0092724E">
      <w:pPr>
        <w:numPr>
          <w:ilvl w:val="0"/>
          <w:numId w:val="24"/>
        </w:numPr>
        <w:tabs>
          <w:tab w:val="clear" w:pos="360"/>
          <w:tab w:val="num" w:pos="-1560"/>
          <w:tab w:val="left" w:pos="-1134"/>
          <w:tab w:val="left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Oponentura má zpravidla tento průběh:</w:t>
      </w:r>
    </w:p>
    <w:p w:rsidR="00432B4A" w:rsidRPr="00E34CD2" w:rsidRDefault="00432B4A" w:rsidP="0092724E">
      <w:pPr>
        <w:numPr>
          <w:ilvl w:val="0"/>
          <w:numId w:val="12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úvodní výstup řešitele, zaměřený na stručné zhodnocení posuzované etapy a uvedení do problematiky, dále informace o skutečnostech doplňujících předložené oponované dokumenty,</w:t>
      </w:r>
    </w:p>
    <w:p w:rsidR="00432B4A" w:rsidRPr="00E34CD2" w:rsidRDefault="00432B4A" w:rsidP="0092724E">
      <w:pPr>
        <w:numPr>
          <w:ilvl w:val="0"/>
          <w:numId w:val="12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seznámení přítomných s oponentskými posudky,</w:t>
      </w:r>
    </w:p>
    <w:p w:rsidR="00432B4A" w:rsidRPr="00E34CD2" w:rsidRDefault="00432B4A" w:rsidP="0092724E">
      <w:pPr>
        <w:numPr>
          <w:ilvl w:val="0"/>
          <w:numId w:val="12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sdělení stanoviska řešitele projektu k posudkům oponentů, zejména k námitkám, připomínkám a dotazům,</w:t>
      </w:r>
    </w:p>
    <w:p w:rsidR="00432B4A" w:rsidRPr="00E34CD2" w:rsidRDefault="00432B4A" w:rsidP="0092724E">
      <w:pPr>
        <w:numPr>
          <w:ilvl w:val="0"/>
          <w:numId w:val="12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vyjádření zástupce příjemce,</w:t>
      </w:r>
      <w:r w:rsidR="00950467" w:rsidRPr="00E34CD2">
        <w:rPr>
          <w:rFonts w:asciiTheme="minorHAnsi" w:hAnsiTheme="minorHAnsi" w:cs="Arial"/>
          <w:sz w:val="22"/>
          <w:szCs w:val="22"/>
        </w:rPr>
        <w:t xml:space="preserve"> je-li přítomen,</w:t>
      </w:r>
    </w:p>
    <w:p w:rsidR="00432B4A" w:rsidRPr="00E34CD2" w:rsidRDefault="00432B4A" w:rsidP="0092724E">
      <w:pPr>
        <w:numPr>
          <w:ilvl w:val="0"/>
          <w:numId w:val="12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lastRenderedPageBreak/>
        <w:t xml:space="preserve">vyjádření </w:t>
      </w:r>
      <w:r w:rsidR="00950467" w:rsidRPr="00E34CD2">
        <w:rPr>
          <w:rFonts w:asciiTheme="minorHAnsi" w:hAnsiTheme="minorHAnsi" w:cs="Arial"/>
          <w:sz w:val="22"/>
          <w:szCs w:val="22"/>
        </w:rPr>
        <w:t xml:space="preserve">zástupců poskytovatele, zejména přítomných členů odborného poradního orgánu </w:t>
      </w:r>
      <w:r w:rsidRPr="00E34CD2">
        <w:rPr>
          <w:rFonts w:asciiTheme="minorHAnsi" w:hAnsiTheme="minorHAnsi" w:cs="Arial"/>
          <w:sz w:val="22"/>
          <w:szCs w:val="22"/>
        </w:rPr>
        <w:t>poskytovatele,</w:t>
      </w:r>
    </w:p>
    <w:p w:rsidR="00432B4A" w:rsidRPr="00E34CD2" w:rsidRDefault="00432B4A" w:rsidP="0092724E">
      <w:pPr>
        <w:numPr>
          <w:ilvl w:val="0"/>
          <w:numId w:val="12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E34CD2">
        <w:rPr>
          <w:rFonts w:asciiTheme="minorHAnsi" w:hAnsiTheme="minorHAnsi" w:cs="Arial"/>
          <w:sz w:val="22"/>
          <w:szCs w:val="22"/>
        </w:rPr>
        <w:t>neveřejné</w:t>
      </w:r>
      <w:proofErr w:type="gramEnd"/>
      <w:r w:rsidRPr="00E34CD2">
        <w:rPr>
          <w:rFonts w:asciiTheme="minorHAnsi" w:hAnsiTheme="minorHAnsi" w:cs="Arial"/>
          <w:sz w:val="22"/>
          <w:szCs w:val="22"/>
        </w:rPr>
        <w:t xml:space="preserve"> jednání oponentní rady, </w:t>
      </w:r>
      <w:proofErr w:type="gramStart"/>
      <w:r w:rsidRPr="00E34CD2">
        <w:rPr>
          <w:rFonts w:asciiTheme="minorHAnsi" w:hAnsiTheme="minorHAnsi" w:cs="Arial"/>
          <w:sz w:val="22"/>
          <w:szCs w:val="22"/>
        </w:rPr>
        <w:t>které</w:t>
      </w:r>
      <w:proofErr w:type="gramEnd"/>
    </w:p>
    <w:p w:rsidR="00432B4A" w:rsidRPr="00E34CD2" w:rsidRDefault="00432B4A" w:rsidP="0092724E">
      <w:pPr>
        <w:numPr>
          <w:ilvl w:val="0"/>
          <w:numId w:val="5"/>
        </w:numPr>
        <w:suppressAutoHyphens/>
        <w:spacing w:before="60" w:after="60"/>
        <w:ind w:left="1701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zhodnotí výsledky projektu a způsob jeho realizace,</w:t>
      </w:r>
    </w:p>
    <w:p w:rsidR="00432B4A" w:rsidRPr="00E34CD2" w:rsidRDefault="00432B4A" w:rsidP="0092724E">
      <w:pPr>
        <w:numPr>
          <w:ilvl w:val="0"/>
          <w:numId w:val="5"/>
        </w:numPr>
        <w:suppressAutoHyphens/>
        <w:spacing w:before="60" w:after="60"/>
        <w:ind w:left="1701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zhodnotí, zda finanční prostředky byly využívány v souladu s platnými předpisy </w:t>
      </w:r>
      <w:r w:rsidRPr="00E34CD2">
        <w:rPr>
          <w:rStyle w:val="Znakapoznpodarou"/>
          <w:rFonts w:asciiTheme="minorHAnsi" w:hAnsiTheme="minorHAnsi" w:cs="Arial"/>
          <w:sz w:val="22"/>
          <w:szCs w:val="22"/>
        </w:rPr>
        <w:footnoteReference w:id="2"/>
      </w:r>
      <w:r w:rsidRPr="00E34CD2">
        <w:rPr>
          <w:rFonts w:asciiTheme="minorHAnsi" w:hAnsiTheme="minorHAnsi" w:cs="Arial"/>
          <w:sz w:val="22"/>
          <w:szCs w:val="22"/>
        </w:rPr>
        <w:t xml:space="preserve">, </w:t>
      </w:r>
    </w:p>
    <w:p w:rsidR="00432B4A" w:rsidRPr="00E34CD2" w:rsidRDefault="00432B4A" w:rsidP="0092724E">
      <w:pPr>
        <w:numPr>
          <w:ilvl w:val="0"/>
          <w:numId w:val="5"/>
        </w:numPr>
        <w:suppressAutoHyphens/>
        <w:spacing w:before="60" w:after="60"/>
        <w:ind w:left="1701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zhodnotí, zda finanční prostředky byly využívány v souladu se smlouvou,</w:t>
      </w:r>
    </w:p>
    <w:p w:rsidR="00432B4A" w:rsidRPr="00E34CD2" w:rsidRDefault="00432B4A" w:rsidP="0092724E">
      <w:pPr>
        <w:numPr>
          <w:ilvl w:val="0"/>
          <w:numId w:val="5"/>
        </w:numPr>
        <w:suppressAutoHyphens/>
        <w:spacing w:before="60" w:after="60"/>
        <w:ind w:left="1701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zhodnotí správnost zúčtování finančních prostředků na základě kopií účetních dokladů podle zvláštních předpisů </w:t>
      </w:r>
      <w:r w:rsidRPr="00E34CD2">
        <w:rPr>
          <w:rFonts w:asciiTheme="minorHAnsi" w:hAnsiTheme="minorHAnsi" w:cs="Arial"/>
          <w:sz w:val="22"/>
          <w:szCs w:val="22"/>
          <w:vertAlign w:val="superscript"/>
        </w:rPr>
        <w:footnoteReference w:id="3"/>
      </w:r>
      <w:r w:rsidRPr="00E34CD2">
        <w:rPr>
          <w:rFonts w:asciiTheme="minorHAnsi" w:hAnsiTheme="minorHAnsi" w:cs="Arial"/>
          <w:sz w:val="22"/>
          <w:szCs w:val="22"/>
        </w:rPr>
        <w:t>,</w:t>
      </w:r>
    </w:p>
    <w:p w:rsidR="00432B4A" w:rsidRPr="00E34CD2" w:rsidRDefault="00CC7A1D" w:rsidP="0092724E">
      <w:pPr>
        <w:numPr>
          <w:ilvl w:val="0"/>
          <w:numId w:val="5"/>
        </w:numPr>
        <w:suppressAutoHyphens/>
        <w:spacing w:before="60" w:after="60"/>
        <w:ind w:left="1701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písemně </w:t>
      </w:r>
      <w:r w:rsidR="00432B4A" w:rsidRPr="00E34CD2">
        <w:rPr>
          <w:rFonts w:asciiTheme="minorHAnsi" w:hAnsiTheme="minorHAnsi" w:cs="Arial"/>
          <w:sz w:val="22"/>
          <w:szCs w:val="22"/>
        </w:rPr>
        <w:t>zformuluje závěry oponent</w:t>
      </w:r>
      <w:r w:rsidRPr="00E34CD2">
        <w:rPr>
          <w:rFonts w:asciiTheme="minorHAnsi" w:hAnsiTheme="minorHAnsi" w:cs="Arial"/>
          <w:sz w:val="22"/>
          <w:szCs w:val="22"/>
        </w:rPr>
        <w:t>ury</w:t>
      </w:r>
      <w:r w:rsidR="00432B4A" w:rsidRPr="00E34CD2">
        <w:rPr>
          <w:rFonts w:asciiTheme="minorHAnsi" w:hAnsiTheme="minorHAnsi" w:cs="Arial"/>
          <w:sz w:val="22"/>
          <w:szCs w:val="22"/>
        </w:rPr>
        <w:t xml:space="preserve"> s</w:t>
      </w:r>
      <w:r w:rsidRPr="00E34CD2">
        <w:rPr>
          <w:rFonts w:asciiTheme="minorHAnsi" w:hAnsiTheme="minorHAnsi" w:cs="Arial"/>
          <w:sz w:val="22"/>
          <w:szCs w:val="22"/>
        </w:rPr>
        <w:t> </w:t>
      </w:r>
      <w:r w:rsidR="00432B4A" w:rsidRPr="00E34CD2">
        <w:rPr>
          <w:rFonts w:asciiTheme="minorHAnsi" w:hAnsiTheme="minorHAnsi" w:cs="Arial"/>
          <w:sz w:val="22"/>
          <w:szCs w:val="22"/>
        </w:rPr>
        <w:t>příslušným</w:t>
      </w:r>
      <w:r w:rsidRPr="00E34CD2">
        <w:rPr>
          <w:rFonts w:asciiTheme="minorHAnsi" w:hAnsiTheme="minorHAnsi" w:cs="Arial"/>
          <w:sz w:val="22"/>
          <w:szCs w:val="22"/>
        </w:rPr>
        <w:t xml:space="preserve"> odůvodněním</w:t>
      </w:r>
      <w:r w:rsidR="00432B4A" w:rsidRPr="00E34CD2">
        <w:rPr>
          <w:rFonts w:asciiTheme="minorHAnsi" w:hAnsiTheme="minorHAnsi" w:cs="Arial"/>
          <w:sz w:val="22"/>
          <w:szCs w:val="22"/>
        </w:rPr>
        <w:t>,</w:t>
      </w:r>
    </w:p>
    <w:p w:rsidR="00432B4A" w:rsidRPr="00E34CD2" w:rsidRDefault="00432B4A" w:rsidP="0092724E">
      <w:pPr>
        <w:numPr>
          <w:ilvl w:val="0"/>
          <w:numId w:val="5"/>
        </w:numPr>
        <w:suppressAutoHyphens/>
        <w:spacing w:before="60" w:after="60"/>
        <w:ind w:left="1701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zpracuje zápis z</w:t>
      </w:r>
      <w:r w:rsidR="00950467" w:rsidRPr="00E34CD2">
        <w:rPr>
          <w:rFonts w:asciiTheme="minorHAnsi" w:hAnsiTheme="minorHAnsi" w:cs="Arial"/>
          <w:sz w:val="22"/>
          <w:szCs w:val="22"/>
        </w:rPr>
        <w:t> </w:t>
      </w:r>
      <w:r w:rsidRPr="00E34CD2">
        <w:rPr>
          <w:rFonts w:asciiTheme="minorHAnsi" w:hAnsiTheme="minorHAnsi" w:cs="Arial"/>
          <w:sz w:val="22"/>
          <w:szCs w:val="22"/>
        </w:rPr>
        <w:t>oponentury</w:t>
      </w:r>
      <w:r w:rsidR="00950467" w:rsidRPr="00E34CD2">
        <w:rPr>
          <w:rFonts w:asciiTheme="minorHAnsi" w:hAnsiTheme="minorHAnsi" w:cs="Arial"/>
          <w:sz w:val="22"/>
          <w:szCs w:val="22"/>
        </w:rPr>
        <w:t xml:space="preserve">, jehož </w:t>
      </w:r>
      <w:r w:rsidRPr="00E34CD2">
        <w:rPr>
          <w:rFonts w:asciiTheme="minorHAnsi" w:hAnsiTheme="minorHAnsi" w:cs="Arial"/>
          <w:sz w:val="22"/>
          <w:szCs w:val="22"/>
        </w:rPr>
        <w:t>formu zpracování stanoví poskytovatel</w:t>
      </w:r>
      <w:r w:rsidR="00CC7A1D" w:rsidRPr="00E34CD2">
        <w:rPr>
          <w:rFonts w:asciiTheme="minorHAnsi" w:hAnsiTheme="minorHAnsi" w:cs="Arial"/>
          <w:sz w:val="22"/>
          <w:szCs w:val="22"/>
        </w:rPr>
        <w:t>;</w:t>
      </w:r>
      <w:r w:rsidR="00950467" w:rsidRPr="00E34CD2">
        <w:rPr>
          <w:rFonts w:asciiTheme="minorHAnsi" w:hAnsiTheme="minorHAnsi" w:cs="Arial"/>
          <w:sz w:val="22"/>
          <w:szCs w:val="22"/>
        </w:rPr>
        <w:t xml:space="preserve"> zápis může být zpracován bezprostředně na místě nebo </w:t>
      </w:r>
      <w:r w:rsidR="00070D25" w:rsidRPr="00E34CD2">
        <w:rPr>
          <w:rFonts w:asciiTheme="minorHAnsi" w:hAnsiTheme="minorHAnsi" w:cs="Arial"/>
          <w:sz w:val="22"/>
          <w:szCs w:val="22"/>
        </w:rPr>
        <w:t xml:space="preserve">na místě až </w:t>
      </w:r>
      <w:r w:rsidR="00950467" w:rsidRPr="00E34CD2">
        <w:rPr>
          <w:rFonts w:asciiTheme="minorHAnsi" w:hAnsiTheme="minorHAnsi" w:cs="Arial"/>
          <w:sz w:val="22"/>
          <w:szCs w:val="22"/>
        </w:rPr>
        <w:t>po skončení</w:t>
      </w:r>
      <w:r w:rsidR="00070D25" w:rsidRPr="00E34CD2">
        <w:rPr>
          <w:rFonts w:asciiTheme="minorHAnsi" w:hAnsiTheme="minorHAnsi" w:cs="Arial"/>
          <w:sz w:val="22"/>
          <w:szCs w:val="22"/>
        </w:rPr>
        <w:t xml:space="preserve"> poslední z </w:t>
      </w:r>
      <w:r w:rsidR="00950467" w:rsidRPr="00E34CD2">
        <w:rPr>
          <w:rFonts w:asciiTheme="minorHAnsi" w:hAnsiTheme="minorHAnsi" w:cs="Arial"/>
          <w:sz w:val="22"/>
          <w:szCs w:val="22"/>
        </w:rPr>
        <w:t>oponent</w:t>
      </w:r>
      <w:r w:rsidR="00070D25" w:rsidRPr="00E34CD2">
        <w:rPr>
          <w:rFonts w:asciiTheme="minorHAnsi" w:hAnsiTheme="minorHAnsi" w:cs="Arial"/>
          <w:sz w:val="22"/>
          <w:szCs w:val="22"/>
        </w:rPr>
        <w:t>ur v daném dni</w:t>
      </w:r>
      <w:r w:rsidR="00950467" w:rsidRPr="00E34CD2">
        <w:rPr>
          <w:rFonts w:asciiTheme="minorHAnsi" w:hAnsiTheme="minorHAnsi" w:cs="Arial"/>
          <w:sz w:val="22"/>
          <w:szCs w:val="22"/>
        </w:rPr>
        <w:t xml:space="preserve"> a následně odeslán příjemci</w:t>
      </w:r>
      <w:r w:rsidR="00070D25" w:rsidRPr="00E34CD2">
        <w:rPr>
          <w:rFonts w:asciiTheme="minorHAnsi" w:hAnsiTheme="minorHAnsi" w:cs="Arial"/>
          <w:sz w:val="22"/>
          <w:szCs w:val="22"/>
        </w:rPr>
        <w:t xml:space="preserve"> datovou schránkou nebo poštou;</w:t>
      </w:r>
    </w:p>
    <w:p w:rsidR="00432B4A" w:rsidRPr="00E34CD2" w:rsidRDefault="00432B4A" w:rsidP="0092724E">
      <w:pPr>
        <w:numPr>
          <w:ilvl w:val="0"/>
          <w:numId w:val="12"/>
        </w:numPr>
        <w:tabs>
          <w:tab w:val="left" w:pos="567"/>
        </w:tabs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seznámení řešitele, spoluřešitelů, zástupců příjemců se závěry oponentury, a jejich vyjádření k těmto závěrům,</w:t>
      </w:r>
    </w:p>
    <w:p w:rsidR="00432B4A" w:rsidRPr="00E34CD2" w:rsidRDefault="00432B4A" w:rsidP="0092724E">
      <w:pPr>
        <w:numPr>
          <w:ilvl w:val="0"/>
          <w:numId w:val="24"/>
        </w:numPr>
        <w:tabs>
          <w:tab w:val="clear" w:pos="360"/>
          <w:tab w:val="num" w:pos="-1560"/>
          <w:tab w:val="left" w:pos="-1134"/>
          <w:tab w:val="left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ab/>
        <w:t>Závěry z oponentury schvaluje oponentní rada hlasováním. Jsou přijaty, hlasuje-li pro ně nadpoloviční většina přítomných. V případě rovnosti hlasů rozhoduje hlas předsedy oponentní rady. Toto výsledné stanovisko oponentní rady podepíše závěrem oponentního řízení předseda oponentní rady i její členové v zápisu.</w:t>
      </w:r>
    </w:p>
    <w:p w:rsidR="00432B4A" w:rsidRPr="00E34CD2" w:rsidRDefault="00432B4A" w:rsidP="0092724E">
      <w:pPr>
        <w:numPr>
          <w:ilvl w:val="0"/>
          <w:numId w:val="24"/>
        </w:numPr>
        <w:tabs>
          <w:tab w:val="clear" w:pos="360"/>
          <w:tab w:val="num" w:pos="-1560"/>
          <w:tab w:val="left" w:pos="-1134"/>
          <w:tab w:val="left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ab/>
        <w:t>Závěry z oponentury jsou po schválení oponentní radou z hlediska účelu opo</w:t>
      </w:r>
      <w:r w:rsidR="00C512AB" w:rsidRPr="00E34CD2">
        <w:rPr>
          <w:rFonts w:asciiTheme="minorHAnsi" w:hAnsiTheme="minorHAnsi" w:cs="Arial"/>
          <w:sz w:val="22"/>
          <w:szCs w:val="22"/>
        </w:rPr>
        <w:t xml:space="preserve">nentury konečné a formou zápisu </w:t>
      </w:r>
      <w:r w:rsidRPr="00E34CD2">
        <w:rPr>
          <w:rFonts w:asciiTheme="minorHAnsi" w:hAnsiTheme="minorHAnsi" w:cs="Arial"/>
          <w:sz w:val="22"/>
          <w:szCs w:val="22"/>
        </w:rPr>
        <w:t>jsou uschovány v dokumentaci projektu u poskytovatele v souladu se spisovým a skartačním řádem.</w:t>
      </w:r>
    </w:p>
    <w:p w:rsidR="00C512AB" w:rsidRPr="00E34CD2" w:rsidRDefault="00C512AB" w:rsidP="00C512AB">
      <w:pPr>
        <w:tabs>
          <w:tab w:val="left" w:pos="-1134"/>
          <w:tab w:val="left" w:pos="567"/>
        </w:tabs>
        <w:suppressAutoHyphens/>
        <w:spacing w:before="60" w:after="60"/>
        <w:ind w:left="567" w:right="-284"/>
        <w:jc w:val="both"/>
        <w:rPr>
          <w:rFonts w:asciiTheme="minorHAnsi" w:hAnsiTheme="minorHAnsi" w:cs="Arial"/>
          <w:sz w:val="22"/>
          <w:szCs w:val="22"/>
        </w:rPr>
      </w:pPr>
    </w:p>
    <w:p w:rsidR="00432B4A" w:rsidRPr="00E34CD2" w:rsidRDefault="00432B4A" w:rsidP="0092724E">
      <w:pPr>
        <w:pStyle w:val="Nadpis1"/>
        <w:keepNext w:val="0"/>
        <w:suppressAutoHyphens/>
        <w:spacing w:before="60"/>
        <w:ind w:right="-284"/>
        <w:jc w:val="both"/>
        <w:rPr>
          <w:rFonts w:asciiTheme="minorHAnsi" w:hAnsiTheme="minorHAnsi"/>
          <w:sz w:val="22"/>
          <w:szCs w:val="22"/>
        </w:rPr>
      </w:pPr>
      <w:bookmarkStart w:id="14" w:name="_Ref486211864"/>
      <w:bookmarkStart w:id="15" w:name="_Ref486319621"/>
      <w:r w:rsidRPr="00E34CD2">
        <w:rPr>
          <w:rFonts w:asciiTheme="minorHAnsi" w:hAnsiTheme="minorHAnsi"/>
          <w:sz w:val="22"/>
          <w:szCs w:val="22"/>
        </w:rPr>
        <w:t>Oponentní rada</w:t>
      </w:r>
      <w:bookmarkEnd w:id="14"/>
      <w:r w:rsidRPr="00E34CD2">
        <w:rPr>
          <w:rFonts w:asciiTheme="minorHAnsi" w:hAnsiTheme="minorHAnsi"/>
          <w:sz w:val="22"/>
          <w:szCs w:val="22"/>
        </w:rPr>
        <w:t>, oponenti</w:t>
      </w:r>
      <w:bookmarkEnd w:id="15"/>
    </w:p>
    <w:p w:rsidR="00432B4A" w:rsidRPr="00E34CD2" w:rsidRDefault="00432B4A" w:rsidP="0092724E">
      <w:pPr>
        <w:numPr>
          <w:ilvl w:val="0"/>
          <w:numId w:val="20"/>
        </w:numPr>
        <w:tabs>
          <w:tab w:val="clear" w:pos="360"/>
          <w:tab w:val="left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Počet členů oponentní rady stanoví p</w:t>
      </w:r>
      <w:r w:rsidR="00CC7A1D" w:rsidRPr="00E34CD2">
        <w:rPr>
          <w:rFonts w:asciiTheme="minorHAnsi" w:hAnsiTheme="minorHAnsi" w:cs="Arial"/>
          <w:sz w:val="22"/>
          <w:szCs w:val="22"/>
        </w:rPr>
        <w:t>oskytovatel</w:t>
      </w:r>
      <w:r w:rsidRPr="00E34CD2">
        <w:rPr>
          <w:rFonts w:asciiTheme="minorHAnsi" w:hAnsiTheme="minorHAnsi" w:cs="Arial"/>
          <w:sz w:val="22"/>
          <w:szCs w:val="22"/>
        </w:rPr>
        <w:t xml:space="preserve"> podle rozsahu a náročnosti příslušného oponovaného projektu, nejméně však </w:t>
      </w:r>
      <w:r w:rsidR="00CC7A1D" w:rsidRPr="00E34CD2">
        <w:rPr>
          <w:rFonts w:asciiTheme="minorHAnsi" w:hAnsiTheme="minorHAnsi" w:cs="Arial"/>
          <w:sz w:val="22"/>
          <w:szCs w:val="22"/>
        </w:rPr>
        <w:t xml:space="preserve">tři </w:t>
      </w:r>
      <w:r w:rsidRPr="00E34CD2">
        <w:rPr>
          <w:rFonts w:asciiTheme="minorHAnsi" w:hAnsiTheme="minorHAnsi" w:cs="Arial"/>
          <w:sz w:val="22"/>
          <w:szCs w:val="22"/>
        </w:rPr>
        <w:t xml:space="preserve">(včetně oponentů). </w:t>
      </w:r>
    </w:p>
    <w:p w:rsidR="00432B4A" w:rsidRPr="00E34CD2" w:rsidRDefault="00432B4A" w:rsidP="0092724E">
      <w:pPr>
        <w:numPr>
          <w:ilvl w:val="0"/>
          <w:numId w:val="20"/>
        </w:numPr>
        <w:tabs>
          <w:tab w:val="clear" w:pos="360"/>
          <w:tab w:val="num" w:pos="-851"/>
          <w:tab w:val="left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Účastní-li se oponentury zástupce poskytovatele nebo člen odborného poradního orgánu, vykonává funkci předsedy oponentní rady, pokud se tohoto práva nevzdá ve prospěch jiného člena oponentní rady.</w:t>
      </w:r>
    </w:p>
    <w:p w:rsidR="00432B4A" w:rsidRPr="00E34CD2" w:rsidRDefault="00432B4A" w:rsidP="0092724E">
      <w:pPr>
        <w:numPr>
          <w:ilvl w:val="0"/>
          <w:numId w:val="20"/>
        </w:numPr>
        <w:tabs>
          <w:tab w:val="clear" w:pos="360"/>
          <w:tab w:val="left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Člen oponentní rady nesmí:</w:t>
      </w:r>
    </w:p>
    <w:p w:rsidR="00432B4A" w:rsidRPr="00E34CD2" w:rsidRDefault="00432B4A" w:rsidP="0092724E">
      <w:pPr>
        <w:numPr>
          <w:ilvl w:val="0"/>
          <w:numId w:val="9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spolupracovat na navrhovaném projektu,</w:t>
      </w:r>
    </w:p>
    <w:p w:rsidR="00432B4A" w:rsidRPr="00E34CD2" w:rsidRDefault="00432B4A" w:rsidP="0092724E">
      <w:pPr>
        <w:numPr>
          <w:ilvl w:val="0"/>
          <w:numId w:val="9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být v příbuzenském vztahu k řešiteli,</w:t>
      </w:r>
    </w:p>
    <w:p w:rsidR="00CC7A1D" w:rsidRPr="00E34CD2" w:rsidRDefault="00432B4A" w:rsidP="0092724E">
      <w:pPr>
        <w:numPr>
          <w:ilvl w:val="0"/>
          <w:numId w:val="9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být v antagonistickém vztahu k</w:t>
      </w:r>
      <w:r w:rsidR="00CC7A1D" w:rsidRPr="00E34CD2">
        <w:rPr>
          <w:rFonts w:asciiTheme="minorHAnsi" w:hAnsiTheme="minorHAnsi" w:cs="Arial"/>
          <w:sz w:val="22"/>
          <w:szCs w:val="22"/>
        </w:rPr>
        <w:t> </w:t>
      </w:r>
      <w:r w:rsidRPr="00E34CD2">
        <w:rPr>
          <w:rFonts w:asciiTheme="minorHAnsi" w:hAnsiTheme="minorHAnsi" w:cs="Arial"/>
          <w:sz w:val="22"/>
          <w:szCs w:val="22"/>
        </w:rPr>
        <w:t>řešiteli</w:t>
      </w:r>
      <w:r w:rsidR="00CC7A1D" w:rsidRPr="00E34CD2">
        <w:rPr>
          <w:rFonts w:asciiTheme="minorHAnsi" w:hAnsiTheme="minorHAnsi" w:cs="Arial"/>
          <w:sz w:val="22"/>
          <w:szCs w:val="22"/>
        </w:rPr>
        <w:t>,</w:t>
      </w:r>
    </w:p>
    <w:p w:rsidR="00432B4A" w:rsidRPr="00E34CD2" w:rsidRDefault="00CC7A1D" w:rsidP="0092724E">
      <w:pPr>
        <w:numPr>
          <w:ilvl w:val="0"/>
          <w:numId w:val="9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byl-li pověřen příjemcem k jeho zastupování na oponentuře, být v služebně podřízeném vztahu k řešiteli</w:t>
      </w:r>
      <w:r w:rsidR="00432B4A" w:rsidRPr="00E34CD2">
        <w:rPr>
          <w:rFonts w:asciiTheme="minorHAnsi" w:hAnsiTheme="minorHAnsi" w:cs="Arial"/>
          <w:sz w:val="22"/>
          <w:szCs w:val="22"/>
        </w:rPr>
        <w:t>.</w:t>
      </w:r>
    </w:p>
    <w:p w:rsidR="00432B4A" w:rsidRPr="00E34CD2" w:rsidRDefault="00432B4A" w:rsidP="0092724E">
      <w:pPr>
        <w:numPr>
          <w:ilvl w:val="0"/>
          <w:numId w:val="20"/>
        </w:numPr>
        <w:tabs>
          <w:tab w:val="clear" w:pos="360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Oponent je </w:t>
      </w:r>
      <w:r w:rsidR="00CC7A1D" w:rsidRPr="00E34CD2">
        <w:rPr>
          <w:rFonts w:asciiTheme="minorHAnsi" w:hAnsiTheme="minorHAnsi" w:cs="Arial"/>
          <w:sz w:val="22"/>
          <w:szCs w:val="22"/>
        </w:rPr>
        <w:t xml:space="preserve">vždy </w:t>
      </w:r>
      <w:r w:rsidRPr="00E34CD2">
        <w:rPr>
          <w:rFonts w:asciiTheme="minorHAnsi" w:hAnsiTheme="minorHAnsi" w:cs="Arial"/>
          <w:sz w:val="22"/>
          <w:szCs w:val="22"/>
        </w:rPr>
        <w:t>členem oponentní rady.</w:t>
      </w:r>
    </w:p>
    <w:p w:rsidR="00432B4A" w:rsidRPr="00E34CD2" w:rsidRDefault="00432B4A" w:rsidP="0092724E">
      <w:pPr>
        <w:numPr>
          <w:ilvl w:val="0"/>
          <w:numId w:val="20"/>
        </w:numPr>
        <w:tabs>
          <w:tab w:val="clear" w:pos="360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Oponenty nemohou být zaměstnanci příjemce nebo jedné právnické osoby</w:t>
      </w:r>
      <w:r w:rsidR="00CC7A1D" w:rsidRPr="00E34CD2">
        <w:rPr>
          <w:rFonts w:asciiTheme="minorHAnsi" w:hAnsiTheme="minorHAnsi" w:cs="Arial"/>
          <w:sz w:val="22"/>
          <w:szCs w:val="22"/>
        </w:rPr>
        <w:t xml:space="preserve"> a vztahují se na ně podmínky nepodjatosti stanovené § 21 odst. 5 zák. č. 130/2002 Sb. ve znění pozdějších předpisů</w:t>
      </w:r>
      <w:r w:rsidRPr="00E34CD2">
        <w:rPr>
          <w:rFonts w:asciiTheme="minorHAnsi" w:hAnsiTheme="minorHAnsi" w:cs="Arial"/>
          <w:sz w:val="22"/>
          <w:szCs w:val="22"/>
        </w:rPr>
        <w:t>.</w:t>
      </w:r>
    </w:p>
    <w:p w:rsidR="00432B4A" w:rsidRPr="00E34CD2" w:rsidRDefault="00432B4A" w:rsidP="0092724E">
      <w:pPr>
        <w:numPr>
          <w:ilvl w:val="0"/>
          <w:numId w:val="20"/>
        </w:numPr>
        <w:tabs>
          <w:tab w:val="clear" w:pos="360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ab/>
        <w:t xml:space="preserve">Za vypracování oponentských posudků (viz </w:t>
      </w:r>
      <w:r w:rsidRPr="00E34CD2">
        <w:rPr>
          <w:rFonts w:asciiTheme="minorHAnsi" w:hAnsiTheme="minorHAnsi" w:cs="Arial"/>
          <w:sz w:val="22"/>
          <w:szCs w:val="22"/>
        </w:rPr>
        <w:fldChar w:fldCharType="begin"/>
      </w:r>
      <w:r w:rsidRPr="00E34CD2">
        <w:rPr>
          <w:rFonts w:asciiTheme="minorHAnsi" w:hAnsiTheme="minorHAnsi" w:cs="Arial"/>
          <w:sz w:val="22"/>
          <w:szCs w:val="22"/>
        </w:rPr>
        <w:instrText xml:space="preserve"> REF _Ref486302642 \r \h  \* MERGEFORMAT </w:instrText>
      </w:r>
      <w:r w:rsidRPr="00E34CD2">
        <w:rPr>
          <w:rFonts w:asciiTheme="minorHAnsi" w:hAnsiTheme="minorHAnsi" w:cs="Arial"/>
          <w:sz w:val="22"/>
          <w:szCs w:val="22"/>
        </w:rPr>
      </w:r>
      <w:r w:rsidRPr="00E34CD2">
        <w:rPr>
          <w:rFonts w:asciiTheme="minorHAnsi" w:hAnsiTheme="minorHAnsi" w:cs="Arial"/>
          <w:sz w:val="22"/>
          <w:szCs w:val="22"/>
        </w:rPr>
        <w:fldChar w:fldCharType="separate"/>
      </w:r>
      <w:r w:rsidR="000E1FF5" w:rsidRPr="00E34CD2">
        <w:rPr>
          <w:rFonts w:asciiTheme="minorHAnsi" w:hAnsiTheme="minorHAnsi" w:cs="Arial"/>
          <w:sz w:val="22"/>
          <w:szCs w:val="22"/>
        </w:rPr>
        <w:t>4</w:t>
      </w:r>
      <w:r w:rsidRPr="00E34CD2">
        <w:rPr>
          <w:rFonts w:asciiTheme="minorHAnsi" w:hAnsiTheme="minorHAnsi" w:cs="Arial"/>
          <w:sz w:val="22"/>
          <w:szCs w:val="22"/>
        </w:rPr>
        <w:fldChar w:fldCharType="end"/>
      </w:r>
      <w:r w:rsidRPr="00E34CD2">
        <w:rPr>
          <w:rFonts w:asciiTheme="minorHAnsi" w:hAnsiTheme="minorHAnsi" w:cs="Arial"/>
          <w:sz w:val="22"/>
          <w:szCs w:val="22"/>
        </w:rPr>
        <w:t>) náleží oponentům odměna na základě dohody o</w:t>
      </w:r>
      <w:r w:rsidR="00EB1592">
        <w:rPr>
          <w:rFonts w:asciiTheme="minorHAnsi" w:hAnsiTheme="minorHAnsi" w:cs="Arial"/>
          <w:sz w:val="22"/>
          <w:szCs w:val="22"/>
        </w:rPr>
        <w:t> </w:t>
      </w:r>
      <w:r w:rsidRPr="00E34CD2">
        <w:rPr>
          <w:rFonts w:asciiTheme="minorHAnsi" w:hAnsiTheme="minorHAnsi" w:cs="Arial"/>
          <w:sz w:val="22"/>
          <w:szCs w:val="22"/>
        </w:rPr>
        <w:t xml:space="preserve">provedení práce podle zvláštních předpisů </w:t>
      </w:r>
      <w:r w:rsidRPr="00E34CD2">
        <w:rPr>
          <w:rStyle w:val="Znakapoznpodarou"/>
          <w:rFonts w:asciiTheme="minorHAnsi" w:hAnsiTheme="minorHAnsi" w:cs="Arial"/>
          <w:sz w:val="22"/>
          <w:szCs w:val="22"/>
        </w:rPr>
        <w:footnoteReference w:id="4"/>
      </w:r>
      <w:r w:rsidRPr="00E34CD2">
        <w:rPr>
          <w:rFonts w:asciiTheme="minorHAnsi" w:hAnsiTheme="minorHAnsi" w:cs="Arial"/>
          <w:sz w:val="22"/>
          <w:szCs w:val="22"/>
        </w:rPr>
        <w:t>.</w:t>
      </w:r>
    </w:p>
    <w:p w:rsidR="00432B4A" w:rsidRPr="00E34CD2" w:rsidRDefault="00432B4A" w:rsidP="0092724E">
      <w:pPr>
        <w:numPr>
          <w:ilvl w:val="0"/>
          <w:numId w:val="20"/>
        </w:numPr>
        <w:tabs>
          <w:tab w:val="clear" w:pos="360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lastRenderedPageBreak/>
        <w:tab/>
        <w:t xml:space="preserve">Členům oponentní rady </w:t>
      </w:r>
      <w:r w:rsidR="00CC7A1D" w:rsidRPr="00E34CD2">
        <w:rPr>
          <w:rFonts w:asciiTheme="minorHAnsi" w:hAnsiTheme="minorHAnsi" w:cs="Arial"/>
          <w:sz w:val="22"/>
          <w:szCs w:val="22"/>
        </w:rPr>
        <w:t xml:space="preserve">s výjimkou </w:t>
      </w:r>
      <w:r w:rsidR="00070D25" w:rsidRPr="00E34CD2">
        <w:rPr>
          <w:rFonts w:asciiTheme="minorHAnsi" w:hAnsiTheme="minorHAnsi" w:cs="Arial"/>
          <w:sz w:val="22"/>
          <w:szCs w:val="22"/>
        </w:rPr>
        <w:t>zástupců příjemce</w:t>
      </w:r>
      <w:r w:rsidR="00CC7A1D" w:rsidRPr="00E34CD2">
        <w:rPr>
          <w:rFonts w:asciiTheme="minorHAnsi" w:hAnsiTheme="minorHAnsi" w:cs="Arial"/>
          <w:sz w:val="22"/>
          <w:szCs w:val="22"/>
        </w:rPr>
        <w:t xml:space="preserve"> </w:t>
      </w:r>
      <w:r w:rsidRPr="00E34CD2">
        <w:rPr>
          <w:rFonts w:asciiTheme="minorHAnsi" w:hAnsiTheme="minorHAnsi" w:cs="Arial"/>
          <w:sz w:val="22"/>
          <w:szCs w:val="22"/>
        </w:rPr>
        <w:t xml:space="preserve">náleží cestovní náhrady spojené s účastí na oponentuře na základě sjednání pracovněprávního vztahu podle zvláštních předpisů </w:t>
      </w:r>
      <w:r w:rsidRPr="00E34CD2">
        <w:rPr>
          <w:rStyle w:val="Znakapoznpodarou"/>
          <w:rFonts w:asciiTheme="minorHAnsi" w:hAnsiTheme="minorHAnsi" w:cs="Arial"/>
          <w:sz w:val="22"/>
          <w:szCs w:val="22"/>
        </w:rPr>
        <w:footnoteReference w:id="5"/>
      </w:r>
      <w:r w:rsidR="00070D25" w:rsidRPr="00E34CD2">
        <w:rPr>
          <w:rFonts w:asciiTheme="minorHAnsi" w:hAnsiTheme="minorHAnsi" w:cs="Arial"/>
          <w:sz w:val="22"/>
          <w:szCs w:val="22"/>
        </w:rPr>
        <w:t xml:space="preserve">, které hradí poskytovatel. </w:t>
      </w:r>
    </w:p>
    <w:p w:rsidR="00432B4A" w:rsidRPr="00E34CD2" w:rsidRDefault="00432B4A" w:rsidP="0092724E">
      <w:pPr>
        <w:numPr>
          <w:ilvl w:val="0"/>
          <w:numId w:val="20"/>
        </w:numPr>
        <w:tabs>
          <w:tab w:val="clear" w:pos="360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ab/>
        <w:t xml:space="preserve">Smlouva, oponované dokumenty, </w:t>
      </w:r>
      <w:r w:rsidR="00070D25" w:rsidRPr="00E34CD2">
        <w:rPr>
          <w:rFonts w:asciiTheme="minorHAnsi" w:hAnsiTheme="minorHAnsi" w:cs="Arial"/>
          <w:sz w:val="22"/>
          <w:szCs w:val="22"/>
        </w:rPr>
        <w:t xml:space="preserve">tj. závěrečná zpráva včetně příloh musí být elektronicky </w:t>
      </w:r>
      <w:r w:rsidRPr="00E34CD2">
        <w:rPr>
          <w:rFonts w:asciiTheme="minorHAnsi" w:hAnsiTheme="minorHAnsi" w:cs="Arial"/>
          <w:sz w:val="22"/>
          <w:szCs w:val="22"/>
        </w:rPr>
        <w:t xml:space="preserve">k dispozici účastníkům oponentury </w:t>
      </w:r>
      <w:r w:rsidRPr="00E34CD2">
        <w:rPr>
          <w:rFonts w:asciiTheme="minorHAnsi" w:hAnsiTheme="minorHAnsi" w:cs="Arial"/>
          <w:b/>
          <w:sz w:val="22"/>
          <w:szCs w:val="22"/>
        </w:rPr>
        <w:t xml:space="preserve">nejpozději </w:t>
      </w:r>
      <w:r w:rsidR="00070D25" w:rsidRPr="00E34CD2">
        <w:rPr>
          <w:rFonts w:asciiTheme="minorHAnsi" w:hAnsiTheme="minorHAnsi" w:cs="Arial"/>
          <w:b/>
          <w:sz w:val="22"/>
          <w:szCs w:val="22"/>
        </w:rPr>
        <w:t>2</w:t>
      </w:r>
      <w:r w:rsidRPr="00E34CD2">
        <w:rPr>
          <w:rFonts w:asciiTheme="minorHAnsi" w:hAnsiTheme="minorHAnsi" w:cs="Arial"/>
          <w:b/>
          <w:sz w:val="22"/>
          <w:szCs w:val="22"/>
        </w:rPr>
        <w:t>1 dnů před datem konání oponentury</w:t>
      </w:r>
      <w:r w:rsidR="00070D25" w:rsidRPr="00E34CD2">
        <w:rPr>
          <w:rFonts w:asciiTheme="minorHAnsi" w:hAnsiTheme="minorHAnsi" w:cs="Arial"/>
          <w:sz w:val="22"/>
          <w:szCs w:val="22"/>
        </w:rPr>
        <w:t xml:space="preserve">, tj. </w:t>
      </w:r>
      <w:r w:rsidR="00070D25" w:rsidRPr="00E34CD2">
        <w:rPr>
          <w:rFonts w:asciiTheme="minorHAnsi" w:hAnsiTheme="minorHAnsi" w:cs="Arial"/>
          <w:b/>
          <w:sz w:val="22"/>
          <w:szCs w:val="22"/>
        </w:rPr>
        <w:t>30. 10. 2017</w:t>
      </w:r>
      <w:r w:rsidR="00070D25" w:rsidRPr="00E34CD2">
        <w:rPr>
          <w:rFonts w:asciiTheme="minorHAnsi" w:hAnsiTheme="minorHAnsi" w:cs="Arial"/>
          <w:sz w:val="22"/>
          <w:szCs w:val="22"/>
        </w:rPr>
        <w:t>.</w:t>
      </w:r>
    </w:p>
    <w:p w:rsidR="00432B4A" w:rsidRPr="00E34CD2" w:rsidRDefault="00432B4A" w:rsidP="0092724E">
      <w:pPr>
        <w:numPr>
          <w:ilvl w:val="0"/>
          <w:numId w:val="20"/>
        </w:numPr>
        <w:tabs>
          <w:tab w:val="clear" w:pos="360"/>
          <w:tab w:val="num" w:pos="567"/>
        </w:tabs>
        <w:suppressAutoHyphens/>
        <w:spacing w:before="60" w:after="60"/>
        <w:ind w:left="567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ab/>
      </w:r>
      <w:r w:rsidR="00BA67DD" w:rsidRPr="00E34CD2">
        <w:rPr>
          <w:rFonts w:asciiTheme="minorHAnsi" w:hAnsiTheme="minorHAnsi" w:cs="Arial"/>
          <w:sz w:val="22"/>
          <w:szCs w:val="22"/>
        </w:rPr>
        <w:t>P</w:t>
      </w:r>
      <w:r w:rsidRPr="00E34CD2">
        <w:rPr>
          <w:rFonts w:asciiTheme="minorHAnsi" w:hAnsiTheme="minorHAnsi" w:cs="Arial"/>
          <w:sz w:val="22"/>
          <w:szCs w:val="22"/>
        </w:rPr>
        <w:t>oskytovatel si může k oponentuře vyžádat i další písemné podklady a vyjádření</w:t>
      </w:r>
      <w:r w:rsidR="00070D25" w:rsidRPr="00E34CD2">
        <w:rPr>
          <w:rFonts w:asciiTheme="minorHAnsi" w:hAnsiTheme="minorHAnsi" w:cs="Arial"/>
          <w:sz w:val="22"/>
          <w:szCs w:val="22"/>
        </w:rPr>
        <w:t>. Oponent a členové odborného poradního orgánu poskytovatele si</w:t>
      </w:r>
      <w:r w:rsidRPr="00E34CD2">
        <w:rPr>
          <w:rFonts w:asciiTheme="minorHAnsi" w:hAnsiTheme="minorHAnsi" w:cs="Arial"/>
          <w:sz w:val="22"/>
          <w:szCs w:val="22"/>
        </w:rPr>
        <w:t xml:space="preserve"> potřebné </w:t>
      </w:r>
      <w:r w:rsidR="00070D25" w:rsidRPr="00E34CD2">
        <w:rPr>
          <w:rFonts w:asciiTheme="minorHAnsi" w:hAnsiTheme="minorHAnsi" w:cs="Arial"/>
          <w:sz w:val="22"/>
          <w:szCs w:val="22"/>
        </w:rPr>
        <w:t xml:space="preserve">doplňující podklady </w:t>
      </w:r>
      <w:r w:rsidRPr="00E34CD2">
        <w:rPr>
          <w:rFonts w:asciiTheme="minorHAnsi" w:hAnsiTheme="minorHAnsi" w:cs="Arial"/>
          <w:sz w:val="22"/>
          <w:szCs w:val="22"/>
        </w:rPr>
        <w:t>pro objektivní posouzení výsledků projektu a posouzení správnosti a účelnosti využití finančních prostředků</w:t>
      </w:r>
      <w:r w:rsidR="00070D25" w:rsidRPr="00E34CD2">
        <w:rPr>
          <w:rFonts w:asciiTheme="minorHAnsi" w:hAnsiTheme="minorHAnsi" w:cs="Arial"/>
          <w:sz w:val="22"/>
          <w:szCs w:val="22"/>
        </w:rPr>
        <w:t xml:space="preserve"> mohou vyžádat jen prostřednictvím poskytovatele resp. administrátorky programu LR</w:t>
      </w:r>
      <w:r w:rsidRPr="00E34CD2">
        <w:rPr>
          <w:rFonts w:asciiTheme="minorHAnsi" w:hAnsiTheme="minorHAnsi" w:cs="Arial"/>
          <w:sz w:val="22"/>
          <w:szCs w:val="22"/>
        </w:rPr>
        <w:t>.</w:t>
      </w:r>
    </w:p>
    <w:p w:rsidR="00432B4A" w:rsidRPr="00E34CD2" w:rsidRDefault="00432B4A" w:rsidP="0092724E">
      <w:pPr>
        <w:numPr>
          <w:ilvl w:val="0"/>
          <w:numId w:val="20"/>
        </w:numPr>
        <w:tabs>
          <w:tab w:val="clear" w:pos="360"/>
          <w:tab w:val="num" w:pos="567"/>
        </w:tabs>
        <w:suppressAutoHyphens/>
        <w:spacing w:before="60" w:after="60"/>
        <w:ind w:left="58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Oponentní rada je usnášeníschopná, j</w:t>
      </w:r>
      <w:r w:rsidR="00070D25" w:rsidRPr="00E34CD2">
        <w:rPr>
          <w:rFonts w:asciiTheme="minorHAnsi" w:hAnsiTheme="minorHAnsi" w:cs="Arial"/>
          <w:sz w:val="22"/>
          <w:szCs w:val="22"/>
        </w:rPr>
        <w:t>e</w:t>
      </w:r>
      <w:r w:rsidRPr="00E34CD2">
        <w:rPr>
          <w:rFonts w:asciiTheme="minorHAnsi" w:hAnsiTheme="minorHAnsi" w:cs="Arial"/>
          <w:sz w:val="22"/>
          <w:szCs w:val="22"/>
        </w:rPr>
        <w:t>-li</w:t>
      </w:r>
      <w:r w:rsidR="00070D25" w:rsidRPr="00E34CD2">
        <w:rPr>
          <w:rFonts w:asciiTheme="minorHAnsi" w:hAnsiTheme="minorHAnsi" w:cs="Arial"/>
          <w:sz w:val="22"/>
          <w:szCs w:val="22"/>
        </w:rPr>
        <w:t xml:space="preserve"> při schvalování závěrů přítomna</w:t>
      </w:r>
      <w:r w:rsidRPr="00E34CD2">
        <w:rPr>
          <w:rFonts w:asciiTheme="minorHAnsi" w:hAnsiTheme="minorHAnsi" w:cs="Arial"/>
          <w:sz w:val="22"/>
          <w:szCs w:val="22"/>
        </w:rPr>
        <w:t xml:space="preserve"> nejméně </w:t>
      </w:r>
      <w:r w:rsidR="00070D25" w:rsidRPr="00E34CD2">
        <w:rPr>
          <w:rFonts w:asciiTheme="minorHAnsi" w:hAnsiTheme="minorHAnsi" w:cs="Arial"/>
          <w:sz w:val="22"/>
          <w:szCs w:val="22"/>
        </w:rPr>
        <w:t>nadpoloviční většina</w:t>
      </w:r>
      <w:r w:rsidRPr="00E34CD2">
        <w:rPr>
          <w:rFonts w:asciiTheme="minorHAnsi" w:hAnsiTheme="minorHAnsi" w:cs="Arial"/>
          <w:sz w:val="22"/>
          <w:szCs w:val="22"/>
        </w:rPr>
        <w:t xml:space="preserve"> jejích členů.</w:t>
      </w:r>
    </w:p>
    <w:p w:rsidR="00432B4A" w:rsidRPr="00E34CD2" w:rsidRDefault="00432B4A" w:rsidP="0092724E">
      <w:pPr>
        <w:suppressAutoHyphens/>
        <w:spacing w:before="60" w:after="60"/>
        <w:ind w:right="-284"/>
        <w:jc w:val="both"/>
        <w:rPr>
          <w:rFonts w:asciiTheme="minorHAnsi" w:hAnsiTheme="minorHAnsi" w:cs="Arial"/>
          <w:sz w:val="22"/>
          <w:szCs w:val="22"/>
        </w:rPr>
      </w:pPr>
    </w:p>
    <w:p w:rsidR="00432B4A" w:rsidRPr="00E34CD2" w:rsidRDefault="00432B4A" w:rsidP="0092724E">
      <w:pPr>
        <w:pStyle w:val="Nadpis1"/>
        <w:keepNext w:val="0"/>
        <w:suppressAutoHyphens/>
        <w:spacing w:before="60"/>
        <w:ind w:right="-284"/>
        <w:jc w:val="both"/>
        <w:rPr>
          <w:rFonts w:asciiTheme="minorHAnsi" w:hAnsiTheme="minorHAnsi"/>
          <w:sz w:val="22"/>
          <w:szCs w:val="22"/>
        </w:rPr>
      </w:pPr>
      <w:bookmarkStart w:id="16" w:name="_Toc367858164"/>
      <w:bookmarkStart w:id="17" w:name="_Ref374255906"/>
      <w:bookmarkStart w:id="18" w:name="_Toc390503566"/>
      <w:bookmarkStart w:id="19" w:name="_Toc390590759"/>
      <w:bookmarkStart w:id="20" w:name="_Toc400414752"/>
      <w:r w:rsidRPr="00E34CD2">
        <w:rPr>
          <w:rFonts w:asciiTheme="minorHAnsi" w:hAnsiTheme="minorHAnsi"/>
          <w:sz w:val="22"/>
          <w:szCs w:val="22"/>
        </w:rPr>
        <w:tab/>
      </w:r>
      <w:bookmarkStart w:id="21" w:name="_Ref486302642"/>
      <w:r w:rsidRPr="00E34CD2">
        <w:rPr>
          <w:rFonts w:asciiTheme="minorHAnsi" w:hAnsiTheme="minorHAnsi"/>
          <w:sz w:val="22"/>
          <w:szCs w:val="22"/>
        </w:rPr>
        <w:t>Oponentský posudek</w:t>
      </w:r>
      <w:bookmarkEnd w:id="16"/>
      <w:bookmarkEnd w:id="17"/>
      <w:bookmarkEnd w:id="18"/>
      <w:bookmarkEnd w:id="19"/>
      <w:bookmarkEnd w:id="20"/>
      <w:bookmarkEnd w:id="21"/>
    </w:p>
    <w:p w:rsidR="00432B4A" w:rsidRPr="00E34CD2" w:rsidRDefault="00432B4A" w:rsidP="0092724E">
      <w:pPr>
        <w:numPr>
          <w:ilvl w:val="0"/>
          <w:numId w:val="32"/>
        </w:numPr>
        <w:suppressAutoHyphens/>
        <w:spacing w:before="60" w:after="60"/>
        <w:ind w:right="-284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Na příslušný projekt vypracuje oponent ke zprávě oponentský posudek písemnou formou a své stanovisko zdůvodní. Oponentský posudek musí obsahovat podpis oponenta, který jej zpracoval. Formu zpracování posudku stanoví poskytovatel.</w:t>
      </w:r>
    </w:p>
    <w:p w:rsidR="00432B4A" w:rsidRPr="00E34CD2" w:rsidRDefault="00432B4A" w:rsidP="0092724E">
      <w:pPr>
        <w:numPr>
          <w:ilvl w:val="0"/>
          <w:numId w:val="32"/>
        </w:numPr>
        <w:suppressAutoHyphens/>
        <w:spacing w:before="60" w:after="60"/>
        <w:ind w:right="-284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V oponentském posudku se uplatní kritéria </w:t>
      </w:r>
      <w:r w:rsidR="00BA67DD" w:rsidRPr="00E34CD2">
        <w:rPr>
          <w:rFonts w:asciiTheme="minorHAnsi" w:hAnsiTheme="minorHAnsi" w:cs="Arial"/>
          <w:sz w:val="22"/>
          <w:szCs w:val="22"/>
        </w:rPr>
        <w:t>hodnocení podle čl. 4 a 5 zadávací dokumentace programu LR, zejména</w:t>
      </w:r>
      <w:r w:rsidRPr="00E34CD2">
        <w:rPr>
          <w:rFonts w:asciiTheme="minorHAnsi" w:hAnsiTheme="minorHAnsi" w:cs="Arial"/>
          <w:sz w:val="22"/>
          <w:szCs w:val="22"/>
        </w:rPr>
        <w:t>:</w:t>
      </w:r>
    </w:p>
    <w:p w:rsidR="00432B4A" w:rsidRPr="00E34CD2" w:rsidRDefault="00432B4A" w:rsidP="0092724E">
      <w:pPr>
        <w:numPr>
          <w:ilvl w:val="0"/>
          <w:numId w:val="10"/>
        </w:numPr>
        <w:suppressAutoHyphens/>
        <w:spacing w:before="60" w:after="60"/>
        <w:ind w:left="1134" w:right="-284" w:hanging="566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průběh a výsledky</w:t>
      </w:r>
      <w:r w:rsidR="005F5330" w:rsidRPr="00E34CD2">
        <w:rPr>
          <w:rFonts w:asciiTheme="minorHAnsi" w:hAnsiTheme="minorHAnsi" w:cs="Arial"/>
          <w:sz w:val="22"/>
          <w:szCs w:val="22"/>
        </w:rPr>
        <w:t xml:space="preserve"> řešení</w:t>
      </w:r>
      <w:r w:rsidRPr="00E34CD2">
        <w:rPr>
          <w:rFonts w:asciiTheme="minorHAnsi" w:hAnsiTheme="minorHAnsi" w:cs="Arial"/>
          <w:sz w:val="22"/>
          <w:szCs w:val="22"/>
        </w:rPr>
        <w:t xml:space="preserve"> projektu</w:t>
      </w:r>
      <w:r w:rsidR="00BA67DD" w:rsidRPr="00E34CD2">
        <w:rPr>
          <w:rFonts w:asciiTheme="minorHAnsi" w:hAnsiTheme="minorHAnsi" w:cs="Arial"/>
          <w:sz w:val="22"/>
          <w:szCs w:val="22"/>
        </w:rPr>
        <w:t xml:space="preserve"> v porovnání se zadáním dle smlouvy o poskytnutí podpory</w:t>
      </w:r>
      <w:r w:rsidRPr="00E34CD2">
        <w:rPr>
          <w:rFonts w:asciiTheme="minorHAnsi" w:hAnsiTheme="minorHAnsi" w:cs="Arial"/>
          <w:sz w:val="22"/>
          <w:szCs w:val="22"/>
        </w:rPr>
        <w:t>,</w:t>
      </w:r>
    </w:p>
    <w:p w:rsidR="00432B4A" w:rsidRPr="00E34CD2" w:rsidRDefault="00432B4A" w:rsidP="0092724E">
      <w:pPr>
        <w:numPr>
          <w:ilvl w:val="0"/>
          <w:numId w:val="10"/>
        </w:numPr>
        <w:suppressAutoHyphens/>
        <w:spacing w:before="60" w:after="60"/>
        <w:ind w:left="1134" w:right="-284" w:hanging="566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splnění cílů projektu stanovených smlouvou,</w:t>
      </w:r>
    </w:p>
    <w:p w:rsidR="00432B4A" w:rsidRPr="00E34CD2" w:rsidRDefault="00432B4A" w:rsidP="0092724E">
      <w:pPr>
        <w:numPr>
          <w:ilvl w:val="0"/>
          <w:numId w:val="10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odborná úroveň projektu</w:t>
      </w:r>
      <w:r w:rsidR="00BA67DD" w:rsidRPr="00E34CD2">
        <w:rPr>
          <w:rFonts w:asciiTheme="minorHAnsi" w:hAnsiTheme="minorHAnsi" w:cs="Arial"/>
          <w:sz w:val="22"/>
          <w:szCs w:val="22"/>
        </w:rPr>
        <w:t xml:space="preserve"> a kvalita dosažených výsledků</w:t>
      </w:r>
      <w:r w:rsidRPr="00E34CD2">
        <w:rPr>
          <w:rFonts w:asciiTheme="minorHAnsi" w:hAnsiTheme="minorHAnsi" w:cs="Arial"/>
          <w:sz w:val="22"/>
          <w:szCs w:val="22"/>
        </w:rPr>
        <w:t>,</w:t>
      </w:r>
    </w:p>
    <w:p w:rsidR="00070D25" w:rsidRPr="00E34CD2" w:rsidRDefault="005F5330" w:rsidP="0092724E">
      <w:pPr>
        <w:numPr>
          <w:ilvl w:val="0"/>
          <w:numId w:val="10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přínos </w:t>
      </w:r>
      <w:r w:rsidR="00070D25" w:rsidRPr="00E34CD2">
        <w:rPr>
          <w:rFonts w:asciiTheme="minorHAnsi" w:hAnsiTheme="minorHAnsi" w:cs="Arial"/>
          <w:sz w:val="22"/>
          <w:szCs w:val="22"/>
        </w:rPr>
        <w:t xml:space="preserve">a dopady řešení </w:t>
      </w:r>
      <w:r w:rsidRPr="00E34CD2">
        <w:rPr>
          <w:rFonts w:asciiTheme="minorHAnsi" w:hAnsiTheme="minorHAnsi" w:cs="Arial"/>
          <w:sz w:val="22"/>
          <w:szCs w:val="22"/>
        </w:rPr>
        <w:t xml:space="preserve">projektu </w:t>
      </w:r>
    </w:p>
    <w:p w:rsidR="00432B4A" w:rsidRPr="00E34CD2" w:rsidRDefault="00BA67DD" w:rsidP="0092724E">
      <w:pPr>
        <w:numPr>
          <w:ilvl w:val="0"/>
          <w:numId w:val="10"/>
        </w:numPr>
        <w:suppressAutoHyphens/>
        <w:spacing w:before="60" w:after="60"/>
        <w:ind w:left="1134" w:right="-284" w:hanging="567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relevance a </w:t>
      </w:r>
      <w:r w:rsidR="00432B4A" w:rsidRPr="00E34CD2">
        <w:rPr>
          <w:rFonts w:asciiTheme="minorHAnsi" w:hAnsiTheme="minorHAnsi" w:cs="Arial"/>
          <w:sz w:val="22"/>
          <w:szCs w:val="22"/>
        </w:rPr>
        <w:t>účelnost využití finančních prostředků</w:t>
      </w:r>
      <w:r w:rsidRPr="00E34CD2">
        <w:rPr>
          <w:rFonts w:asciiTheme="minorHAnsi" w:hAnsiTheme="minorHAnsi" w:cs="Arial"/>
          <w:sz w:val="22"/>
          <w:szCs w:val="22"/>
        </w:rPr>
        <w:t xml:space="preserve"> ve vztahu k dosaženým výsledkům</w:t>
      </w:r>
      <w:r w:rsidR="00432B4A" w:rsidRPr="00E34CD2">
        <w:rPr>
          <w:rFonts w:asciiTheme="minorHAnsi" w:hAnsiTheme="minorHAnsi" w:cs="Arial"/>
          <w:sz w:val="22"/>
          <w:szCs w:val="22"/>
        </w:rPr>
        <w:t>.</w:t>
      </w:r>
    </w:p>
    <w:p w:rsidR="00432B4A" w:rsidRPr="00E34CD2" w:rsidRDefault="00432B4A" w:rsidP="0092724E">
      <w:pPr>
        <w:suppressAutoHyphens/>
        <w:spacing w:before="60" w:after="60"/>
        <w:ind w:left="567" w:right="-284"/>
        <w:jc w:val="both"/>
        <w:rPr>
          <w:rFonts w:asciiTheme="minorHAnsi" w:hAnsiTheme="minorHAnsi" w:cs="Arial"/>
          <w:sz w:val="22"/>
          <w:szCs w:val="22"/>
        </w:rPr>
      </w:pPr>
    </w:p>
    <w:p w:rsidR="00432B4A" w:rsidRPr="00E34CD2" w:rsidRDefault="00432B4A" w:rsidP="0092724E">
      <w:pPr>
        <w:pStyle w:val="Nadpis1"/>
        <w:keepNext w:val="0"/>
        <w:suppressAutoHyphens/>
        <w:spacing w:before="60"/>
        <w:ind w:right="-284"/>
        <w:jc w:val="both"/>
        <w:rPr>
          <w:rFonts w:asciiTheme="minorHAnsi" w:hAnsiTheme="minorHAnsi"/>
          <w:sz w:val="22"/>
          <w:szCs w:val="22"/>
        </w:rPr>
      </w:pPr>
      <w:bookmarkStart w:id="22" w:name="_Toc367858165"/>
      <w:bookmarkStart w:id="23" w:name="_Ref370866332"/>
      <w:bookmarkStart w:id="24" w:name="_Toc390503567"/>
      <w:bookmarkStart w:id="25" w:name="_Toc390590760"/>
      <w:bookmarkStart w:id="26" w:name="_Toc400414753"/>
      <w:r w:rsidRPr="00E34CD2">
        <w:rPr>
          <w:rFonts w:asciiTheme="minorHAnsi" w:hAnsiTheme="minorHAnsi"/>
          <w:sz w:val="22"/>
          <w:szCs w:val="22"/>
        </w:rPr>
        <w:tab/>
        <w:t xml:space="preserve">Účastníci </w:t>
      </w:r>
      <w:bookmarkEnd w:id="22"/>
      <w:bookmarkEnd w:id="23"/>
      <w:r w:rsidRPr="00E34CD2">
        <w:rPr>
          <w:rFonts w:asciiTheme="minorHAnsi" w:hAnsiTheme="minorHAnsi"/>
          <w:sz w:val="22"/>
          <w:szCs w:val="22"/>
        </w:rPr>
        <w:t>oponentury</w:t>
      </w:r>
      <w:bookmarkEnd w:id="24"/>
      <w:bookmarkEnd w:id="25"/>
      <w:bookmarkEnd w:id="26"/>
    </w:p>
    <w:p w:rsidR="00432B4A" w:rsidRPr="00E34CD2" w:rsidRDefault="00432B4A" w:rsidP="0092724E">
      <w:pPr>
        <w:suppressAutoHyphens/>
        <w:spacing w:before="60" w:after="60"/>
        <w:ind w:right="-284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Oponentury se účastní:</w:t>
      </w:r>
    </w:p>
    <w:p w:rsidR="00432B4A" w:rsidRPr="00E34CD2" w:rsidRDefault="00432B4A" w:rsidP="0092724E">
      <w:pPr>
        <w:numPr>
          <w:ilvl w:val="0"/>
          <w:numId w:val="11"/>
        </w:numPr>
        <w:suppressAutoHyphens/>
        <w:spacing w:before="60" w:after="60"/>
        <w:ind w:left="993" w:right="-284" w:hanging="426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členové oponentní rady, (vč. oponentů),</w:t>
      </w:r>
    </w:p>
    <w:p w:rsidR="00EC385E" w:rsidRPr="00E34CD2" w:rsidRDefault="00EC385E" w:rsidP="0092724E">
      <w:pPr>
        <w:numPr>
          <w:ilvl w:val="0"/>
          <w:numId w:val="11"/>
        </w:numPr>
        <w:suppressAutoHyphens/>
        <w:spacing w:before="60" w:after="60"/>
        <w:ind w:left="993" w:right="-284" w:hanging="426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řešitel</w:t>
      </w:r>
      <w:r w:rsidR="00B6452B" w:rsidRPr="00E34CD2">
        <w:rPr>
          <w:rFonts w:asciiTheme="minorHAnsi" w:hAnsiTheme="minorHAnsi" w:cs="Arial"/>
          <w:sz w:val="22"/>
          <w:szCs w:val="22"/>
        </w:rPr>
        <w:t>, případně další členové řešitelského týmu,</w:t>
      </w:r>
    </w:p>
    <w:p w:rsidR="00EC385E" w:rsidRPr="00E34CD2" w:rsidRDefault="00EC385E" w:rsidP="0092724E">
      <w:pPr>
        <w:numPr>
          <w:ilvl w:val="0"/>
          <w:numId w:val="11"/>
        </w:numPr>
        <w:suppressAutoHyphens/>
        <w:spacing w:before="60" w:after="60"/>
        <w:ind w:left="993" w:right="-284" w:hanging="426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zástupce poskytovatele, člen</w:t>
      </w:r>
      <w:r w:rsidR="00B6452B" w:rsidRPr="00E34CD2">
        <w:rPr>
          <w:rFonts w:asciiTheme="minorHAnsi" w:hAnsiTheme="minorHAnsi" w:cs="Arial"/>
          <w:sz w:val="22"/>
          <w:szCs w:val="22"/>
        </w:rPr>
        <w:t>ové</w:t>
      </w:r>
      <w:r w:rsidRPr="00E34CD2">
        <w:rPr>
          <w:rFonts w:asciiTheme="minorHAnsi" w:hAnsiTheme="minorHAnsi" w:cs="Arial"/>
          <w:sz w:val="22"/>
          <w:szCs w:val="22"/>
        </w:rPr>
        <w:t xml:space="preserve"> odborného poradního orgánu</w:t>
      </w:r>
      <w:r w:rsidR="00B6452B" w:rsidRPr="00E34CD2">
        <w:rPr>
          <w:rFonts w:asciiTheme="minorHAnsi" w:hAnsiTheme="minorHAnsi" w:cs="Arial"/>
          <w:sz w:val="22"/>
          <w:szCs w:val="22"/>
        </w:rPr>
        <w:t xml:space="preserve"> poskytovatele</w:t>
      </w:r>
      <w:r w:rsidRPr="00E34CD2">
        <w:rPr>
          <w:rFonts w:asciiTheme="minorHAnsi" w:hAnsiTheme="minorHAnsi" w:cs="Arial"/>
          <w:sz w:val="22"/>
          <w:szCs w:val="22"/>
        </w:rPr>
        <w:t>,</w:t>
      </w:r>
    </w:p>
    <w:p w:rsidR="00432B4A" w:rsidRPr="00E34CD2" w:rsidRDefault="00EC385E" w:rsidP="0092724E">
      <w:pPr>
        <w:numPr>
          <w:ilvl w:val="0"/>
          <w:numId w:val="11"/>
        </w:numPr>
        <w:suppressAutoHyphens/>
        <w:spacing w:before="60" w:after="60"/>
        <w:ind w:left="993" w:right="-284" w:hanging="426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statutární orgán nebo jiný</w:t>
      </w:r>
      <w:r w:rsidR="00B6452B" w:rsidRPr="00E34CD2">
        <w:rPr>
          <w:rFonts w:asciiTheme="minorHAnsi" w:hAnsiTheme="minorHAnsi" w:cs="Arial"/>
          <w:sz w:val="22"/>
          <w:szCs w:val="22"/>
        </w:rPr>
        <w:t>,</w:t>
      </w:r>
      <w:r w:rsidRPr="00E34CD2">
        <w:rPr>
          <w:rFonts w:asciiTheme="minorHAnsi" w:hAnsiTheme="minorHAnsi" w:cs="Arial"/>
          <w:sz w:val="22"/>
          <w:szCs w:val="22"/>
        </w:rPr>
        <w:t xml:space="preserve"> pověřený zástupce příjemce</w:t>
      </w:r>
      <w:r w:rsidR="00B6452B" w:rsidRPr="00E34CD2">
        <w:rPr>
          <w:rFonts w:asciiTheme="minorHAnsi" w:hAnsiTheme="minorHAnsi" w:cs="Arial"/>
          <w:sz w:val="22"/>
          <w:szCs w:val="22"/>
        </w:rPr>
        <w:t>, případně</w:t>
      </w:r>
      <w:r w:rsidRPr="00E34CD2">
        <w:rPr>
          <w:rFonts w:asciiTheme="minorHAnsi" w:hAnsiTheme="minorHAnsi" w:cs="Arial"/>
          <w:sz w:val="22"/>
          <w:szCs w:val="22"/>
        </w:rPr>
        <w:t xml:space="preserve"> </w:t>
      </w:r>
      <w:r w:rsidR="00432B4A" w:rsidRPr="00E34CD2">
        <w:rPr>
          <w:rFonts w:asciiTheme="minorHAnsi" w:hAnsiTheme="minorHAnsi" w:cs="Arial"/>
          <w:sz w:val="22"/>
          <w:szCs w:val="22"/>
        </w:rPr>
        <w:t>další hosté.</w:t>
      </w:r>
    </w:p>
    <w:p w:rsidR="00432B4A" w:rsidRPr="00E34CD2" w:rsidRDefault="00432B4A" w:rsidP="0092724E">
      <w:pPr>
        <w:suppressAutoHyphens/>
        <w:spacing w:before="60" w:after="60"/>
        <w:ind w:left="567" w:right="-284"/>
        <w:jc w:val="both"/>
        <w:rPr>
          <w:rFonts w:asciiTheme="minorHAnsi" w:hAnsiTheme="minorHAnsi" w:cs="Arial"/>
          <w:sz w:val="22"/>
          <w:szCs w:val="22"/>
        </w:rPr>
      </w:pPr>
    </w:p>
    <w:p w:rsidR="00432B4A" w:rsidRPr="00E34CD2" w:rsidRDefault="00432B4A" w:rsidP="0092724E">
      <w:pPr>
        <w:pStyle w:val="Nadpis1"/>
        <w:keepNext w:val="0"/>
        <w:suppressAutoHyphens/>
        <w:spacing w:before="60"/>
        <w:ind w:right="-284"/>
        <w:jc w:val="both"/>
        <w:rPr>
          <w:rFonts w:asciiTheme="minorHAnsi" w:hAnsiTheme="minorHAnsi"/>
          <w:sz w:val="22"/>
          <w:szCs w:val="22"/>
        </w:rPr>
      </w:pPr>
      <w:bookmarkStart w:id="27" w:name="_Toc367858150"/>
      <w:bookmarkStart w:id="28" w:name="_Ref390494053"/>
      <w:bookmarkStart w:id="29" w:name="_Toc390503571"/>
      <w:bookmarkStart w:id="30" w:name="_Toc390590764"/>
      <w:bookmarkStart w:id="31" w:name="_Toc400414755"/>
      <w:r w:rsidRPr="00E34CD2">
        <w:rPr>
          <w:rFonts w:asciiTheme="minorHAnsi" w:hAnsiTheme="minorHAnsi"/>
          <w:sz w:val="22"/>
          <w:szCs w:val="22"/>
        </w:rPr>
        <w:tab/>
      </w:r>
      <w:bookmarkStart w:id="32" w:name="_Toc367858152"/>
      <w:bookmarkStart w:id="33" w:name="_Toc390503573"/>
      <w:bookmarkStart w:id="34" w:name="_Toc390590766"/>
      <w:bookmarkStart w:id="35" w:name="_Toc400414757"/>
      <w:bookmarkEnd w:id="27"/>
      <w:bookmarkEnd w:id="28"/>
      <w:bookmarkEnd w:id="29"/>
      <w:bookmarkEnd w:id="30"/>
      <w:bookmarkEnd w:id="31"/>
      <w:r w:rsidRPr="00E34CD2">
        <w:rPr>
          <w:rFonts w:asciiTheme="minorHAnsi" w:hAnsiTheme="minorHAnsi"/>
          <w:sz w:val="22"/>
          <w:szCs w:val="22"/>
        </w:rPr>
        <w:tab/>
      </w:r>
      <w:bookmarkStart w:id="36" w:name="_Ref486307119"/>
      <w:bookmarkStart w:id="37" w:name="_Toc390503558"/>
      <w:bookmarkStart w:id="38" w:name="_Toc390590751"/>
      <w:bookmarkStart w:id="39" w:name="_Toc400414745"/>
      <w:bookmarkEnd w:id="32"/>
      <w:bookmarkEnd w:id="33"/>
      <w:bookmarkEnd w:id="34"/>
      <w:bookmarkEnd w:id="35"/>
      <w:r w:rsidRPr="00E34CD2">
        <w:rPr>
          <w:rFonts w:asciiTheme="minorHAnsi" w:hAnsiTheme="minorHAnsi"/>
          <w:sz w:val="22"/>
          <w:szCs w:val="22"/>
        </w:rPr>
        <w:t>Z</w:t>
      </w:r>
      <w:r w:rsidR="00B6452B" w:rsidRPr="00E34CD2">
        <w:rPr>
          <w:rFonts w:asciiTheme="minorHAnsi" w:hAnsiTheme="minorHAnsi"/>
          <w:sz w:val="22"/>
          <w:szCs w:val="22"/>
        </w:rPr>
        <w:t>ávěrečná z</w:t>
      </w:r>
      <w:r w:rsidRPr="00E34CD2">
        <w:rPr>
          <w:rFonts w:asciiTheme="minorHAnsi" w:hAnsiTheme="minorHAnsi"/>
          <w:sz w:val="22"/>
          <w:szCs w:val="22"/>
        </w:rPr>
        <w:t xml:space="preserve">práva o </w:t>
      </w:r>
      <w:r w:rsidR="00B6452B" w:rsidRPr="00E34CD2">
        <w:rPr>
          <w:rFonts w:asciiTheme="minorHAnsi" w:hAnsiTheme="minorHAnsi"/>
          <w:sz w:val="22"/>
          <w:szCs w:val="22"/>
        </w:rPr>
        <w:t xml:space="preserve">řešení </w:t>
      </w:r>
      <w:r w:rsidRPr="00E34CD2">
        <w:rPr>
          <w:rFonts w:asciiTheme="minorHAnsi" w:hAnsiTheme="minorHAnsi"/>
          <w:sz w:val="22"/>
          <w:szCs w:val="22"/>
        </w:rPr>
        <w:t>projektu</w:t>
      </w:r>
      <w:bookmarkEnd w:id="36"/>
      <w:bookmarkEnd w:id="37"/>
      <w:bookmarkEnd w:id="38"/>
      <w:bookmarkEnd w:id="39"/>
    </w:p>
    <w:p w:rsidR="00432B4A" w:rsidRPr="00E34CD2" w:rsidRDefault="00432B4A" w:rsidP="0092724E">
      <w:pPr>
        <w:numPr>
          <w:ilvl w:val="0"/>
          <w:numId w:val="28"/>
        </w:numPr>
        <w:suppressAutoHyphens/>
        <w:spacing w:before="60" w:after="60"/>
        <w:ind w:right="-284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Řešitel projektu je povinen v souladu se smlouvu předat poskytovateli zprávu</w:t>
      </w:r>
      <w:r w:rsidR="00B6452B" w:rsidRPr="00E34CD2">
        <w:rPr>
          <w:rFonts w:asciiTheme="minorHAnsi" w:hAnsiTheme="minorHAnsi" w:cs="Arial"/>
          <w:sz w:val="22"/>
          <w:szCs w:val="22"/>
        </w:rPr>
        <w:t xml:space="preserve"> zpracovanou v rozsahu podle článku 5 odst. 8) písm. b) smlouvy o poskytnutí podpory</w:t>
      </w:r>
      <w:r w:rsidRPr="00E34CD2">
        <w:rPr>
          <w:rFonts w:asciiTheme="minorHAnsi" w:hAnsiTheme="minorHAnsi" w:cs="Arial"/>
          <w:sz w:val="22"/>
          <w:szCs w:val="22"/>
        </w:rPr>
        <w:t xml:space="preserve">, která </w:t>
      </w:r>
      <w:r w:rsidR="00B6452B" w:rsidRPr="00E34CD2">
        <w:rPr>
          <w:rFonts w:asciiTheme="minorHAnsi" w:hAnsiTheme="minorHAnsi" w:cs="Arial"/>
          <w:sz w:val="22"/>
          <w:szCs w:val="22"/>
        </w:rPr>
        <w:t xml:space="preserve">zejména </w:t>
      </w:r>
      <w:r w:rsidRPr="00E34CD2">
        <w:rPr>
          <w:rFonts w:asciiTheme="minorHAnsi" w:hAnsiTheme="minorHAnsi" w:cs="Arial"/>
          <w:sz w:val="22"/>
          <w:szCs w:val="22"/>
        </w:rPr>
        <w:t xml:space="preserve">shrnuje činnosti </w:t>
      </w:r>
      <w:r w:rsidR="00B6452B" w:rsidRPr="00E34CD2">
        <w:rPr>
          <w:rFonts w:asciiTheme="minorHAnsi" w:hAnsiTheme="minorHAnsi" w:cs="Arial"/>
          <w:sz w:val="22"/>
          <w:szCs w:val="22"/>
        </w:rPr>
        <w:t>vykonané při</w:t>
      </w:r>
      <w:r w:rsidRPr="00E34CD2">
        <w:rPr>
          <w:rFonts w:asciiTheme="minorHAnsi" w:hAnsiTheme="minorHAnsi" w:cs="Arial"/>
          <w:sz w:val="22"/>
          <w:szCs w:val="22"/>
        </w:rPr>
        <w:t> realizací projektu</w:t>
      </w:r>
      <w:r w:rsidR="00B6452B" w:rsidRPr="00E34CD2">
        <w:rPr>
          <w:rFonts w:asciiTheme="minorHAnsi" w:hAnsiTheme="minorHAnsi" w:cs="Arial"/>
          <w:sz w:val="22"/>
          <w:szCs w:val="22"/>
        </w:rPr>
        <w:t xml:space="preserve"> a z jeho prostředků</w:t>
      </w:r>
      <w:r w:rsidRPr="00E34CD2">
        <w:rPr>
          <w:rFonts w:asciiTheme="minorHAnsi" w:hAnsiTheme="minorHAnsi" w:cs="Arial"/>
          <w:sz w:val="22"/>
          <w:szCs w:val="22"/>
        </w:rPr>
        <w:t xml:space="preserve">, informuje o splnění cílů projektu, včetně věcných i finančních závazků stanovených smlouvou, a o dosažených výsledcích projektu. </w:t>
      </w:r>
    </w:p>
    <w:p w:rsidR="00432B4A" w:rsidRPr="00E34CD2" w:rsidRDefault="00432B4A" w:rsidP="0092724E">
      <w:pPr>
        <w:numPr>
          <w:ilvl w:val="0"/>
          <w:numId w:val="28"/>
        </w:numPr>
        <w:suppressAutoHyphens/>
        <w:spacing w:before="60" w:after="60"/>
        <w:ind w:right="-284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 xml:space="preserve">Zprávu podepisuje řešitel a </w:t>
      </w:r>
      <w:r w:rsidR="00BA67DD" w:rsidRPr="00E34CD2">
        <w:rPr>
          <w:rFonts w:asciiTheme="minorHAnsi" w:hAnsiTheme="minorHAnsi" w:cs="Arial"/>
          <w:sz w:val="22"/>
          <w:szCs w:val="22"/>
        </w:rPr>
        <w:t>stvrzuje</w:t>
      </w:r>
      <w:r w:rsidRPr="00E34CD2">
        <w:rPr>
          <w:rFonts w:asciiTheme="minorHAnsi" w:hAnsiTheme="minorHAnsi" w:cs="Arial"/>
          <w:sz w:val="22"/>
          <w:szCs w:val="22"/>
        </w:rPr>
        <w:t xml:space="preserve"> příjemce</w:t>
      </w:r>
      <w:r w:rsidR="00F1332B" w:rsidRPr="00E34CD2">
        <w:rPr>
          <w:rFonts w:asciiTheme="minorHAnsi" w:hAnsiTheme="minorHAnsi" w:cs="Arial"/>
          <w:sz w:val="22"/>
          <w:szCs w:val="22"/>
        </w:rPr>
        <w:t>, nejlépe elektronicky</w:t>
      </w:r>
      <w:r w:rsidR="00D53C3E" w:rsidRPr="00E34CD2">
        <w:rPr>
          <w:rFonts w:asciiTheme="minorHAnsi" w:hAnsiTheme="minorHAnsi" w:cs="Arial"/>
          <w:sz w:val="22"/>
          <w:szCs w:val="22"/>
        </w:rPr>
        <w:t>.</w:t>
      </w:r>
      <w:r w:rsidRPr="00E34CD2">
        <w:rPr>
          <w:rFonts w:asciiTheme="minorHAnsi" w:hAnsiTheme="minorHAnsi" w:cs="Arial"/>
          <w:sz w:val="22"/>
          <w:szCs w:val="22"/>
        </w:rPr>
        <w:t xml:space="preserve"> </w:t>
      </w:r>
    </w:p>
    <w:p w:rsidR="00432B4A" w:rsidRPr="00E34CD2" w:rsidRDefault="00432B4A" w:rsidP="0092724E">
      <w:pPr>
        <w:numPr>
          <w:ilvl w:val="0"/>
          <w:numId w:val="28"/>
        </w:numPr>
        <w:suppressAutoHyphens/>
        <w:spacing w:before="60" w:after="60"/>
        <w:ind w:right="-284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ab/>
        <w:t xml:space="preserve">Zpráva se předkládá poskytovateli </w:t>
      </w:r>
      <w:r w:rsidR="00BA67DD" w:rsidRPr="00E34CD2">
        <w:rPr>
          <w:rFonts w:asciiTheme="minorHAnsi" w:hAnsiTheme="minorHAnsi" w:cs="Arial"/>
          <w:sz w:val="22"/>
          <w:szCs w:val="22"/>
        </w:rPr>
        <w:t xml:space="preserve">zpracovaná elektronicky </w:t>
      </w:r>
      <w:r w:rsidRPr="00E34CD2">
        <w:rPr>
          <w:rFonts w:asciiTheme="minorHAnsi" w:hAnsiTheme="minorHAnsi" w:cs="Arial"/>
          <w:sz w:val="22"/>
          <w:szCs w:val="22"/>
        </w:rPr>
        <w:t>na příslušných formulářích</w:t>
      </w:r>
      <w:r w:rsidR="00BA67DD" w:rsidRPr="00E34CD2">
        <w:rPr>
          <w:rFonts w:asciiTheme="minorHAnsi" w:hAnsiTheme="minorHAnsi" w:cs="Arial"/>
          <w:sz w:val="22"/>
          <w:szCs w:val="22"/>
        </w:rPr>
        <w:t>, které jsou k dispozici v datovém úložišti programu LR (</w:t>
      </w:r>
      <w:hyperlink r:id="rId11" w:history="1">
        <w:r w:rsidR="00BA67DD" w:rsidRPr="00E34CD2">
          <w:rPr>
            <w:rStyle w:val="Hypertextovodkaz"/>
            <w:rFonts w:asciiTheme="minorHAnsi" w:hAnsiTheme="minorHAnsi" w:cs="Arial"/>
            <w:sz w:val="22"/>
            <w:szCs w:val="22"/>
          </w:rPr>
          <w:t>https://vesvav.msmt.cz</w:t>
        </w:r>
      </w:hyperlink>
      <w:r w:rsidR="00BA67DD" w:rsidRPr="00E34CD2">
        <w:rPr>
          <w:rFonts w:asciiTheme="minorHAnsi" w:hAnsiTheme="minorHAnsi" w:cs="Arial"/>
          <w:sz w:val="22"/>
          <w:szCs w:val="22"/>
        </w:rPr>
        <w:t>)</w:t>
      </w:r>
      <w:r w:rsidR="003A1730" w:rsidRPr="00E34CD2">
        <w:rPr>
          <w:rFonts w:asciiTheme="minorHAnsi" w:hAnsiTheme="minorHAnsi" w:cs="Arial"/>
          <w:sz w:val="22"/>
          <w:szCs w:val="22"/>
        </w:rPr>
        <w:t>,</w:t>
      </w:r>
      <w:r w:rsidR="00BA67DD" w:rsidRPr="00E34CD2">
        <w:rPr>
          <w:rFonts w:asciiTheme="minorHAnsi" w:hAnsiTheme="minorHAnsi" w:cs="Arial"/>
          <w:sz w:val="22"/>
          <w:szCs w:val="22"/>
        </w:rPr>
        <w:t xml:space="preserve"> a to datovou schránkou</w:t>
      </w:r>
      <w:r w:rsidRPr="00E34CD2">
        <w:rPr>
          <w:rFonts w:asciiTheme="minorHAnsi" w:hAnsiTheme="minorHAnsi" w:cs="Arial"/>
          <w:sz w:val="22"/>
          <w:szCs w:val="22"/>
        </w:rPr>
        <w:t>.</w:t>
      </w:r>
    </w:p>
    <w:p w:rsidR="00432B4A" w:rsidRPr="00E34CD2" w:rsidRDefault="00BA67DD" w:rsidP="0092724E">
      <w:pPr>
        <w:numPr>
          <w:ilvl w:val="0"/>
          <w:numId w:val="28"/>
        </w:numPr>
        <w:suppressAutoHyphens/>
        <w:spacing w:before="60" w:after="60"/>
        <w:ind w:right="-284"/>
        <w:jc w:val="both"/>
        <w:rPr>
          <w:rFonts w:asciiTheme="minorHAnsi" w:hAnsiTheme="minorHAnsi" w:cs="Arial"/>
          <w:sz w:val="22"/>
          <w:szCs w:val="22"/>
        </w:rPr>
      </w:pPr>
      <w:r w:rsidRPr="00E34CD2">
        <w:rPr>
          <w:rFonts w:asciiTheme="minorHAnsi" w:hAnsiTheme="minorHAnsi" w:cs="Arial"/>
          <w:sz w:val="22"/>
          <w:szCs w:val="22"/>
        </w:rPr>
        <w:t>Závěrečná z</w:t>
      </w:r>
      <w:r w:rsidR="00432B4A" w:rsidRPr="00E34CD2">
        <w:rPr>
          <w:rFonts w:asciiTheme="minorHAnsi" w:hAnsiTheme="minorHAnsi" w:cs="Arial"/>
          <w:sz w:val="22"/>
          <w:szCs w:val="22"/>
        </w:rPr>
        <w:t>práva je oponovaným dokumentem při oponentuře.</w:t>
      </w:r>
    </w:p>
    <w:sectPr w:rsidR="00432B4A" w:rsidRPr="00E34C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/>
      <w:pgMar w:top="1134" w:right="1134" w:bottom="1134" w:left="1134" w:header="454" w:footer="284" w:gutter="0"/>
      <w:cols w:space="709" w:equalWidth="0">
        <w:col w:w="93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1C0" w:rsidRDefault="00A421C0">
      <w:r>
        <w:separator/>
      </w:r>
    </w:p>
  </w:endnote>
  <w:endnote w:type="continuationSeparator" w:id="0">
    <w:p w:rsidR="00A421C0" w:rsidRDefault="00A42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F7" w:rsidRDefault="002657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B4A" w:rsidRPr="002657F7" w:rsidRDefault="00432B4A">
    <w:pPr>
      <w:pStyle w:val="Zpat"/>
      <w:framePr w:wrap="auto" w:vAnchor="text" w:hAnchor="margin" w:xAlign="center" w:y="1"/>
      <w:rPr>
        <w:rStyle w:val="slostrnky"/>
        <w:rFonts w:asciiTheme="minorHAnsi" w:hAnsiTheme="minorHAnsi"/>
        <w:sz w:val="20"/>
        <w:szCs w:val="20"/>
      </w:rPr>
    </w:pPr>
    <w:r w:rsidRPr="002657F7">
      <w:rPr>
        <w:rStyle w:val="slostrnky"/>
        <w:rFonts w:asciiTheme="minorHAnsi" w:hAnsiTheme="minorHAnsi"/>
        <w:sz w:val="20"/>
        <w:szCs w:val="20"/>
      </w:rPr>
      <w:fldChar w:fldCharType="begin"/>
    </w:r>
    <w:r w:rsidRPr="002657F7">
      <w:rPr>
        <w:rStyle w:val="slostrnky"/>
        <w:rFonts w:asciiTheme="minorHAnsi" w:hAnsiTheme="minorHAnsi"/>
        <w:sz w:val="20"/>
        <w:szCs w:val="20"/>
      </w:rPr>
      <w:instrText xml:space="preserve">PAGE  </w:instrText>
    </w:r>
    <w:r w:rsidRPr="002657F7">
      <w:rPr>
        <w:rStyle w:val="slostrnky"/>
        <w:rFonts w:asciiTheme="minorHAnsi" w:hAnsiTheme="minorHAnsi"/>
        <w:sz w:val="20"/>
        <w:szCs w:val="20"/>
      </w:rPr>
      <w:fldChar w:fldCharType="separate"/>
    </w:r>
    <w:r w:rsidR="00EB1592">
      <w:rPr>
        <w:rStyle w:val="slostrnky"/>
        <w:rFonts w:asciiTheme="minorHAnsi" w:hAnsiTheme="minorHAnsi"/>
        <w:noProof/>
        <w:sz w:val="20"/>
        <w:szCs w:val="20"/>
      </w:rPr>
      <w:t>1</w:t>
    </w:r>
    <w:r w:rsidRPr="002657F7">
      <w:rPr>
        <w:rStyle w:val="slostrnky"/>
        <w:rFonts w:asciiTheme="minorHAnsi" w:hAnsiTheme="minorHAnsi"/>
        <w:sz w:val="20"/>
        <w:szCs w:val="20"/>
      </w:rPr>
      <w:fldChar w:fldCharType="end"/>
    </w:r>
  </w:p>
  <w:p w:rsidR="00432B4A" w:rsidRDefault="00432B4A">
    <w:pPr>
      <w:pStyle w:val="Zpat"/>
      <w:rPr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F7" w:rsidRDefault="002657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1C0" w:rsidRDefault="00A421C0">
      <w:r>
        <w:separator/>
      </w:r>
    </w:p>
  </w:footnote>
  <w:footnote w:type="continuationSeparator" w:id="0">
    <w:p w:rsidR="00A421C0" w:rsidRDefault="00A421C0">
      <w:r>
        <w:continuationSeparator/>
      </w:r>
    </w:p>
  </w:footnote>
  <w:footnote w:id="1">
    <w:p w:rsidR="00847E53" w:rsidRDefault="00432B4A" w:rsidP="00BA67DD">
      <w:pPr>
        <w:pStyle w:val="Textpoznpodarou"/>
        <w:spacing w:before="60" w:after="60"/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Např. zákon č. 148/1998 Sb., o ochraně utajovaných skutečností a o změně některých zákonů.</w:t>
      </w:r>
    </w:p>
  </w:footnote>
  <w:footnote w:id="2">
    <w:p w:rsidR="00847E53" w:rsidRDefault="00432B4A" w:rsidP="00BA67DD">
      <w:pPr>
        <w:spacing w:before="60" w:after="60"/>
        <w:jc w:val="both"/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Např. zákon č. 218/2000 Sb., o rozpočtových pravidlech a o změně některých souvisejících zákonů (rozpočtová pravidla), zákon č. 130/2002 Sb., o podpoře výzkumu a vývoje z veřejných prostředků a o změně některých souvisejících zákonů (záko</w:t>
      </w:r>
      <w:r w:rsidR="00950467">
        <w:rPr>
          <w:sz w:val="16"/>
          <w:szCs w:val="16"/>
        </w:rPr>
        <w:t>n o podpoře výzkumu a vývoje)</w:t>
      </w:r>
      <w:r>
        <w:rPr>
          <w:sz w:val="16"/>
          <w:szCs w:val="16"/>
        </w:rPr>
        <w:t>.</w:t>
      </w:r>
    </w:p>
  </w:footnote>
  <w:footnote w:id="3">
    <w:p w:rsidR="00847E53" w:rsidRDefault="00432B4A" w:rsidP="00BA67DD">
      <w:pPr>
        <w:pStyle w:val="Textpoznpodarou"/>
        <w:spacing w:before="60" w:after="60"/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Zákon č. 563/1991 Sb., o účetnictví.</w:t>
      </w:r>
    </w:p>
  </w:footnote>
  <w:footnote w:id="4">
    <w:p w:rsidR="00847E53" w:rsidRDefault="00432B4A" w:rsidP="00BA67DD">
      <w:pPr>
        <w:pStyle w:val="Textpoznpodarou"/>
        <w:spacing w:before="60" w:after="60"/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Zákon č. </w:t>
      </w:r>
      <w:r w:rsidR="009264C9">
        <w:rPr>
          <w:sz w:val="16"/>
          <w:szCs w:val="16"/>
        </w:rPr>
        <w:t>262</w:t>
      </w:r>
      <w:r>
        <w:rPr>
          <w:sz w:val="16"/>
          <w:szCs w:val="16"/>
        </w:rPr>
        <w:t>/</w:t>
      </w:r>
      <w:r w:rsidR="009264C9">
        <w:rPr>
          <w:sz w:val="16"/>
          <w:szCs w:val="16"/>
        </w:rPr>
        <w:t>2006</w:t>
      </w:r>
      <w:r>
        <w:rPr>
          <w:sz w:val="16"/>
          <w:szCs w:val="16"/>
        </w:rPr>
        <w:t xml:space="preserve"> Sb., Zákoník práce (§ 232 – 239b). </w:t>
      </w:r>
    </w:p>
  </w:footnote>
  <w:footnote w:id="5">
    <w:p w:rsidR="00847E53" w:rsidRPr="009264C9" w:rsidRDefault="00432B4A" w:rsidP="00BA67DD">
      <w:pPr>
        <w:pStyle w:val="Textpoznpodarou"/>
        <w:spacing w:before="60" w:after="60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9264C9">
        <w:rPr>
          <w:sz w:val="16"/>
          <w:szCs w:val="16"/>
        </w:rPr>
        <w:t xml:space="preserve">Vyhláška č. </w:t>
      </w:r>
      <w:r w:rsidR="009264C9" w:rsidRPr="009264C9">
        <w:rPr>
          <w:sz w:val="16"/>
          <w:szCs w:val="16"/>
        </w:rPr>
        <w:t>440/2016</w:t>
      </w:r>
      <w:r w:rsidR="009264C9">
        <w:rPr>
          <w:sz w:val="16"/>
          <w:szCs w:val="16"/>
        </w:rPr>
        <w:t>(</w:t>
      </w:r>
      <w:r w:rsidR="009264C9" w:rsidRPr="009264C9">
        <w:rPr>
          <w:sz w:val="16"/>
          <w:szCs w:val="16"/>
        </w:rPr>
        <w:t>k Zákoníku práce</w:t>
      </w:r>
      <w:r w:rsidR="009264C9">
        <w:rPr>
          <w:sz w:val="16"/>
          <w:szCs w:val="16"/>
        </w:rPr>
        <w:t xml:space="preserve">), </w:t>
      </w:r>
      <w:r w:rsidR="009264C9" w:rsidRPr="009264C9">
        <w:rPr>
          <w:sz w:val="16"/>
          <w:szCs w:val="16"/>
        </w:rPr>
        <w:t>o změně sazby základní náhrady za používání silničních motorových vozidel a stravného a o stanovení průměrné ceny pohonných hmot pro účely poskytování cestovních náhrad</w:t>
      </w:r>
      <w:r w:rsidR="009264C9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F7" w:rsidRDefault="002657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B4A" w:rsidRDefault="00432B4A">
    <w:pPr>
      <w:pStyle w:val="Zhlav"/>
      <w:tabs>
        <w:tab w:val="clear" w:pos="9072"/>
        <w:tab w:val="right" w:pos="9639"/>
      </w:tabs>
      <w:rPr>
        <w:rFonts w:ascii="Arial" w:hAnsi="Arial" w:cs="Arial"/>
        <w:b/>
        <w:bCs/>
        <w:i/>
        <w:iCs/>
      </w:rPr>
    </w:pPr>
    <w:r>
      <w:rPr>
        <w:rFonts w:ascii="Arial" w:hAnsi="Arial" w:cs="Arial"/>
        <w:b/>
        <w:bCs/>
        <w:i/>
        <w:iCs/>
      </w:rPr>
      <w:t>Ministerstvo školství, mládeže a tělovýchovy</w:t>
    </w:r>
  </w:p>
  <w:p w:rsidR="00432B4A" w:rsidRDefault="003A3BBA">
    <w:pPr>
      <w:pStyle w:val="Zhlav"/>
      <w:tabs>
        <w:tab w:val="clear" w:pos="9072"/>
        <w:tab w:val="right" w:pos="9639"/>
      </w:tabs>
      <w:rPr>
        <w:rFonts w:ascii="Arial" w:hAnsi="Arial" w:cs="Arial"/>
        <w:b/>
        <w:bCs/>
        <w:i/>
        <w:iCs/>
      </w:rPr>
    </w:pPr>
    <w:r>
      <w:rPr>
        <w:rFonts w:ascii="Arial" w:hAnsi="Arial" w:cs="Arial"/>
        <w:i/>
        <w:iCs/>
        <w:sz w:val="16"/>
        <w:szCs w:val="16"/>
      </w:rPr>
      <w:t>321</w:t>
    </w:r>
    <w:r w:rsidR="00432B4A">
      <w:rPr>
        <w:rFonts w:ascii="Arial" w:hAnsi="Arial" w:cs="Arial"/>
        <w:i/>
        <w:iCs/>
        <w:sz w:val="16"/>
        <w:szCs w:val="16"/>
      </w:rPr>
      <w:t xml:space="preserve"> </w:t>
    </w:r>
    <w:r>
      <w:rPr>
        <w:rFonts w:ascii="Arial" w:hAnsi="Arial" w:cs="Arial"/>
        <w:i/>
        <w:iCs/>
        <w:sz w:val="16"/>
        <w:szCs w:val="16"/>
      </w:rPr>
      <w:t>– oddělení podpory</w:t>
    </w:r>
    <w:r w:rsidR="00432B4A">
      <w:rPr>
        <w:rFonts w:ascii="Arial" w:hAnsi="Arial" w:cs="Arial"/>
        <w:i/>
        <w:iCs/>
        <w:sz w:val="16"/>
        <w:szCs w:val="16"/>
      </w:rPr>
      <w:t xml:space="preserve"> výzkumu a vývoje</w:t>
    </w:r>
  </w:p>
  <w:p w:rsidR="00432B4A" w:rsidRDefault="00432B4A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7797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7F7" w:rsidRDefault="002657F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83E216C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 w15:restartNumberingAfterBreak="0">
    <w:nsid w:val="035923D1"/>
    <w:multiLevelType w:val="singleLevel"/>
    <w:tmpl w:val="3CAE677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3" w15:restartNumberingAfterBreak="0">
    <w:nsid w:val="04316DB8"/>
    <w:multiLevelType w:val="singleLevel"/>
    <w:tmpl w:val="806658C8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4" w15:restartNumberingAfterBreak="0">
    <w:nsid w:val="04EF6A4D"/>
    <w:multiLevelType w:val="singleLevel"/>
    <w:tmpl w:val="AECA11C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5" w15:restartNumberingAfterBreak="0">
    <w:nsid w:val="0BED3ABF"/>
    <w:multiLevelType w:val="singleLevel"/>
    <w:tmpl w:val="AC4C5D0C"/>
    <w:lvl w:ilvl="0">
      <w:start w:val="1"/>
      <w:numFmt w:val="decimal"/>
      <w:lvlText w:val="3.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6" w15:restartNumberingAfterBreak="0">
    <w:nsid w:val="0F60192C"/>
    <w:multiLevelType w:val="singleLevel"/>
    <w:tmpl w:val="3CAE677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7" w15:restartNumberingAfterBreak="0">
    <w:nsid w:val="1CA65582"/>
    <w:multiLevelType w:val="singleLevel"/>
    <w:tmpl w:val="168C49CC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287F38B7"/>
    <w:multiLevelType w:val="singleLevel"/>
    <w:tmpl w:val="27DC6C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9" w15:restartNumberingAfterBreak="0">
    <w:nsid w:val="2B8019B9"/>
    <w:multiLevelType w:val="singleLevel"/>
    <w:tmpl w:val="23A2871C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</w:abstractNum>
  <w:abstractNum w:abstractNumId="10" w15:restartNumberingAfterBreak="0">
    <w:nsid w:val="2D2811AF"/>
    <w:multiLevelType w:val="singleLevel"/>
    <w:tmpl w:val="3CAE677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11" w15:restartNumberingAfterBreak="0">
    <w:nsid w:val="2D5C6C3B"/>
    <w:multiLevelType w:val="singleLevel"/>
    <w:tmpl w:val="27DC6C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2" w15:restartNumberingAfterBreak="0">
    <w:nsid w:val="2F045C5B"/>
    <w:multiLevelType w:val="singleLevel"/>
    <w:tmpl w:val="3CAE677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13" w15:restartNumberingAfterBreak="0">
    <w:nsid w:val="2F273000"/>
    <w:multiLevelType w:val="singleLevel"/>
    <w:tmpl w:val="3CAE677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14" w15:restartNumberingAfterBreak="0">
    <w:nsid w:val="362A1659"/>
    <w:multiLevelType w:val="singleLevel"/>
    <w:tmpl w:val="27DC6CDC"/>
    <w:lvl w:ilvl="0">
      <w:start w:val="1"/>
      <w:numFmt w:val="decimal"/>
      <w:lvlText w:val="%1."/>
      <w:legacy w:legacy="1" w:legacySpace="0" w:legacyIndent="283"/>
      <w:lvlJc w:val="left"/>
      <w:rPr>
        <w:rFonts w:cs="Times New Roman"/>
      </w:rPr>
    </w:lvl>
  </w:abstractNum>
  <w:abstractNum w:abstractNumId="15" w15:restartNumberingAfterBreak="0">
    <w:nsid w:val="378063CE"/>
    <w:multiLevelType w:val="singleLevel"/>
    <w:tmpl w:val="27DC6C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6" w15:restartNumberingAfterBreak="0">
    <w:nsid w:val="3B125048"/>
    <w:multiLevelType w:val="singleLevel"/>
    <w:tmpl w:val="3CAE677C"/>
    <w:lvl w:ilvl="0">
      <w:start w:val="1"/>
      <w:numFmt w:val="lowerLetter"/>
      <w:lvlText w:val="%1)"/>
      <w:legacy w:legacy="1" w:legacySpace="0" w:legacyIndent="283"/>
      <w:lvlJc w:val="left"/>
      <w:rPr>
        <w:rFonts w:cs="Times New Roman"/>
      </w:rPr>
    </w:lvl>
  </w:abstractNum>
  <w:abstractNum w:abstractNumId="17" w15:restartNumberingAfterBreak="0">
    <w:nsid w:val="3BFE4530"/>
    <w:multiLevelType w:val="hybridMultilevel"/>
    <w:tmpl w:val="0754781E"/>
    <w:lvl w:ilvl="0" w:tplc="040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41650F79"/>
    <w:multiLevelType w:val="singleLevel"/>
    <w:tmpl w:val="3CAE677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19" w15:restartNumberingAfterBreak="0">
    <w:nsid w:val="48C1556D"/>
    <w:multiLevelType w:val="singleLevel"/>
    <w:tmpl w:val="3CAE677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20" w15:restartNumberingAfterBreak="0">
    <w:nsid w:val="498829DC"/>
    <w:multiLevelType w:val="singleLevel"/>
    <w:tmpl w:val="27DC6CD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1" w15:restartNumberingAfterBreak="0">
    <w:nsid w:val="49F924A3"/>
    <w:multiLevelType w:val="singleLevel"/>
    <w:tmpl w:val="3CAE677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22" w15:restartNumberingAfterBreak="0">
    <w:nsid w:val="581F75EA"/>
    <w:multiLevelType w:val="singleLevel"/>
    <w:tmpl w:val="A7004994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595B4363"/>
    <w:multiLevelType w:val="singleLevel"/>
    <w:tmpl w:val="27DC6CDC"/>
    <w:lvl w:ilvl="0">
      <w:start w:val="1"/>
      <w:numFmt w:val="decimal"/>
      <w:lvlText w:val="%1."/>
      <w:legacy w:legacy="1" w:legacySpace="0" w:legacyIndent="283"/>
      <w:lvlJc w:val="left"/>
      <w:rPr>
        <w:rFonts w:cs="Times New Roman"/>
      </w:rPr>
    </w:lvl>
  </w:abstractNum>
  <w:abstractNum w:abstractNumId="24" w15:restartNumberingAfterBreak="0">
    <w:nsid w:val="5A844613"/>
    <w:multiLevelType w:val="singleLevel"/>
    <w:tmpl w:val="0E60B75E"/>
    <w:lvl w:ilvl="0">
      <w:start w:val="9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25" w15:restartNumberingAfterBreak="0">
    <w:nsid w:val="5F550CB5"/>
    <w:multiLevelType w:val="singleLevel"/>
    <w:tmpl w:val="6916D5E2"/>
    <w:lvl w:ilvl="0">
      <w:start w:val="1"/>
      <w:numFmt w:val="decimal"/>
      <w:lvlText w:val="6.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26" w15:restartNumberingAfterBreak="0">
    <w:nsid w:val="61F1239E"/>
    <w:multiLevelType w:val="singleLevel"/>
    <w:tmpl w:val="3170DF0C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27" w15:restartNumberingAfterBreak="0">
    <w:nsid w:val="64A85DD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 w15:restartNumberingAfterBreak="0">
    <w:nsid w:val="6FB96D6E"/>
    <w:multiLevelType w:val="singleLevel"/>
    <w:tmpl w:val="040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4F232D6"/>
    <w:multiLevelType w:val="hybridMultilevel"/>
    <w:tmpl w:val="FD7077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6639F"/>
    <w:multiLevelType w:val="singleLevel"/>
    <w:tmpl w:val="1DFE08F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num w:numId="1">
    <w:abstractNumId w:val="0"/>
  </w:num>
  <w:num w:numId="2">
    <w:abstractNumId w:val="10"/>
  </w:num>
  <w:num w:numId="3">
    <w:abstractNumId w:val="21"/>
  </w:num>
  <w:num w:numId="4">
    <w:abstractNumId w:val="8"/>
  </w:num>
  <w:num w:numId="5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568" w:hanging="284"/>
        </w:pPr>
        <w:rPr>
          <w:rFonts w:ascii="Symbol" w:hAnsi="Symbol" w:hint="default"/>
        </w:rPr>
      </w:lvl>
    </w:lvlOverride>
  </w:num>
  <w:num w:numId="7">
    <w:abstractNumId w:val="22"/>
  </w:num>
  <w:num w:numId="8">
    <w:abstractNumId w:val="15"/>
  </w:num>
  <w:num w:numId="9">
    <w:abstractNumId w:val="6"/>
  </w:num>
  <w:num w:numId="10">
    <w:abstractNumId w:val="2"/>
  </w:num>
  <w:num w:numId="11">
    <w:abstractNumId w:val="19"/>
  </w:num>
  <w:num w:numId="12">
    <w:abstractNumId w:val="12"/>
  </w:num>
  <w:num w:numId="13">
    <w:abstractNumId w:val="18"/>
  </w:num>
  <w:num w:numId="14">
    <w:abstractNumId w:val="26"/>
  </w:num>
  <w:num w:numId="15">
    <w:abstractNumId w:val="14"/>
  </w:num>
  <w:num w:numId="16">
    <w:abstractNumId w:val="23"/>
  </w:num>
  <w:num w:numId="17">
    <w:abstractNumId w:val="16"/>
  </w:num>
  <w:num w:numId="18">
    <w:abstractNumId w:val="11"/>
  </w:num>
  <w:num w:numId="19">
    <w:abstractNumId w:val="20"/>
  </w:num>
  <w:num w:numId="20">
    <w:abstractNumId w:val="5"/>
  </w:num>
  <w:num w:numId="21">
    <w:abstractNumId w:val="27"/>
  </w:num>
  <w:num w:numId="22">
    <w:abstractNumId w:val="0"/>
  </w:num>
  <w:num w:numId="23">
    <w:abstractNumId w:val="24"/>
  </w:num>
  <w:num w:numId="24">
    <w:abstractNumId w:val="7"/>
  </w:num>
  <w:num w:numId="25">
    <w:abstractNumId w:val="13"/>
  </w:num>
  <w:num w:numId="26">
    <w:abstractNumId w:val="9"/>
  </w:num>
  <w:num w:numId="27">
    <w:abstractNumId w:val="0"/>
  </w:num>
  <w:num w:numId="28">
    <w:abstractNumId w:val="25"/>
  </w:num>
  <w:num w:numId="29">
    <w:abstractNumId w:val="0"/>
  </w:num>
  <w:num w:numId="30">
    <w:abstractNumId w:val="0"/>
  </w:num>
  <w:num w:numId="31">
    <w:abstractNumId w:val="28"/>
  </w:num>
  <w:num w:numId="32">
    <w:abstractNumId w:val="3"/>
  </w:num>
  <w:num w:numId="33">
    <w:abstractNumId w:val="4"/>
  </w:num>
  <w:num w:numId="34">
    <w:abstractNumId w:val="30"/>
  </w:num>
  <w:num w:numId="35">
    <w:abstractNumId w:val="29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73F"/>
    <w:rsid w:val="00002468"/>
    <w:rsid w:val="00032D28"/>
    <w:rsid w:val="00070D25"/>
    <w:rsid w:val="00080892"/>
    <w:rsid w:val="00081971"/>
    <w:rsid w:val="000B468A"/>
    <w:rsid w:val="000E1FF5"/>
    <w:rsid w:val="00196D8B"/>
    <w:rsid w:val="0020517C"/>
    <w:rsid w:val="00264A4E"/>
    <w:rsid w:val="002657F7"/>
    <w:rsid w:val="00277078"/>
    <w:rsid w:val="00331EFA"/>
    <w:rsid w:val="003A1730"/>
    <w:rsid w:val="003A3BBA"/>
    <w:rsid w:val="003E21FC"/>
    <w:rsid w:val="00401A07"/>
    <w:rsid w:val="00432B4A"/>
    <w:rsid w:val="00457249"/>
    <w:rsid w:val="005F5330"/>
    <w:rsid w:val="0072467B"/>
    <w:rsid w:val="00791B36"/>
    <w:rsid w:val="007A529F"/>
    <w:rsid w:val="007C0E42"/>
    <w:rsid w:val="007C7BE2"/>
    <w:rsid w:val="00804769"/>
    <w:rsid w:val="0081324A"/>
    <w:rsid w:val="00825F22"/>
    <w:rsid w:val="00847E53"/>
    <w:rsid w:val="009264C9"/>
    <w:rsid w:val="0092724E"/>
    <w:rsid w:val="00950467"/>
    <w:rsid w:val="009749F8"/>
    <w:rsid w:val="00A421C0"/>
    <w:rsid w:val="00B0155C"/>
    <w:rsid w:val="00B6452B"/>
    <w:rsid w:val="00B810AA"/>
    <w:rsid w:val="00BA67DD"/>
    <w:rsid w:val="00BF34EE"/>
    <w:rsid w:val="00C137AB"/>
    <w:rsid w:val="00C4573F"/>
    <w:rsid w:val="00C512AB"/>
    <w:rsid w:val="00C523B3"/>
    <w:rsid w:val="00CC7A1D"/>
    <w:rsid w:val="00D2461C"/>
    <w:rsid w:val="00D430A8"/>
    <w:rsid w:val="00D53C3E"/>
    <w:rsid w:val="00E34CD2"/>
    <w:rsid w:val="00E755DC"/>
    <w:rsid w:val="00E87AE8"/>
    <w:rsid w:val="00EB1592"/>
    <w:rsid w:val="00EC385E"/>
    <w:rsid w:val="00EE2B30"/>
    <w:rsid w:val="00F1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AAA15E-382D-4BAE-8A90-E46E9D63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numPr>
        <w:numId w:val="30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numPr>
        <w:ilvl w:val="1"/>
        <w:numId w:val="30"/>
      </w:numPr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numPr>
        <w:ilvl w:val="2"/>
        <w:numId w:val="30"/>
      </w:numPr>
      <w:spacing w:before="240" w:after="60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numPr>
        <w:ilvl w:val="3"/>
        <w:numId w:val="30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pPr>
      <w:numPr>
        <w:ilvl w:val="4"/>
        <w:numId w:val="30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pPr>
      <w:numPr>
        <w:ilvl w:val="5"/>
        <w:numId w:val="30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numPr>
        <w:ilvl w:val="6"/>
        <w:numId w:val="30"/>
      </w:numPr>
      <w:spacing w:before="240" w:after="60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link w:val="Nadpis8Char"/>
    <w:uiPriority w:val="99"/>
    <w:qFormat/>
    <w:pPr>
      <w:numPr>
        <w:ilvl w:val="7"/>
        <w:numId w:val="30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pPr>
      <w:numPr>
        <w:ilvl w:val="8"/>
        <w:numId w:val="30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</w:rPr>
  </w:style>
  <w:style w:type="character" w:styleId="Znakapoznpodarou">
    <w:name w:val="footnote reference"/>
    <w:basedOn w:val="Standardnpsmoodstavce"/>
    <w:uiPriority w:val="99"/>
    <w:semiHidden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Pr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rPr>
      <w:sz w:val="20"/>
      <w:szCs w:val="20"/>
    </w:rPr>
  </w:style>
  <w:style w:type="paragraph" w:styleId="Obsah2">
    <w:name w:val="toc 2"/>
    <w:basedOn w:val="Normln"/>
    <w:next w:val="Normln"/>
    <w:autoRedefine/>
    <w:uiPriority w:val="99"/>
    <w:semiHidden/>
    <w:pPr>
      <w:tabs>
        <w:tab w:val="right" w:pos="9639"/>
      </w:tabs>
      <w:spacing w:before="240"/>
    </w:pPr>
    <w:rPr>
      <w:b/>
      <w:bCs/>
    </w:rPr>
  </w:style>
  <w:style w:type="paragraph" w:styleId="Obsah1">
    <w:name w:val="toc 1"/>
    <w:basedOn w:val="Normln"/>
    <w:next w:val="Normln"/>
    <w:autoRedefine/>
    <w:uiPriority w:val="99"/>
    <w:semiHidden/>
    <w:pPr>
      <w:tabs>
        <w:tab w:val="right" w:pos="9639"/>
      </w:tabs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99"/>
    <w:semiHidden/>
    <w:pPr>
      <w:tabs>
        <w:tab w:val="right" w:pos="9639"/>
      </w:tabs>
      <w:ind w:left="200"/>
    </w:pPr>
  </w:style>
  <w:style w:type="paragraph" w:styleId="Obsah4">
    <w:name w:val="toc 4"/>
    <w:basedOn w:val="Normln"/>
    <w:next w:val="Normln"/>
    <w:autoRedefine/>
    <w:uiPriority w:val="99"/>
    <w:semiHidden/>
    <w:pPr>
      <w:tabs>
        <w:tab w:val="right" w:pos="9639"/>
      </w:tabs>
      <w:ind w:left="400"/>
    </w:pPr>
  </w:style>
  <w:style w:type="paragraph" w:styleId="Obsah5">
    <w:name w:val="toc 5"/>
    <w:basedOn w:val="Normln"/>
    <w:next w:val="Normln"/>
    <w:autoRedefine/>
    <w:uiPriority w:val="99"/>
    <w:semiHidden/>
    <w:pPr>
      <w:tabs>
        <w:tab w:val="right" w:pos="9639"/>
      </w:tabs>
      <w:ind w:left="600"/>
    </w:pPr>
  </w:style>
  <w:style w:type="paragraph" w:styleId="Obsah6">
    <w:name w:val="toc 6"/>
    <w:basedOn w:val="Normln"/>
    <w:next w:val="Normln"/>
    <w:autoRedefine/>
    <w:uiPriority w:val="99"/>
    <w:semiHidden/>
    <w:pPr>
      <w:tabs>
        <w:tab w:val="right" w:pos="9639"/>
      </w:tabs>
      <w:ind w:left="800"/>
    </w:pPr>
  </w:style>
  <w:style w:type="paragraph" w:styleId="Obsah7">
    <w:name w:val="toc 7"/>
    <w:basedOn w:val="Normln"/>
    <w:next w:val="Normln"/>
    <w:autoRedefine/>
    <w:uiPriority w:val="99"/>
    <w:semiHidden/>
    <w:pPr>
      <w:tabs>
        <w:tab w:val="right" w:pos="9639"/>
      </w:tabs>
      <w:ind w:left="1000"/>
    </w:pPr>
  </w:style>
  <w:style w:type="paragraph" w:styleId="Obsah8">
    <w:name w:val="toc 8"/>
    <w:basedOn w:val="Normln"/>
    <w:next w:val="Normln"/>
    <w:autoRedefine/>
    <w:uiPriority w:val="99"/>
    <w:semiHidden/>
    <w:pPr>
      <w:tabs>
        <w:tab w:val="right" w:pos="9639"/>
      </w:tabs>
      <w:ind w:left="1200"/>
    </w:pPr>
  </w:style>
  <w:style w:type="paragraph" w:styleId="Obsah9">
    <w:name w:val="toc 9"/>
    <w:basedOn w:val="Normln"/>
    <w:next w:val="Normln"/>
    <w:autoRedefine/>
    <w:uiPriority w:val="99"/>
    <w:semiHidden/>
    <w:pPr>
      <w:tabs>
        <w:tab w:val="right" w:pos="9639"/>
      </w:tabs>
      <w:ind w:left="1400"/>
    </w:pPr>
  </w:style>
  <w:style w:type="paragraph" w:styleId="Zkladntext2">
    <w:name w:val="Body Text 2"/>
    <w:basedOn w:val="Normln"/>
    <w:link w:val="Zkladntext2Char"/>
    <w:uiPriority w:val="99"/>
    <w:pPr>
      <w:tabs>
        <w:tab w:val="num" w:pos="567"/>
      </w:tabs>
      <w:ind w:left="567" w:hanging="567"/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32B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A67DD"/>
    <w:rPr>
      <w:color w:val="0563C1" w:themeColor="hyperlink"/>
      <w:u w:val="single"/>
    </w:rPr>
  </w:style>
  <w:style w:type="paragraph" w:customStyle="1" w:styleId="Standard">
    <w:name w:val="Standard"/>
    <w:rsid w:val="0072467B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4"/>
      <w:lang w:eastAsia="zh-CN"/>
    </w:rPr>
  </w:style>
  <w:style w:type="paragraph" w:customStyle="1" w:styleId="Textodstavce">
    <w:name w:val="Text odstavce"/>
    <w:basedOn w:val="Standard"/>
    <w:rsid w:val="0072467B"/>
    <w:pPr>
      <w:spacing w:before="120" w:line="264" w:lineRule="auto"/>
      <w:jc w:val="both"/>
    </w:pPr>
    <w:rPr>
      <w:rFonts w:ascii="Verdana" w:hAnsi="Verdana"/>
      <w:sz w:val="20"/>
    </w:rPr>
  </w:style>
  <w:style w:type="paragraph" w:styleId="Odstavecseseznamem">
    <w:name w:val="List Paragraph"/>
    <w:basedOn w:val="Normln"/>
    <w:uiPriority w:val="34"/>
    <w:qFormat/>
    <w:rsid w:val="0072467B"/>
    <w:pPr>
      <w:suppressAutoHyphens/>
      <w:autoSpaceDE/>
      <w:autoSpaceDN/>
      <w:ind w:left="708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svav.msmt.c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esvav.msmt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vesvav.msmt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aeiz.techlib.cz/eiz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5ADFA-A90D-4EC4-8C3A-76C831742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2304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Požadavky na oponentní řízení</vt:lpstr>
    </vt:vector>
  </TitlesOfParts>
  <Company>MSMT</Company>
  <LinksUpToDate>false</LinksUpToDate>
  <CharactersWithSpaces>15871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Požadavky na oponentní řízení</dc:title>
  <dc:subject/>
  <dc:creator>Hanke , Hakenová</dc:creator>
  <cp:keywords/>
  <dc:description/>
  <cp:lastModifiedBy>Hakenová Jana</cp:lastModifiedBy>
  <cp:revision>13</cp:revision>
  <cp:lastPrinted>2017-07-10T09:02:00Z</cp:lastPrinted>
  <dcterms:created xsi:type="dcterms:W3CDTF">2017-07-04T12:09:00Z</dcterms:created>
  <dcterms:modified xsi:type="dcterms:W3CDTF">2017-07-10T11:04:00Z</dcterms:modified>
</cp:coreProperties>
</file>