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D80" w:rsidRPr="002A0D80" w:rsidRDefault="002A0D80" w:rsidP="00825A95">
      <w:pPr>
        <w:jc w:val="both"/>
        <w:rPr>
          <w:rFonts w:ascii="Segoe UI" w:hAnsi="Segoe UI" w:cs="Segoe UI"/>
          <w:sz w:val="23"/>
          <w:szCs w:val="23"/>
          <w:lang w:eastAsia="cs-CZ"/>
        </w:rPr>
      </w:pPr>
      <w:r w:rsidRPr="002A0D80">
        <w:rPr>
          <w:lang w:eastAsia="cs-CZ"/>
        </w:rPr>
        <w:t>MŠMT dle ustanovení § 4 odst. 4 zákona č. 306/1999 Sb., o poskytování dotací soukromým školám, předškolním a školským zařízením, ve znění pozdějších předpisů, vydává každý rok normativy pro financování soukromých škol a školských zařízení. Normativy MŠMT vydává ve Věstníku ministerstva. Současně jsou tyto normativy každoročně zveřejňovány na webových stránkách MŠMT. Pro rok 2017 jsou zveřejněny na adrese </w:t>
      </w:r>
      <w:hyperlink r:id="rId4" w:tgtFrame="_blank" w:history="1">
        <w:r w:rsidRPr="002A0D80">
          <w:rPr>
            <w:color w:val="0000FF"/>
            <w:u w:val="single"/>
            <w:lang w:eastAsia="cs-CZ"/>
          </w:rPr>
          <w:t>http://www.msmt.cz/vzdelavani/skolstvi-v-cr/ekonomika-skolstvi/normativy-soukromych-skol-na-rok-2017</w:t>
        </w:r>
      </w:hyperlink>
      <w:r w:rsidRPr="002A0D80">
        <w:rPr>
          <w:lang w:eastAsia="cs-CZ"/>
        </w:rPr>
        <w:t> .</w:t>
      </w:r>
    </w:p>
    <w:p w:rsidR="002A0D80" w:rsidRPr="002A0D80" w:rsidRDefault="002A0D80" w:rsidP="00FD498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A0D80">
        <w:rPr>
          <w:rFonts w:ascii="Calibri" w:eastAsia="Times New Roman" w:hAnsi="Calibri" w:cs="Calibri"/>
          <w:color w:val="212121"/>
          <w:lang w:eastAsia="cs-CZ"/>
        </w:rPr>
        <w:t> </w:t>
      </w:r>
    </w:p>
    <w:p w:rsidR="002A0D80" w:rsidRPr="002A0D80" w:rsidRDefault="002A0D80" w:rsidP="00FD498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A0D80">
        <w:rPr>
          <w:rFonts w:ascii="Calibri" w:eastAsia="Times New Roman" w:hAnsi="Calibri" w:cs="Calibri"/>
          <w:color w:val="212121"/>
          <w:lang w:eastAsia="cs-CZ"/>
        </w:rPr>
        <w:t xml:space="preserve">Zákon č. 306/1999 Sb., ve znění pozdějších předpisů, dále definuje další podrobnosti ve financování tzv. soukromého školství. Smluvním partnerem při uzavírání smlouvy o poskytnutí dotace, či smlouvy o poskytnutí zvýšené dotace je vždy příslušný krajský úřad. </w:t>
      </w:r>
      <w:r w:rsidR="00FD498F">
        <w:rPr>
          <w:rFonts w:ascii="Calibri" w:hAnsi="Calibri" w:cs="Calibri"/>
          <w:color w:val="212121"/>
          <w:shd w:val="clear" w:color="auto" w:fill="FFFFFF"/>
        </w:rPr>
        <w:t xml:space="preserve">MŠMT nemá k dispozici údaje o počtu škol a školských zařízení, se kterými krajské úřady uzavřely smlouvu o poskytnutí základní dotaci a o zvýšené dotaci. Navíc procentní sazba základní dotace se dle § 4 odst. 5 zákona č. 306/1999 Sb. pohybuje </w:t>
      </w:r>
      <w:proofErr w:type="gramStart"/>
      <w:r w:rsidR="00FD498F">
        <w:rPr>
          <w:rFonts w:ascii="Calibri" w:hAnsi="Calibri" w:cs="Calibri"/>
          <w:color w:val="212121"/>
          <w:shd w:val="clear" w:color="auto" w:fill="FFFFFF"/>
        </w:rPr>
        <w:t>od  50</w:t>
      </w:r>
      <w:proofErr w:type="gramEnd"/>
      <w:r w:rsidR="00FD498F">
        <w:rPr>
          <w:rFonts w:ascii="Calibri" w:hAnsi="Calibri" w:cs="Calibri"/>
          <w:color w:val="212121"/>
          <w:shd w:val="clear" w:color="auto" w:fill="FFFFFF"/>
        </w:rPr>
        <w:t xml:space="preserve"> % do 80 %, zvýšená dotace pak dle ustanovení § 5 odst. 5 od 80 % do 100 %.</w:t>
      </w:r>
    </w:p>
    <w:p w:rsidR="002A0D80" w:rsidRPr="002A0D80" w:rsidRDefault="002A0D80" w:rsidP="00FD498F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A0D80">
        <w:rPr>
          <w:rFonts w:ascii="Calibri" w:eastAsia="Times New Roman" w:hAnsi="Calibri" w:cs="Calibri"/>
          <w:color w:val="212121"/>
          <w:lang w:eastAsia="cs-CZ"/>
        </w:rPr>
        <w:t> </w:t>
      </w:r>
    </w:p>
    <w:p w:rsidR="00F12032" w:rsidRDefault="00F12032" w:rsidP="00FD498F">
      <w:pPr>
        <w:jc w:val="both"/>
      </w:pPr>
      <w:r>
        <w:t>Pr</w:t>
      </w:r>
      <w:r w:rsidR="003A1BB4">
        <w:t>o porovnání normativů</w:t>
      </w:r>
      <w:r w:rsidR="00FD498F">
        <w:t xml:space="preserve"> </w:t>
      </w:r>
      <w:r>
        <w:t xml:space="preserve">jsme namodelovali průměrný </w:t>
      </w:r>
      <w:r w:rsidR="00FD498F">
        <w:t>krajsk</w:t>
      </w:r>
      <w:r w:rsidR="00A8139E">
        <w:t>ý</w:t>
      </w:r>
      <w:r w:rsidR="00FD498F">
        <w:t xml:space="preserve"> normativ pro základní školy tvořené pouze třídami prvního stupně, pro základní školy plně organizované</w:t>
      </w:r>
      <w:r w:rsidR="003A1BB4">
        <w:t xml:space="preserve"> (dle členění krajských normativů) </w:t>
      </w:r>
      <w:r w:rsidR="00FD498F">
        <w:t xml:space="preserve">a pro soukromé střední školy v porovnání s průměrným normativem pro gymnázia a vybrané obory M. </w:t>
      </w:r>
      <w:r w:rsidR="003A1BB4">
        <w:t>Jedná se o závis</w:t>
      </w:r>
      <w:r w:rsidR="00825A95">
        <w:t>lost výše normativů v Kč na poč</w:t>
      </w:r>
      <w:r w:rsidR="003A1BB4">
        <w:t>t</w:t>
      </w:r>
      <w:r w:rsidR="00C023D0">
        <w:t>u</w:t>
      </w:r>
      <w:r w:rsidR="003A1BB4">
        <w:t xml:space="preserve"> žáků ve škole.</w:t>
      </w:r>
    </w:p>
    <w:p w:rsidR="00F12032" w:rsidRDefault="00F12032">
      <w:r>
        <w:rPr>
          <w:noProof/>
          <w:lang w:eastAsia="cs-CZ"/>
        </w:rPr>
        <w:drawing>
          <wp:inline distT="0" distB="0" distL="0" distR="0" wp14:anchorId="157B6D4C">
            <wp:extent cx="5928360" cy="240538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40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032" w:rsidRDefault="00F12032"/>
    <w:p w:rsidR="00F12032" w:rsidRDefault="00F12032">
      <w:r>
        <w:rPr>
          <w:noProof/>
          <w:lang w:eastAsia="cs-CZ"/>
        </w:rPr>
        <w:lastRenderedPageBreak/>
        <w:drawing>
          <wp:inline distT="0" distB="0" distL="0" distR="0" wp14:anchorId="310F3EA5">
            <wp:extent cx="5989320" cy="30632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320" cy="306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032" w:rsidRDefault="00F12032"/>
    <w:p w:rsidR="00F12032" w:rsidRDefault="00F12032">
      <w:r>
        <w:rPr>
          <w:noProof/>
          <w:lang w:eastAsia="cs-CZ"/>
        </w:rPr>
        <w:drawing>
          <wp:inline distT="0" distB="0" distL="0" distR="0" wp14:anchorId="55EC2474">
            <wp:extent cx="6057900" cy="22707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27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032" w:rsidRDefault="00F12032"/>
    <w:p w:rsidR="00F12032" w:rsidRDefault="00F12032">
      <w:r>
        <w:rPr>
          <w:noProof/>
          <w:lang w:eastAsia="cs-CZ"/>
        </w:rPr>
        <w:drawing>
          <wp:inline distT="0" distB="0" distL="0" distR="0" wp14:anchorId="09948921">
            <wp:extent cx="6088380" cy="2095500"/>
            <wp:effectExtent l="0" t="0" r="762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8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2032" w:rsidRDefault="00F12032"/>
    <w:p w:rsidR="00F12032" w:rsidRDefault="00F12032">
      <w:bookmarkStart w:id="0" w:name="_GoBack"/>
      <w:bookmarkEnd w:id="0"/>
    </w:p>
    <w:p w:rsidR="00F12032" w:rsidRDefault="00F12032">
      <w:r>
        <w:rPr>
          <w:noProof/>
          <w:lang w:eastAsia="cs-CZ"/>
        </w:rPr>
        <w:lastRenderedPageBreak/>
        <w:drawing>
          <wp:inline distT="0" distB="0" distL="0" distR="0" wp14:anchorId="5CD118A6">
            <wp:extent cx="6134100" cy="23774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498F" w:rsidRDefault="00FD498F"/>
    <w:p w:rsidR="00FD498F" w:rsidRDefault="00FD498F">
      <w:r>
        <w:rPr>
          <w:noProof/>
          <w:lang w:eastAsia="cs-CZ"/>
        </w:rPr>
        <w:drawing>
          <wp:inline distT="0" distB="0" distL="0" distR="0" wp14:anchorId="2ADE16A0">
            <wp:extent cx="6141720" cy="2110740"/>
            <wp:effectExtent l="0" t="0" r="0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2110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AEC" w:rsidRDefault="00DF1AEC"/>
    <w:p w:rsidR="00A8139E" w:rsidRDefault="00A8139E" w:rsidP="00C023D0">
      <w:pPr>
        <w:jc w:val="both"/>
      </w:pPr>
      <w:r>
        <w:t xml:space="preserve">Z výše uvedených grafů je zřejmé, </w:t>
      </w:r>
      <w:r w:rsidR="00907199">
        <w:t>že</w:t>
      </w:r>
      <w:r>
        <w:t xml:space="preserve"> </w:t>
      </w:r>
      <w:r w:rsidR="0011444F">
        <w:t>normativ soukromých ZŠ je</w:t>
      </w:r>
      <w:r>
        <w:t xml:space="preserve"> u škol tvořených pouze 1. stupněm</w:t>
      </w:r>
      <w:r w:rsidR="00907199">
        <w:t xml:space="preserve"> </w:t>
      </w:r>
      <w:r w:rsidR="0011444F">
        <w:t>stejný</w:t>
      </w:r>
      <w:r w:rsidR="00907199">
        <w:t xml:space="preserve"> nebo </w:t>
      </w:r>
      <w:r w:rsidR="0011444F">
        <w:t>vyšší než průměrný</w:t>
      </w:r>
      <w:r w:rsidR="00907199">
        <w:t xml:space="preserve"> </w:t>
      </w:r>
      <w:r w:rsidR="0011444F">
        <w:t>krajský normativ</w:t>
      </w:r>
      <w:r w:rsidR="00907199">
        <w:t xml:space="preserve"> veřejných ZŠ již od počtu 28 žáků (se zanedbatelným </w:t>
      </w:r>
      <w:r w:rsidR="0011444F">
        <w:t>výkyvem u počtu 61</w:t>
      </w:r>
      <w:r w:rsidR="00907199">
        <w:t xml:space="preserve">-66 žáků). V případě </w:t>
      </w:r>
      <w:r w:rsidR="0011444F">
        <w:t>ZŠ plně organizovaných je normativ</w:t>
      </w:r>
      <w:r w:rsidR="00907199">
        <w:t xml:space="preserve"> soukromých škol vždy vyšší než průměrn</w:t>
      </w:r>
      <w:r w:rsidR="0011444F">
        <w:t>ý</w:t>
      </w:r>
      <w:r w:rsidR="00907199">
        <w:t xml:space="preserve"> </w:t>
      </w:r>
      <w:r w:rsidR="0011444F">
        <w:t>krajský normativ</w:t>
      </w:r>
      <w:r w:rsidR="00907199">
        <w:t xml:space="preserve"> veřejných škol. </w:t>
      </w:r>
      <w:r w:rsidR="0011444F">
        <w:t xml:space="preserve"> Totéž platí pro představené obory středních škol včetně gymnázií.  </w:t>
      </w:r>
    </w:p>
    <w:p w:rsidR="0011444F" w:rsidRDefault="0011444F" w:rsidP="00C023D0">
      <w:pPr>
        <w:jc w:val="both"/>
      </w:pPr>
      <w:r>
        <w:t xml:space="preserve">Je také třeba upozornit, že průměrný krajský normativ pro veřejné ZŠ tvořené pouze 1. stupněm zakrývá skutečnost, že normativy </w:t>
      </w:r>
      <w:r w:rsidR="009D0FC3">
        <w:t>pro tyto školy jsou</w:t>
      </w:r>
      <w:r>
        <w:t xml:space="preserve"> ve většině</w:t>
      </w:r>
      <w:r w:rsidR="009D0FC3">
        <w:t xml:space="preserve"> krajů</w:t>
      </w:r>
      <w:r>
        <w:t xml:space="preserve"> pod tímto průměrem</w:t>
      </w:r>
      <w:r w:rsidR="009D0FC3">
        <w:t>.  P</w:t>
      </w:r>
      <w:r>
        <w:t xml:space="preserve">roto </w:t>
      </w:r>
      <w:r w:rsidR="009D0FC3">
        <w:t>je ve většině krajů</w:t>
      </w:r>
      <w:r>
        <w:t xml:space="preserve"> normativ </w:t>
      </w:r>
      <w:r w:rsidR="009D0FC3">
        <w:t>pr</w:t>
      </w:r>
      <w:r w:rsidR="007345F2">
        <w:t xml:space="preserve">o soukromé školy </w:t>
      </w:r>
      <w:r w:rsidR="009D0FC3">
        <w:t xml:space="preserve">vyšší </w:t>
      </w:r>
      <w:r w:rsidR="0009319C">
        <w:t xml:space="preserve">než normativ pro veřejné školy </w:t>
      </w:r>
      <w:r w:rsidR="009D0FC3">
        <w:t>i pro většinu</w:t>
      </w:r>
      <w:r w:rsidR="007345F2">
        <w:t xml:space="preserve"> soukromých</w:t>
      </w:r>
      <w:r w:rsidR="009D0FC3">
        <w:t xml:space="preserve"> škol s počtem nižším než 28 žáků.</w:t>
      </w:r>
    </w:p>
    <w:p w:rsidR="00DF1AEC" w:rsidRPr="002A0D80" w:rsidRDefault="00DF1AEC" w:rsidP="00DF1AE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2A0D80">
        <w:rPr>
          <w:rFonts w:ascii="Calibri" w:eastAsia="Times New Roman" w:hAnsi="Calibri" w:cs="Calibri"/>
          <w:color w:val="212121"/>
          <w:lang w:eastAsia="cs-CZ"/>
        </w:rPr>
        <w:t>Poznámka:</w:t>
      </w:r>
    </w:p>
    <w:p w:rsidR="00DF1AEC" w:rsidRDefault="00DF1AEC" w:rsidP="00DF1AEC">
      <w:pPr>
        <w:jc w:val="both"/>
      </w:pPr>
      <w:r w:rsidRPr="002A0D80">
        <w:rPr>
          <w:rFonts w:ascii="Calibri" w:eastAsia="Times New Roman" w:hAnsi="Calibri" w:cs="Calibri"/>
          <w:color w:val="212121"/>
          <w:lang w:eastAsia="cs-CZ"/>
        </w:rPr>
        <w:t>Financování škol a školských zařízení zřizovaných krajem, obcí, svazkem obcí probíhá na odlišných principech (vyplývá z ustanovení  §§ 160 až 163 školského zákona). Tyto principy jsou opět každoročně zveřejňovány, pro rok 2017 na adrese</w:t>
      </w:r>
      <w:r w:rsidR="00C023D0">
        <w:rPr>
          <w:rFonts w:ascii="Calibri" w:eastAsia="Times New Roman" w:hAnsi="Calibri" w:cs="Calibri"/>
          <w:color w:val="212121"/>
          <w:lang w:eastAsia="cs-CZ"/>
        </w:rPr>
        <w:t xml:space="preserve"> </w:t>
      </w:r>
      <w:hyperlink r:id="rId11" w:tgtFrame="_blank" w:history="1">
        <w:r w:rsidRPr="002A0D80">
          <w:rPr>
            <w:rFonts w:ascii="Calibri" w:eastAsia="Times New Roman" w:hAnsi="Calibri" w:cs="Calibri"/>
            <w:color w:val="0000FF"/>
            <w:u w:val="single"/>
            <w:lang w:eastAsia="cs-CZ"/>
          </w:rPr>
          <w:t>http://www.msmt.cz/vzdelavani/skolstvi-v-cr/ekonomika-skolstvi/principy-normativniho-rozpisu-rozpoctu-primych-vydaju-rgs-1</w:t>
        </w:r>
      </w:hyperlink>
      <w:r w:rsidRPr="002A0D80">
        <w:rPr>
          <w:rFonts w:ascii="Calibri" w:eastAsia="Times New Roman" w:hAnsi="Calibri" w:cs="Calibri"/>
          <w:color w:val="212121"/>
          <w:lang w:eastAsia="cs-CZ"/>
        </w:rPr>
        <w:t>. Dále MŠMT každoročně zveřejňuje porovnání krajských normativů, pro rok 2017 zveřejněno na adrese</w:t>
      </w:r>
      <w:r w:rsidR="00C023D0">
        <w:rPr>
          <w:rFonts w:ascii="Calibri" w:eastAsia="Times New Roman" w:hAnsi="Calibri" w:cs="Calibri"/>
          <w:color w:val="212121"/>
          <w:lang w:eastAsia="cs-CZ"/>
        </w:rPr>
        <w:t xml:space="preserve"> </w:t>
      </w:r>
      <w:hyperlink r:id="rId12" w:tgtFrame="_blank" w:history="1">
        <w:r w:rsidRPr="002A0D80">
          <w:rPr>
            <w:rFonts w:ascii="Calibri" w:eastAsia="Times New Roman" w:hAnsi="Calibri" w:cs="Calibri"/>
            <w:color w:val="0000FF"/>
            <w:u w:val="single"/>
            <w:lang w:eastAsia="cs-CZ"/>
          </w:rPr>
          <w:t>http://www.msmt.cz/vzdelavani/skolstvi-v-cr/ekonomika-skolstvi/porovnani-krajskych-normativu-mzdovych-prostredku-a-5</w:t>
        </w:r>
      </w:hyperlink>
      <w:r w:rsidR="00A41820">
        <w:rPr>
          <w:rFonts w:ascii="Calibri" w:eastAsia="Times New Roman" w:hAnsi="Calibri" w:cs="Calibri"/>
          <w:color w:val="212121"/>
          <w:lang w:eastAsia="cs-CZ"/>
        </w:rPr>
        <w:t xml:space="preserve"> .</w:t>
      </w:r>
      <w:r w:rsidRPr="002A0D80">
        <w:rPr>
          <w:rFonts w:ascii="Calibri" w:eastAsia="Times New Roman" w:hAnsi="Calibri" w:cs="Calibri"/>
          <w:color w:val="212121"/>
          <w:lang w:eastAsia="cs-CZ"/>
        </w:rPr>
        <w:t> </w:t>
      </w:r>
    </w:p>
    <w:sectPr w:rsidR="00DF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D80"/>
    <w:rsid w:val="0009319C"/>
    <w:rsid w:val="000E1C67"/>
    <w:rsid w:val="0011444F"/>
    <w:rsid w:val="002A0D80"/>
    <w:rsid w:val="003A1BB4"/>
    <w:rsid w:val="007345F2"/>
    <w:rsid w:val="00825A95"/>
    <w:rsid w:val="00907199"/>
    <w:rsid w:val="009D0FC3"/>
    <w:rsid w:val="009E6B4D"/>
    <w:rsid w:val="00A41820"/>
    <w:rsid w:val="00A8139E"/>
    <w:rsid w:val="00B44956"/>
    <w:rsid w:val="00B9167E"/>
    <w:rsid w:val="00C023D0"/>
    <w:rsid w:val="00DF1AEC"/>
    <w:rsid w:val="00ED6A4C"/>
    <w:rsid w:val="00F12032"/>
    <w:rsid w:val="00F7304D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B8076-1137-4DC0-921B-7CEA8B291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0D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2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://www.msmt.cz/vzdelavani/skolstvi-v-cr/ekonomika-skolstvi/porovnani-krajskych-normativu-mzdovych-prostredku-a-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msmt.cz/vzdelavani/skolstvi-v-cr/ekonomika-skolstvi/principy-normativniho-rozpisu-rozpoctu-primych-vydaju-rgs-1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msmt.cz/vzdelavani/skolstvi-v-cr/ekonomika-skolstvi/normativy-soukromych-skol-na-rok-2017" TargetMode="Externa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</dc:creator>
  <cp:lastModifiedBy>Martinec Lubomír</cp:lastModifiedBy>
  <cp:revision>2</cp:revision>
  <dcterms:created xsi:type="dcterms:W3CDTF">2017-09-11T07:45:00Z</dcterms:created>
  <dcterms:modified xsi:type="dcterms:W3CDTF">2017-09-11T07:45:00Z</dcterms:modified>
</cp:coreProperties>
</file>