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43BCF" w14:textId="77777777"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</w:p>
    <w:p w14:paraId="437755AE" w14:textId="77777777" w:rsidR="00FC5157" w:rsidRDefault="00711583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PODPŮRNÁ OPATŘENÍ</w:t>
      </w:r>
    </w:p>
    <w:p w14:paraId="541EDA1D" w14:textId="77777777" w:rsidR="0025234B" w:rsidRP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p w14:paraId="3EA26593" w14:textId="1EB28D51" w:rsidR="00711583" w:rsidRPr="00711583" w:rsidRDefault="00711583" w:rsidP="00711583">
      <w:pPr>
        <w:spacing w:after="120"/>
        <w:jc w:val="both"/>
        <w:rPr>
          <w:rFonts w:asciiTheme="majorHAnsi" w:hAnsiTheme="majorHAnsi" w:cstheme="majorHAnsi"/>
          <w:lang w:val="cs-CZ"/>
        </w:rPr>
      </w:pPr>
      <w:r w:rsidRPr="00711583">
        <w:rPr>
          <w:rFonts w:asciiTheme="majorHAnsi" w:hAnsiTheme="majorHAnsi" w:cstheme="majorHAnsi"/>
          <w:lang w:val="cs-CZ"/>
        </w:rPr>
        <w:t>Podpůrná opatření představují podporu pro práci pedagoga s</w:t>
      </w:r>
      <w:r w:rsidR="00E53EC4">
        <w:rPr>
          <w:rFonts w:asciiTheme="majorHAnsi" w:hAnsiTheme="majorHAnsi" w:cstheme="majorHAnsi"/>
          <w:lang w:val="cs-CZ"/>
        </w:rPr>
        <w:t xml:space="preserve"> dítětem, </w:t>
      </w:r>
      <w:r w:rsidRPr="00711583">
        <w:rPr>
          <w:rFonts w:asciiTheme="majorHAnsi" w:hAnsiTheme="majorHAnsi" w:cstheme="majorHAnsi"/>
          <w:lang w:val="cs-CZ"/>
        </w:rPr>
        <w:t xml:space="preserve">žákem </w:t>
      </w:r>
      <w:r w:rsidR="00E53EC4">
        <w:rPr>
          <w:rFonts w:asciiTheme="majorHAnsi" w:hAnsiTheme="majorHAnsi" w:cstheme="majorHAnsi"/>
          <w:lang w:val="cs-CZ"/>
        </w:rPr>
        <w:t xml:space="preserve">či studentem (dále jen „žák“) </w:t>
      </w:r>
      <w:r w:rsidRPr="00711583">
        <w:rPr>
          <w:rFonts w:asciiTheme="majorHAnsi" w:hAnsiTheme="majorHAnsi" w:cstheme="majorHAnsi"/>
          <w:lang w:val="cs-CZ"/>
        </w:rPr>
        <w:t xml:space="preserve">v případech, kdy </w:t>
      </w:r>
      <w:r w:rsidR="002D586E">
        <w:rPr>
          <w:rFonts w:asciiTheme="majorHAnsi" w:hAnsiTheme="majorHAnsi" w:cstheme="majorHAnsi"/>
          <w:lang w:val="cs-CZ"/>
        </w:rPr>
        <w:t>speciální vzdělávací potřeby</w:t>
      </w:r>
      <w:r w:rsidR="002D586E" w:rsidRPr="00711583">
        <w:rPr>
          <w:rFonts w:asciiTheme="majorHAnsi" w:hAnsiTheme="majorHAnsi" w:cstheme="majorHAnsi"/>
          <w:lang w:val="cs-CZ"/>
        </w:rPr>
        <w:t xml:space="preserve"> </w:t>
      </w:r>
      <w:r w:rsidR="000A714F">
        <w:rPr>
          <w:rFonts w:asciiTheme="majorHAnsi" w:hAnsiTheme="majorHAnsi" w:cstheme="majorHAnsi"/>
          <w:lang w:val="cs-CZ"/>
        </w:rPr>
        <w:t xml:space="preserve">žáka </w:t>
      </w:r>
      <w:r w:rsidRPr="00711583">
        <w:rPr>
          <w:rFonts w:asciiTheme="majorHAnsi" w:hAnsiTheme="majorHAnsi" w:cstheme="majorHAnsi"/>
          <w:lang w:val="cs-CZ"/>
        </w:rPr>
        <w:t>vyžaduj</w:t>
      </w:r>
      <w:r w:rsidR="002D586E">
        <w:rPr>
          <w:rFonts w:asciiTheme="majorHAnsi" w:hAnsiTheme="majorHAnsi" w:cstheme="majorHAnsi"/>
          <w:lang w:val="cs-CZ"/>
        </w:rPr>
        <w:t>í</w:t>
      </w:r>
      <w:r w:rsidRPr="00711583">
        <w:rPr>
          <w:rFonts w:asciiTheme="majorHAnsi" w:hAnsiTheme="majorHAnsi" w:cstheme="majorHAnsi"/>
          <w:lang w:val="cs-CZ"/>
        </w:rPr>
        <w:t xml:space="preserve"> v různé míře upravit průběh jeho vzdělávání. Cílem úprav je především vyrovnávat podmínky ke vzdělávání žáka</w:t>
      </w:r>
      <w:r w:rsidR="00BD1FE5">
        <w:rPr>
          <w:rFonts w:asciiTheme="majorHAnsi" w:hAnsiTheme="majorHAnsi" w:cstheme="majorHAnsi"/>
          <w:lang w:val="cs-CZ"/>
        </w:rPr>
        <w:t>.</w:t>
      </w:r>
      <w:r w:rsidRPr="00711583">
        <w:rPr>
          <w:rFonts w:asciiTheme="majorHAnsi" w:hAnsiTheme="majorHAnsi" w:cstheme="majorHAnsi"/>
          <w:lang w:val="cs-CZ"/>
        </w:rPr>
        <w:t xml:space="preserve"> </w:t>
      </w:r>
      <w:r w:rsidR="00BD1FE5">
        <w:rPr>
          <w:rFonts w:asciiTheme="majorHAnsi" w:hAnsiTheme="majorHAnsi" w:cstheme="majorHAnsi"/>
          <w:lang w:val="cs-CZ"/>
        </w:rPr>
        <w:t xml:space="preserve">Ty </w:t>
      </w:r>
      <w:r w:rsidRPr="00711583">
        <w:rPr>
          <w:rFonts w:asciiTheme="majorHAnsi" w:hAnsiTheme="majorHAnsi" w:cstheme="majorHAnsi"/>
          <w:lang w:val="cs-CZ"/>
        </w:rPr>
        <w:t>mohou být ovlivněné mírnými</w:t>
      </w:r>
      <w:r w:rsidR="00BD1FE5">
        <w:rPr>
          <w:rFonts w:asciiTheme="majorHAnsi" w:hAnsiTheme="majorHAnsi" w:cstheme="majorHAnsi"/>
          <w:lang w:val="cs-CZ"/>
        </w:rPr>
        <w:t>,</w:t>
      </w:r>
      <w:r w:rsidRPr="00711583">
        <w:rPr>
          <w:rFonts w:asciiTheme="majorHAnsi" w:hAnsiTheme="majorHAnsi" w:cstheme="majorHAnsi"/>
          <w:lang w:val="cs-CZ"/>
        </w:rPr>
        <w:t xml:space="preserve"> nebo závažnějšími obtížemi</w:t>
      </w:r>
      <w:r w:rsidR="0047722B">
        <w:rPr>
          <w:rFonts w:asciiTheme="majorHAnsi" w:hAnsiTheme="majorHAnsi" w:cstheme="majorHAnsi"/>
          <w:lang w:val="cs-CZ"/>
        </w:rPr>
        <w:t xml:space="preserve">, </w:t>
      </w:r>
      <w:r w:rsidRPr="00711583">
        <w:rPr>
          <w:rFonts w:asciiTheme="majorHAnsi" w:hAnsiTheme="majorHAnsi" w:cstheme="majorHAnsi"/>
          <w:lang w:val="cs-CZ"/>
        </w:rPr>
        <w:t>způsoben</w:t>
      </w:r>
      <w:r w:rsidR="00BD1FE5">
        <w:rPr>
          <w:rFonts w:asciiTheme="majorHAnsi" w:hAnsiTheme="majorHAnsi" w:cstheme="majorHAnsi"/>
          <w:lang w:val="cs-CZ"/>
        </w:rPr>
        <w:t>ými</w:t>
      </w:r>
      <w:r w:rsidR="0047722B">
        <w:rPr>
          <w:rFonts w:asciiTheme="majorHAnsi" w:hAnsiTheme="majorHAnsi" w:cstheme="majorHAnsi"/>
          <w:lang w:val="cs-CZ"/>
        </w:rPr>
        <w:t xml:space="preserve"> </w:t>
      </w:r>
      <w:r w:rsidRPr="00711583">
        <w:rPr>
          <w:rFonts w:asciiTheme="majorHAnsi" w:hAnsiTheme="majorHAnsi" w:cstheme="majorHAnsi"/>
          <w:lang w:val="cs-CZ"/>
        </w:rPr>
        <w:t>například nepřipraveností žáka na školu, odlišnými životními podmínkami, odlišným kulturním prostředím, ze kterého žák vstupuje do vzdělávání</w:t>
      </w:r>
      <w:r w:rsidR="00BD1FE5">
        <w:rPr>
          <w:rFonts w:asciiTheme="majorHAnsi" w:hAnsiTheme="majorHAnsi" w:cstheme="majorHAnsi"/>
          <w:lang w:val="cs-CZ"/>
        </w:rPr>
        <w:t>,</w:t>
      </w:r>
      <w:r w:rsidRPr="00711583">
        <w:rPr>
          <w:rFonts w:asciiTheme="majorHAnsi" w:hAnsiTheme="majorHAnsi" w:cstheme="majorHAnsi"/>
          <w:lang w:val="cs-CZ"/>
        </w:rPr>
        <w:t xml:space="preserve"> nebo zdravotními obtížemi či zdravotním znevýhodněním žáka. </w:t>
      </w:r>
    </w:p>
    <w:p w14:paraId="771F8679" w14:textId="77777777" w:rsidR="009D0CDE" w:rsidRDefault="009D0CDE" w:rsidP="009D0CDE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cs-CZ"/>
        </w:rPr>
        <w:t>Školská poradenská zařízení</w:t>
      </w:r>
      <w:r w:rsidR="0049102A">
        <w:rPr>
          <w:rFonts w:asciiTheme="majorHAnsi" w:hAnsiTheme="majorHAnsi" w:cstheme="majorHAnsi"/>
          <w:b/>
          <w:lang w:val="cs-CZ"/>
        </w:rPr>
        <w:t xml:space="preserve"> (ŠPZ)</w:t>
      </w:r>
    </w:p>
    <w:p w14:paraId="0F76DA81" w14:textId="455E0AE0" w:rsidR="009D0CDE" w:rsidRDefault="009D0CDE" w:rsidP="009D0CDE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Školská poradenská zařízení poskytují poradenské služby žákům se speciálními vzdělávacími potřebami a na základě </w:t>
      </w:r>
      <w:r w:rsidR="00E53EC4">
        <w:rPr>
          <w:rFonts w:asciiTheme="majorHAnsi" w:hAnsiTheme="majorHAnsi" w:cstheme="majorHAnsi"/>
          <w:lang w:val="cs-CZ"/>
        </w:rPr>
        <w:t xml:space="preserve">posouzení speciálních vzdělávacích potřeb </w:t>
      </w:r>
      <w:r>
        <w:rPr>
          <w:rFonts w:asciiTheme="majorHAnsi" w:hAnsiTheme="majorHAnsi" w:cstheme="majorHAnsi"/>
          <w:lang w:val="cs-CZ"/>
        </w:rPr>
        <w:t xml:space="preserve"> </w:t>
      </w:r>
      <w:r w:rsidRPr="008E15FA">
        <w:rPr>
          <w:rFonts w:asciiTheme="majorHAnsi" w:hAnsiTheme="majorHAnsi" w:cstheme="majorHAnsi"/>
          <w:lang w:val="cs-CZ"/>
        </w:rPr>
        <w:t>vydáv</w:t>
      </w:r>
      <w:r>
        <w:rPr>
          <w:rFonts w:asciiTheme="majorHAnsi" w:hAnsiTheme="majorHAnsi" w:cstheme="majorHAnsi"/>
          <w:lang w:val="cs-CZ"/>
        </w:rPr>
        <w:t>ají</w:t>
      </w:r>
      <w:r w:rsidRPr="008E15FA">
        <w:rPr>
          <w:rFonts w:asciiTheme="majorHAnsi" w:hAnsiTheme="majorHAnsi" w:cstheme="majorHAnsi"/>
          <w:lang w:val="cs-CZ"/>
        </w:rPr>
        <w:t xml:space="preserve"> </w:t>
      </w:r>
      <w:r>
        <w:rPr>
          <w:rFonts w:asciiTheme="majorHAnsi" w:hAnsiTheme="majorHAnsi" w:cstheme="majorHAnsi"/>
          <w:lang w:val="cs-CZ"/>
        </w:rPr>
        <w:t>„</w:t>
      </w:r>
      <w:r w:rsidRPr="008E15FA">
        <w:rPr>
          <w:rFonts w:asciiTheme="majorHAnsi" w:hAnsiTheme="majorHAnsi" w:cstheme="majorHAnsi"/>
          <w:lang w:val="cs-CZ"/>
        </w:rPr>
        <w:t>Doporučení ke vzdělávání žáka se speciálními vzdělávacími potřebami</w:t>
      </w:r>
      <w:r>
        <w:rPr>
          <w:rFonts w:asciiTheme="majorHAnsi" w:hAnsiTheme="majorHAnsi" w:cstheme="majorHAnsi"/>
          <w:lang w:val="cs-CZ"/>
        </w:rPr>
        <w:t>“</w:t>
      </w:r>
      <w:r w:rsidRPr="008E15FA">
        <w:rPr>
          <w:rFonts w:asciiTheme="majorHAnsi" w:hAnsiTheme="majorHAnsi" w:cstheme="majorHAnsi"/>
          <w:lang w:val="cs-CZ"/>
        </w:rPr>
        <w:t xml:space="preserve">, které obsahuje závěry z </w:t>
      </w:r>
      <w:r w:rsidR="00E53EC4">
        <w:rPr>
          <w:rFonts w:asciiTheme="majorHAnsi" w:hAnsiTheme="majorHAnsi" w:cstheme="majorHAnsi"/>
          <w:lang w:val="cs-CZ"/>
        </w:rPr>
        <w:t>psychologické a speciálně pedagogické diagnostiky</w:t>
      </w:r>
      <w:r w:rsidR="00E53EC4" w:rsidRPr="008E15FA">
        <w:rPr>
          <w:rFonts w:asciiTheme="majorHAnsi" w:hAnsiTheme="majorHAnsi" w:cstheme="majorHAnsi"/>
          <w:lang w:val="cs-CZ"/>
        </w:rPr>
        <w:t xml:space="preserve"> </w:t>
      </w:r>
      <w:r w:rsidRPr="008E15FA">
        <w:rPr>
          <w:rFonts w:asciiTheme="majorHAnsi" w:hAnsiTheme="majorHAnsi" w:cstheme="majorHAnsi"/>
          <w:lang w:val="cs-CZ"/>
        </w:rPr>
        <w:t>žáka a doporučovaná podpůrná opatření.</w:t>
      </w:r>
    </w:p>
    <w:p w14:paraId="5DA934CB" w14:textId="3754C498" w:rsidR="009D0CDE" w:rsidRPr="00981721" w:rsidRDefault="009D0CDE" w:rsidP="009D0CDE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Rozdělení </w:t>
      </w:r>
      <w:r w:rsidRPr="00981721">
        <w:rPr>
          <w:rFonts w:asciiTheme="majorHAnsi" w:hAnsiTheme="majorHAnsi" w:cstheme="majorHAnsi"/>
          <w:lang w:val="cs-CZ"/>
        </w:rPr>
        <w:t xml:space="preserve">činností mezi </w:t>
      </w:r>
      <w:r>
        <w:rPr>
          <w:rFonts w:asciiTheme="majorHAnsi" w:hAnsiTheme="majorHAnsi" w:cstheme="majorHAnsi"/>
          <w:lang w:val="cs-CZ"/>
        </w:rPr>
        <w:t>školská poradenská zařízení</w:t>
      </w:r>
      <w:r w:rsidR="0049102A">
        <w:rPr>
          <w:rFonts w:asciiTheme="majorHAnsi" w:hAnsiTheme="majorHAnsi" w:cstheme="majorHAnsi"/>
          <w:lang w:val="cs-CZ"/>
        </w:rPr>
        <w:t xml:space="preserve"> (ŠPZ)</w:t>
      </w:r>
      <w:r>
        <w:rPr>
          <w:rFonts w:asciiTheme="majorHAnsi" w:hAnsiTheme="majorHAnsi" w:cstheme="majorHAnsi"/>
          <w:lang w:val="cs-CZ"/>
        </w:rPr>
        <w:t xml:space="preserve">, tedy </w:t>
      </w:r>
      <w:r w:rsidRPr="00981721">
        <w:rPr>
          <w:rFonts w:asciiTheme="majorHAnsi" w:hAnsiTheme="majorHAnsi" w:cstheme="majorHAnsi"/>
          <w:lang w:val="cs-CZ"/>
        </w:rPr>
        <w:t>pedagogicko-psychologické poradny (PPP) a speciálně pedagogická centra (SPC)</w:t>
      </w:r>
      <w:r w:rsidR="00BD1FE5">
        <w:rPr>
          <w:rFonts w:asciiTheme="majorHAnsi" w:hAnsiTheme="majorHAnsi" w:cstheme="majorHAnsi"/>
          <w:lang w:val="cs-CZ"/>
        </w:rPr>
        <w:t>,</w:t>
      </w:r>
      <w:r>
        <w:rPr>
          <w:rFonts w:asciiTheme="majorHAnsi" w:hAnsiTheme="majorHAnsi" w:cstheme="majorHAnsi"/>
          <w:lang w:val="cs-CZ"/>
        </w:rPr>
        <w:t xml:space="preserve"> upravuje vyhláška </w:t>
      </w:r>
      <w:r w:rsidRPr="00981721">
        <w:rPr>
          <w:rFonts w:asciiTheme="majorHAnsi" w:hAnsiTheme="majorHAnsi" w:cstheme="majorHAnsi"/>
          <w:lang w:val="cs-CZ"/>
        </w:rPr>
        <w:t>72/2005 Sb., o poskytování poradenských služeb ve školách a školských</w:t>
      </w:r>
      <w:r>
        <w:rPr>
          <w:rFonts w:asciiTheme="majorHAnsi" w:hAnsiTheme="majorHAnsi" w:cstheme="majorHAnsi"/>
          <w:lang w:val="cs-CZ"/>
        </w:rPr>
        <w:t xml:space="preserve"> </w:t>
      </w:r>
      <w:r w:rsidRPr="00981721">
        <w:rPr>
          <w:rFonts w:asciiTheme="majorHAnsi" w:hAnsiTheme="majorHAnsi" w:cstheme="majorHAnsi"/>
          <w:lang w:val="cs-CZ"/>
        </w:rPr>
        <w:t xml:space="preserve">poradenských </w:t>
      </w:r>
      <w:r>
        <w:rPr>
          <w:rFonts w:asciiTheme="majorHAnsi" w:hAnsiTheme="majorHAnsi" w:cstheme="majorHAnsi"/>
          <w:lang w:val="cs-CZ"/>
        </w:rPr>
        <w:t>zřízeních</w:t>
      </w:r>
      <w:r w:rsidR="00212F8A">
        <w:rPr>
          <w:rFonts w:asciiTheme="majorHAnsi" w:hAnsiTheme="majorHAnsi" w:cstheme="majorHAnsi"/>
          <w:lang w:val="cs-CZ"/>
        </w:rPr>
        <w:t>, ve znění pozdějších předpisů.</w:t>
      </w:r>
    </w:p>
    <w:p w14:paraId="3F5B36D9" w14:textId="568BBCF7" w:rsidR="009D0CDE" w:rsidRDefault="009D0CDE" w:rsidP="009D0CDE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 w:rsidRPr="00981721">
        <w:rPr>
          <w:rFonts w:asciiTheme="majorHAnsi" w:hAnsiTheme="majorHAnsi" w:cstheme="majorHAnsi"/>
          <w:lang w:val="cs-CZ"/>
        </w:rPr>
        <w:t>Pedagogicko-psychologická poradna poskytuje poradenské služby žákům z</w:t>
      </w:r>
      <w:r>
        <w:rPr>
          <w:rFonts w:asciiTheme="majorHAnsi" w:hAnsiTheme="majorHAnsi" w:cstheme="majorHAnsi"/>
          <w:lang w:val="cs-CZ"/>
        </w:rPr>
        <w:t> </w:t>
      </w:r>
      <w:r w:rsidRPr="00981721">
        <w:rPr>
          <w:rFonts w:asciiTheme="majorHAnsi" w:hAnsiTheme="majorHAnsi" w:cstheme="majorHAnsi"/>
          <w:lang w:val="cs-CZ"/>
        </w:rPr>
        <w:t>odlišného</w:t>
      </w:r>
      <w:r>
        <w:rPr>
          <w:rFonts w:asciiTheme="majorHAnsi" w:hAnsiTheme="majorHAnsi" w:cstheme="majorHAnsi"/>
          <w:lang w:val="cs-CZ"/>
        </w:rPr>
        <w:t xml:space="preserve"> </w:t>
      </w:r>
      <w:r w:rsidRPr="00981721">
        <w:rPr>
          <w:rFonts w:asciiTheme="majorHAnsi" w:hAnsiTheme="majorHAnsi" w:cstheme="majorHAnsi"/>
          <w:lang w:val="cs-CZ"/>
        </w:rPr>
        <w:t>kulturního prostředí a s odlišnými životními podmínkami,</w:t>
      </w:r>
      <w:r w:rsidR="008A73E4">
        <w:rPr>
          <w:rFonts w:asciiTheme="majorHAnsi" w:hAnsiTheme="majorHAnsi" w:cstheme="majorHAnsi"/>
          <w:lang w:val="cs-CZ"/>
        </w:rPr>
        <w:t xml:space="preserve"> </w:t>
      </w:r>
      <w:r w:rsidRPr="00981721">
        <w:rPr>
          <w:rFonts w:asciiTheme="majorHAnsi" w:hAnsiTheme="majorHAnsi" w:cstheme="majorHAnsi"/>
          <w:lang w:val="cs-CZ"/>
        </w:rPr>
        <w:t>žákům</w:t>
      </w:r>
      <w:r w:rsidR="008A73E4">
        <w:rPr>
          <w:rFonts w:asciiTheme="majorHAnsi" w:hAnsiTheme="majorHAnsi" w:cstheme="majorHAnsi"/>
          <w:lang w:val="cs-CZ"/>
        </w:rPr>
        <w:t>,</w:t>
      </w:r>
      <w:r w:rsidRPr="00981721">
        <w:rPr>
          <w:rFonts w:asciiTheme="majorHAnsi" w:hAnsiTheme="majorHAnsi" w:cstheme="majorHAnsi"/>
          <w:lang w:val="cs-CZ"/>
        </w:rPr>
        <w:t xml:space="preserve"> kteří mají speciální vzdělávací potřeby v</w:t>
      </w:r>
      <w:r w:rsidR="008A73E4">
        <w:rPr>
          <w:rFonts w:asciiTheme="majorHAnsi" w:hAnsiTheme="majorHAnsi" w:cstheme="majorHAnsi"/>
          <w:lang w:val="cs-CZ"/>
        </w:rPr>
        <w:t> </w:t>
      </w:r>
      <w:r w:rsidRPr="00981721">
        <w:rPr>
          <w:rFonts w:asciiTheme="majorHAnsi" w:hAnsiTheme="majorHAnsi" w:cstheme="majorHAnsi"/>
          <w:lang w:val="cs-CZ"/>
        </w:rPr>
        <w:t>důs</w:t>
      </w:r>
      <w:r w:rsidR="0047722B">
        <w:rPr>
          <w:rFonts w:asciiTheme="majorHAnsi" w:hAnsiTheme="majorHAnsi" w:cstheme="majorHAnsi"/>
          <w:lang w:val="cs-CZ"/>
        </w:rPr>
        <w:t>ledku</w:t>
      </w:r>
      <w:r w:rsidR="008A73E4">
        <w:rPr>
          <w:rFonts w:asciiTheme="majorHAnsi" w:hAnsiTheme="majorHAnsi" w:cstheme="majorHAnsi"/>
          <w:lang w:val="cs-CZ"/>
        </w:rPr>
        <w:t xml:space="preserve"> </w:t>
      </w:r>
      <w:r w:rsidR="00E53EC4">
        <w:rPr>
          <w:rFonts w:asciiTheme="majorHAnsi" w:hAnsiTheme="majorHAnsi" w:cstheme="majorHAnsi"/>
          <w:lang w:val="cs-CZ"/>
        </w:rPr>
        <w:t xml:space="preserve">specifických </w:t>
      </w:r>
      <w:r w:rsidR="0047722B">
        <w:rPr>
          <w:rFonts w:asciiTheme="majorHAnsi" w:hAnsiTheme="majorHAnsi" w:cstheme="majorHAnsi"/>
          <w:lang w:val="cs-CZ"/>
        </w:rPr>
        <w:t xml:space="preserve">poruch učení </w:t>
      </w:r>
      <w:r w:rsidRPr="00981721">
        <w:rPr>
          <w:rFonts w:asciiTheme="majorHAnsi" w:hAnsiTheme="majorHAnsi" w:cstheme="majorHAnsi"/>
          <w:lang w:val="cs-CZ"/>
        </w:rPr>
        <w:t>a chování</w:t>
      </w:r>
      <w:r w:rsidR="008A73E4">
        <w:rPr>
          <w:rFonts w:asciiTheme="majorHAnsi" w:hAnsiTheme="majorHAnsi" w:cstheme="majorHAnsi"/>
          <w:lang w:val="cs-CZ"/>
        </w:rPr>
        <w:t xml:space="preserve"> a</w:t>
      </w:r>
      <w:r w:rsidR="00E53EC4">
        <w:rPr>
          <w:rFonts w:asciiTheme="majorHAnsi" w:hAnsiTheme="majorHAnsi" w:cstheme="majorHAnsi"/>
          <w:lang w:val="cs-CZ"/>
        </w:rPr>
        <w:t xml:space="preserve"> žákům nadaným. Pedagogicko-psychologická</w:t>
      </w:r>
      <w:r w:rsidR="008A73E4">
        <w:rPr>
          <w:rFonts w:asciiTheme="majorHAnsi" w:hAnsiTheme="majorHAnsi" w:cstheme="majorHAnsi"/>
          <w:lang w:val="cs-CZ"/>
        </w:rPr>
        <w:t xml:space="preserve"> </w:t>
      </w:r>
      <w:r w:rsidR="00E53EC4">
        <w:rPr>
          <w:rFonts w:asciiTheme="majorHAnsi" w:hAnsiTheme="majorHAnsi" w:cstheme="majorHAnsi"/>
          <w:lang w:val="cs-CZ"/>
        </w:rPr>
        <w:t>poradna</w:t>
      </w:r>
      <w:r w:rsidR="008A73E4">
        <w:rPr>
          <w:rFonts w:asciiTheme="majorHAnsi" w:hAnsiTheme="majorHAnsi" w:cstheme="majorHAnsi"/>
          <w:lang w:val="cs-CZ"/>
        </w:rPr>
        <w:t xml:space="preserve"> </w:t>
      </w:r>
      <w:r w:rsidR="00E53EC4">
        <w:rPr>
          <w:rFonts w:asciiTheme="majorHAnsi" w:hAnsiTheme="majorHAnsi" w:cstheme="majorHAnsi"/>
          <w:lang w:val="cs-CZ"/>
        </w:rPr>
        <w:t>zajišťuje prostřednictvím metodika prevence realizaci preventivních opatření, prevenci rizikového chování a koordinaci školních metodiků prevence.</w:t>
      </w:r>
    </w:p>
    <w:p w14:paraId="2953FA46" w14:textId="79195BFF" w:rsidR="009D0CDE" w:rsidRPr="00981721" w:rsidRDefault="009D0CDE" w:rsidP="009D0CDE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 w:rsidRPr="00981721">
        <w:rPr>
          <w:rFonts w:asciiTheme="majorHAnsi" w:hAnsiTheme="majorHAnsi" w:cstheme="majorHAnsi"/>
          <w:lang w:val="cs-CZ"/>
        </w:rPr>
        <w:t>Speciálně-pedagogická centra pak poskytu</w:t>
      </w:r>
      <w:r>
        <w:rPr>
          <w:rFonts w:asciiTheme="majorHAnsi" w:hAnsiTheme="majorHAnsi" w:cstheme="majorHAnsi"/>
          <w:lang w:val="cs-CZ"/>
        </w:rPr>
        <w:t xml:space="preserve">jí poradenské služby </w:t>
      </w:r>
      <w:r w:rsidR="00AE1E51" w:rsidRPr="00AE1E51">
        <w:rPr>
          <w:rFonts w:asciiTheme="majorHAnsi" w:hAnsiTheme="majorHAnsi" w:cstheme="majorHAnsi"/>
          <w:lang w:val="cs-CZ"/>
        </w:rPr>
        <w:t xml:space="preserve">především </w:t>
      </w:r>
      <w:r w:rsidRPr="00981721">
        <w:rPr>
          <w:rFonts w:asciiTheme="majorHAnsi" w:hAnsiTheme="majorHAnsi" w:cstheme="majorHAnsi"/>
          <w:lang w:val="cs-CZ"/>
        </w:rPr>
        <w:t>žákům, jejichž speciální vzdělávací potřeby jsou důsledkem mentálního,</w:t>
      </w:r>
      <w:r>
        <w:rPr>
          <w:rFonts w:asciiTheme="majorHAnsi" w:hAnsiTheme="majorHAnsi" w:cstheme="majorHAnsi"/>
          <w:lang w:val="cs-CZ"/>
        </w:rPr>
        <w:t xml:space="preserve"> </w:t>
      </w:r>
      <w:r w:rsidRPr="00981721">
        <w:rPr>
          <w:rFonts w:asciiTheme="majorHAnsi" w:hAnsiTheme="majorHAnsi" w:cstheme="majorHAnsi"/>
          <w:lang w:val="cs-CZ"/>
        </w:rPr>
        <w:t>tělesného, zrakového či sluchového postižení nebo vznikají na základě narušené</w:t>
      </w:r>
      <w:r>
        <w:rPr>
          <w:rFonts w:asciiTheme="majorHAnsi" w:hAnsiTheme="majorHAnsi" w:cstheme="majorHAnsi"/>
          <w:lang w:val="cs-CZ"/>
        </w:rPr>
        <w:t xml:space="preserve"> </w:t>
      </w:r>
      <w:r w:rsidRPr="00981721">
        <w:rPr>
          <w:rFonts w:asciiTheme="majorHAnsi" w:hAnsiTheme="majorHAnsi" w:cstheme="majorHAnsi"/>
          <w:lang w:val="cs-CZ"/>
        </w:rPr>
        <w:t>komunikační schop</w:t>
      </w:r>
      <w:r w:rsidR="00F2201E">
        <w:rPr>
          <w:rFonts w:asciiTheme="majorHAnsi" w:hAnsiTheme="majorHAnsi" w:cstheme="majorHAnsi"/>
          <w:lang w:val="cs-CZ"/>
        </w:rPr>
        <w:t>nosti</w:t>
      </w:r>
      <w:r w:rsidRPr="00981721">
        <w:rPr>
          <w:rFonts w:asciiTheme="majorHAnsi" w:hAnsiTheme="majorHAnsi" w:cstheme="majorHAnsi"/>
          <w:lang w:val="cs-CZ"/>
        </w:rPr>
        <w:t xml:space="preserve">, </w:t>
      </w:r>
      <w:r w:rsidR="00AE1E51">
        <w:rPr>
          <w:rFonts w:asciiTheme="majorHAnsi" w:hAnsiTheme="majorHAnsi" w:cstheme="majorHAnsi"/>
          <w:lang w:val="cs-CZ"/>
        </w:rPr>
        <w:t>souběžným postižením více vadami</w:t>
      </w:r>
      <w:r w:rsidRPr="00981721">
        <w:rPr>
          <w:rFonts w:asciiTheme="majorHAnsi" w:hAnsiTheme="majorHAnsi" w:cstheme="majorHAnsi"/>
          <w:lang w:val="cs-CZ"/>
        </w:rPr>
        <w:t xml:space="preserve"> a poruch autistického spektra.</w:t>
      </w:r>
    </w:p>
    <w:p w14:paraId="15B5284C" w14:textId="77777777" w:rsidR="00E96820" w:rsidRDefault="00723D2A" w:rsidP="008E15FA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cs-CZ"/>
        </w:rPr>
        <w:t>Stupně podpůrných opatření</w:t>
      </w:r>
    </w:p>
    <w:p w14:paraId="61D7AF6B" w14:textId="135C1E77" w:rsidR="00723D2A" w:rsidRPr="00711583" w:rsidRDefault="00723D2A" w:rsidP="00723D2A">
      <w:pPr>
        <w:spacing w:after="120"/>
        <w:ind w:left="720"/>
        <w:jc w:val="both"/>
        <w:rPr>
          <w:rFonts w:asciiTheme="majorHAnsi" w:hAnsiTheme="majorHAnsi" w:cstheme="majorHAnsi"/>
          <w:lang w:val="cs-CZ"/>
        </w:rPr>
      </w:pPr>
      <w:r w:rsidRPr="00711583">
        <w:rPr>
          <w:rFonts w:asciiTheme="majorHAnsi" w:hAnsiTheme="majorHAnsi" w:cstheme="majorHAnsi"/>
          <w:lang w:val="cs-CZ"/>
        </w:rPr>
        <w:t xml:space="preserve">Podpůrná opatření jsou definována školským zákonem a vyhláškou </w:t>
      </w:r>
      <w:r w:rsidR="000A714F">
        <w:rPr>
          <w:rFonts w:asciiTheme="majorHAnsi" w:hAnsiTheme="majorHAnsi" w:cstheme="majorHAnsi"/>
          <w:lang w:val="cs-CZ"/>
        </w:rPr>
        <w:t xml:space="preserve">č. 27/2016 Sb., </w:t>
      </w:r>
      <w:r w:rsidRPr="00711583">
        <w:rPr>
          <w:rFonts w:asciiTheme="majorHAnsi" w:hAnsiTheme="majorHAnsi" w:cstheme="majorHAnsi"/>
          <w:lang w:val="cs-CZ"/>
        </w:rPr>
        <w:t>o</w:t>
      </w:r>
      <w:r w:rsidR="00AE1E51">
        <w:rPr>
          <w:rFonts w:asciiTheme="majorHAnsi" w:hAnsiTheme="majorHAnsi" w:cstheme="majorHAnsi"/>
          <w:lang w:val="cs-CZ"/>
        </w:rPr>
        <w:t> </w:t>
      </w:r>
      <w:r w:rsidRPr="00711583">
        <w:rPr>
          <w:rFonts w:asciiTheme="majorHAnsi" w:hAnsiTheme="majorHAnsi" w:cstheme="majorHAnsi"/>
          <w:lang w:val="cs-CZ"/>
        </w:rPr>
        <w:t>vzdělávání žáků se speciálními vzdělávacími potřebami</w:t>
      </w:r>
      <w:r w:rsidR="000A714F">
        <w:rPr>
          <w:rFonts w:asciiTheme="majorHAnsi" w:hAnsiTheme="majorHAnsi" w:cstheme="majorHAnsi"/>
          <w:lang w:val="cs-CZ"/>
        </w:rPr>
        <w:t xml:space="preserve"> a žáků nadaných</w:t>
      </w:r>
      <w:r w:rsidRPr="00711583">
        <w:rPr>
          <w:rFonts w:asciiTheme="majorHAnsi" w:hAnsiTheme="majorHAnsi" w:cstheme="majorHAnsi"/>
          <w:lang w:val="cs-CZ"/>
        </w:rPr>
        <w:t>. Podle rozsahu a obsahu se člení do pěti stupňů. Podpůrná opatření různých stupňů lze kombinovat.</w:t>
      </w:r>
    </w:p>
    <w:p w14:paraId="2A718479" w14:textId="77777777" w:rsidR="00723D2A" w:rsidRPr="00711583" w:rsidRDefault="00723D2A" w:rsidP="00723D2A">
      <w:pPr>
        <w:pStyle w:val="Odstavecseseznamem"/>
        <w:numPr>
          <w:ilvl w:val="0"/>
          <w:numId w:val="13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711583">
        <w:rPr>
          <w:rFonts w:asciiTheme="majorHAnsi" w:hAnsiTheme="majorHAnsi" w:cstheme="majorHAnsi"/>
          <w:lang w:val="cs-CZ"/>
        </w:rPr>
        <w:t>I. stupeň podpůrných opatření vždy navrhuje a poskytuje škola.</w:t>
      </w:r>
    </w:p>
    <w:p w14:paraId="5FF3DF4F" w14:textId="06A75AB8" w:rsidR="00C06E25" w:rsidRPr="00C06E25" w:rsidRDefault="00723D2A" w:rsidP="00F64A90">
      <w:pPr>
        <w:pStyle w:val="Odstavecseseznamem"/>
        <w:numPr>
          <w:ilvl w:val="0"/>
          <w:numId w:val="13"/>
        </w:numPr>
        <w:spacing w:after="120"/>
        <w:ind w:left="1080"/>
        <w:contextualSpacing w:val="0"/>
        <w:jc w:val="both"/>
        <w:rPr>
          <w:rFonts w:asciiTheme="majorHAnsi" w:hAnsiTheme="majorHAnsi" w:cstheme="majorHAnsi"/>
          <w:b/>
          <w:lang w:val="cs-CZ"/>
        </w:rPr>
      </w:pPr>
      <w:r w:rsidRPr="00C06E25">
        <w:rPr>
          <w:rFonts w:asciiTheme="majorHAnsi" w:hAnsiTheme="majorHAnsi" w:cstheme="majorHAnsi"/>
          <w:lang w:val="cs-CZ"/>
        </w:rPr>
        <w:t>II. -</w:t>
      </w:r>
      <w:r w:rsidR="00452DC7">
        <w:rPr>
          <w:rFonts w:asciiTheme="majorHAnsi" w:hAnsiTheme="majorHAnsi" w:cstheme="majorHAnsi"/>
          <w:lang w:val="cs-CZ"/>
        </w:rPr>
        <w:t xml:space="preserve"> </w:t>
      </w:r>
      <w:r w:rsidRPr="00C06E25">
        <w:rPr>
          <w:rFonts w:asciiTheme="majorHAnsi" w:hAnsiTheme="majorHAnsi" w:cstheme="majorHAnsi"/>
          <w:lang w:val="cs-CZ"/>
        </w:rPr>
        <w:t>V. stupeň navrhuje a metodicky provází v jeho naplňování školské poradenské zařízení.</w:t>
      </w:r>
    </w:p>
    <w:p w14:paraId="29CAD33C" w14:textId="77777777" w:rsidR="00A0683A" w:rsidRDefault="00A0683A" w:rsidP="00A0683A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Theme="majorHAnsi" w:hAnsiTheme="majorHAnsi" w:cstheme="majorHAnsi"/>
          <w:b/>
          <w:lang w:val="cs-CZ"/>
        </w:rPr>
      </w:pPr>
      <w:r w:rsidRPr="008E15FA">
        <w:rPr>
          <w:rFonts w:asciiTheme="majorHAnsi" w:hAnsiTheme="majorHAnsi" w:cstheme="majorHAnsi"/>
          <w:b/>
          <w:lang w:val="cs-CZ"/>
        </w:rPr>
        <w:t>Plán pedagogické podpory (PLPP)</w:t>
      </w:r>
    </w:p>
    <w:p w14:paraId="7E90B494" w14:textId="00ACC318" w:rsidR="006C106A" w:rsidRPr="006C106A" w:rsidRDefault="008E15FA" w:rsidP="00AE363D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 w:rsidRPr="008E15FA">
        <w:rPr>
          <w:rFonts w:asciiTheme="majorHAnsi" w:hAnsiTheme="majorHAnsi" w:cstheme="majorHAnsi"/>
          <w:lang w:val="cs-CZ"/>
        </w:rPr>
        <w:t xml:space="preserve">Zákon specifikuje vybrané druhy podpůrných opatření, které mohou uplatnit ve výuce pedagogové s cílem podpořit vzdělávání žáka zejména změnou pedagogických </w:t>
      </w:r>
      <w:r w:rsidRPr="008E15FA">
        <w:rPr>
          <w:rFonts w:asciiTheme="majorHAnsi" w:hAnsiTheme="majorHAnsi" w:cstheme="majorHAnsi"/>
          <w:lang w:val="cs-CZ"/>
        </w:rPr>
        <w:lastRenderedPageBreak/>
        <w:t>postupů. Jedná se především o úpravy metod výuky, didaktické postupy a úpravy v</w:t>
      </w:r>
      <w:r w:rsidR="00AE1E51">
        <w:rPr>
          <w:rFonts w:asciiTheme="majorHAnsi" w:hAnsiTheme="majorHAnsi" w:cstheme="majorHAnsi"/>
          <w:lang w:val="cs-CZ"/>
        </w:rPr>
        <w:t> </w:t>
      </w:r>
      <w:r w:rsidRPr="008E15FA">
        <w:rPr>
          <w:rFonts w:asciiTheme="majorHAnsi" w:hAnsiTheme="majorHAnsi" w:cstheme="majorHAnsi"/>
          <w:lang w:val="cs-CZ"/>
        </w:rPr>
        <w:t>kritériích hodnocení žáka, případně o změny ve strat</w:t>
      </w:r>
      <w:r w:rsidR="00A0683A">
        <w:rPr>
          <w:rFonts w:asciiTheme="majorHAnsi" w:hAnsiTheme="majorHAnsi" w:cstheme="majorHAnsi"/>
          <w:lang w:val="cs-CZ"/>
        </w:rPr>
        <w:t>egiích učení žáka.</w:t>
      </w:r>
      <w:r w:rsidR="00670AB9">
        <w:rPr>
          <w:rFonts w:asciiTheme="majorHAnsi" w:hAnsiTheme="majorHAnsi" w:cstheme="majorHAnsi"/>
          <w:lang w:val="cs-CZ"/>
        </w:rPr>
        <w:t xml:space="preserve"> </w:t>
      </w:r>
      <w:r w:rsidRPr="008E15FA">
        <w:rPr>
          <w:rFonts w:asciiTheme="majorHAnsi" w:hAnsiTheme="majorHAnsi" w:cstheme="majorHAnsi"/>
          <w:lang w:val="cs-CZ"/>
        </w:rPr>
        <w:t xml:space="preserve">Pokud je charakter obtíží žáka takový, že postačují </w:t>
      </w:r>
      <w:r w:rsidR="00AE1E51">
        <w:rPr>
          <w:rFonts w:asciiTheme="majorHAnsi" w:hAnsiTheme="majorHAnsi" w:cstheme="majorHAnsi"/>
          <w:lang w:val="cs-CZ"/>
        </w:rPr>
        <w:t xml:space="preserve">úpravy </w:t>
      </w:r>
      <w:r w:rsidRPr="008E15FA">
        <w:rPr>
          <w:rFonts w:asciiTheme="majorHAnsi" w:hAnsiTheme="majorHAnsi" w:cstheme="majorHAnsi"/>
          <w:lang w:val="cs-CZ"/>
        </w:rPr>
        <w:t>pedagogick</w:t>
      </w:r>
      <w:r w:rsidR="00AE1E51">
        <w:rPr>
          <w:rFonts w:asciiTheme="majorHAnsi" w:hAnsiTheme="majorHAnsi" w:cstheme="majorHAnsi"/>
          <w:lang w:val="cs-CZ"/>
        </w:rPr>
        <w:t>ých</w:t>
      </w:r>
      <w:r w:rsidRPr="008E15FA">
        <w:rPr>
          <w:rFonts w:asciiTheme="majorHAnsi" w:hAnsiTheme="majorHAnsi" w:cstheme="majorHAnsi"/>
          <w:lang w:val="cs-CZ"/>
        </w:rPr>
        <w:t xml:space="preserve"> postup</w:t>
      </w:r>
      <w:r w:rsidR="00AE1E51">
        <w:rPr>
          <w:rFonts w:asciiTheme="majorHAnsi" w:hAnsiTheme="majorHAnsi" w:cstheme="majorHAnsi"/>
          <w:lang w:val="cs-CZ"/>
        </w:rPr>
        <w:t>ů</w:t>
      </w:r>
      <w:r w:rsidRPr="008E15FA">
        <w:rPr>
          <w:rFonts w:asciiTheme="majorHAnsi" w:hAnsiTheme="majorHAnsi" w:cstheme="majorHAnsi"/>
          <w:lang w:val="cs-CZ"/>
        </w:rPr>
        <w:t>, pak škola volí 1. stupeň podpůrn</w:t>
      </w:r>
      <w:r w:rsidR="00670AB9">
        <w:rPr>
          <w:rFonts w:asciiTheme="majorHAnsi" w:hAnsiTheme="majorHAnsi" w:cstheme="majorHAnsi"/>
          <w:lang w:val="cs-CZ"/>
        </w:rPr>
        <w:t>ých</w:t>
      </w:r>
      <w:r w:rsidRPr="008E15FA">
        <w:rPr>
          <w:rFonts w:asciiTheme="majorHAnsi" w:hAnsiTheme="majorHAnsi" w:cstheme="majorHAnsi"/>
          <w:lang w:val="cs-CZ"/>
        </w:rPr>
        <w:t xml:space="preserve"> opatření. Může postačovat</w:t>
      </w:r>
      <w:r w:rsidR="00AB4E02">
        <w:rPr>
          <w:rFonts w:asciiTheme="majorHAnsi" w:hAnsiTheme="majorHAnsi" w:cstheme="majorHAnsi"/>
          <w:lang w:val="cs-CZ"/>
        </w:rPr>
        <w:t xml:space="preserve"> jen</w:t>
      </w:r>
      <w:r w:rsidRPr="008E15FA">
        <w:rPr>
          <w:rFonts w:asciiTheme="majorHAnsi" w:hAnsiTheme="majorHAnsi" w:cstheme="majorHAnsi"/>
          <w:lang w:val="cs-CZ"/>
        </w:rPr>
        <w:t xml:space="preserve"> zvýšená individu</w:t>
      </w:r>
      <w:r>
        <w:rPr>
          <w:rFonts w:asciiTheme="majorHAnsi" w:hAnsiTheme="majorHAnsi" w:cstheme="majorHAnsi"/>
          <w:lang w:val="cs-CZ"/>
        </w:rPr>
        <w:t>alizace v</w:t>
      </w:r>
      <w:r w:rsidR="004B647D">
        <w:rPr>
          <w:rFonts w:asciiTheme="majorHAnsi" w:hAnsiTheme="majorHAnsi" w:cstheme="majorHAnsi"/>
          <w:lang w:val="cs-CZ"/>
        </w:rPr>
        <w:t xml:space="preserve"> pedagogických </w:t>
      </w:r>
      <w:r>
        <w:rPr>
          <w:rFonts w:asciiTheme="majorHAnsi" w:hAnsiTheme="majorHAnsi" w:cstheme="majorHAnsi"/>
          <w:lang w:val="cs-CZ"/>
        </w:rPr>
        <w:t>postupech</w:t>
      </w:r>
      <w:r w:rsidR="004B647D">
        <w:rPr>
          <w:rFonts w:asciiTheme="majorHAnsi" w:hAnsiTheme="majorHAnsi" w:cstheme="majorHAnsi"/>
          <w:lang w:val="cs-CZ"/>
        </w:rPr>
        <w:t>.</w:t>
      </w:r>
      <w:r w:rsidR="0047722B">
        <w:rPr>
          <w:rFonts w:asciiTheme="majorHAnsi" w:hAnsiTheme="majorHAnsi" w:cstheme="majorHAnsi"/>
          <w:lang w:val="cs-CZ"/>
        </w:rPr>
        <w:t xml:space="preserve"> </w:t>
      </w:r>
      <w:r w:rsidR="004B647D">
        <w:rPr>
          <w:rFonts w:asciiTheme="majorHAnsi" w:hAnsiTheme="majorHAnsi" w:cstheme="majorHAnsi"/>
          <w:lang w:val="cs-CZ"/>
        </w:rPr>
        <w:t xml:space="preserve">Někdy </w:t>
      </w:r>
      <w:r w:rsidRPr="008E15FA">
        <w:rPr>
          <w:rFonts w:asciiTheme="majorHAnsi" w:hAnsiTheme="majorHAnsi" w:cstheme="majorHAnsi"/>
          <w:lang w:val="cs-CZ"/>
        </w:rPr>
        <w:t xml:space="preserve">je třeba, aby se na úpravách vzdělávání žáka </w:t>
      </w:r>
      <w:r w:rsidR="00AE1E51">
        <w:rPr>
          <w:rFonts w:asciiTheme="majorHAnsi" w:hAnsiTheme="majorHAnsi" w:cstheme="majorHAnsi"/>
          <w:lang w:val="cs-CZ"/>
        </w:rPr>
        <w:t>podílelo</w:t>
      </w:r>
      <w:r w:rsidR="00AE1E51" w:rsidRPr="008E15FA">
        <w:rPr>
          <w:rFonts w:asciiTheme="majorHAnsi" w:hAnsiTheme="majorHAnsi" w:cstheme="majorHAnsi"/>
          <w:lang w:val="cs-CZ"/>
        </w:rPr>
        <w:t xml:space="preserve"> </w:t>
      </w:r>
      <w:r w:rsidRPr="008E15FA">
        <w:rPr>
          <w:rFonts w:asciiTheme="majorHAnsi" w:hAnsiTheme="majorHAnsi" w:cstheme="majorHAnsi"/>
          <w:lang w:val="cs-CZ"/>
        </w:rPr>
        <w:t>více pedagogů</w:t>
      </w:r>
      <w:r w:rsidR="00AE1E51">
        <w:rPr>
          <w:rFonts w:asciiTheme="majorHAnsi" w:hAnsiTheme="majorHAnsi" w:cstheme="majorHAnsi"/>
          <w:lang w:val="cs-CZ"/>
        </w:rPr>
        <w:t>,</w:t>
      </w:r>
      <w:r w:rsidR="004B647D">
        <w:rPr>
          <w:rFonts w:asciiTheme="majorHAnsi" w:hAnsiTheme="majorHAnsi" w:cstheme="majorHAnsi"/>
          <w:lang w:val="cs-CZ"/>
        </w:rPr>
        <w:t xml:space="preserve"> a</w:t>
      </w:r>
      <w:r w:rsidRPr="008E15FA">
        <w:rPr>
          <w:rFonts w:asciiTheme="majorHAnsi" w:hAnsiTheme="majorHAnsi" w:cstheme="majorHAnsi"/>
          <w:lang w:val="cs-CZ"/>
        </w:rPr>
        <w:t xml:space="preserve"> pak je vhodné vytv</w:t>
      </w:r>
      <w:r w:rsidR="00AB4E02">
        <w:rPr>
          <w:rFonts w:asciiTheme="majorHAnsi" w:hAnsiTheme="majorHAnsi" w:cstheme="majorHAnsi"/>
          <w:lang w:val="cs-CZ"/>
        </w:rPr>
        <w:t>ořit</w:t>
      </w:r>
      <w:r w:rsidR="004F408D">
        <w:rPr>
          <w:rFonts w:asciiTheme="majorHAnsi" w:hAnsiTheme="majorHAnsi" w:cstheme="majorHAnsi"/>
          <w:lang w:val="cs-CZ"/>
        </w:rPr>
        <w:t xml:space="preserve"> Plán pedagogické podpory</w:t>
      </w:r>
      <w:r w:rsidRPr="008E15FA">
        <w:rPr>
          <w:rFonts w:asciiTheme="majorHAnsi" w:hAnsiTheme="majorHAnsi" w:cstheme="majorHAnsi"/>
          <w:lang w:val="cs-CZ"/>
        </w:rPr>
        <w:t xml:space="preserve">. </w:t>
      </w:r>
      <w:r w:rsidR="004B647D">
        <w:rPr>
          <w:rFonts w:asciiTheme="majorHAnsi" w:hAnsiTheme="majorHAnsi" w:cstheme="majorHAnsi"/>
          <w:lang w:val="cs-CZ"/>
        </w:rPr>
        <w:t xml:space="preserve">Ten </w:t>
      </w:r>
      <w:r w:rsidRPr="008E15FA">
        <w:rPr>
          <w:rFonts w:asciiTheme="majorHAnsi" w:hAnsiTheme="majorHAnsi" w:cstheme="majorHAnsi"/>
          <w:lang w:val="cs-CZ"/>
        </w:rPr>
        <w:t xml:space="preserve">stručně popisuje, </w:t>
      </w:r>
      <w:r w:rsidR="00AE1E51">
        <w:rPr>
          <w:rFonts w:asciiTheme="majorHAnsi" w:hAnsiTheme="majorHAnsi" w:cstheme="majorHAnsi"/>
          <w:lang w:val="cs-CZ"/>
        </w:rPr>
        <w:t>ve kterých oblastech vzdělávání má</w:t>
      </w:r>
      <w:r w:rsidRPr="00410A25">
        <w:rPr>
          <w:rFonts w:asciiTheme="majorHAnsi" w:hAnsiTheme="majorHAnsi" w:cstheme="majorHAnsi"/>
          <w:lang w:val="cs-CZ"/>
        </w:rPr>
        <w:t xml:space="preserve"> žák problémy, co se v postupech práce změní</w:t>
      </w:r>
      <w:r w:rsidR="00AE1E51">
        <w:rPr>
          <w:rFonts w:asciiTheme="majorHAnsi" w:hAnsiTheme="majorHAnsi" w:cstheme="majorHAnsi"/>
          <w:lang w:val="cs-CZ"/>
        </w:rPr>
        <w:t>,</w:t>
      </w:r>
      <w:r w:rsidRPr="00410A25">
        <w:rPr>
          <w:rFonts w:asciiTheme="majorHAnsi" w:hAnsiTheme="majorHAnsi" w:cstheme="majorHAnsi"/>
          <w:lang w:val="cs-CZ"/>
        </w:rPr>
        <w:t xml:space="preserve"> a jak </w:t>
      </w:r>
      <w:r w:rsidR="00AE1E51">
        <w:rPr>
          <w:rFonts w:asciiTheme="majorHAnsi" w:hAnsiTheme="majorHAnsi" w:cstheme="majorHAnsi"/>
          <w:lang w:val="cs-CZ"/>
        </w:rPr>
        <w:t xml:space="preserve">změny </w:t>
      </w:r>
      <w:r w:rsidRPr="00410A25">
        <w:rPr>
          <w:rFonts w:asciiTheme="majorHAnsi" w:hAnsiTheme="majorHAnsi" w:cstheme="majorHAnsi"/>
          <w:lang w:val="cs-CZ"/>
        </w:rPr>
        <w:t xml:space="preserve"> promítn</w:t>
      </w:r>
      <w:r w:rsidR="00AE1E51">
        <w:rPr>
          <w:rFonts w:asciiTheme="majorHAnsi" w:hAnsiTheme="majorHAnsi" w:cstheme="majorHAnsi"/>
          <w:lang w:val="cs-CZ"/>
        </w:rPr>
        <w:t xml:space="preserve">ou </w:t>
      </w:r>
      <w:r w:rsidRPr="00410A25">
        <w:rPr>
          <w:rFonts w:asciiTheme="majorHAnsi" w:hAnsiTheme="majorHAnsi" w:cstheme="majorHAnsi"/>
          <w:lang w:val="cs-CZ"/>
        </w:rPr>
        <w:t xml:space="preserve"> do metod práce, organizace vzdělávání žáka i jeho hodnocení. Popis má být st</w:t>
      </w:r>
      <w:r w:rsidR="00E93517" w:rsidRPr="00410A25">
        <w:rPr>
          <w:rFonts w:asciiTheme="majorHAnsi" w:hAnsiTheme="majorHAnsi" w:cstheme="majorHAnsi"/>
          <w:lang w:val="cs-CZ"/>
        </w:rPr>
        <w:t>ručný, je záznamem pro pedagogy,</w:t>
      </w:r>
      <w:r w:rsidRPr="00410A25">
        <w:rPr>
          <w:rFonts w:asciiTheme="majorHAnsi" w:hAnsiTheme="majorHAnsi" w:cstheme="majorHAnsi"/>
          <w:lang w:val="cs-CZ"/>
        </w:rPr>
        <w:t xml:space="preserve"> </w:t>
      </w:r>
      <w:r w:rsidR="00E93517" w:rsidRPr="00410A25">
        <w:rPr>
          <w:rFonts w:asciiTheme="majorHAnsi" w:hAnsiTheme="majorHAnsi" w:cstheme="majorHAnsi"/>
          <w:lang w:val="cs-CZ"/>
        </w:rPr>
        <w:t>kteří s žákem pracu</w:t>
      </w:r>
      <w:r w:rsidRPr="00410A25">
        <w:rPr>
          <w:rFonts w:asciiTheme="majorHAnsi" w:hAnsiTheme="majorHAnsi" w:cstheme="majorHAnsi"/>
          <w:lang w:val="cs-CZ"/>
        </w:rPr>
        <w:t>jí</w:t>
      </w:r>
      <w:r w:rsidR="00AE1E51">
        <w:rPr>
          <w:rFonts w:asciiTheme="majorHAnsi" w:hAnsiTheme="majorHAnsi" w:cstheme="majorHAnsi"/>
          <w:lang w:val="cs-CZ"/>
        </w:rPr>
        <w:t>, a poskytuje jim zpětnou vazbu.</w:t>
      </w:r>
    </w:p>
    <w:p w14:paraId="65167019" w14:textId="6F01E1A4" w:rsidR="008E15FA" w:rsidRPr="00410A25" w:rsidRDefault="00AE363D" w:rsidP="00AE363D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 w:rsidRPr="006C106A">
        <w:rPr>
          <w:rFonts w:asciiTheme="majorHAnsi" w:hAnsiTheme="majorHAnsi" w:cstheme="majorHAnsi"/>
          <w:lang w:val="cs-CZ"/>
        </w:rPr>
        <w:t>Plán pedagogické podpory</w:t>
      </w:r>
      <w:r w:rsidRPr="001652D7">
        <w:rPr>
          <w:rFonts w:asciiTheme="majorHAnsi" w:hAnsiTheme="majorHAnsi" w:cstheme="majorHAnsi"/>
          <w:lang w:val="cs-CZ"/>
        </w:rPr>
        <w:t xml:space="preserve"> </w:t>
      </w:r>
      <w:r w:rsidR="001652D7" w:rsidRPr="001652D7">
        <w:rPr>
          <w:rFonts w:asciiTheme="majorHAnsi" w:hAnsiTheme="majorHAnsi" w:cstheme="majorHAnsi"/>
          <w:lang w:val="cs-CZ"/>
        </w:rPr>
        <w:t xml:space="preserve">zpracovává přímo škola v prvním stupni podpůrných opatření s cílem podpořit žáka, u kterého se projevují mírné obtíže ve vzdělávání. </w:t>
      </w:r>
      <w:r w:rsidRPr="00410A25">
        <w:rPr>
          <w:rFonts w:asciiTheme="majorHAnsi" w:hAnsiTheme="majorHAnsi" w:cstheme="majorHAnsi"/>
          <w:lang w:val="cs-CZ"/>
        </w:rPr>
        <w:t>Pokud k podpoře vzdělávání žáka</w:t>
      </w:r>
      <w:r w:rsidR="001652D7">
        <w:rPr>
          <w:rFonts w:asciiTheme="majorHAnsi" w:hAnsiTheme="majorHAnsi" w:cstheme="majorHAnsi"/>
          <w:lang w:val="cs-CZ"/>
        </w:rPr>
        <w:t xml:space="preserve"> nepostačí podpůrná opatření prvního</w:t>
      </w:r>
      <w:r w:rsidR="006C106A">
        <w:rPr>
          <w:rFonts w:asciiTheme="majorHAnsi" w:hAnsiTheme="majorHAnsi" w:cstheme="majorHAnsi"/>
          <w:lang w:val="cs-CZ"/>
        </w:rPr>
        <w:t xml:space="preserve"> stupně</w:t>
      </w:r>
      <w:r w:rsidR="001652D7">
        <w:rPr>
          <w:rFonts w:asciiTheme="majorHAnsi" w:hAnsiTheme="majorHAnsi" w:cstheme="majorHAnsi"/>
          <w:lang w:val="cs-CZ"/>
        </w:rPr>
        <w:t xml:space="preserve"> </w:t>
      </w:r>
      <w:r w:rsidR="00AE1E51">
        <w:rPr>
          <w:rFonts w:asciiTheme="majorHAnsi" w:hAnsiTheme="majorHAnsi" w:cstheme="majorHAnsi"/>
          <w:lang w:val="cs-CZ"/>
        </w:rPr>
        <w:t xml:space="preserve">poskytovaná </w:t>
      </w:r>
      <w:r w:rsidR="001652D7">
        <w:rPr>
          <w:rFonts w:asciiTheme="majorHAnsi" w:hAnsiTheme="majorHAnsi" w:cstheme="majorHAnsi"/>
          <w:lang w:val="cs-CZ"/>
        </w:rPr>
        <w:t>školou</w:t>
      </w:r>
      <w:r w:rsidRPr="00410A25">
        <w:rPr>
          <w:rFonts w:asciiTheme="majorHAnsi" w:hAnsiTheme="majorHAnsi" w:cstheme="majorHAnsi"/>
          <w:lang w:val="cs-CZ"/>
        </w:rPr>
        <w:t xml:space="preserve">, školské poradenské zařízení navrhne některá z opatření </w:t>
      </w:r>
      <w:r w:rsidR="001652D7">
        <w:rPr>
          <w:rFonts w:asciiTheme="majorHAnsi" w:hAnsiTheme="majorHAnsi" w:cstheme="majorHAnsi"/>
          <w:lang w:val="cs-CZ"/>
        </w:rPr>
        <w:t>druhého až pátého</w:t>
      </w:r>
      <w:r w:rsidRPr="00410A25">
        <w:rPr>
          <w:rFonts w:asciiTheme="majorHAnsi" w:hAnsiTheme="majorHAnsi" w:cstheme="majorHAnsi"/>
          <w:lang w:val="cs-CZ"/>
        </w:rPr>
        <w:t xml:space="preserve"> stupně, mezi které patří </w:t>
      </w:r>
      <w:r w:rsidR="006C106A">
        <w:rPr>
          <w:rFonts w:asciiTheme="majorHAnsi" w:hAnsiTheme="majorHAnsi" w:cstheme="majorHAnsi"/>
          <w:lang w:val="cs-CZ"/>
        </w:rPr>
        <w:t xml:space="preserve">mimo jiné také </w:t>
      </w:r>
      <w:r w:rsidRPr="00410A25">
        <w:rPr>
          <w:rFonts w:asciiTheme="majorHAnsi" w:hAnsiTheme="majorHAnsi" w:cstheme="majorHAnsi"/>
          <w:lang w:val="cs-CZ"/>
        </w:rPr>
        <w:t>individuální vzdělávací plán.</w:t>
      </w:r>
    </w:p>
    <w:p w14:paraId="28D75DFA" w14:textId="77777777" w:rsidR="008E15FA" w:rsidRDefault="008E15FA" w:rsidP="008E15FA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Theme="majorHAnsi" w:hAnsiTheme="majorHAnsi" w:cstheme="majorHAnsi"/>
          <w:b/>
          <w:lang w:val="cs-CZ"/>
        </w:rPr>
      </w:pPr>
      <w:r w:rsidRPr="008E15FA">
        <w:rPr>
          <w:rFonts w:asciiTheme="majorHAnsi" w:hAnsiTheme="majorHAnsi" w:cstheme="majorHAnsi"/>
          <w:b/>
          <w:lang w:val="cs-CZ"/>
        </w:rPr>
        <w:t>Doporučení ke vzdělávání žáka se speciálními vzdělávacími potřebami</w:t>
      </w:r>
    </w:p>
    <w:p w14:paraId="693D1310" w14:textId="3BF5A642" w:rsidR="00981721" w:rsidRPr="008E15FA" w:rsidRDefault="001652D7" w:rsidP="00981721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Pokud zvolená podpůrná opatření prvního stupně v práci s žákem ne</w:t>
      </w:r>
      <w:r w:rsidR="00981721" w:rsidRPr="008E15FA">
        <w:rPr>
          <w:rFonts w:asciiTheme="majorHAnsi" w:hAnsiTheme="majorHAnsi" w:cstheme="majorHAnsi"/>
          <w:lang w:val="cs-CZ"/>
        </w:rPr>
        <w:t xml:space="preserve">vedou ani po třech měsících k očekávané změně, obtíže žáka </w:t>
      </w:r>
      <w:r>
        <w:rPr>
          <w:rFonts w:asciiTheme="majorHAnsi" w:hAnsiTheme="majorHAnsi" w:cstheme="majorHAnsi"/>
          <w:lang w:val="cs-CZ"/>
        </w:rPr>
        <w:t>pokračují</w:t>
      </w:r>
      <w:r w:rsidR="00616C13">
        <w:rPr>
          <w:rFonts w:asciiTheme="majorHAnsi" w:hAnsiTheme="majorHAnsi" w:cstheme="majorHAnsi"/>
          <w:lang w:val="cs-CZ"/>
        </w:rPr>
        <w:t>,</w:t>
      </w:r>
      <w:r w:rsidR="00981721" w:rsidRPr="008E15FA">
        <w:rPr>
          <w:rFonts w:asciiTheme="majorHAnsi" w:hAnsiTheme="majorHAnsi" w:cstheme="majorHAnsi"/>
          <w:lang w:val="cs-CZ"/>
        </w:rPr>
        <w:t xml:space="preserve"> nebo se </w:t>
      </w:r>
      <w:r>
        <w:rPr>
          <w:rFonts w:asciiTheme="majorHAnsi" w:hAnsiTheme="majorHAnsi" w:cstheme="majorHAnsi"/>
          <w:lang w:val="cs-CZ"/>
        </w:rPr>
        <w:t>prohlubují</w:t>
      </w:r>
      <w:r w:rsidR="00981721">
        <w:rPr>
          <w:rFonts w:asciiTheme="majorHAnsi" w:hAnsiTheme="majorHAnsi" w:cstheme="majorHAnsi"/>
          <w:lang w:val="cs-CZ"/>
        </w:rPr>
        <w:t xml:space="preserve">, pak </w:t>
      </w:r>
      <w:r w:rsidR="00981721" w:rsidRPr="008E15FA">
        <w:rPr>
          <w:rFonts w:asciiTheme="majorHAnsi" w:hAnsiTheme="majorHAnsi" w:cstheme="majorHAnsi"/>
          <w:lang w:val="cs-CZ"/>
        </w:rPr>
        <w:t xml:space="preserve">škola </w:t>
      </w:r>
      <w:r w:rsidR="000A714F">
        <w:rPr>
          <w:rFonts w:asciiTheme="majorHAnsi" w:hAnsiTheme="majorHAnsi" w:cstheme="majorHAnsi"/>
          <w:lang w:val="cs-CZ"/>
        </w:rPr>
        <w:t xml:space="preserve">doporučí zákonnému zástupci </w:t>
      </w:r>
      <w:r w:rsidR="00981721" w:rsidRPr="008E15FA">
        <w:rPr>
          <w:rFonts w:asciiTheme="majorHAnsi" w:hAnsiTheme="majorHAnsi" w:cstheme="majorHAnsi"/>
          <w:lang w:val="cs-CZ"/>
        </w:rPr>
        <w:t xml:space="preserve">žáka nebo </w:t>
      </w:r>
      <w:r w:rsidR="000A714F">
        <w:rPr>
          <w:rFonts w:asciiTheme="majorHAnsi" w:hAnsiTheme="majorHAnsi" w:cstheme="majorHAnsi"/>
          <w:lang w:val="cs-CZ"/>
        </w:rPr>
        <w:t>zletilému žákovi vyšetření ve škol</w:t>
      </w:r>
      <w:r w:rsidR="001C5B46">
        <w:rPr>
          <w:rFonts w:asciiTheme="majorHAnsi" w:hAnsiTheme="majorHAnsi" w:cstheme="majorHAnsi"/>
          <w:lang w:val="cs-CZ"/>
        </w:rPr>
        <w:t>s</w:t>
      </w:r>
      <w:r w:rsidR="000A714F">
        <w:rPr>
          <w:rFonts w:asciiTheme="majorHAnsi" w:hAnsiTheme="majorHAnsi" w:cstheme="majorHAnsi"/>
          <w:lang w:val="cs-CZ"/>
        </w:rPr>
        <w:t>kém poradenském zařízení</w:t>
      </w:r>
      <w:r w:rsidR="00981721" w:rsidRPr="008E15FA">
        <w:rPr>
          <w:rFonts w:asciiTheme="majorHAnsi" w:hAnsiTheme="majorHAnsi" w:cstheme="majorHAnsi"/>
          <w:lang w:val="cs-CZ"/>
        </w:rPr>
        <w:t>.</w:t>
      </w:r>
      <w:r w:rsidR="00981721">
        <w:rPr>
          <w:rFonts w:asciiTheme="majorHAnsi" w:hAnsiTheme="majorHAnsi" w:cstheme="majorHAnsi"/>
          <w:lang w:val="cs-CZ"/>
        </w:rPr>
        <w:t xml:space="preserve"> Školské poradenské zařízení také rovnou navštíví žák, u kterého se předem očekává nutnost </w:t>
      </w:r>
      <w:r w:rsidR="002C4213">
        <w:rPr>
          <w:rFonts w:asciiTheme="majorHAnsi" w:hAnsiTheme="majorHAnsi" w:cstheme="majorHAnsi"/>
          <w:lang w:val="cs-CZ"/>
        </w:rPr>
        <w:t xml:space="preserve">vyšetření a </w:t>
      </w:r>
      <w:r w:rsidR="00981721">
        <w:rPr>
          <w:rFonts w:asciiTheme="majorHAnsi" w:hAnsiTheme="majorHAnsi" w:cstheme="majorHAnsi"/>
          <w:lang w:val="cs-CZ"/>
        </w:rPr>
        <w:t>podpory, například žák se zdravotním postižením.</w:t>
      </w:r>
    </w:p>
    <w:p w14:paraId="67114572" w14:textId="77777777" w:rsidR="00981721" w:rsidRPr="008E15FA" w:rsidRDefault="00981721" w:rsidP="00981721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 w:rsidRPr="008E15FA">
        <w:rPr>
          <w:rFonts w:asciiTheme="majorHAnsi" w:hAnsiTheme="majorHAnsi" w:cstheme="majorHAnsi"/>
          <w:lang w:val="cs-CZ"/>
        </w:rPr>
        <w:t>Školské poradenské zařízení žáka objedná k pos</w:t>
      </w:r>
      <w:r>
        <w:rPr>
          <w:rFonts w:asciiTheme="majorHAnsi" w:hAnsiTheme="majorHAnsi" w:cstheme="majorHAnsi"/>
          <w:lang w:val="cs-CZ"/>
        </w:rPr>
        <w:t>ouzení jeho vzdělávacích potřeb. Ob</w:t>
      </w:r>
      <w:r w:rsidRPr="008E15FA">
        <w:rPr>
          <w:rFonts w:asciiTheme="majorHAnsi" w:hAnsiTheme="majorHAnsi" w:cstheme="majorHAnsi"/>
          <w:lang w:val="cs-CZ"/>
        </w:rPr>
        <w:t>jednací lhůta by měla respektovat i důvody</w:t>
      </w:r>
      <w:r>
        <w:rPr>
          <w:rFonts w:asciiTheme="majorHAnsi" w:hAnsiTheme="majorHAnsi" w:cstheme="majorHAnsi"/>
          <w:lang w:val="cs-CZ"/>
        </w:rPr>
        <w:t>,</w:t>
      </w:r>
      <w:r w:rsidRPr="008E15FA">
        <w:rPr>
          <w:rFonts w:asciiTheme="majorHAnsi" w:hAnsiTheme="majorHAnsi" w:cstheme="majorHAnsi"/>
          <w:lang w:val="cs-CZ"/>
        </w:rPr>
        <w:t xml:space="preserve"> pro které žák do školského poradenského zařízení přichází.</w:t>
      </w:r>
    </w:p>
    <w:p w14:paraId="1CA21130" w14:textId="77777777" w:rsidR="00981721" w:rsidRPr="008E15FA" w:rsidRDefault="00981721" w:rsidP="00981721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 w:rsidRPr="008E15FA">
        <w:rPr>
          <w:rFonts w:asciiTheme="majorHAnsi" w:hAnsiTheme="majorHAnsi" w:cstheme="majorHAnsi"/>
          <w:lang w:val="cs-CZ"/>
        </w:rPr>
        <w:t>Na základě vyhodnocení všech podkladů</w:t>
      </w:r>
      <w:r>
        <w:rPr>
          <w:rFonts w:asciiTheme="majorHAnsi" w:hAnsiTheme="majorHAnsi" w:cstheme="majorHAnsi"/>
          <w:lang w:val="cs-CZ"/>
        </w:rPr>
        <w:t>,</w:t>
      </w:r>
      <w:r w:rsidRPr="008E15FA">
        <w:rPr>
          <w:rFonts w:asciiTheme="majorHAnsi" w:hAnsiTheme="majorHAnsi" w:cstheme="majorHAnsi"/>
          <w:lang w:val="cs-CZ"/>
        </w:rPr>
        <w:t xml:space="preserve"> se kterými žák do </w:t>
      </w:r>
      <w:r>
        <w:rPr>
          <w:rFonts w:asciiTheme="majorHAnsi" w:hAnsiTheme="majorHAnsi" w:cstheme="majorHAnsi"/>
          <w:lang w:val="cs-CZ"/>
        </w:rPr>
        <w:t>školského poradenského zařízení</w:t>
      </w:r>
      <w:r w:rsidRPr="008E15FA">
        <w:rPr>
          <w:rFonts w:asciiTheme="majorHAnsi" w:hAnsiTheme="majorHAnsi" w:cstheme="majorHAnsi"/>
          <w:lang w:val="cs-CZ"/>
        </w:rPr>
        <w:t xml:space="preserve"> přichází (Plán pedagogické podpory, vyšetření lékařů a klinických odborníků, vyšetření z jiných ško</w:t>
      </w:r>
      <w:r>
        <w:rPr>
          <w:rFonts w:asciiTheme="majorHAnsi" w:hAnsiTheme="majorHAnsi" w:cstheme="majorHAnsi"/>
          <w:lang w:val="cs-CZ"/>
        </w:rPr>
        <w:t>lských poradenských zařízení a podobně</w:t>
      </w:r>
      <w:r w:rsidRPr="008E15FA">
        <w:rPr>
          <w:rFonts w:asciiTheme="majorHAnsi" w:hAnsiTheme="majorHAnsi" w:cstheme="majorHAnsi"/>
          <w:lang w:val="cs-CZ"/>
        </w:rPr>
        <w:t xml:space="preserve">), </w:t>
      </w:r>
      <w:r>
        <w:rPr>
          <w:rFonts w:asciiTheme="majorHAnsi" w:hAnsiTheme="majorHAnsi" w:cstheme="majorHAnsi"/>
          <w:lang w:val="cs-CZ"/>
        </w:rPr>
        <w:t>školské poradenské zařízení vyšetř</w:t>
      </w:r>
      <w:r w:rsidRPr="008E15FA">
        <w:rPr>
          <w:rFonts w:asciiTheme="majorHAnsi" w:hAnsiTheme="majorHAnsi" w:cstheme="majorHAnsi"/>
          <w:lang w:val="cs-CZ"/>
        </w:rPr>
        <w:t>í žáka za účelem posouzení jeho speciálních vzdělávacích potřeb.</w:t>
      </w:r>
    </w:p>
    <w:p w14:paraId="107A3210" w14:textId="77777777" w:rsidR="00981721" w:rsidRDefault="00981721" w:rsidP="00981721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b/>
          <w:lang w:val="cs-CZ"/>
        </w:rPr>
      </w:pPr>
      <w:r w:rsidRPr="008E15FA">
        <w:rPr>
          <w:rFonts w:asciiTheme="majorHAnsi" w:hAnsiTheme="majorHAnsi" w:cstheme="majorHAnsi"/>
          <w:lang w:val="cs-CZ"/>
        </w:rPr>
        <w:t xml:space="preserve">Po vyšetření a vyhodnocení všech souvislostí školské poradenské zařízení vydává škole </w:t>
      </w:r>
      <w:r>
        <w:rPr>
          <w:rFonts w:asciiTheme="majorHAnsi" w:hAnsiTheme="majorHAnsi" w:cstheme="majorHAnsi"/>
          <w:lang w:val="cs-CZ"/>
        </w:rPr>
        <w:t>„</w:t>
      </w:r>
      <w:r w:rsidRPr="008E15FA">
        <w:rPr>
          <w:rFonts w:asciiTheme="majorHAnsi" w:hAnsiTheme="majorHAnsi" w:cstheme="majorHAnsi"/>
          <w:lang w:val="cs-CZ"/>
        </w:rPr>
        <w:t>Doporučení ke vzdělávání žáka se speciálními vzdělávacími potřebami</w:t>
      </w:r>
      <w:r>
        <w:rPr>
          <w:rFonts w:asciiTheme="majorHAnsi" w:hAnsiTheme="majorHAnsi" w:cstheme="majorHAnsi"/>
          <w:lang w:val="cs-CZ"/>
        </w:rPr>
        <w:t>“</w:t>
      </w:r>
      <w:r w:rsidRPr="008E15FA">
        <w:rPr>
          <w:rFonts w:asciiTheme="majorHAnsi" w:hAnsiTheme="majorHAnsi" w:cstheme="majorHAnsi"/>
          <w:lang w:val="cs-CZ"/>
        </w:rPr>
        <w:t>, které obsahuje závěry z vyšetření žáka a doporučovaná podpůrná opatření.</w:t>
      </w:r>
    </w:p>
    <w:p w14:paraId="3ADF3833" w14:textId="77777777" w:rsidR="008E15FA" w:rsidRDefault="00A0683A" w:rsidP="008E15FA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cs-CZ"/>
        </w:rPr>
        <w:t>Druhy podpůrných opatření</w:t>
      </w:r>
    </w:p>
    <w:p w14:paraId="207BD2B2" w14:textId="77777777" w:rsidR="000C7662" w:rsidRDefault="008E15FA" w:rsidP="008E15FA">
      <w:pPr>
        <w:pStyle w:val="Odstavecseseznamem"/>
        <w:numPr>
          <w:ilvl w:val="0"/>
          <w:numId w:val="14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0C7662">
        <w:rPr>
          <w:rFonts w:asciiTheme="majorHAnsi" w:hAnsiTheme="majorHAnsi" w:cstheme="majorHAnsi"/>
          <w:lang w:val="cs-CZ"/>
        </w:rPr>
        <w:t>Podpora a poradenská pomoc školním poradenským pracovištěm;</w:t>
      </w:r>
    </w:p>
    <w:p w14:paraId="494ECC28" w14:textId="77777777" w:rsidR="000C7662" w:rsidRDefault="008E15FA" w:rsidP="008E15FA">
      <w:pPr>
        <w:pStyle w:val="Odstavecseseznamem"/>
        <w:numPr>
          <w:ilvl w:val="0"/>
          <w:numId w:val="14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0C7662">
        <w:rPr>
          <w:rFonts w:asciiTheme="majorHAnsi" w:hAnsiTheme="majorHAnsi" w:cstheme="majorHAnsi"/>
          <w:lang w:val="cs-CZ"/>
        </w:rPr>
        <w:t>úprava obsahu, výstupů, hodnocení, forem a metod vzdělávání a školských služeb, včetně zabezpečení výuky předmětů speciálně pedagogické péče;</w:t>
      </w:r>
    </w:p>
    <w:p w14:paraId="6EFAFE09" w14:textId="77777777" w:rsidR="000C7662" w:rsidRDefault="000C7662" w:rsidP="008E15FA">
      <w:pPr>
        <w:pStyle w:val="Odstavecseseznamem"/>
        <w:numPr>
          <w:ilvl w:val="0"/>
          <w:numId w:val="14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0C7662">
        <w:rPr>
          <w:rFonts w:asciiTheme="majorHAnsi" w:hAnsiTheme="majorHAnsi" w:cstheme="majorHAnsi"/>
          <w:lang w:val="cs-CZ"/>
        </w:rPr>
        <w:t>o</w:t>
      </w:r>
      <w:r w:rsidR="008E15FA" w:rsidRPr="000C7662">
        <w:rPr>
          <w:rFonts w:asciiTheme="majorHAnsi" w:hAnsiTheme="majorHAnsi" w:cstheme="majorHAnsi"/>
          <w:lang w:val="cs-CZ"/>
        </w:rPr>
        <w:t>rganizace vzdělávání jako organizace výuky, volno-časových aktivit, prostorového uspořádání, práce s délkou vyučovací hodiny, délka přestávky, počet žáků ve třídě nebo skupině a podobně;</w:t>
      </w:r>
    </w:p>
    <w:p w14:paraId="2DF08181" w14:textId="77777777" w:rsidR="000C7662" w:rsidRDefault="008E15FA" w:rsidP="008E15FA">
      <w:pPr>
        <w:pStyle w:val="Odstavecseseznamem"/>
        <w:numPr>
          <w:ilvl w:val="0"/>
          <w:numId w:val="14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0C7662">
        <w:rPr>
          <w:rFonts w:asciiTheme="majorHAnsi" w:hAnsiTheme="majorHAnsi" w:cstheme="majorHAnsi"/>
          <w:lang w:val="cs-CZ"/>
        </w:rPr>
        <w:t>individuální vzdělávací plán (IVP);</w:t>
      </w:r>
    </w:p>
    <w:p w14:paraId="7EA4EA6E" w14:textId="77777777" w:rsidR="000C7662" w:rsidRDefault="008E15FA" w:rsidP="008E15FA">
      <w:pPr>
        <w:pStyle w:val="Odstavecseseznamem"/>
        <w:numPr>
          <w:ilvl w:val="0"/>
          <w:numId w:val="14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0C7662">
        <w:rPr>
          <w:rFonts w:asciiTheme="majorHAnsi" w:hAnsiTheme="majorHAnsi" w:cstheme="majorHAnsi"/>
          <w:lang w:val="cs-CZ"/>
        </w:rPr>
        <w:t>personální podpora pro práci pedagoga: asistent pedagoga, další pedagogický pracovník, školní psycholog, školní speciální pedagog;</w:t>
      </w:r>
    </w:p>
    <w:p w14:paraId="17C2837C" w14:textId="77777777" w:rsidR="000C7662" w:rsidRDefault="008E15FA" w:rsidP="008E15FA">
      <w:pPr>
        <w:pStyle w:val="Odstavecseseznamem"/>
        <w:numPr>
          <w:ilvl w:val="0"/>
          <w:numId w:val="14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0C7662">
        <w:rPr>
          <w:rFonts w:asciiTheme="majorHAnsi" w:hAnsiTheme="majorHAnsi" w:cstheme="majorHAnsi"/>
          <w:lang w:val="cs-CZ"/>
        </w:rPr>
        <w:lastRenderedPageBreak/>
        <w:t>podpora pro žáka: tlumočník do českého znakového jazyka, přepisovatel pro neslyšící, průvodce pro orientaci v prostoru, osobní asistent nebo přítomnost další osoby;</w:t>
      </w:r>
    </w:p>
    <w:p w14:paraId="1C3AF9E6" w14:textId="77777777" w:rsidR="000C7662" w:rsidRDefault="008E15FA" w:rsidP="008E15FA">
      <w:pPr>
        <w:pStyle w:val="Odstavecseseznamem"/>
        <w:numPr>
          <w:ilvl w:val="0"/>
          <w:numId w:val="14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0C7662">
        <w:rPr>
          <w:rFonts w:asciiTheme="majorHAnsi" w:hAnsiTheme="majorHAnsi" w:cstheme="majorHAnsi"/>
          <w:lang w:val="cs-CZ"/>
        </w:rPr>
        <w:t>použití kompenzačních pomůcek, speciálních učebnic a speciálních učebních pomůcek,</w:t>
      </w:r>
    </w:p>
    <w:p w14:paraId="1D91BBD5" w14:textId="77777777" w:rsidR="000C7662" w:rsidRDefault="008E15FA" w:rsidP="008E15FA">
      <w:pPr>
        <w:pStyle w:val="Odstavecseseznamem"/>
        <w:numPr>
          <w:ilvl w:val="0"/>
          <w:numId w:val="14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0C7662">
        <w:rPr>
          <w:rFonts w:asciiTheme="majorHAnsi" w:hAnsiTheme="majorHAnsi" w:cstheme="majorHAnsi"/>
          <w:lang w:val="cs-CZ"/>
        </w:rPr>
        <w:t>využívání komunikačních systémů neslyšících a hluchoslepých osob, Braillova písma a náhradních komunikačních systémů,</w:t>
      </w:r>
    </w:p>
    <w:p w14:paraId="7ADF9498" w14:textId="77777777" w:rsidR="000C7662" w:rsidRDefault="008E15FA" w:rsidP="008E15FA">
      <w:pPr>
        <w:pStyle w:val="Odstavecseseznamem"/>
        <w:numPr>
          <w:ilvl w:val="0"/>
          <w:numId w:val="14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0C7662">
        <w:rPr>
          <w:rFonts w:asciiTheme="majorHAnsi" w:hAnsiTheme="majorHAnsi" w:cstheme="majorHAnsi"/>
          <w:lang w:val="cs-CZ"/>
        </w:rPr>
        <w:t>metodická podpora v intenzivní podobě ze strany ŠPZ po dobu 6 měsíců v případech, kdy škola vzdělává žáka, jehož vzdělávání a nastavení podpůrných opatření vyžaduje těsnou spolupráci s odborníky ŠPZ;</w:t>
      </w:r>
    </w:p>
    <w:p w14:paraId="6E549097" w14:textId="77777777" w:rsidR="000C7662" w:rsidRDefault="008E15FA" w:rsidP="008E15FA">
      <w:pPr>
        <w:pStyle w:val="Odstavecseseznamem"/>
        <w:numPr>
          <w:ilvl w:val="0"/>
          <w:numId w:val="14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0C7662">
        <w:rPr>
          <w:rFonts w:asciiTheme="majorHAnsi" w:hAnsiTheme="majorHAnsi" w:cstheme="majorHAnsi"/>
          <w:lang w:val="cs-CZ"/>
        </w:rPr>
        <w:t>stavební úpravy prostor, kde se žák vzdělává;</w:t>
      </w:r>
    </w:p>
    <w:p w14:paraId="3D3BD6FC" w14:textId="77777777" w:rsidR="000C7662" w:rsidRDefault="008E15FA" w:rsidP="008E15FA">
      <w:pPr>
        <w:pStyle w:val="Odstavecseseznamem"/>
        <w:numPr>
          <w:ilvl w:val="0"/>
          <w:numId w:val="14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0C7662">
        <w:rPr>
          <w:rFonts w:asciiTheme="majorHAnsi" w:hAnsiTheme="majorHAnsi" w:cstheme="majorHAnsi"/>
          <w:lang w:val="cs-CZ"/>
        </w:rPr>
        <w:t>prodloužení délky středního nebo vyššího odborného vzdělávání až o 2 roky;</w:t>
      </w:r>
    </w:p>
    <w:p w14:paraId="3BB34B34" w14:textId="77777777" w:rsidR="008E15FA" w:rsidRPr="000C7662" w:rsidRDefault="008E15FA" w:rsidP="008E15FA">
      <w:pPr>
        <w:pStyle w:val="Odstavecseseznamem"/>
        <w:numPr>
          <w:ilvl w:val="0"/>
          <w:numId w:val="14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0C7662">
        <w:rPr>
          <w:rFonts w:asciiTheme="majorHAnsi" w:hAnsiTheme="majorHAnsi" w:cstheme="majorHAnsi"/>
          <w:lang w:val="cs-CZ"/>
        </w:rPr>
        <w:t>úprava podmínek přijímání ke vzdělávání a ukončování vzdělávání.</w:t>
      </w:r>
    </w:p>
    <w:p w14:paraId="6858D292" w14:textId="77777777" w:rsidR="00986A73" w:rsidRPr="00C251BA" w:rsidRDefault="00986A73" w:rsidP="00A0683A">
      <w:pPr>
        <w:spacing w:after="120"/>
        <w:ind w:left="720"/>
        <w:jc w:val="both"/>
        <w:rPr>
          <w:rFonts w:asciiTheme="majorHAnsi" w:hAnsiTheme="majorHAnsi" w:cstheme="majorHAnsi"/>
          <w:lang w:val="cs-CZ"/>
        </w:rPr>
      </w:pPr>
      <w:r w:rsidRPr="00C251BA">
        <w:rPr>
          <w:rFonts w:asciiTheme="majorHAnsi" w:hAnsiTheme="majorHAnsi" w:cstheme="majorHAnsi"/>
          <w:lang w:val="cs-CZ"/>
        </w:rPr>
        <w:t>Podpora pedagogické práce a současně posílení vzdělávání žáků zahrnuje intervence, které směřují často k reedukaci prostřednictvím předmětu speciálně pedagogické péče nebo intervence pedagogické, které zahrnují posílení výuky v předmětech, kde je třeba podpořit výuku žáka nebo přípravu na ní, včetně domácí přípravy.</w:t>
      </w:r>
    </w:p>
    <w:p w14:paraId="32930C39" w14:textId="77777777" w:rsidR="008E15FA" w:rsidRDefault="0018469A" w:rsidP="008E15FA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cs-CZ"/>
        </w:rPr>
        <w:t>Interaktivní šablony PLPP a IVP</w:t>
      </w:r>
    </w:p>
    <w:p w14:paraId="4E48B0BC" w14:textId="77777777" w:rsidR="0018469A" w:rsidRDefault="0018469A" w:rsidP="0018469A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 w:rsidRPr="0018469A">
        <w:rPr>
          <w:rFonts w:asciiTheme="majorHAnsi" w:hAnsiTheme="majorHAnsi" w:cstheme="majorHAnsi"/>
          <w:lang w:val="cs-CZ"/>
        </w:rPr>
        <w:t xml:space="preserve">V rámci metodické podpory Národní ústav pro vzdělávání zveřejňuje formuláře Plánu pedagogické podpory a Individuálního vzdělávacího plánu, které jsou v souladu s právními předpisy a slouží jako interaktivní šablony. </w:t>
      </w:r>
    </w:p>
    <w:p w14:paraId="55B107D1" w14:textId="34DC88B1" w:rsidR="0018469A" w:rsidRPr="0018469A" w:rsidRDefault="00FF25C4" w:rsidP="0018469A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hyperlink r:id="rId8" w:history="1">
        <w:r w:rsidR="0018469A" w:rsidRPr="00FF25C4">
          <w:rPr>
            <w:rStyle w:val="Hypertextovodkaz"/>
            <w:rFonts w:asciiTheme="majorHAnsi" w:hAnsiTheme="majorHAnsi" w:cstheme="majorHAnsi"/>
            <w:lang w:val="cs-CZ"/>
          </w:rPr>
          <w:t>http://digifolio.rvp.cz/view/view.php?id=11994</w:t>
        </w:r>
      </w:hyperlink>
    </w:p>
    <w:p w14:paraId="0385CFDF" w14:textId="77777777" w:rsidR="008E15FA" w:rsidRDefault="0018469A" w:rsidP="008E15FA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cs-CZ"/>
        </w:rPr>
        <w:t>Normovaná finanční náročnost</w:t>
      </w:r>
    </w:p>
    <w:p w14:paraId="3F84438D" w14:textId="6DA4B576" w:rsidR="0018469A" w:rsidRPr="0018469A" w:rsidRDefault="0018469A" w:rsidP="0018469A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 w:rsidRPr="0018469A">
        <w:rPr>
          <w:rFonts w:asciiTheme="majorHAnsi" w:hAnsiTheme="majorHAnsi" w:cstheme="majorHAnsi"/>
          <w:lang w:val="cs-CZ"/>
        </w:rPr>
        <w:t xml:space="preserve">Podpůrná opatření mají tzv. normovanou finanční náročnost, která představuje objem finančních prostředků, které se na opatření </w:t>
      </w:r>
      <w:r w:rsidR="007D08AB">
        <w:rPr>
          <w:rFonts w:asciiTheme="majorHAnsi" w:hAnsiTheme="majorHAnsi" w:cstheme="majorHAnsi"/>
          <w:lang w:val="cs-CZ"/>
        </w:rPr>
        <w:t xml:space="preserve">pro konkrétního žáka </w:t>
      </w:r>
      <w:r w:rsidRPr="0018469A">
        <w:rPr>
          <w:rFonts w:asciiTheme="majorHAnsi" w:hAnsiTheme="majorHAnsi" w:cstheme="majorHAnsi"/>
          <w:lang w:val="cs-CZ"/>
        </w:rPr>
        <w:t>poskytuje. Tu hradí v plné výši stát prostřednictvím Ministerstva školství, mládeže a tělovýchovy.</w:t>
      </w:r>
    </w:p>
    <w:p w14:paraId="50205223" w14:textId="77777777" w:rsidR="008E15FA" w:rsidRDefault="000D018C" w:rsidP="008E15FA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cs-CZ"/>
        </w:rPr>
        <w:t>Revizní pracoviště NÚV</w:t>
      </w:r>
    </w:p>
    <w:p w14:paraId="02FBE15C" w14:textId="41E28125" w:rsidR="00513570" w:rsidRDefault="005A721B" w:rsidP="00513570">
      <w:pPr>
        <w:pStyle w:val="Odstavecseseznamem"/>
        <w:spacing w:after="120"/>
        <w:jc w:val="both"/>
        <w:rPr>
          <w:rFonts w:asciiTheme="majorHAnsi" w:hAnsiTheme="majorHAnsi" w:cstheme="majorHAnsi"/>
          <w:lang w:val="cs-CZ"/>
        </w:rPr>
      </w:pPr>
      <w:r w:rsidRPr="005A721B">
        <w:rPr>
          <w:rFonts w:asciiTheme="majorHAnsi" w:hAnsiTheme="majorHAnsi" w:cstheme="majorHAnsi"/>
          <w:lang w:val="cs-CZ"/>
        </w:rPr>
        <w:t>Odvolacím orgánem v případě nesouhlasu s navrženými podpůrnými opatřeními je revizní pracoviště Národního ústavu ve vzdělávání, pověřené kontrolou v oblasti školských poradenských služeb</w:t>
      </w:r>
      <w:r w:rsidR="00513570">
        <w:rPr>
          <w:rFonts w:asciiTheme="majorHAnsi" w:hAnsiTheme="majorHAnsi" w:cstheme="majorHAnsi"/>
          <w:lang w:val="cs-CZ"/>
        </w:rPr>
        <w:t xml:space="preserve"> Ministerstvem školství</w:t>
      </w:r>
      <w:r w:rsidR="000A714F">
        <w:rPr>
          <w:rFonts w:asciiTheme="majorHAnsi" w:hAnsiTheme="majorHAnsi" w:cstheme="majorHAnsi"/>
          <w:lang w:val="cs-CZ"/>
        </w:rPr>
        <w:t>, mládeže a tělovýchovy</w:t>
      </w:r>
      <w:r w:rsidRPr="005A721B">
        <w:rPr>
          <w:rFonts w:asciiTheme="majorHAnsi" w:hAnsiTheme="majorHAnsi" w:cstheme="majorHAnsi"/>
          <w:lang w:val="cs-CZ"/>
        </w:rPr>
        <w:t xml:space="preserve">. </w:t>
      </w:r>
    </w:p>
    <w:p w14:paraId="14013554" w14:textId="77777777" w:rsidR="00513570" w:rsidRDefault="005A721B" w:rsidP="00513570">
      <w:pPr>
        <w:pStyle w:val="Odstavecseseznamem"/>
        <w:spacing w:after="120"/>
        <w:jc w:val="both"/>
        <w:rPr>
          <w:rFonts w:asciiTheme="majorHAnsi" w:hAnsiTheme="majorHAnsi" w:cstheme="majorHAnsi"/>
          <w:lang w:val="cs-CZ"/>
        </w:rPr>
      </w:pPr>
      <w:r w:rsidRPr="005A721B">
        <w:rPr>
          <w:rFonts w:asciiTheme="majorHAnsi" w:hAnsiTheme="majorHAnsi" w:cstheme="majorHAnsi"/>
          <w:lang w:val="cs-CZ"/>
        </w:rPr>
        <w:t>O revizi může žádat</w:t>
      </w:r>
      <w:r w:rsidR="00513570">
        <w:rPr>
          <w:rFonts w:asciiTheme="majorHAnsi" w:hAnsiTheme="majorHAnsi" w:cstheme="majorHAnsi"/>
          <w:lang w:val="cs-CZ"/>
        </w:rPr>
        <w:t>:</w:t>
      </w:r>
      <w:r w:rsidRPr="005A721B">
        <w:rPr>
          <w:rFonts w:asciiTheme="majorHAnsi" w:hAnsiTheme="majorHAnsi" w:cstheme="majorHAnsi"/>
          <w:lang w:val="cs-CZ"/>
        </w:rPr>
        <w:t xml:space="preserve"> </w:t>
      </w:r>
    </w:p>
    <w:p w14:paraId="0D67A61F" w14:textId="77777777" w:rsidR="005A721B" w:rsidRPr="005A721B" w:rsidRDefault="005A721B" w:rsidP="00513570">
      <w:pPr>
        <w:pStyle w:val="Odstavecseseznamem"/>
        <w:numPr>
          <w:ilvl w:val="0"/>
          <w:numId w:val="15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5A721B">
        <w:rPr>
          <w:rFonts w:asciiTheme="majorHAnsi" w:hAnsiTheme="majorHAnsi" w:cstheme="majorHAnsi"/>
          <w:lang w:val="cs-CZ"/>
        </w:rPr>
        <w:t>dítě, žák, student nebo zákonný zástupce, který pochybuje o komplexním, odborně správném závěru školského poradenského zařízení, který je formulován ve zprávě z vyšetření nebo v doporučení pro vzdělávání žáka se speciálními vzdělávacími potřebami, a to do 30 dnů ode dne, kdy obdržel zprávu nebo doporučení školského poradenského zařízení,</w:t>
      </w:r>
    </w:p>
    <w:p w14:paraId="5C5CAC22" w14:textId="77777777" w:rsidR="005A721B" w:rsidRPr="005A721B" w:rsidRDefault="005A721B" w:rsidP="005A721B">
      <w:pPr>
        <w:pStyle w:val="Odstavecseseznamem"/>
        <w:numPr>
          <w:ilvl w:val="0"/>
          <w:numId w:val="15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5A721B">
        <w:rPr>
          <w:rFonts w:asciiTheme="majorHAnsi" w:hAnsiTheme="majorHAnsi" w:cstheme="majorHAnsi"/>
          <w:lang w:val="cs-CZ"/>
        </w:rPr>
        <w:t>škola, školské zařízení, orgán veřejné moci, který svým rozhodnutím uložil zákonnému zástupci dítěte nebo žáka, dítěti, žákovi nebo studentovi povinnost využít odbornou poradenskou pomoc ve školském poradenském zařízení, a to do 30 dnů ode dne, kdy doporučení obdržely,</w:t>
      </w:r>
    </w:p>
    <w:p w14:paraId="6A446905" w14:textId="77777777" w:rsidR="005A721B" w:rsidRDefault="005A721B" w:rsidP="005A721B">
      <w:pPr>
        <w:pStyle w:val="Odstavecseseznamem"/>
        <w:numPr>
          <w:ilvl w:val="0"/>
          <w:numId w:val="15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5A721B">
        <w:rPr>
          <w:rFonts w:asciiTheme="majorHAnsi" w:hAnsiTheme="majorHAnsi" w:cstheme="majorHAnsi"/>
          <w:lang w:val="cs-CZ"/>
        </w:rPr>
        <w:t>Česká školní inspekce.</w:t>
      </w:r>
    </w:p>
    <w:p w14:paraId="5D7DC865" w14:textId="77777777" w:rsidR="004A7627" w:rsidRDefault="004A7627" w:rsidP="004A7627">
      <w:pPr>
        <w:spacing w:after="120"/>
        <w:ind w:left="360" w:firstLine="360"/>
        <w:jc w:val="both"/>
        <w:rPr>
          <w:rFonts w:asciiTheme="majorHAnsi" w:hAnsiTheme="majorHAnsi" w:cstheme="majorHAnsi"/>
          <w:lang w:val="cs-CZ"/>
        </w:rPr>
      </w:pPr>
      <w:r w:rsidRPr="004A7627">
        <w:rPr>
          <w:rFonts w:asciiTheme="majorHAnsi" w:hAnsiTheme="majorHAnsi" w:cstheme="majorHAnsi"/>
          <w:lang w:val="cs-CZ"/>
        </w:rPr>
        <w:t>Žadatel o revizi může vyjádřit zejména pochybnost:</w:t>
      </w:r>
    </w:p>
    <w:p w14:paraId="3D7DB3E4" w14:textId="77777777" w:rsidR="004A7627" w:rsidRPr="004A7627" w:rsidRDefault="004A7627" w:rsidP="004A7627">
      <w:pPr>
        <w:pStyle w:val="Odstavecseseznamem"/>
        <w:numPr>
          <w:ilvl w:val="0"/>
          <w:numId w:val="17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4A7627">
        <w:rPr>
          <w:rFonts w:asciiTheme="majorHAnsi" w:hAnsiTheme="majorHAnsi" w:cstheme="majorHAnsi"/>
          <w:lang w:val="cs-CZ"/>
        </w:rPr>
        <w:t xml:space="preserve">k závěrům zprávy z vyšetření, </w:t>
      </w:r>
    </w:p>
    <w:p w14:paraId="1A6B0C92" w14:textId="77777777" w:rsidR="004A7627" w:rsidRPr="004A7627" w:rsidRDefault="004A7627" w:rsidP="004A7627">
      <w:pPr>
        <w:pStyle w:val="Odstavecseseznamem"/>
        <w:numPr>
          <w:ilvl w:val="0"/>
          <w:numId w:val="17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4A7627">
        <w:rPr>
          <w:rFonts w:asciiTheme="majorHAnsi" w:hAnsiTheme="majorHAnsi" w:cstheme="majorHAnsi"/>
          <w:lang w:val="cs-CZ"/>
        </w:rPr>
        <w:lastRenderedPageBreak/>
        <w:t xml:space="preserve">k závěrům posouzení speciálních vzdělávacích potřeb, </w:t>
      </w:r>
    </w:p>
    <w:p w14:paraId="17CDEF3E" w14:textId="77777777" w:rsidR="004A7627" w:rsidRPr="004A7627" w:rsidRDefault="004A7627" w:rsidP="004A7627">
      <w:pPr>
        <w:pStyle w:val="Odstavecseseznamem"/>
        <w:numPr>
          <w:ilvl w:val="0"/>
          <w:numId w:val="17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4A7627">
        <w:rPr>
          <w:rFonts w:asciiTheme="majorHAnsi" w:hAnsiTheme="majorHAnsi" w:cstheme="majorHAnsi"/>
          <w:lang w:val="cs-CZ"/>
        </w:rPr>
        <w:t xml:space="preserve">k doporučením podpůrných opatření a k jejich skladbě, </w:t>
      </w:r>
    </w:p>
    <w:p w14:paraId="525FEBD3" w14:textId="77777777" w:rsidR="00BA3A02" w:rsidRPr="00BA3A02" w:rsidRDefault="004A7627" w:rsidP="005A5FFE">
      <w:pPr>
        <w:pStyle w:val="Odstavecseseznamem"/>
        <w:numPr>
          <w:ilvl w:val="0"/>
          <w:numId w:val="17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BA3A02">
        <w:rPr>
          <w:rFonts w:asciiTheme="majorHAnsi" w:hAnsiTheme="majorHAnsi" w:cstheme="majorHAnsi"/>
          <w:lang w:val="cs-CZ"/>
        </w:rPr>
        <w:t>k doporučení vzdělávací dráhy žáka (včetně zařazení do škol, tříd, oddělení a skupin podle §16 odst. 9).</w:t>
      </w:r>
    </w:p>
    <w:p w14:paraId="44E6D060" w14:textId="77777777" w:rsidR="00BA3A02" w:rsidRPr="00BA3A02" w:rsidRDefault="00BA3A02" w:rsidP="00BA3A02">
      <w:pPr>
        <w:spacing w:after="120"/>
        <w:ind w:left="720"/>
        <w:jc w:val="both"/>
        <w:rPr>
          <w:rFonts w:asciiTheme="majorHAnsi" w:hAnsiTheme="majorHAnsi" w:cstheme="majorHAnsi"/>
          <w:lang w:val="cs-CZ"/>
        </w:rPr>
      </w:pPr>
      <w:r w:rsidRPr="00BA3A02">
        <w:rPr>
          <w:rFonts w:asciiTheme="majorHAnsi" w:hAnsiTheme="majorHAnsi" w:cstheme="majorHAnsi"/>
          <w:lang w:val="cs-CZ"/>
        </w:rPr>
        <w:t>O výsledku posouzení vydá revizní pracoviště do 60 dnů od obdržení žádosti revizní zprávu, která může obsahovat i novou zprávu nebo doporučení podpůrných opatření (v takovém případě nahrazuje revidovanou zprávu nebo doporučení).</w:t>
      </w:r>
    </w:p>
    <w:p w14:paraId="65D4BABB" w14:textId="77777777" w:rsidR="00BA3A02" w:rsidRPr="00BA3A02" w:rsidRDefault="00BA3A02" w:rsidP="00BA3A02">
      <w:pPr>
        <w:spacing w:after="120"/>
        <w:ind w:left="720"/>
        <w:jc w:val="both"/>
        <w:rPr>
          <w:rFonts w:asciiTheme="majorHAnsi" w:hAnsiTheme="majorHAnsi" w:cstheme="majorHAnsi"/>
          <w:lang w:val="cs-CZ"/>
        </w:rPr>
      </w:pPr>
      <w:r w:rsidRPr="00BA3A02">
        <w:rPr>
          <w:rFonts w:asciiTheme="majorHAnsi" w:hAnsiTheme="majorHAnsi" w:cstheme="majorHAnsi"/>
          <w:lang w:val="cs-CZ"/>
        </w:rPr>
        <w:t>Do vydání revizní zprávy, která nahrazuje revidovanou zprávu nebo doporučení, se postupuje podle původního doporučení a zprávy.</w:t>
      </w:r>
    </w:p>
    <w:p w14:paraId="2D0C7931" w14:textId="77777777" w:rsidR="008E15FA" w:rsidRDefault="00BA3A02" w:rsidP="00BA3A02">
      <w:pPr>
        <w:spacing w:after="120"/>
        <w:ind w:left="720"/>
        <w:jc w:val="both"/>
        <w:rPr>
          <w:rFonts w:asciiTheme="majorHAnsi" w:hAnsiTheme="majorHAnsi" w:cstheme="majorHAnsi"/>
          <w:lang w:val="cs-CZ"/>
        </w:rPr>
      </w:pPr>
      <w:r w:rsidRPr="00BA3A02">
        <w:rPr>
          <w:rFonts w:asciiTheme="majorHAnsi" w:hAnsiTheme="majorHAnsi" w:cstheme="majorHAnsi"/>
          <w:lang w:val="cs-CZ"/>
        </w:rPr>
        <w:t>Pokud žadatel nebude nadále spokojen se závěry revizního šetření, pak se může obrátit na soud.</w:t>
      </w:r>
    </w:p>
    <w:p w14:paraId="52921DCC" w14:textId="3597A2FC" w:rsidR="00CC0ABD" w:rsidRPr="00BA3A02" w:rsidRDefault="00CC0ABD" w:rsidP="00BA3A02">
      <w:pPr>
        <w:spacing w:after="120"/>
        <w:ind w:left="72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Více informací na webových stránkách NÚV: </w:t>
      </w:r>
      <w:hyperlink r:id="rId9" w:history="1">
        <w:r w:rsidRPr="00FF25C4">
          <w:rPr>
            <w:rStyle w:val="Hypertextovodkaz"/>
            <w:rFonts w:asciiTheme="majorHAnsi" w:hAnsiTheme="majorHAnsi" w:cstheme="majorHAnsi"/>
            <w:lang w:val="cs-CZ"/>
          </w:rPr>
          <w:t>http://www.nuv.cz/kontakty/revize</w:t>
        </w:r>
      </w:hyperlink>
      <w:bookmarkStart w:id="0" w:name="_GoBack"/>
      <w:bookmarkEnd w:id="0"/>
    </w:p>
    <w:sectPr w:rsidR="00CC0ABD" w:rsidRPr="00BA3A02" w:rsidSect="00962163">
      <w:headerReference w:type="default" r:id="rId10"/>
      <w:footerReference w:type="default" r:id="rId11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B0264" w14:textId="77777777" w:rsidR="009510A4" w:rsidRDefault="009510A4" w:rsidP="00FC5157">
      <w:r>
        <w:separator/>
      </w:r>
    </w:p>
  </w:endnote>
  <w:endnote w:type="continuationSeparator" w:id="0">
    <w:p w14:paraId="3F2210C3" w14:textId="77777777" w:rsidR="009510A4" w:rsidRDefault="009510A4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6057295"/>
      <w:docPartObj>
        <w:docPartGallery w:val="Page Numbers (Bottom of Page)"/>
        <w:docPartUnique/>
      </w:docPartObj>
    </w:sdtPr>
    <w:sdtEndPr/>
    <w:sdtContent>
      <w:p w14:paraId="5EDDA922" w14:textId="36972E4D" w:rsidR="00FC5157" w:rsidRDefault="00FC5157" w:rsidP="00FC51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5C4" w:rsidRPr="00FF25C4">
          <w:rPr>
            <w:noProof/>
            <w:lang w:val="cs-CZ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B538F" w14:textId="77777777" w:rsidR="009510A4" w:rsidRDefault="009510A4" w:rsidP="00FC5157">
      <w:r>
        <w:separator/>
      </w:r>
    </w:p>
  </w:footnote>
  <w:footnote w:type="continuationSeparator" w:id="0">
    <w:p w14:paraId="49A66C4B" w14:textId="77777777" w:rsidR="009510A4" w:rsidRDefault="009510A4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00026" w14:textId="77777777"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43812852" wp14:editId="4CF4BAD7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  <w:r w:rsidR="00711583">
      <w:rPr>
        <w:rFonts w:asciiTheme="majorHAnsi" w:hAnsiTheme="majorHAnsi" w:cstheme="majorHAnsi"/>
        <w:i/>
        <w:lang w:val="cs-CZ"/>
      </w:rPr>
      <w:t>Podpůrná opatření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A6BF1"/>
    <w:multiLevelType w:val="hybridMultilevel"/>
    <w:tmpl w:val="BF768434"/>
    <w:lvl w:ilvl="0" w:tplc="0AB4E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21370"/>
    <w:multiLevelType w:val="hybridMultilevel"/>
    <w:tmpl w:val="E7E6148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B62CF"/>
    <w:multiLevelType w:val="hybridMultilevel"/>
    <w:tmpl w:val="D206E822"/>
    <w:lvl w:ilvl="0" w:tplc="F566DCE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C645A"/>
    <w:multiLevelType w:val="hybridMultilevel"/>
    <w:tmpl w:val="D932EAD4"/>
    <w:lvl w:ilvl="0" w:tplc="5DF62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665BC"/>
    <w:multiLevelType w:val="hybridMultilevel"/>
    <w:tmpl w:val="83FA8640"/>
    <w:lvl w:ilvl="0" w:tplc="D938ED42">
      <w:start w:val="1"/>
      <w:numFmt w:val="lowerLetter"/>
      <w:lvlText w:val="%1)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3"/>
  </w:num>
  <w:num w:numId="5">
    <w:abstractNumId w:val="13"/>
  </w:num>
  <w:num w:numId="6">
    <w:abstractNumId w:val="4"/>
  </w:num>
  <w:num w:numId="7">
    <w:abstractNumId w:val="10"/>
  </w:num>
  <w:num w:numId="8">
    <w:abstractNumId w:val="15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  <w:num w:numId="13">
    <w:abstractNumId w:val="9"/>
  </w:num>
  <w:num w:numId="14">
    <w:abstractNumId w:val="7"/>
  </w:num>
  <w:num w:numId="15">
    <w:abstractNumId w:val="12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20"/>
    <w:rsid w:val="0002645A"/>
    <w:rsid w:val="00037BEC"/>
    <w:rsid w:val="000A714F"/>
    <w:rsid w:val="000C5928"/>
    <w:rsid w:val="000C7662"/>
    <w:rsid w:val="000D018C"/>
    <w:rsid w:val="00113D0C"/>
    <w:rsid w:val="001521D3"/>
    <w:rsid w:val="001652D7"/>
    <w:rsid w:val="0018469A"/>
    <w:rsid w:val="001A5F6E"/>
    <w:rsid w:val="001B1C01"/>
    <w:rsid w:val="001C5B46"/>
    <w:rsid w:val="00212F8A"/>
    <w:rsid w:val="0025234B"/>
    <w:rsid w:val="00262C0C"/>
    <w:rsid w:val="00277C2B"/>
    <w:rsid w:val="002C1E5D"/>
    <w:rsid w:val="002C4213"/>
    <w:rsid w:val="002D586E"/>
    <w:rsid w:val="003204F7"/>
    <w:rsid w:val="003563BF"/>
    <w:rsid w:val="00366522"/>
    <w:rsid w:val="00410A25"/>
    <w:rsid w:val="00452DC7"/>
    <w:rsid w:val="0047722B"/>
    <w:rsid w:val="0049102A"/>
    <w:rsid w:val="004A7627"/>
    <w:rsid w:val="004B647D"/>
    <w:rsid w:val="004E59F5"/>
    <w:rsid w:val="004F0CC5"/>
    <w:rsid w:val="004F408D"/>
    <w:rsid w:val="00513570"/>
    <w:rsid w:val="00526D54"/>
    <w:rsid w:val="0054551E"/>
    <w:rsid w:val="00553E3C"/>
    <w:rsid w:val="005848D8"/>
    <w:rsid w:val="005A721B"/>
    <w:rsid w:val="005B37B1"/>
    <w:rsid w:val="005C6653"/>
    <w:rsid w:val="00616C13"/>
    <w:rsid w:val="006604BB"/>
    <w:rsid w:val="00670AB9"/>
    <w:rsid w:val="0067728B"/>
    <w:rsid w:val="006B7A4A"/>
    <w:rsid w:val="006C106A"/>
    <w:rsid w:val="006F11E2"/>
    <w:rsid w:val="006F1CB5"/>
    <w:rsid w:val="00711583"/>
    <w:rsid w:val="00723D2A"/>
    <w:rsid w:val="007617D7"/>
    <w:rsid w:val="00762720"/>
    <w:rsid w:val="007B48EC"/>
    <w:rsid w:val="007D08AB"/>
    <w:rsid w:val="00822870"/>
    <w:rsid w:val="008A73E4"/>
    <w:rsid w:val="008E15FA"/>
    <w:rsid w:val="008E1BF2"/>
    <w:rsid w:val="008F4E26"/>
    <w:rsid w:val="008F59EF"/>
    <w:rsid w:val="009277BB"/>
    <w:rsid w:val="009510A4"/>
    <w:rsid w:val="00962163"/>
    <w:rsid w:val="00981721"/>
    <w:rsid w:val="00983A73"/>
    <w:rsid w:val="00986A73"/>
    <w:rsid w:val="00986C3A"/>
    <w:rsid w:val="009A3539"/>
    <w:rsid w:val="009D0CDE"/>
    <w:rsid w:val="009D280E"/>
    <w:rsid w:val="009E5F24"/>
    <w:rsid w:val="009F5A15"/>
    <w:rsid w:val="00A0683A"/>
    <w:rsid w:val="00A113FD"/>
    <w:rsid w:val="00AB4E02"/>
    <w:rsid w:val="00AC2723"/>
    <w:rsid w:val="00AE1E51"/>
    <w:rsid w:val="00AE363D"/>
    <w:rsid w:val="00B13EB9"/>
    <w:rsid w:val="00B7651A"/>
    <w:rsid w:val="00B96B70"/>
    <w:rsid w:val="00BA3A02"/>
    <w:rsid w:val="00BB28C7"/>
    <w:rsid w:val="00BC7251"/>
    <w:rsid w:val="00BD1FE5"/>
    <w:rsid w:val="00C06E25"/>
    <w:rsid w:val="00C251BA"/>
    <w:rsid w:val="00C42F9B"/>
    <w:rsid w:val="00C717FA"/>
    <w:rsid w:val="00C72783"/>
    <w:rsid w:val="00C81FC5"/>
    <w:rsid w:val="00C86DF7"/>
    <w:rsid w:val="00CC0ABD"/>
    <w:rsid w:val="00CF53E4"/>
    <w:rsid w:val="00D41A4B"/>
    <w:rsid w:val="00D758AC"/>
    <w:rsid w:val="00E05FB1"/>
    <w:rsid w:val="00E50E2E"/>
    <w:rsid w:val="00E53EC4"/>
    <w:rsid w:val="00E93517"/>
    <w:rsid w:val="00E96820"/>
    <w:rsid w:val="00EA4933"/>
    <w:rsid w:val="00F2201E"/>
    <w:rsid w:val="00F2717B"/>
    <w:rsid w:val="00FC5157"/>
    <w:rsid w:val="00FC7E5F"/>
    <w:rsid w:val="00FD0C42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9A2318"/>
  <w14:defaultImageDpi w14:val="300"/>
  <w15:docId w15:val="{98C90987-A1C5-48F5-A2D2-7937F44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paragraph" w:styleId="Revize">
    <w:name w:val="Revision"/>
    <w:hidden/>
    <w:uiPriority w:val="99"/>
    <w:semiHidden/>
    <w:rsid w:val="00BD1FE5"/>
  </w:style>
  <w:style w:type="character" w:styleId="Hypertextovodkaz">
    <w:name w:val="Hyperlink"/>
    <w:basedOn w:val="Standardnpsmoodstavce"/>
    <w:uiPriority w:val="99"/>
    <w:unhideWhenUsed/>
    <w:rsid w:val="00FF2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folio.rvp.cz/view/view.php?id=119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uv.cz/kontakty/reviz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61423-2847-49FA-9B03-E9A82F23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1312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Dolezil</dc:creator>
  <cp:keywords/>
  <dc:description/>
  <cp:lastModifiedBy>Lenka Hečková</cp:lastModifiedBy>
  <cp:revision>4</cp:revision>
  <cp:lastPrinted>2016-01-27T09:42:00Z</cp:lastPrinted>
  <dcterms:created xsi:type="dcterms:W3CDTF">2017-08-11T16:30:00Z</dcterms:created>
  <dcterms:modified xsi:type="dcterms:W3CDTF">2017-08-13T20:13:00Z</dcterms:modified>
</cp:coreProperties>
</file>