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060C2E">
              <w:rPr>
                <w:rFonts w:ascii="Arial" w:hAnsi="Arial" w:cs="Arial"/>
                <w:sz w:val="20"/>
                <w:szCs w:val="20"/>
              </w:rPr>
              <w:t>ÁVĚREČNÉ ZPRÁVY 2017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LG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870F9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870F9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060C2E" w:rsidRPr="00060C2E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 SKUTEČNOST ZA UPLYNULÉ OBDOBÍ </w:t>
      </w:r>
      <w:r w:rsidR="00060C2E">
        <w:rPr>
          <w:rFonts w:ascii="Arial" w:hAnsi="Arial" w:cs="Arial"/>
          <w:b/>
          <w:bCs/>
          <w:sz w:val="20"/>
          <w:szCs w:val="20"/>
        </w:rPr>
        <w:t>–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870F97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870F9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870F9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870F9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870F9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870F97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70F97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  <w:r w:rsidR="00870F97"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8"/>
        <w:gridCol w:w="889"/>
        <w:gridCol w:w="5855"/>
        <w:gridCol w:w="2323"/>
      </w:tblGrid>
      <w:tr w:rsidR="003837DE" w:rsidRPr="00473EE4" w:rsidTr="000E5C68">
        <w:trPr>
          <w:divId w:val="603659010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0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121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DC59C4">
        <w:trPr>
          <w:divId w:val="603659010"/>
          <w:trHeight w:val="2255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V001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V002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V003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Pr="00473EE4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0" w:type="auto"/>
            <w:vAlign w:val="center"/>
          </w:tcPr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Pr="00473EE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5C68" w:rsidRDefault="000E5C6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870F97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060C2E" w:rsidRPr="00060C2E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</w:t>
      </w:r>
      <w:r w:rsidR="00060C2E">
        <w:rPr>
          <w:rFonts w:ascii="Arial" w:hAnsi="Arial" w:cs="Arial"/>
          <w:b/>
          <w:bCs/>
          <w:sz w:val="20"/>
          <w:szCs w:val="20"/>
        </w:rPr>
        <w:t>–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060C2E">
              <w:rPr>
                <w:rFonts w:ascii="Arial" w:hAnsi="Arial" w:cs="Arial"/>
                <w:sz w:val="20"/>
                <w:szCs w:val="20"/>
              </w:rPr>
              <w:t>7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13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4"/>
        <w:gridCol w:w="2428"/>
        <w:gridCol w:w="2408"/>
      </w:tblGrid>
      <w:tr w:rsidR="007F5C27" w:rsidRPr="00473EE4" w:rsidTr="007A7B5E">
        <w:trPr>
          <w:tblCellSpacing w:w="15" w:type="dxa"/>
        </w:trPr>
        <w:tc>
          <w:tcPr>
            <w:tcW w:w="240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870F97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060C2E">
              <w:rPr>
                <w:rFonts w:ascii="Arial" w:hAnsi="Arial" w:cs="Arial"/>
                <w:sz w:val="20"/>
                <w:szCs w:val="20"/>
              </w:rPr>
              <w:t xml:space="preserve"> - 2017</w:t>
            </w:r>
            <w:r w:rsidRPr="00473EE4">
              <w:rPr>
                <w:rFonts w:ascii="Arial" w:hAnsi="Arial" w:cs="Arial"/>
                <w:sz w:val="20"/>
                <w:szCs w:val="20"/>
              </w:rPr>
              <w:t>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912C01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Projekt - Rok </w:t>
            </w:r>
            <w:r w:rsidR="00870F97">
              <w:rPr>
                <w:rFonts w:ascii="Arial" w:hAnsi="Arial" w:cs="Arial"/>
                <w:color w:val="000080"/>
                <w:sz w:val="20"/>
                <w:szCs w:val="20"/>
              </w:rPr>
              <w:t>–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060C2E">
              <w:rPr>
                <w:rFonts w:ascii="Arial" w:hAnsi="Arial" w:cs="Arial"/>
                <w:sz w:val="20"/>
                <w:szCs w:val="20"/>
              </w:rPr>
              <w:t xml:space="preserve"> - 2017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LG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F2. - Náklady nebo výdaje na pořízení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ZDROJE FINANCOVÁNÍ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870F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70F97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70F97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70F97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870F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870F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870F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LG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870F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(max</w:t>
      </w:r>
      <w:r w:rsidR="00820EA6">
        <w:rPr>
          <w:rFonts w:ascii="Arial" w:hAnsi="Arial" w:cs="Arial"/>
          <w:i/>
          <w:sz w:val="20"/>
          <w:szCs w:val="20"/>
        </w:rPr>
        <w:t>.</w:t>
      </w:r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870F97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870F97" w:rsidP="003A28AC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70F97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870F97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870F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870F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Arial" w:hAnsi="Arial" w:cs="Arial"/>
          <w:b/>
          <w:sz w:val="20"/>
          <w:szCs w:val="20"/>
          <w:highlight w:val="cyan"/>
        </w:rPr>
        <w:t xml:space="preserve">NAPŘ. </w:t>
      </w:r>
      <w:bookmarkStart w:id="0" w:name="_GoBack"/>
      <w:bookmarkEnd w:id="0"/>
      <w:r w:rsidR="001244B0" w:rsidRPr="001244B0">
        <w:rPr>
          <w:rFonts w:ascii="Arial" w:hAnsi="Arial" w:cs="Arial"/>
          <w:b/>
          <w:sz w:val="20"/>
          <w:szCs w:val="20"/>
          <w:highlight w:val="cyan"/>
        </w:rPr>
        <w:t xml:space="preserve"> SCHVÁLENÍ ŽÁDOSTI O ZMĚNU V DÍLČÍ </w:t>
      </w:r>
      <w:r w:rsidR="00060C2E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060C2E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060C2E">
        <w:rPr>
          <w:rFonts w:ascii="Arial" w:hAnsi="Arial" w:cs="Arial"/>
          <w:b/>
          <w:sz w:val="20"/>
          <w:szCs w:val="20"/>
          <w:highlight w:val="cyan"/>
        </w:rPr>
        <w:t xml:space="preserve"> MSMT…./2017</w:t>
      </w:r>
      <w:r w:rsidR="001244B0"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cyan"/>
        </w:rPr>
        <w:t xml:space="preserve">            </w:t>
      </w:r>
    </w:p>
    <w:p w:rsidR="003837DE" w:rsidRPr="00473EE4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60C2E"/>
    <w:rsid w:val="000761E9"/>
    <w:rsid w:val="000940E3"/>
    <w:rsid w:val="000E5C68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28A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D684E"/>
    <w:rsid w:val="00714A61"/>
    <w:rsid w:val="00747D59"/>
    <w:rsid w:val="00780553"/>
    <w:rsid w:val="007A7B5E"/>
    <w:rsid w:val="007B30DF"/>
    <w:rsid w:val="007F5C27"/>
    <w:rsid w:val="00804D68"/>
    <w:rsid w:val="00820EA6"/>
    <w:rsid w:val="00844778"/>
    <w:rsid w:val="008462C2"/>
    <w:rsid w:val="00866C25"/>
    <w:rsid w:val="00870F97"/>
    <w:rsid w:val="008865AE"/>
    <w:rsid w:val="008A149F"/>
    <w:rsid w:val="008D1684"/>
    <w:rsid w:val="008E4741"/>
    <w:rsid w:val="008F1B62"/>
    <w:rsid w:val="00912C0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43D7A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DC59C4"/>
    <w:rsid w:val="00E1215C"/>
    <w:rsid w:val="00E223FA"/>
    <w:rsid w:val="00E3353C"/>
    <w:rsid w:val="00E8061A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BA55-30DC-4BDB-956D-2BC1E404F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2364</Words>
  <Characters>13950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Bystřická Jana</cp:lastModifiedBy>
  <cp:revision>2</cp:revision>
  <cp:lastPrinted>2013-01-08T14:30:00Z</cp:lastPrinted>
  <dcterms:created xsi:type="dcterms:W3CDTF">2017-11-27T11:16:00Z</dcterms:created>
  <dcterms:modified xsi:type="dcterms:W3CDTF">2017-11-27T11:16:00Z</dcterms:modified>
</cp:coreProperties>
</file>