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8931" w:type="dxa"/>
        <w:tblInd w:w="-5" w:type="dxa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single" w:sz="4" w:space="0" w:color="808080" w:themeColor="background1" w:themeShade="80"/>
          <w:insideV w:val="doub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42"/>
        <w:gridCol w:w="2553"/>
        <w:gridCol w:w="2406"/>
        <w:gridCol w:w="2130"/>
      </w:tblGrid>
      <w:tr w:rsidR="00874B28" w:rsidRPr="009F0ED8" w:rsidTr="009F0ED8">
        <w:tc>
          <w:tcPr>
            <w:tcW w:w="8931" w:type="dxa"/>
            <w:gridSpan w:val="4"/>
            <w:tcBorders>
              <w:top w:val="doub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874B28" w:rsidRPr="009F0ED8" w:rsidRDefault="00874B28" w:rsidP="00874B28">
            <w:pPr>
              <w:pStyle w:val="Odstavecseseznamem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  <w:b/>
                <w:color w:val="1F3864" w:themeColor="accent5" w:themeShade="80"/>
                <w:sz w:val="20"/>
                <w:szCs w:val="20"/>
              </w:rPr>
            </w:pPr>
            <w:bookmarkStart w:id="0" w:name="_GoBack"/>
            <w:bookmarkEnd w:id="0"/>
            <w:r w:rsidRPr="009F0ED8">
              <w:rPr>
                <w:rFonts w:ascii="Arial" w:hAnsi="Arial" w:cs="Arial"/>
                <w:b/>
                <w:color w:val="1F3864" w:themeColor="accent5" w:themeShade="80"/>
                <w:sz w:val="20"/>
                <w:szCs w:val="20"/>
              </w:rPr>
              <w:t>Definice malého nebo středního podniku</w:t>
            </w:r>
            <w:r w:rsidR="00F16E16" w:rsidRPr="009F0ED8">
              <w:rPr>
                <w:rFonts w:ascii="Arial" w:hAnsi="Arial" w:cs="Arial"/>
                <w:b/>
                <w:color w:val="1F3864" w:themeColor="accent5" w:themeShade="80"/>
                <w:sz w:val="20"/>
                <w:szCs w:val="20"/>
              </w:rPr>
              <w:t xml:space="preserve"> (MSP)</w:t>
            </w:r>
            <w:r w:rsidR="00F16E16" w:rsidRPr="009F0ED8">
              <w:rPr>
                <w:rStyle w:val="Znakapoznpodarou"/>
                <w:rFonts w:ascii="Arial" w:hAnsi="Arial" w:cs="Arial"/>
                <w:b/>
                <w:color w:val="1F3864" w:themeColor="accent5" w:themeShade="80"/>
                <w:sz w:val="20"/>
                <w:szCs w:val="20"/>
              </w:rPr>
              <w:footnoteReference w:id="1"/>
            </w:r>
          </w:p>
          <w:p w:rsidR="00874B28" w:rsidRPr="009F0ED8" w:rsidRDefault="00F16E16" w:rsidP="00F16E16">
            <w:pPr>
              <w:pStyle w:val="Odstavecseseznamem"/>
              <w:ind w:left="313" w:firstLine="5"/>
              <w:rPr>
                <w:rFonts w:ascii="Arial" w:hAnsi="Arial" w:cs="Arial"/>
                <w:sz w:val="20"/>
                <w:szCs w:val="20"/>
              </w:rPr>
            </w:pPr>
            <w:r w:rsidRPr="009F0ED8">
              <w:rPr>
                <w:rFonts w:ascii="Arial" w:hAnsi="Arial" w:cs="Arial"/>
                <w:color w:val="1F3864" w:themeColor="accent5" w:themeShade="80"/>
                <w:sz w:val="20"/>
                <w:szCs w:val="20"/>
              </w:rPr>
              <w:t>MSP</w:t>
            </w:r>
            <w:r w:rsidR="00874B28" w:rsidRPr="009F0ED8">
              <w:rPr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jsou definovány podle počtu zaměstnanců a obratu nebo celkové bilanční sumy</w:t>
            </w:r>
          </w:p>
        </w:tc>
      </w:tr>
      <w:tr w:rsidR="00874B28" w:rsidRPr="009F0ED8" w:rsidTr="009F0ED8">
        <w:tc>
          <w:tcPr>
            <w:tcW w:w="4395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874B28" w:rsidRPr="009F0ED8" w:rsidRDefault="00874B28" w:rsidP="00874B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ED8">
              <w:rPr>
                <w:rFonts w:ascii="Arial" w:hAnsi="Arial" w:cs="Arial"/>
                <w:b/>
                <w:sz w:val="20"/>
                <w:szCs w:val="20"/>
              </w:rPr>
              <w:t>Malý podnik</w:t>
            </w:r>
          </w:p>
        </w:tc>
        <w:tc>
          <w:tcPr>
            <w:tcW w:w="453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874B28" w:rsidRPr="009F0ED8" w:rsidRDefault="00874B28" w:rsidP="00874B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ED8">
              <w:rPr>
                <w:rFonts w:ascii="Arial" w:hAnsi="Arial" w:cs="Arial"/>
                <w:b/>
                <w:sz w:val="20"/>
                <w:szCs w:val="20"/>
              </w:rPr>
              <w:t>Střední podnik</w:t>
            </w:r>
          </w:p>
        </w:tc>
      </w:tr>
      <w:tr w:rsidR="00874B28" w:rsidRPr="009F0ED8" w:rsidTr="009F0ED8">
        <w:tc>
          <w:tcPr>
            <w:tcW w:w="184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74B28" w:rsidRPr="009F0ED8" w:rsidRDefault="00874B28" w:rsidP="00874B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ED8">
              <w:rPr>
                <w:rFonts w:ascii="Arial" w:hAnsi="Arial" w:cs="Arial"/>
                <w:b/>
                <w:sz w:val="20"/>
                <w:szCs w:val="20"/>
              </w:rPr>
              <w:t>Počet zaměstnanců</w:t>
            </w:r>
          </w:p>
        </w:tc>
        <w:tc>
          <w:tcPr>
            <w:tcW w:w="25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74B28" w:rsidRPr="009F0ED8" w:rsidRDefault="00874B28" w:rsidP="00874B28">
            <w:pPr>
              <w:rPr>
                <w:rFonts w:ascii="Arial" w:hAnsi="Arial" w:cs="Arial"/>
                <w:sz w:val="20"/>
                <w:szCs w:val="20"/>
              </w:rPr>
            </w:pPr>
            <w:r w:rsidRPr="009F0ED8">
              <w:rPr>
                <w:rFonts w:ascii="Arial" w:hAnsi="Arial" w:cs="Arial"/>
                <w:sz w:val="20"/>
                <w:szCs w:val="20"/>
              </w:rPr>
              <w:t>≤ 50</w:t>
            </w:r>
          </w:p>
        </w:tc>
        <w:tc>
          <w:tcPr>
            <w:tcW w:w="24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74B28" w:rsidRPr="009F0ED8" w:rsidRDefault="00874B28" w:rsidP="00874B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ED8">
              <w:rPr>
                <w:rFonts w:ascii="Arial" w:hAnsi="Arial" w:cs="Arial"/>
                <w:b/>
                <w:sz w:val="20"/>
                <w:szCs w:val="20"/>
              </w:rPr>
              <w:t>Počet zaměstnanců</w:t>
            </w:r>
          </w:p>
        </w:tc>
        <w:tc>
          <w:tcPr>
            <w:tcW w:w="21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874B28" w:rsidRPr="009F0ED8" w:rsidRDefault="00874B28" w:rsidP="00874B28">
            <w:pPr>
              <w:rPr>
                <w:rFonts w:ascii="Arial" w:hAnsi="Arial" w:cs="Arial"/>
                <w:sz w:val="20"/>
                <w:szCs w:val="20"/>
              </w:rPr>
            </w:pPr>
            <w:r w:rsidRPr="009F0ED8">
              <w:rPr>
                <w:rFonts w:ascii="Arial" w:hAnsi="Arial" w:cs="Arial"/>
                <w:sz w:val="20"/>
                <w:szCs w:val="20"/>
              </w:rPr>
              <w:t>≤</w:t>
            </w:r>
            <w:r w:rsidR="006151E3" w:rsidRPr="009F0ED8">
              <w:rPr>
                <w:rFonts w:ascii="Arial" w:hAnsi="Arial" w:cs="Arial"/>
                <w:sz w:val="20"/>
                <w:szCs w:val="20"/>
              </w:rPr>
              <w:t xml:space="preserve"> 250</w:t>
            </w:r>
          </w:p>
        </w:tc>
      </w:tr>
      <w:tr w:rsidR="00874B28" w:rsidRPr="009F0ED8" w:rsidTr="009F0ED8">
        <w:tc>
          <w:tcPr>
            <w:tcW w:w="184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74B28" w:rsidRPr="009F0ED8" w:rsidRDefault="00874B28" w:rsidP="00874B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ED8">
              <w:rPr>
                <w:rFonts w:ascii="Arial" w:hAnsi="Arial" w:cs="Arial"/>
                <w:b/>
                <w:sz w:val="20"/>
                <w:szCs w:val="20"/>
              </w:rPr>
              <w:t>Roční obrat</w:t>
            </w:r>
          </w:p>
        </w:tc>
        <w:tc>
          <w:tcPr>
            <w:tcW w:w="25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74B28" w:rsidRPr="009F0ED8" w:rsidRDefault="00874B28" w:rsidP="00874B28">
            <w:pPr>
              <w:rPr>
                <w:rFonts w:ascii="Arial" w:hAnsi="Arial" w:cs="Arial"/>
                <w:sz w:val="20"/>
                <w:szCs w:val="20"/>
              </w:rPr>
            </w:pPr>
            <w:r w:rsidRPr="009F0ED8">
              <w:rPr>
                <w:rFonts w:ascii="Arial" w:hAnsi="Arial" w:cs="Arial"/>
                <w:sz w:val="20"/>
                <w:szCs w:val="20"/>
              </w:rPr>
              <w:t>≤ 10 mil EUR</w:t>
            </w:r>
          </w:p>
        </w:tc>
        <w:tc>
          <w:tcPr>
            <w:tcW w:w="24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74B28" w:rsidRPr="009F0ED8" w:rsidRDefault="00874B28" w:rsidP="00874B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ED8">
              <w:rPr>
                <w:rFonts w:ascii="Arial" w:hAnsi="Arial" w:cs="Arial"/>
                <w:b/>
                <w:sz w:val="20"/>
                <w:szCs w:val="20"/>
              </w:rPr>
              <w:t>Roční obrat</w:t>
            </w:r>
          </w:p>
        </w:tc>
        <w:tc>
          <w:tcPr>
            <w:tcW w:w="21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874B28" w:rsidRPr="009F0ED8" w:rsidRDefault="00874B28" w:rsidP="00874B28">
            <w:pPr>
              <w:rPr>
                <w:rFonts w:ascii="Arial" w:hAnsi="Arial" w:cs="Arial"/>
                <w:sz w:val="20"/>
                <w:szCs w:val="20"/>
              </w:rPr>
            </w:pPr>
            <w:r w:rsidRPr="009F0ED8">
              <w:rPr>
                <w:rFonts w:ascii="Arial" w:hAnsi="Arial" w:cs="Arial"/>
                <w:sz w:val="20"/>
                <w:szCs w:val="20"/>
              </w:rPr>
              <w:t>≤</w:t>
            </w:r>
            <w:r w:rsidR="006151E3" w:rsidRPr="009F0ED8">
              <w:rPr>
                <w:rFonts w:ascii="Arial" w:hAnsi="Arial" w:cs="Arial"/>
                <w:sz w:val="20"/>
                <w:szCs w:val="20"/>
              </w:rPr>
              <w:t xml:space="preserve"> 50 mil EUR</w:t>
            </w:r>
          </w:p>
        </w:tc>
      </w:tr>
      <w:tr w:rsidR="00874B28" w:rsidRPr="009F0ED8" w:rsidTr="009F0ED8">
        <w:tc>
          <w:tcPr>
            <w:tcW w:w="184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74B28" w:rsidRPr="009F0ED8" w:rsidRDefault="00874B28" w:rsidP="00874B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ED8">
              <w:rPr>
                <w:rFonts w:ascii="Arial" w:hAnsi="Arial" w:cs="Arial"/>
                <w:b/>
                <w:sz w:val="20"/>
                <w:szCs w:val="20"/>
              </w:rPr>
              <w:t>Bilanční suma</w:t>
            </w:r>
          </w:p>
        </w:tc>
        <w:tc>
          <w:tcPr>
            <w:tcW w:w="25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74B28" w:rsidRPr="009F0ED8" w:rsidRDefault="00874B28" w:rsidP="00874B28">
            <w:pPr>
              <w:rPr>
                <w:rFonts w:ascii="Arial" w:hAnsi="Arial" w:cs="Arial"/>
                <w:sz w:val="20"/>
                <w:szCs w:val="20"/>
              </w:rPr>
            </w:pPr>
            <w:r w:rsidRPr="009F0ED8">
              <w:rPr>
                <w:rFonts w:ascii="Arial" w:hAnsi="Arial" w:cs="Arial"/>
                <w:sz w:val="20"/>
                <w:szCs w:val="20"/>
              </w:rPr>
              <w:t>≤</w:t>
            </w:r>
            <w:r w:rsidR="006151E3" w:rsidRPr="009F0ED8">
              <w:rPr>
                <w:rFonts w:ascii="Arial" w:hAnsi="Arial" w:cs="Arial"/>
                <w:sz w:val="20"/>
                <w:szCs w:val="20"/>
              </w:rPr>
              <w:t xml:space="preserve"> 10 mil EUR</w:t>
            </w:r>
          </w:p>
        </w:tc>
        <w:tc>
          <w:tcPr>
            <w:tcW w:w="24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74B28" w:rsidRPr="009F0ED8" w:rsidRDefault="00874B28" w:rsidP="00874B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ED8">
              <w:rPr>
                <w:rFonts w:ascii="Arial" w:hAnsi="Arial" w:cs="Arial"/>
                <w:b/>
                <w:sz w:val="20"/>
                <w:szCs w:val="20"/>
              </w:rPr>
              <w:t>Bilanční suma</w:t>
            </w:r>
          </w:p>
        </w:tc>
        <w:tc>
          <w:tcPr>
            <w:tcW w:w="21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874B28" w:rsidRPr="009F0ED8" w:rsidRDefault="00874B28" w:rsidP="00874B28">
            <w:pPr>
              <w:rPr>
                <w:rFonts w:ascii="Arial" w:hAnsi="Arial" w:cs="Arial"/>
                <w:sz w:val="20"/>
                <w:szCs w:val="20"/>
              </w:rPr>
            </w:pPr>
            <w:r w:rsidRPr="009F0ED8">
              <w:rPr>
                <w:rFonts w:ascii="Arial" w:hAnsi="Arial" w:cs="Arial"/>
                <w:sz w:val="20"/>
                <w:szCs w:val="20"/>
              </w:rPr>
              <w:t>≤</w:t>
            </w:r>
            <w:r w:rsidR="006151E3" w:rsidRPr="009F0ED8">
              <w:rPr>
                <w:rFonts w:ascii="Arial" w:hAnsi="Arial" w:cs="Arial"/>
                <w:sz w:val="20"/>
                <w:szCs w:val="20"/>
              </w:rPr>
              <w:t xml:space="preserve"> 45 mil EUR</w:t>
            </w:r>
          </w:p>
        </w:tc>
      </w:tr>
      <w:tr w:rsidR="00874B28" w:rsidRPr="009F0ED8" w:rsidTr="009F0ED8">
        <w:trPr>
          <w:trHeight w:val="1207"/>
        </w:trPr>
        <w:tc>
          <w:tcPr>
            <w:tcW w:w="4395" w:type="dxa"/>
            <w:gridSpan w:val="2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74B28" w:rsidRPr="009F0ED8" w:rsidRDefault="006151E3" w:rsidP="00874B28">
            <w:pPr>
              <w:rPr>
                <w:rFonts w:ascii="Arial" w:hAnsi="Arial" w:cs="Arial"/>
                <w:sz w:val="20"/>
                <w:szCs w:val="20"/>
              </w:rPr>
            </w:pPr>
            <w:r w:rsidRPr="009F0ED8">
              <w:rPr>
                <w:rFonts w:ascii="Arial" w:hAnsi="Arial" w:cs="Arial"/>
                <w:b/>
                <w:sz w:val="20"/>
                <w:szCs w:val="20"/>
              </w:rPr>
              <w:t>Malý podnik</w:t>
            </w:r>
            <w:r w:rsidRPr="009F0ED8">
              <w:rPr>
                <w:rFonts w:ascii="Arial" w:hAnsi="Arial" w:cs="Arial"/>
                <w:sz w:val="20"/>
                <w:szCs w:val="20"/>
              </w:rPr>
              <w:t xml:space="preserve"> je definován jako podnik, jehož:</w:t>
            </w:r>
          </w:p>
          <w:p w:rsidR="006151E3" w:rsidRPr="009F0ED8" w:rsidRDefault="006151E3" w:rsidP="006151E3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F0ED8">
              <w:rPr>
                <w:rFonts w:ascii="Arial" w:hAnsi="Arial" w:cs="Arial"/>
                <w:sz w:val="20"/>
                <w:szCs w:val="20"/>
              </w:rPr>
              <w:t>počet zaměstnanců je menší než 50 osob</w:t>
            </w:r>
          </w:p>
          <w:p w:rsidR="006151E3" w:rsidRPr="009F0ED8" w:rsidRDefault="006151E3" w:rsidP="006151E3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F0ED8">
              <w:rPr>
                <w:rFonts w:ascii="Arial" w:hAnsi="Arial" w:cs="Arial"/>
                <w:sz w:val="20"/>
                <w:szCs w:val="20"/>
              </w:rPr>
              <w:t>roční obrat nebo celková roční bilanční suma je menší nebo rovna 10 mil EUR</w:t>
            </w:r>
          </w:p>
          <w:p w:rsidR="006151E3" w:rsidRPr="009F0ED8" w:rsidRDefault="006151E3" w:rsidP="00874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</w:tcBorders>
          </w:tcPr>
          <w:p w:rsidR="006151E3" w:rsidRPr="009F0ED8" w:rsidRDefault="006151E3" w:rsidP="006151E3">
            <w:pPr>
              <w:rPr>
                <w:rFonts w:ascii="Arial" w:hAnsi="Arial" w:cs="Arial"/>
                <w:sz w:val="20"/>
                <w:szCs w:val="20"/>
              </w:rPr>
            </w:pPr>
            <w:r w:rsidRPr="009F0ED8">
              <w:rPr>
                <w:rFonts w:ascii="Arial" w:hAnsi="Arial" w:cs="Arial"/>
                <w:b/>
                <w:sz w:val="20"/>
                <w:szCs w:val="20"/>
              </w:rPr>
              <w:t>Střední podnik</w:t>
            </w:r>
            <w:r w:rsidRPr="009F0ED8">
              <w:rPr>
                <w:rFonts w:ascii="Arial" w:hAnsi="Arial" w:cs="Arial"/>
                <w:sz w:val="20"/>
                <w:szCs w:val="20"/>
              </w:rPr>
              <w:t xml:space="preserve"> je definován jako podnik, jehož:</w:t>
            </w:r>
          </w:p>
          <w:p w:rsidR="006151E3" w:rsidRPr="009F0ED8" w:rsidRDefault="006151E3" w:rsidP="006151E3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F0ED8">
              <w:rPr>
                <w:rFonts w:ascii="Arial" w:hAnsi="Arial" w:cs="Arial"/>
                <w:sz w:val="20"/>
                <w:szCs w:val="20"/>
              </w:rPr>
              <w:t>počet zaměstnanců je menší než 250 osob</w:t>
            </w:r>
          </w:p>
          <w:p w:rsidR="00874B28" w:rsidRPr="009F0ED8" w:rsidRDefault="006151E3" w:rsidP="00F16E16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F0ED8">
              <w:rPr>
                <w:rFonts w:ascii="Arial" w:hAnsi="Arial" w:cs="Arial"/>
                <w:sz w:val="20"/>
                <w:szCs w:val="20"/>
              </w:rPr>
              <w:t>roční obrat je menší nebo roven 50 milionů EUR nebo celková roční bilanční suma je menší nebo rovna 43 mil EUR</w:t>
            </w:r>
          </w:p>
        </w:tc>
      </w:tr>
    </w:tbl>
    <w:p w:rsidR="009F0ED8" w:rsidRDefault="009F0ED8">
      <w:pPr>
        <w:rPr>
          <w:rFonts w:ascii="Arial" w:hAnsi="Arial" w:cs="Arial"/>
          <w:sz w:val="20"/>
          <w:szCs w:val="20"/>
        </w:rPr>
      </w:pPr>
    </w:p>
    <w:p w:rsidR="00F16E16" w:rsidRPr="009F0ED8" w:rsidRDefault="006151E3">
      <w:pPr>
        <w:rPr>
          <w:rFonts w:ascii="Arial" w:hAnsi="Arial" w:cs="Arial"/>
          <w:sz w:val="20"/>
          <w:szCs w:val="20"/>
        </w:rPr>
      </w:pPr>
      <w:r w:rsidRPr="009F0ED8">
        <w:rPr>
          <w:rFonts w:ascii="Arial" w:hAnsi="Arial" w:cs="Arial"/>
          <w:sz w:val="20"/>
          <w:szCs w:val="20"/>
        </w:rPr>
        <w:t>Výše uvedené ukazatele velikosti se týkají nejen podniku samotného, ale celé skupiny partnerských nebo propojených podniků.</w:t>
      </w:r>
    </w:p>
    <w:p w:rsidR="006151E3" w:rsidRPr="009F0ED8" w:rsidRDefault="006151E3">
      <w:pPr>
        <w:rPr>
          <w:rFonts w:ascii="Arial" w:hAnsi="Arial" w:cs="Arial"/>
          <w:b/>
          <w:sz w:val="20"/>
          <w:szCs w:val="20"/>
        </w:rPr>
      </w:pPr>
      <w:r w:rsidRPr="009F0ED8">
        <w:rPr>
          <w:rFonts w:ascii="Arial" w:hAnsi="Arial" w:cs="Arial"/>
          <w:b/>
          <w:sz w:val="20"/>
          <w:szCs w:val="20"/>
        </w:rPr>
        <w:t>Nezávislé podniky, partnerské podniky, propojené podniky</w:t>
      </w:r>
    </w:p>
    <w:p w:rsidR="006151E3" w:rsidRPr="009F0ED8" w:rsidRDefault="006151E3">
      <w:pPr>
        <w:rPr>
          <w:rFonts w:ascii="Arial" w:hAnsi="Arial" w:cs="Arial"/>
          <w:sz w:val="20"/>
          <w:szCs w:val="20"/>
        </w:rPr>
      </w:pPr>
      <w:r w:rsidRPr="009F0ED8">
        <w:rPr>
          <w:rFonts w:ascii="Arial" w:hAnsi="Arial" w:cs="Arial"/>
          <w:sz w:val="20"/>
          <w:szCs w:val="20"/>
        </w:rPr>
        <w:t>V této souvislosti se rozlišuje mezi třemi typy podniků:</w:t>
      </w:r>
    </w:p>
    <w:p w:rsidR="00A44908" w:rsidRPr="009F0ED8" w:rsidRDefault="00A44908" w:rsidP="00A44908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F0ED8">
        <w:rPr>
          <w:rFonts w:ascii="Arial" w:hAnsi="Arial" w:cs="Arial"/>
          <w:sz w:val="20"/>
          <w:szCs w:val="20"/>
        </w:rPr>
        <w:t>nezávislé podniky</w:t>
      </w:r>
    </w:p>
    <w:p w:rsidR="00A44908" w:rsidRPr="009F0ED8" w:rsidRDefault="00A44908" w:rsidP="00A44908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F0ED8">
        <w:rPr>
          <w:rFonts w:ascii="Arial" w:hAnsi="Arial" w:cs="Arial"/>
          <w:sz w:val="20"/>
          <w:szCs w:val="20"/>
        </w:rPr>
        <w:t>partnerské podniky</w:t>
      </w:r>
    </w:p>
    <w:p w:rsidR="00A44908" w:rsidRPr="009F0ED8" w:rsidRDefault="00A44908" w:rsidP="00A44908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F0ED8">
        <w:rPr>
          <w:rFonts w:ascii="Arial" w:hAnsi="Arial" w:cs="Arial"/>
          <w:sz w:val="20"/>
          <w:szCs w:val="20"/>
        </w:rPr>
        <w:t>propojené podniky</w:t>
      </w:r>
    </w:p>
    <w:p w:rsidR="00F16E16" w:rsidRPr="009F0ED8" w:rsidRDefault="00A44908" w:rsidP="00F16E16">
      <w:pPr>
        <w:rPr>
          <w:rFonts w:ascii="Arial" w:hAnsi="Arial" w:cs="Arial"/>
          <w:sz w:val="20"/>
          <w:szCs w:val="20"/>
        </w:rPr>
      </w:pPr>
      <w:r w:rsidRPr="009F0ED8">
        <w:rPr>
          <w:rFonts w:ascii="Arial" w:hAnsi="Arial" w:cs="Arial"/>
          <w:b/>
          <w:sz w:val="20"/>
          <w:szCs w:val="20"/>
        </w:rPr>
        <w:t>Podnik je nezávislý</w:t>
      </w:r>
      <w:r w:rsidRPr="009F0ED8">
        <w:rPr>
          <w:rFonts w:ascii="Arial" w:hAnsi="Arial" w:cs="Arial"/>
          <w:sz w:val="20"/>
          <w:szCs w:val="20"/>
        </w:rPr>
        <w:t>, pokud:</w:t>
      </w:r>
    </w:p>
    <w:p w:rsidR="00A44908" w:rsidRPr="009F0ED8" w:rsidRDefault="00A44908" w:rsidP="00F16E16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F0ED8">
        <w:rPr>
          <w:rFonts w:ascii="Arial" w:hAnsi="Arial" w:cs="Arial"/>
          <w:sz w:val="20"/>
          <w:szCs w:val="20"/>
        </w:rPr>
        <w:t>nemá podíl 25% nebo více v jiném podniku</w:t>
      </w:r>
    </w:p>
    <w:p w:rsidR="00A44908" w:rsidRPr="009F0ED8" w:rsidRDefault="00A44908" w:rsidP="00A44908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F0ED8">
        <w:rPr>
          <w:rFonts w:ascii="Arial" w:hAnsi="Arial" w:cs="Arial"/>
          <w:sz w:val="20"/>
          <w:szCs w:val="20"/>
        </w:rPr>
        <w:t>není vlastněn z 25% či z více procent jiným podnikem ani veřejným orgánem ani společně podniky vzájemně mezi sebou propojenými, s několika výjimkami</w:t>
      </w:r>
    </w:p>
    <w:p w:rsidR="00A44908" w:rsidRPr="009F0ED8" w:rsidRDefault="00A44908" w:rsidP="00A44908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F0ED8">
        <w:rPr>
          <w:rFonts w:ascii="Arial" w:hAnsi="Arial" w:cs="Arial"/>
          <w:sz w:val="20"/>
          <w:szCs w:val="20"/>
        </w:rPr>
        <w:t>nesestavuje konsolidovanou účetní závěrku a není zahrnut v účetnictví podniku, který sestavuje konsolidovanou účetní závěrku, a tudíž není propojeným podnikem</w:t>
      </w:r>
    </w:p>
    <w:p w:rsidR="006151E3" w:rsidRPr="009F0ED8" w:rsidRDefault="00A44908" w:rsidP="00F16E16">
      <w:pPr>
        <w:jc w:val="both"/>
        <w:rPr>
          <w:rFonts w:ascii="Arial" w:hAnsi="Arial" w:cs="Arial"/>
          <w:sz w:val="20"/>
          <w:szCs w:val="20"/>
        </w:rPr>
      </w:pPr>
      <w:r w:rsidRPr="009F0ED8">
        <w:rPr>
          <w:rFonts w:ascii="Arial" w:hAnsi="Arial" w:cs="Arial"/>
          <w:sz w:val="20"/>
          <w:szCs w:val="20"/>
        </w:rPr>
        <w:t xml:space="preserve">Podnik je možné dále považovat za nezávislý, i když je tento 25%ní </w:t>
      </w:r>
      <w:r w:rsidR="00BF5249" w:rsidRPr="009F0ED8">
        <w:rPr>
          <w:rFonts w:ascii="Arial" w:hAnsi="Arial" w:cs="Arial"/>
          <w:sz w:val="20"/>
          <w:szCs w:val="20"/>
        </w:rPr>
        <w:t xml:space="preserve">strop </w:t>
      </w:r>
      <w:r w:rsidRPr="009F0ED8">
        <w:rPr>
          <w:rFonts w:ascii="Arial" w:hAnsi="Arial" w:cs="Arial"/>
          <w:sz w:val="20"/>
          <w:szCs w:val="20"/>
        </w:rPr>
        <w:t>dosažen nebo překročen, pokud existují určité kategorie investorů, kteří hrají pozitivní úlohu ve financování a vytváření podniků (např. „</w:t>
      </w:r>
      <w:r w:rsidRPr="009F0ED8">
        <w:rPr>
          <w:rFonts w:ascii="Arial" w:hAnsi="Arial" w:cs="Arial"/>
          <w:i/>
          <w:sz w:val="20"/>
          <w:szCs w:val="20"/>
        </w:rPr>
        <w:t xml:space="preserve">business </w:t>
      </w:r>
      <w:proofErr w:type="spellStart"/>
      <w:r w:rsidRPr="009F0ED8">
        <w:rPr>
          <w:rFonts w:ascii="Arial" w:hAnsi="Arial" w:cs="Arial"/>
          <w:i/>
          <w:sz w:val="20"/>
          <w:szCs w:val="20"/>
        </w:rPr>
        <w:t>angels</w:t>
      </w:r>
      <w:proofErr w:type="spellEnd"/>
      <w:r w:rsidRPr="009F0ED8">
        <w:rPr>
          <w:rFonts w:ascii="Arial" w:hAnsi="Arial" w:cs="Arial"/>
          <w:sz w:val="20"/>
          <w:szCs w:val="20"/>
        </w:rPr>
        <w:t>“)</w:t>
      </w:r>
    </w:p>
    <w:p w:rsidR="00BF5249" w:rsidRPr="009F0ED8" w:rsidRDefault="00BF5249">
      <w:pPr>
        <w:rPr>
          <w:rFonts w:ascii="Arial" w:hAnsi="Arial" w:cs="Arial"/>
          <w:b/>
          <w:sz w:val="20"/>
          <w:szCs w:val="20"/>
        </w:rPr>
      </w:pPr>
      <w:r w:rsidRPr="009F0ED8">
        <w:rPr>
          <w:rFonts w:ascii="Arial" w:hAnsi="Arial" w:cs="Arial"/>
          <w:b/>
          <w:sz w:val="20"/>
          <w:szCs w:val="20"/>
        </w:rPr>
        <w:t>Podnik je partnerský</w:t>
      </w:r>
      <w:r w:rsidRPr="009F0ED8">
        <w:rPr>
          <w:rFonts w:ascii="Arial" w:hAnsi="Arial" w:cs="Arial"/>
          <w:sz w:val="20"/>
          <w:szCs w:val="20"/>
        </w:rPr>
        <w:t>, pokud:</w:t>
      </w:r>
      <w:r w:rsidRPr="009F0ED8">
        <w:rPr>
          <w:rFonts w:ascii="Arial" w:hAnsi="Arial" w:cs="Arial"/>
          <w:b/>
          <w:sz w:val="20"/>
          <w:szCs w:val="20"/>
        </w:rPr>
        <w:t xml:space="preserve"> </w:t>
      </w:r>
    </w:p>
    <w:p w:rsidR="00BF5249" w:rsidRPr="009F0ED8" w:rsidRDefault="00BF5249" w:rsidP="00BF5249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F0ED8">
        <w:rPr>
          <w:rFonts w:ascii="Arial" w:hAnsi="Arial" w:cs="Arial"/>
          <w:sz w:val="20"/>
          <w:szCs w:val="20"/>
        </w:rPr>
        <w:t>má podíl 25%-50% v jiném podniku, nebo jiný podnik má podíl 25%-50% v něm</w:t>
      </w:r>
    </w:p>
    <w:p w:rsidR="00BF5249" w:rsidRPr="009F0ED8" w:rsidRDefault="00BF5249" w:rsidP="00BF5249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F0ED8">
        <w:rPr>
          <w:rFonts w:ascii="Arial" w:hAnsi="Arial" w:cs="Arial"/>
          <w:sz w:val="20"/>
          <w:szCs w:val="20"/>
        </w:rPr>
        <w:t xml:space="preserve">podnik nesestavuje konsolidovanou účetní závěrku, která zahrnuje jiný podnik, a není zahrnut v konsolidované účetní závěrce jiného podniku ani podniku, který by byl propojen </w:t>
      </w:r>
    </w:p>
    <w:p w:rsidR="006151E3" w:rsidRPr="009F0ED8" w:rsidRDefault="00F16E16">
      <w:pPr>
        <w:rPr>
          <w:rFonts w:ascii="Arial" w:hAnsi="Arial" w:cs="Arial"/>
          <w:sz w:val="20"/>
          <w:szCs w:val="20"/>
        </w:rPr>
      </w:pPr>
      <w:r w:rsidRPr="009F0ED8">
        <w:rPr>
          <w:rFonts w:ascii="Arial" w:hAnsi="Arial" w:cs="Arial"/>
          <w:b/>
          <w:sz w:val="20"/>
          <w:szCs w:val="20"/>
        </w:rPr>
        <w:t>Podnik je propojený</w:t>
      </w:r>
      <w:r w:rsidRPr="009F0ED8">
        <w:rPr>
          <w:rFonts w:ascii="Arial" w:hAnsi="Arial" w:cs="Arial"/>
          <w:sz w:val="20"/>
          <w:szCs w:val="20"/>
        </w:rPr>
        <w:t>, pokud</w:t>
      </w:r>
    </w:p>
    <w:p w:rsidR="00F16E16" w:rsidRPr="009F0ED8" w:rsidRDefault="00F16E16" w:rsidP="00F16E16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F0ED8">
        <w:rPr>
          <w:rFonts w:ascii="Arial" w:hAnsi="Arial" w:cs="Arial"/>
          <w:sz w:val="20"/>
          <w:szCs w:val="20"/>
        </w:rPr>
        <w:t>nespadá ani do jedné z výše uvedených kategorií</w:t>
      </w:r>
    </w:p>
    <w:p w:rsidR="00F16E16" w:rsidRDefault="00F16E16" w:rsidP="00F16E1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F0ED8">
        <w:rPr>
          <w:rFonts w:ascii="Arial" w:hAnsi="Arial" w:cs="Arial"/>
          <w:sz w:val="20"/>
          <w:szCs w:val="20"/>
        </w:rPr>
        <w:t>je součástí skupiny prostřednictvím přímého nebo nepřímého vlivu na základě většiny základního kapitálu nebo hlasovacích práv (i prostřednictvím dohod nebo v některých případech prostřednictvím jednotlivých akcionářů) nebo prostřednictvím schopnosti uplatňovat rozhodující vliv v</w:t>
      </w:r>
      <w:r w:rsidR="00C5272B">
        <w:rPr>
          <w:rFonts w:ascii="Arial" w:hAnsi="Arial" w:cs="Arial"/>
          <w:sz w:val="20"/>
          <w:szCs w:val="20"/>
        </w:rPr>
        <w:t> </w:t>
      </w:r>
      <w:r w:rsidRPr="009F0ED8">
        <w:rPr>
          <w:rFonts w:ascii="Arial" w:hAnsi="Arial" w:cs="Arial"/>
          <w:sz w:val="20"/>
          <w:szCs w:val="20"/>
        </w:rPr>
        <w:t>podniku</w:t>
      </w:r>
    </w:p>
    <w:p w:rsidR="00C5272B" w:rsidRDefault="00C5272B" w:rsidP="00C5272B">
      <w:pPr>
        <w:jc w:val="both"/>
        <w:rPr>
          <w:rFonts w:ascii="Arial" w:hAnsi="Arial" w:cs="Arial"/>
          <w:sz w:val="20"/>
          <w:szCs w:val="20"/>
        </w:rPr>
      </w:pPr>
    </w:p>
    <w:p w:rsidR="00C5272B" w:rsidRDefault="00C5272B" w:rsidP="00C5272B">
      <w:pPr>
        <w:jc w:val="both"/>
        <w:rPr>
          <w:rFonts w:ascii="Arial" w:hAnsi="Arial" w:cs="Arial"/>
          <w:sz w:val="20"/>
          <w:szCs w:val="20"/>
        </w:rPr>
      </w:pPr>
    </w:p>
    <w:p w:rsidR="00C5272B" w:rsidRPr="00C5272B" w:rsidRDefault="00C5272B" w:rsidP="00C5272B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426"/>
        <w:gridCol w:w="8646"/>
      </w:tblGrid>
      <w:tr w:rsidR="00F16E16" w:rsidRPr="009F0ED8" w:rsidTr="009F0ED8">
        <w:tc>
          <w:tcPr>
            <w:tcW w:w="9072" w:type="dxa"/>
            <w:gridSpan w:val="2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2F2F2" w:themeFill="background1" w:themeFillShade="F2"/>
          </w:tcPr>
          <w:p w:rsidR="00F16E16" w:rsidRPr="009F0ED8" w:rsidRDefault="00F16E16" w:rsidP="00784245">
            <w:pPr>
              <w:pStyle w:val="Odstavecseseznamem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  <w:b/>
                <w:color w:val="1F3864" w:themeColor="accent5" w:themeShade="80"/>
                <w:sz w:val="20"/>
                <w:szCs w:val="20"/>
              </w:rPr>
            </w:pPr>
            <w:r w:rsidRPr="009F0ED8">
              <w:rPr>
                <w:rFonts w:ascii="Arial" w:hAnsi="Arial" w:cs="Arial"/>
                <w:b/>
                <w:color w:val="1F3864" w:themeColor="accent5" w:themeShade="80"/>
                <w:sz w:val="20"/>
                <w:szCs w:val="20"/>
              </w:rPr>
              <w:lastRenderedPageBreak/>
              <w:t>Definice výzkumné organizace</w:t>
            </w:r>
            <w:r w:rsidRPr="009F0ED8">
              <w:rPr>
                <w:rStyle w:val="Znakapoznpodarou"/>
                <w:rFonts w:ascii="Arial" w:hAnsi="Arial" w:cs="Arial"/>
                <w:b/>
                <w:color w:val="1F3864" w:themeColor="accent5" w:themeShade="80"/>
                <w:sz w:val="20"/>
                <w:szCs w:val="20"/>
              </w:rPr>
              <w:footnoteReference w:id="2"/>
            </w:r>
          </w:p>
          <w:p w:rsidR="00F16E16" w:rsidRPr="009F0ED8" w:rsidRDefault="00F16E16" w:rsidP="00784245">
            <w:pPr>
              <w:pStyle w:val="Odstavecseseznamem"/>
              <w:ind w:left="3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E16" w:rsidRPr="009F0ED8" w:rsidTr="009F0ED8">
        <w:tc>
          <w:tcPr>
            <w:tcW w:w="42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16E16" w:rsidRPr="009F0ED8" w:rsidRDefault="00262D5A" w:rsidP="00784245">
            <w:pPr>
              <w:rPr>
                <w:rFonts w:ascii="Arial" w:hAnsi="Arial" w:cs="Arial"/>
                <w:sz w:val="20"/>
                <w:szCs w:val="20"/>
              </w:rPr>
            </w:pPr>
            <w:r w:rsidRPr="009F0ED8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86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F16E16" w:rsidRPr="009F0ED8" w:rsidRDefault="00262D5A" w:rsidP="00262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ED8">
              <w:rPr>
                <w:rFonts w:ascii="Arial" w:hAnsi="Arial" w:cs="Arial"/>
                <w:sz w:val="20"/>
                <w:szCs w:val="20"/>
              </w:rPr>
              <w:t xml:space="preserve">hlavním účelem uchazeče/příjemce/dalšího účastníka projektu, k němuž byl zřízen, je provádět nezávislý základní výzkum, průmyslový výzkum nebo experimentální vývoj nebo veřejně šířit jejich výsledky prostřednictví výuky, publikování, transferu znalostí nebo převodu technologií </w:t>
            </w:r>
          </w:p>
        </w:tc>
      </w:tr>
      <w:tr w:rsidR="00F16E16" w:rsidRPr="009F0ED8" w:rsidTr="009F0ED8">
        <w:tc>
          <w:tcPr>
            <w:tcW w:w="42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16E16" w:rsidRPr="009F0ED8" w:rsidRDefault="00262D5A" w:rsidP="00784245">
            <w:pPr>
              <w:rPr>
                <w:rFonts w:ascii="Arial" w:hAnsi="Arial" w:cs="Arial"/>
                <w:sz w:val="20"/>
                <w:szCs w:val="20"/>
              </w:rPr>
            </w:pPr>
            <w:r w:rsidRPr="009F0ED8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86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F16E16" w:rsidRPr="009F0ED8" w:rsidRDefault="00262D5A" w:rsidP="00262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ED8">
              <w:rPr>
                <w:rFonts w:ascii="Arial" w:hAnsi="Arial" w:cs="Arial"/>
                <w:sz w:val="20"/>
                <w:szCs w:val="20"/>
              </w:rPr>
              <w:t>pokud uchazeči/příjemci/dalšímu účastníkovi projektu vzniká z jeho primárních činností zisk, reinvestuje veškerý tento zisk do svých primárních činností uvedených pod písmenem a)</w:t>
            </w:r>
          </w:p>
        </w:tc>
      </w:tr>
      <w:tr w:rsidR="00F16E16" w:rsidRPr="009F0ED8" w:rsidTr="009F0ED8">
        <w:tc>
          <w:tcPr>
            <w:tcW w:w="42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16E16" w:rsidRPr="009F0ED8" w:rsidRDefault="00262D5A" w:rsidP="00784245">
            <w:pPr>
              <w:rPr>
                <w:rFonts w:ascii="Arial" w:hAnsi="Arial" w:cs="Arial"/>
                <w:sz w:val="20"/>
                <w:szCs w:val="20"/>
              </w:rPr>
            </w:pPr>
            <w:r w:rsidRPr="009F0ED8"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86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F16E16" w:rsidRPr="009F0ED8" w:rsidRDefault="00262D5A" w:rsidP="00262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ED8">
              <w:rPr>
                <w:rFonts w:ascii="Arial" w:hAnsi="Arial" w:cs="Arial"/>
                <w:sz w:val="20"/>
                <w:szCs w:val="20"/>
              </w:rPr>
              <w:t>vykonává-li uchazeč/příjemce/další účastník projektu rovněž hospodářské činnosti</w:t>
            </w:r>
            <w:r w:rsidR="005475E6" w:rsidRPr="009F0ED8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"/>
            </w:r>
            <w:r w:rsidRPr="009F0ED8">
              <w:rPr>
                <w:rFonts w:ascii="Arial" w:hAnsi="Arial" w:cs="Arial"/>
                <w:sz w:val="20"/>
                <w:szCs w:val="20"/>
              </w:rPr>
              <w:t>, vede o financování jejich aktiv, pasiv, nákladů a výnosů oddělené účetnictví</w:t>
            </w:r>
          </w:p>
        </w:tc>
      </w:tr>
      <w:tr w:rsidR="00F16E16" w:rsidRPr="009F0ED8" w:rsidTr="009F0ED8">
        <w:tc>
          <w:tcPr>
            <w:tcW w:w="42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16E16" w:rsidRPr="009F0ED8" w:rsidRDefault="00262D5A" w:rsidP="00784245">
            <w:pPr>
              <w:rPr>
                <w:rFonts w:ascii="Arial" w:hAnsi="Arial" w:cs="Arial"/>
                <w:sz w:val="20"/>
                <w:szCs w:val="20"/>
              </w:rPr>
            </w:pPr>
            <w:r w:rsidRPr="009F0ED8"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86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F16E16" w:rsidRPr="009F0ED8" w:rsidRDefault="00262D5A" w:rsidP="00262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ED8">
              <w:rPr>
                <w:rFonts w:ascii="Arial" w:hAnsi="Arial" w:cs="Arial"/>
                <w:sz w:val="20"/>
                <w:szCs w:val="20"/>
              </w:rPr>
              <w:t>podniky, které mohou uplatňovat na uchazeče/příjemce/dalšího účastníka projektu vliv, např. jako podílníci nebo členové, nemají žádný přednostní přístup k výzkumným kapacitám tohoto subjektu nebo k výsledkům výzkumu vytvořeným tímto subjektem</w:t>
            </w:r>
          </w:p>
        </w:tc>
      </w:tr>
    </w:tbl>
    <w:p w:rsidR="00F16E16" w:rsidRDefault="00262D5A" w:rsidP="00262D5A">
      <w:pPr>
        <w:pStyle w:val="Odstavecseseznamem"/>
        <w:ind w:left="0"/>
        <w:rPr>
          <w:rFonts w:ascii="Arial" w:hAnsi="Arial" w:cs="Arial"/>
          <w:sz w:val="20"/>
          <w:szCs w:val="20"/>
        </w:rPr>
      </w:pPr>
      <w:r w:rsidRPr="009F0ED8">
        <w:rPr>
          <w:rFonts w:ascii="Arial" w:hAnsi="Arial" w:cs="Arial"/>
          <w:sz w:val="20"/>
          <w:szCs w:val="20"/>
        </w:rPr>
        <w:t>Posuzovaný subjekt musí mít samostatnou právní subjektivitu a vnitřním předpisem upravený způsob nakládání s výsledky výzkumu a vývoje.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426"/>
        <w:gridCol w:w="8646"/>
      </w:tblGrid>
      <w:tr w:rsidR="00262D5A" w:rsidRPr="009F0ED8" w:rsidTr="009F0ED8">
        <w:tc>
          <w:tcPr>
            <w:tcW w:w="9072" w:type="dxa"/>
            <w:gridSpan w:val="2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2F2F2" w:themeFill="background1" w:themeFillShade="F2"/>
          </w:tcPr>
          <w:p w:rsidR="00262D5A" w:rsidRPr="009F0ED8" w:rsidRDefault="00262D5A" w:rsidP="005475E6">
            <w:pPr>
              <w:pStyle w:val="Odstavecseseznamem"/>
              <w:numPr>
                <w:ilvl w:val="0"/>
                <w:numId w:val="2"/>
              </w:numPr>
              <w:ind w:left="318" w:hanging="284"/>
              <w:rPr>
                <w:rFonts w:ascii="Arial" w:hAnsi="Arial" w:cs="Arial"/>
                <w:b/>
                <w:color w:val="1F3864" w:themeColor="accent5" w:themeShade="80"/>
                <w:sz w:val="20"/>
                <w:szCs w:val="20"/>
              </w:rPr>
            </w:pPr>
            <w:r w:rsidRPr="009F0ED8">
              <w:rPr>
                <w:rFonts w:ascii="Arial" w:hAnsi="Arial" w:cs="Arial"/>
                <w:b/>
                <w:color w:val="1F3864" w:themeColor="accent5" w:themeShade="80"/>
                <w:sz w:val="20"/>
                <w:szCs w:val="20"/>
              </w:rPr>
              <w:t xml:space="preserve">Definice </w:t>
            </w:r>
            <w:r w:rsidR="005475E6" w:rsidRPr="009F0ED8">
              <w:rPr>
                <w:rFonts w:ascii="Arial" w:hAnsi="Arial" w:cs="Arial"/>
                <w:b/>
                <w:color w:val="1F3864" w:themeColor="accent5" w:themeShade="80"/>
                <w:sz w:val="20"/>
                <w:szCs w:val="20"/>
              </w:rPr>
              <w:t>podniku v obtížích</w:t>
            </w:r>
            <w:r w:rsidRPr="009F0ED8">
              <w:rPr>
                <w:rStyle w:val="Znakapoznpodarou"/>
                <w:rFonts w:ascii="Arial" w:hAnsi="Arial" w:cs="Arial"/>
                <w:b/>
                <w:color w:val="1F3864" w:themeColor="accent5" w:themeShade="80"/>
                <w:sz w:val="20"/>
                <w:szCs w:val="20"/>
              </w:rPr>
              <w:footnoteReference w:id="4"/>
            </w:r>
          </w:p>
          <w:p w:rsidR="00262D5A" w:rsidRPr="009F0ED8" w:rsidRDefault="00262D5A" w:rsidP="00784245">
            <w:pPr>
              <w:pStyle w:val="Odstavecseseznamem"/>
              <w:ind w:left="3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2D5A" w:rsidRPr="009F0ED8" w:rsidTr="009F0ED8">
        <w:tc>
          <w:tcPr>
            <w:tcW w:w="426" w:type="dxa"/>
            <w:tcBorders>
              <w:left w:val="doub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62D5A" w:rsidRPr="009F0ED8" w:rsidRDefault="00143B90" w:rsidP="007842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ED8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86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262D5A" w:rsidRPr="009F0ED8" w:rsidRDefault="00143B90" w:rsidP="00143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ED8">
              <w:rPr>
                <w:rFonts w:ascii="Arial" w:hAnsi="Arial" w:cs="Arial"/>
                <w:sz w:val="20"/>
                <w:szCs w:val="20"/>
              </w:rPr>
              <w:t>v případě společnosti s ručením omezeným (která není malým nebo středním podnikem a jejíž existence nepřesahuje tři roky nebo – pro účely způsobilosti pro rizikové financování – která není malým nebo středním podnikem do sedmi let od jeho prvního komerčního prodeje, jenž je na základě hloubkové kontroly provedené vybraným finančním zprostředkovatelem způsobilý pro investice v oblasti rizikového financování), kde v důsledku kumulace ztrát došlo ke ztrátě více než poloviny upsaného základního kapitálu; tento případ nastává, když je výsledek odečtení kumulovaných ztrát od rezerv (a všech dalších prvků, jež se obecně považují za kapitál společnosti) negativní a svou výší překračuje polovinu upsaného základního kapitálu; pro účely tohoto ustanovená se za „společnost s ručením omezeným“ považují zejména formy podniků uvedené v příloze 1 směrnice 2013/34/EU a „základní kapitál“ zahrnuje případně jakékoli emisní ážio</w:t>
            </w:r>
          </w:p>
        </w:tc>
      </w:tr>
      <w:tr w:rsidR="00262D5A" w:rsidRPr="009F0ED8" w:rsidTr="009F0ED8">
        <w:tc>
          <w:tcPr>
            <w:tcW w:w="426" w:type="dxa"/>
            <w:tcBorders>
              <w:left w:val="doub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62D5A" w:rsidRPr="009F0ED8" w:rsidRDefault="00143B90" w:rsidP="007842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ED8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86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262D5A" w:rsidRPr="009F0ED8" w:rsidRDefault="00143B90" w:rsidP="008431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ED8">
              <w:rPr>
                <w:rFonts w:ascii="Arial" w:hAnsi="Arial" w:cs="Arial"/>
                <w:sz w:val="20"/>
                <w:szCs w:val="20"/>
              </w:rPr>
              <w:t>v případě společnosti, v níž alespoň někteří společníci plně ručí za závazky společnosti (která není malým nebo středním podnikem a jejíž existence nepřesahuje tři roky nebo – pro účely způsobilosti pro rizikové financování – která není malým nebo středním podnikem do sedmi let od jeho prvního komerčního prodeje, jež je na základě hloubkové kontroly provedené vybraným finančním zprost</w:t>
            </w:r>
            <w:r w:rsidR="0084315D" w:rsidRPr="009F0ED8">
              <w:rPr>
                <w:rFonts w:ascii="Arial" w:hAnsi="Arial" w:cs="Arial"/>
                <w:sz w:val="20"/>
                <w:szCs w:val="20"/>
              </w:rPr>
              <w:t>ř</w:t>
            </w:r>
            <w:r w:rsidRPr="009F0ED8">
              <w:rPr>
                <w:rFonts w:ascii="Arial" w:hAnsi="Arial" w:cs="Arial"/>
                <w:sz w:val="20"/>
                <w:szCs w:val="20"/>
              </w:rPr>
              <w:t xml:space="preserve">edkovatelem způsobilý pro investice v oblasti rizikového financování), kde v důsledku kumulace ztrát došlo ke ztrátě více než poloviny </w:t>
            </w:r>
            <w:r w:rsidR="0084315D" w:rsidRPr="009F0ED8">
              <w:rPr>
                <w:rFonts w:ascii="Arial" w:hAnsi="Arial" w:cs="Arial"/>
                <w:sz w:val="20"/>
                <w:szCs w:val="20"/>
              </w:rPr>
              <w:t>jejího kapitálu zaznamenaného v účetnictví této společnosti; pro účely tohoto ustanovení se za „společnost, v níž alespoň někteří společníci plně ručí za závazky společnosti“ považují zejména formy podniků uvedené v příloze II směrnice 2013/34/EU</w:t>
            </w:r>
          </w:p>
        </w:tc>
      </w:tr>
      <w:tr w:rsidR="00262D5A" w:rsidRPr="009F0ED8" w:rsidTr="009F0ED8">
        <w:tc>
          <w:tcPr>
            <w:tcW w:w="426" w:type="dxa"/>
            <w:tcBorders>
              <w:left w:val="doub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62D5A" w:rsidRPr="009F0ED8" w:rsidRDefault="00143B90" w:rsidP="007842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ED8"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86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262D5A" w:rsidRPr="009F0ED8" w:rsidRDefault="0084315D" w:rsidP="007842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ED8">
              <w:rPr>
                <w:rFonts w:ascii="Arial" w:hAnsi="Arial" w:cs="Arial"/>
                <w:sz w:val="20"/>
                <w:szCs w:val="20"/>
              </w:rPr>
              <w:t>jestliže vůči podniku bylo zahájeno kolektivní úpadkové řízení nebo tento podnik splňuje kritéria vnitrostátního práva pro zahájení kolektivního úpadkového řízení na žádost svých věřitelů</w:t>
            </w:r>
          </w:p>
        </w:tc>
      </w:tr>
      <w:tr w:rsidR="00262D5A" w:rsidRPr="009F0ED8" w:rsidTr="009F0ED8">
        <w:tc>
          <w:tcPr>
            <w:tcW w:w="426" w:type="dxa"/>
            <w:tcBorders>
              <w:left w:val="doub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62D5A" w:rsidRPr="009F0ED8" w:rsidRDefault="00143B90" w:rsidP="007842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ED8"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86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262D5A" w:rsidRPr="009F0ED8" w:rsidRDefault="0084315D" w:rsidP="00AC2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ED8">
              <w:rPr>
                <w:rFonts w:ascii="Arial" w:hAnsi="Arial" w:cs="Arial"/>
                <w:sz w:val="20"/>
                <w:szCs w:val="20"/>
              </w:rPr>
              <w:t xml:space="preserve">jestliže podnik obdržel podporu na záchranu a zatím nesplatil půjčku nebo neukončil záruku nebo jestliže obdržel podporu na restrukturalizaci a stále se na </w:t>
            </w:r>
            <w:r w:rsidR="00AC2614" w:rsidRPr="009F0ED8">
              <w:rPr>
                <w:rFonts w:ascii="Arial" w:hAnsi="Arial" w:cs="Arial"/>
                <w:sz w:val="20"/>
                <w:szCs w:val="20"/>
              </w:rPr>
              <w:t>n</w:t>
            </w:r>
            <w:r w:rsidRPr="009F0ED8">
              <w:rPr>
                <w:rFonts w:ascii="Arial" w:hAnsi="Arial" w:cs="Arial"/>
                <w:sz w:val="20"/>
                <w:szCs w:val="20"/>
              </w:rPr>
              <w:t>ěj uplatňuje plán restrukturalizace</w:t>
            </w:r>
          </w:p>
        </w:tc>
      </w:tr>
      <w:tr w:rsidR="00262D5A" w:rsidRPr="009F0ED8" w:rsidTr="009F0ED8">
        <w:tc>
          <w:tcPr>
            <w:tcW w:w="426" w:type="dxa"/>
            <w:tcBorders>
              <w:left w:val="doub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62D5A" w:rsidRPr="009F0ED8" w:rsidRDefault="00143B90" w:rsidP="007842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ED8">
              <w:rPr>
                <w:rFonts w:ascii="Arial" w:hAnsi="Arial" w:cs="Arial"/>
                <w:sz w:val="20"/>
                <w:szCs w:val="20"/>
              </w:rPr>
              <w:t>e)</w:t>
            </w:r>
          </w:p>
        </w:tc>
        <w:tc>
          <w:tcPr>
            <w:tcW w:w="86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262D5A" w:rsidRPr="009F0ED8" w:rsidRDefault="0084315D" w:rsidP="00017F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ED8">
              <w:rPr>
                <w:rFonts w:ascii="Arial" w:hAnsi="Arial" w:cs="Arial"/>
                <w:sz w:val="20"/>
                <w:szCs w:val="20"/>
              </w:rPr>
              <w:t xml:space="preserve">v případě podniku, který není malým nebo středním </w:t>
            </w:r>
            <w:proofErr w:type="gramStart"/>
            <w:r w:rsidRPr="009F0ED8">
              <w:rPr>
                <w:rFonts w:ascii="Arial" w:hAnsi="Arial" w:cs="Arial"/>
                <w:sz w:val="20"/>
                <w:szCs w:val="20"/>
              </w:rPr>
              <w:t>podnikem , kde</w:t>
            </w:r>
            <w:proofErr w:type="gramEnd"/>
            <w:r w:rsidRPr="009F0ED8">
              <w:rPr>
                <w:rFonts w:ascii="Arial" w:hAnsi="Arial" w:cs="Arial"/>
                <w:sz w:val="20"/>
                <w:szCs w:val="20"/>
              </w:rPr>
              <w:t xml:space="preserve"> v uplynulých dvou letech účetní poměr dluhu společnosti k vlastnímu kapitálu je vyšší než 7,5 a poměr úrokového krytí hospodářského výsledku společnosti před úroky, zdaněním a odpisy (EBITDA) je nižší než 1,0</w:t>
            </w:r>
          </w:p>
        </w:tc>
      </w:tr>
    </w:tbl>
    <w:p w:rsidR="00262D5A" w:rsidRPr="009F0ED8" w:rsidRDefault="00262D5A" w:rsidP="009F0ED8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sectPr w:rsidR="00262D5A" w:rsidRPr="009F0ED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CF3" w:rsidRDefault="00051CF3" w:rsidP="00874B28">
      <w:pPr>
        <w:spacing w:after="0" w:line="240" w:lineRule="auto"/>
      </w:pPr>
      <w:r>
        <w:separator/>
      </w:r>
    </w:p>
  </w:endnote>
  <w:endnote w:type="continuationSeparator" w:id="0">
    <w:p w:rsidR="00051CF3" w:rsidRDefault="00051CF3" w:rsidP="00874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CF3" w:rsidRDefault="00051CF3" w:rsidP="00874B28">
      <w:pPr>
        <w:spacing w:after="0" w:line="240" w:lineRule="auto"/>
      </w:pPr>
      <w:r>
        <w:separator/>
      </w:r>
    </w:p>
  </w:footnote>
  <w:footnote w:type="continuationSeparator" w:id="0">
    <w:p w:rsidR="00051CF3" w:rsidRDefault="00051CF3" w:rsidP="00874B28">
      <w:pPr>
        <w:spacing w:after="0" w:line="240" w:lineRule="auto"/>
      </w:pPr>
      <w:r>
        <w:continuationSeparator/>
      </w:r>
    </w:p>
  </w:footnote>
  <w:footnote w:id="1">
    <w:p w:rsidR="00F16E16" w:rsidRPr="009F0ED8" w:rsidRDefault="00F16E16" w:rsidP="009F0ED8">
      <w:pPr>
        <w:pStyle w:val="Textpoznpodarou"/>
        <w:ind w:left="426" w:hanging="426"/>
        <w:rPr>
          <w:rFonts w:ascii="Arial" w:hAnsi="Arial" w:cs="Arial"/>
          <w:sz w:val="16"/>
          <w:szCs w:val="16"/>
        </w:rPr>
      </w:pPr>
      <w:r w:rsidRPr="009F0ED8">
        <w:rPr>
          <w:rStyle w:val="Znakapoznpodarou"/>
          <w:rFonts w:ascii="Arial" w:hAnsi="Arial" w:cs="Arial"/>
          <w:sz w:val="16"/>
          <w:szCs w:val="16"/>
        </w:rPr>
        <w:footnoteRef/>
      </w:r>
      <w:r w:rsidRPr="009F0ED8">
        <w:rPr>
          <w:rFonts w:ascii="Arial" w:hAnsi="Arial" w:cs="Arial"/>
          <w:sz w:val="16"/>
          <w:szCs w:val="16"/>
        </w:rPr>
        <w:t>)</w:t>
      </w:r>
      <w:r w:rsidRPr="009F0ED8">
        <w:rPr>
          <w:rFonts w:ascii="Arial" w:hAnsi="Arial" w:cs="Arial"/>
          <w:sz w:val="16"/>
          <w:szCs w:val="16"/>
        </w:rPr>
        <w:tab/>
        <w:t xml:space="preserve">příloha I Nařízení Komise (ES) č. 651/2014 ze dne 17. června 2014, kterým se v souladu s články 107 a 108 Smlouvy prohlašují určité kategorie za slučitelné s vnitřním trhem </w:t>
      </w:r>
    </w:p>
  </w:footnote>
  <w:footnote w:id="2">
    <w:p w:rsidR="00F16E16" w:rsidRPr="009F0ED8" w:rsidRDefault="00F16E16" w:rsidP="005475E6">
      <w:pPr>
        <w:pStyle w:val="Textpoznpodarou"/>
        <w:ind w:left="426" w:hanging="426"/>
        <w:jc w:val="both"/>
        <w:rPr>
          <w:rFonts w:ascii="Arial" w:hAnsi="Arial" w:cs="Arial"/>
        </w:rPr>
      </w:pPr>
      <w:r w:rsidRPr="009F0ED8">
        <w:rPr>
          <w:rStyle w:val="Znakapoznpodarou"/>
          <w:rFonts w:ascii="Arial" w:hAnsi="Arial" w:cs="Arial"/>
          <w:sz w:val="16"/>
          <w:szCs w:val="16"/>
        </w:rPr>
        <w:footnoteRef/>
      </w:r>
      <w:r w:rsidRPr="009F0ED8">
        <w:rPr>
          <w:rFonts w:ascii="Arial" w:hAnsi="Arial" w:cs="Arial"/>
          <w:sz w:val="16"/>
          <w:szCs w:val="16"/>
        </w:rPr>
        <w:t>)</w:t>
      </w:r>
      <w:r w:rsidRPr="009F0ED8">
        <w:rPr>
          <w:rFonts w:ascii="Arial" w:hAnsi="Arial" w:cs="Arial"/>
          <w:sz w:val="16"/>
          <w:szCs w:val="16"/>
        </w:rPr>
        <w:tab/>
      </w:r>
      <w:r w:rsidR="0084315D" w:rsidRPr="009F0ED8">
        <w:rPr>
          <w:rFonts w:ascii="Arial" w:hAnsi="Arial" w:cs="Arial"/>
          <w:sz w:val="16"/>
          <w:szCs w:val="16"/>
        </w:rPr>
        <w:t xml:space="preserve">kap. I </w:t>
      </w:r>
      <w:proofErr w:type="spellStart"/>
      <w:r w:rsidR="0084315D" w:rsidRPr="009F0ED8">
        <w:rPr>
          <w:rFonts w:ascii="Arial" w:hAnsi="Arial" w:cs="Arial"/>
          <w:sz w:val="16"/>
          <w:szCs w:val="16"/>
        </w:rPr>
        <w:t>čl</w:t>
      </w:r>
      <w:proofErr w:type="spellEnd"/>
      <w:r w:rsidR="0084315D" w:rsidRPr="009F0ED8">
        <w:rPr>
          <w:rFonts w:ascii="Arial" w:hAnsi="Arial" w:cs="Arial"/>
          <w:sz w:val="16"/>
          <w:szCs w:val="16"/>
        </w:rPr>
        <w:t xml:space="preserve"> 2 odst. 83 Nařízení </w:t>
      </w:r>
      <w:r w:rsidRPr="009F0ED8">
        <w:rPr>
          <w:rFonts w:ascii="Arial" w:hAnsi="Arial" w:cs="Arial"/>
          <w:sz w:val="16"/>
          <w:szCs w:val="16"/>
        </w:rPr>
        <w:t>Komise (ES) č. 651/2014 ze dne 17. června 2014, kterým se v souladu s články 107 a 108 Smlouvy prohlašují určité kategorie za slučitelné s vnitřním trhem</w:t>
      </w:r>
      <w:r w:rsidR="0084315D" w:rsidRPr="009F0ED8">
        <w:rPr>
          <w:rFonts w:ascii="Arial" w:hAnsi="Arial" w:cs="Arial"/>
          <w:sz w:val="16"/>
          <w:szCs w:val="16"/>
        </w:rPr>
        <w:t xml:space="preserve">, a kap. 1 čl. 1.3 odst. </w:t>
      </w:r>
      <w:proofErr w:type="spellStart"/>
      <w:r w:rsidR="0084315D" w:rsidRPr="009F0ED8">
        <w:rPr>
          <w:rFonts w:ascii="Arial" w:hAnsi="Arial" w:cs="Arial"/>
          <w:sz w:val="16"/>
          <w:szCs w:val="16"/>
        </w:rPr>
        <w:t>ee</w:t>
      </w:r>
      <w:proofErr w:type="spellEnd"/>
      <w:r w:rsidR="0084315D" w:rsidRPr="009F0ED8">
        <w:rPr>
          <w:rFonts w:ascii="Arial" w:hAnsi="Arial" w:cs="Arial"/>
          <w:sz w:val="16"/>
          <w:szCs w:val="16"/>
        </w:rPr>
        <w:t>) Sdělení Komise (EU), Rámec pro státní podporu výzkumu, vývoje a inovací (2014/C 198/01) a §2 odst. 2 písm. d) zákona č. 130/2002 Sb., o podpoře výzkumu, experimentálního vývoje a inovací</w:t>
      </w:r>
      <w:r w:rsidR="005475E6" w:rsidRPr="009F0ED8">
        <w:rPr>
          <w:rFonts w:ascii="Arial" w:hAnsi="Arial" w:cs="Arial"/>
          <w:sz w:val="16"/>
          <w:szCs w:val="16"/>
        </w:rPr>
        <w:t xml:space="preserve"> z veřejných prostředků a o změně některých souvisejících zá</w:t>
      </w:r>
      <w:r w:rsidR="009F0ED8">
        <w:rPr>
          <w:rFonts w:ascii="Arial" w:hAnsi="Arial" w:cs="Arial"/>
          <w:sz w:val="16"/>
          <w:szCs w:val="16"/>
        </w:rPr>
        <w:t>k</w:t>
      </w:r>
      <w:r w:rsidR="005475E6" w:rsidRPr="009F0ED8">
        <w:rPr>
          <w:rFonts w:ascii="Arial" w:hAnsi="Arial" w:cs="Arial"/>
          <w:sz w:val="16"/>
          <w:szCs w:val="16"/>
        </w:rPr>
        <w:t>onů, ve znění pozdějších předpisů</w:t>
      </w:r>
      <w:r w:rsidRPr="009F0ED8">
        <w:rPr>
          <w:rFonts w:ascii="Arial" w:hAnsi="Arial" w:cs="Arial"/>
        </w:rPr>
        <w:t xml:space="preserve"> </w:t>
      </w:r>
    </w:p>
  </w:footnote>
  <w:footnote w:id="3">
    <w:p w:rsidR="005475E6" w:rsidRPr="009F0ED8" w:rsidRDefault="005475E6" w:rsidP="009F0ED8">
      <w:pPr>
        <w:pStyle w:val="Textpoznpodarou"/>
        <w:ind w:left="426" w:hanging="426"/>
        <w:jc w:val="both"/>
        <w:rPr>
          <w:rFonts w:ascii="Arial" w:hAnsi="Arial" w:cs="Arial"/>
          <w:sz w:val="16"/>
          <w:szCs w:val="16"/>
        </w:rPr>
      </w:pPr>
      <w:r w:rsidRPr="009F0ED8">
        <w:rPr>
          <w:rStyle w:val="Znakapoznpodarou"/>
          <w:rFonts w:ascii="Arial" w:hAnsi="Arial" w:cs="Arial"/>
          <w:sz w:val="16"/>
          <w:szCs w:val="16"/>
        </w:rPr>
        <w:footnoteRef/>
      </w:r>
      <w:r w:rsidRPr="009F0ED8">
        <w:rPr>
          <w:rFonts w:ascii="Arial" w:hAnsi="Arial" w:cs="Arial"/>
          <w:sz w:val="16"/>
          <w:szCs w:val="16"/>
        </w:rPr>
        <w:t xml:space="preserve">) </w:t>
      </w:r>
      <w:r w:rsidRPr="009F0ED8">
        <w:rPr>
          <w:rFonts w:ascii="Arial" w:hAnsi="Arial" w:cs="Arial"/>
          <w:sz w:val="16"/>
          <w:szCs w:val="16"/>
        </w:rPr>
        <w:tab/>
        <w:t>za účelem ověření pravdivosti údajů obsažených v čestném prohlášení je posuzovatel oprávněn vyžádat si relevantní podklady, tj. analytickou rozvahu, a jiné finanční dokumenty</w:t>
      </w:r>
    </w:p>
  </w:footnote>
  <w:footnote w:id="4">
    <w:p w:rsidR="00262D5A" w:rsidRPr="009F0ED8" w:rsidRDefault="00262D5A" w:rsidP="009F0ED8">
      <w:pPr>
        <w:pStyle w:val="Textpoznpodarou"/>
        <w:ind w:left="426" w:hanging="426"/>
        <w:jc w:val="both"/>
        <w:rPr>
          <w:rFonts w:ascii="Arial" w:hAnsi="Arial" w:cs="Arial"/>
        </w:rPr>
      </w:pPr>
      <w:r w:rsidRPr="009F0ED8">
        <w:rPr>
          <w:rStyle w:val="Znakapoznpodarou"/>
          <w:rFonts w:ascii="Arial" w:hAnsi="Arial" w:cs="Arial"/>
          <w:sz w:val="16"/>
          <w:szCs w:val="16"/>
        </w:rPr>
        <w:footnoteRef/>
      </w:r>
      <w:r w:rsidRPr="009F0ED8">
        <w:rPr>
          <w:rFonts w:ascii="Arial" w:hAnsi="Arial" w:cs="Arial"/>
          <w:sz w:val="16"/>
          <w:szCs w:val="16"/>
        </w:rPr>
        <w:t>)</w:t>
      </w:r>
      <w:r w:rsidRPr="009F0ED8">
        <w:rPr>
          <w:rFonts w:ascii="Arial" w:hAnsi="Arial" w:cs="Arial"/>
          <w:sz w:val="16"/>
          <w:szCs w:val="16"/>
        </w:rPr>
        <w:tab/>
      </w:r>
      <w:r w:rsidR="005475E6" w:rsidRPr="009F0ED8">
        <w:rPr>
          <w:rFonts w:ascii="Arial" w:hAnsi="Arial" w:cs="Arial"/>
          <w:sz w:val="16"/>
          <w:szCs w:val="16"/>
        </w:rPr>
        <w:t xml:space="preserve">kap. I čl. 2 odst. 18 </w:t>
      </w:r>
      <w:r w:rsidRPr="009F0ED8">
        <w:rPr>
          <w:rFonts w:ascii="Arial" w:hAnsi="Arial" w:cs="Arial"/>
          <w:sz w:val="16"/>
          <w:szCs w:val="16"/>
        </w:rPr>
        <w:t>Nařízení Komise (ES) č. 651/2014 ze dne 17. června 2014, kterým se v souladu s články 107 a 108 Smlouvy prohlašují určité kategorie za slučitelné s vnitřním trhem</w:t>
      </w:r>
      <w:r w:rsidRPr="009F0ED8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D8" w:rsidRDefault="009F0ED8" w:rsidP="00874B28">
    <w:pPr>
      <w:pStyle w:val="Zhlav"/>
      <w:jc w:val="center"/>
      <w:rPr>
        <w:rFonts w:ascii="Arial" w:hAnsi="Arial" w:cs="Arial"/>
        <w:b/>
        <w:color w:val="1F4E79" w:themeColor="accent1" w:themeShade="80"/>
        <w:sz w:val="24"/>
        <w:szCs w:val="24"/>
      </w:rPr>
    </w:pPr>
  </w:p>
  <w:p w:rsidR="00874B28" w:rsidRPr="006A1057" w:rsidRDefault="00874B28" w:rsidP="00874B28">
    <w:pPr>
      <w:pStyle w:val="Zhlav"/>
      <w:jc w:val="center"/>
      <w:rPr>
        <w:rFonts w:ascii="Arial" w:hAnsi="Arial" w:cs="Arial"/>
        <w:b/>
        <w:caps/>
        <w:color w:val="1F4E79" w:themeColor="accent1" w:themeShade="80"/>
        <w:sz w:val="24"/>
        <w:szCs w:val="24"/>
      </w:rPr>
    </w:pPr>
    <w:r w:rsidRPr="006A1057">
      <w:rPr>
        <w:rFonts w:ascii="Arial" w:hAnsi="Arial" w:cs="Arial"/>
        <w:b/>
        <w:caps/>
        <w:color w:val="1F4E79" w:themeColor="accent1" w:themeShade="80"/>
        <w:sz w:val="24"/>
        <w:szCs w:val="24"/>
      </w:rPr>
      <w:t>Příloha čestného prohlášení</w:t>
    </w:r>
  </w:p>
  <w:p w:rsidR="009F0ED8" w:rsidRPr="009F0ED8" w:rsidRDefault="009F0ED8" w:rsidP="00874B28">
    <w:pPr>
      <w:pStyle w:val="Zhlav"/>
      <w:jc w:val="center"/>
      <w:rPr>
        <w:rFonts w:ascii="Arial" w:hAnsi="Arial" w:cs="Arial"/>
        <w:b/>
        <w:color w:val="1F4E79" w:themeColor="accent1" w:themeShade="8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26847"/>
    <w:multiLevelType w:val="hybridMultilevel"/>
    <w:tmpl w:val="939686B2"/>
    <w:lvl w:ilvl="0" w:tplc="C0FC069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F31AC"/>
    <w:multiLevelType w:val="hybridMultilevel"/>
    <w:tmpl w:val="939686B2"/>
    <w:lvl w:ilvl="0" w:tplc="C0FC0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269FC"/>
    <w:multiLevelType w:val="hybridMultilevel"/>
    <w:tmpl w:val="775A53D6"/>
    <w:lvl w:ilvl="0" w:tplc="C1B4A5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B5990"/>
    <w:multiLevelType w:val="hybridMultilevel"/>
    <w:tmpl w:val="372CFC86"/>
    <w:lvl w:ilvl="0" w:tplc="1FA44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28"/>
    <w:rsid w:val="00017FD0"/>
    <w:rsid w:val="00051CF3"/>
    <w:rsid w:val="00143B90"/>
    <w:rsid w:val="001B5103"/>
    <w:rsid w:val="00262D5A"/>
    <w:rsid w:val="005219A8"/>
    <w:rsid w:val="005475E6"/>
    <w:rsid w:val="006151E3"/>
    <w:rsid w:val="006A1057"/>
    <w:rsid w:val="00822EAD"/>
    <w:rsid w:val="0084315D"/>
    <w:rsid w:val="00874B28"/>
    <w:rsid w:val="009A5D6A"/>
    <w:rsid w:val="009F0ED8"/>
    <w:rsid w:val="009F6204"/>
    <w:rsid w:val="00A44908"/>
    <w:rsid w:val="00AC2614"/>
    <w:rsid w:val="00AE0F84"/>
    <w:rsid w:val="00AF231C"/>
    <w:rsid w:val="00BF5249"/>
    <w:rsid w:val="00C5272B"/>
    <w:rsid w:val="00C53DFF"/>
    <w:rsid w:val="00C55F03"/>
    <w:rsid w:val="00C72043"/>
    <w:rsid w:val="00D82723"/>
    <w:rsid w:val="00E23146"/>
    <w:rsid w:val="00F16E16"/>
    <w:rsid w:val="00FB537A"/>
    <w:rsid w:val="00FF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9B5420-5DE7-4C21-B544-F9A5FF60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4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4B28"/>
  </w:style>
  <w:style w:type="paragraph" w:styleId="Zpat">
    <w:name w:val="footer"/>
    <w:basedOn w:val="Normln"/>
    <w:link w:val="ZpatChar"/>
    <w:uiPriority w:val="99"/>
    <w:unhideWhenUsed/>
    <w:rsid w:val="00874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4B28"/>
  </w:style>
  <w:style w:type="table" w:styleId="Mkatabulky">
    <w:name w:val="Table Grid"/>
    <w:basedOn w:val="Normlntabulka"/>
    <w:uiPriority w:val="39"/>
    <w:rsid w:val="00874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74B2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16E1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16E1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16E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35C1A-9BAC-44E7-8527-4DFC49762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Horská Jarmila</dc:creator>
  <cp:keywords/>
  <dc:description/>
  <cp:lastModifiedBy>Horská Jarmila</cp:lastModifiedBy>
  <cp:revision>4</cp:revision>
  <cp:lastPrinted>2017-04-03T12:51:00Z</cp:lastPrinted>
  <dcterms:created xsi:type="dcterms:W3CDTF">2017-12-19T12:13:00Z</dcterms:created>
  <dcterms:modified xsi:type="dcterms:W3CDTF">2018-01-04T10:38:00Z</dcterms:modified>
</cp:coreProperties>
</file>