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890AF" w14:textId="77777777" w:rsidR="00C30660" w:rsidRDefault="009E10BF" w:rsidP="003C7FFA">
      <w:pPr>
        <w:jc w:val="center"/>
        <w:rPr>
          <w:b/>
          <w:sz w:val="28"/>
          <w:szCs w:val="28"/>
        </w:rPr>
      </w:pPr>
      <w:r w:rsidRPr="00F74982">
        <w:rPr>
          <w:b/>
          <w:sz w:val="28"/>
          <w:szCs w:val="28"/>
        </w:rPr>
        <w:t xml:space="preserve">Podmínky a pokyny pro další přípravu, zadání akce a čerpání </w:t>
      </w:r>
    </w:p>
    <w:p w14:paraId="411FCC2A" w14:textId="14B350D6" w:rsidR="009E10BF" w:rsidRPr="00F74982" w:rsidRDefault="009E10BF" w:rsidP="003C7FFA">
      <w:pPr>
        <w:jc w:val="center"/>
        <w:rPr>
          <w:b/>
          <w:sz w:val="28"/>
          <w:szCs w:val="28"/>
        </w:rPr>
      </w:pPr>
      <w:r w:rsidRPr="00F74982">
        <w:rPr>
          <w:b/>
          <w:sz w:val="28"/>
          <w:szCs w:val="28"/>
        </w:rPr>
        <w:t>prostředků státního rozpočtu v průběhu realizace akce</w:t>
      </w:r>
    </w:p>
    <w:p w14:paraId="0B5125F5" w14:textId="77777777" w:rsidR="00637553" w:rsidRDefault="00637553" w:rsidP="003C7FFA">
      <w:pPr>
        <w:jc w:val="center"/>
        <w:rPr>
          <w:szCs w:val="24"/>
        </w:rPr>
      </w:pPr>
    </w:p>
    <w:p w14:paraId="26CD9B14" w14:textId="3385FFA9" w:rsidR="00EB1193" w:rsidRPr="00EB1193" w:rsidRDefault="00EB1193" w:rsidP="003C7FFA">
      <w:pPr>
        <w:jc w:val="center"/>
        <w:rPr>
          <w:szCs w:val="24"/>
        </w:rPr>
      </w:pPr>
      <w:r w:rsidRPr="00EB1193">
        <w:rPr>
          <w:szCs w:val="24"/>
        </w:rPr>
        <w:t>Podprogram 133D 622 Rozšíření strategické průmyslové zóny Solnice – Kvasiny a zlepšení veřejné infrastruktury v Královéhradeckém regionu – Sportovní infrastruktura</w:t>
      </w:r>
    </w:p>
    <w:p w14:paraId="1C2466D0" w14:textId="77777777" w:rsidR="00EB1193" w:rsidRDefault="00EB1193" w:rsidP="009E10BF">
      <w:pPr>
        <w:spacing w:after="120"/>
        <w:rPr>
          <w:rFonts w:eastAsia="Times New Roman"/>
          <w:szCs w:val="24"/>
          <w:lang w:eastAsia="cs-CZ"/>
        </w:rPr>
      </w:pPr>
    </w:p>
    <w:p w14:paraId="7BE84178" w14:textId="5ADD6351" w:rsidR="009E10BF" w:rsidRDefault="009E10BF" w:rsidP="009E10BF">
      <w:pPr>
        <w:spacing w:after="120"/>
        <w:rPr>
          <w:szCs w:val="24"/>
        </w:rPr>
      </w:pPr>
      <w:r>
        <w:rPr>
          <w:rFonts w:eastAsia="Times New Roman"/>
          <w:szCs w:val="24"/>
          <w:lang w:eastAsia="cs-CZ"/>
        </w:rPr>
        <w:t>Podmínky a pokyny pro další přípravu, zadání projektu a čerpání prostředků státního rozpočtu</w:t>
      </w:r>
      <w:r w:rsidRPr="00361780">
        <w:rPr>
          <w:rFonts w:eastAsia="Times New Roman"/>
          <w:szCs w:val="24"/>
          <w:lang w:eastAsia="cs-CZ"/>
        </w:rPr>
        <w:t xml:space="preserve"> budou vždy přílohou konkrétního řídícího dokumentu</w:t>
      </w:r>
      <w:r>
        <w:rPr>
          <w:rFonts w:eastAsia="Times New Roman"/>
          <w:szCs w:val="24"/>
          <w:lang w:eastAsia="cs-CZ"/>
        </w:rPr>
        <w:t xml:space="preserve"> (</w:t>
      </w:r>
      <w:r w:rsidRPr="00361780">
        <w:rPr>
          <w:rFonts w:eastAsia="Times New Roman"/>
          <w:color w:val="000000"/>
          <w:szCs w:val="24"/>
          <w:lang w:eastAsia="cs-CZ"/>
        </w:rPr>
        <w:t>Registrace akce</w:t>
      </w:r>
      <w:r>
        <w:rPr>
          <w:rFonts w:eastAsia="Times New Roman"/>
          <w:color w:val="000000"/>
          <w:szCs w:val="24"/>
          <w:lang w:eastAsia="cs-CZ"/>
        </w:rPr>
        <w:t>, ROPD).</w:t>
      </w:r>
      <w:r w:rsidRPr="00361780">
        <w:rPr>
          <w:rFonts w:eastAsia="Times New Roman"/>
          <w:color w:val="000000"/>
          <w:szCs w:val="24"/>
          <w:lang w:eastAsia="cs-CZ"/>
        </w:rPr>
        <w:t xml:space="preserve"> </w:t>
      </w:r>
      <w:r w:rsidRPr="00361780">
        <w:rPr>
          <w:rFonts w:eastAsia="Times New Roman"/>
          <w:szCs w:val="24"/>
          <w:lang w:eastAsia="cs-CZ"/>
        </w:rPr>
        <w:t xml:space="preserve">Příjemce dotace akceptací dotace s těmito podmínkami bezvýhradně automaticky souhlasí. </w:t>
      </w:r>
      <w:r>
        <w:rPr>
          <w:szCs w:val="24"/>
        </w:rPr>
        <w:t>Případná změna níže uvedených podmínek nebude důvodem předložení aktualizace dokumentace programu na Ministerstvu financí. Kromě níže uvedených podmínek platí podmínky uvedené v</w:t>
      </w:r>
      <w:r w:rsidR="002B695D">
        <w:rPr>
          <w:szCs w:val="24"/>
        </w:rPr>
        <w:t xml:space="preserve"> zásadách</w:t>
      </w:r>
      <w:bookmarkStart w:id="0" w:name="_GoBack"/>
      <w:bookmarkEnd w:id="0"/>
      <w:r>
        <w:rPr>
          <w:szCs w:val="24"/>
        </w:rPr>
        <w:t> podprogramu.</w:t>
      </w:r>
    </w:p>
    <w:p w14:paraId="18248D1C" w14:textId="77777777" w:rsidR="009E10BF" w:rsidRPr="006E6FD9" w:rsidRDefault="009E10BF" w:rsidP="009E10BF">
      <w:pPr>
        <w:rPr>
          <w:szCs w:val="24"/>
        </w:rPr>
      </w:pPr>
    </w:p>
    <w:p w14:paraId="4D463008" w14:textId="77777777" w:rsidR="009E10BF" w:rsidRPr="00361780" w:rsidRDefault="009E10BF" w:rsidP="009E10BF">
      <w:pPr>
        <w:autoSpaceDE w:val="0"/>
        <w:autoSpaceDN w:val="0"/>
        <w:adjustRightInd w:val="0"/>
        <w:rPr>
          <w:rFonts w:eastAsia="Times New Roman"/>
          <w:b/>
          <w:i/>
          <w:szCs w:val="24"/>
          <w:lang w:eastAsia="cs-CZ"/>
        </w:rPr>
      </w:pPr>
      <w:r w:rsidRPr="00361780">
        <w:rPr>
          <w:rFonts w:eastAsia="Times New Roman"/>
          <w:b/>
          <w:i/>
          <w:szCs w:val="24"/>
          <w:lang w:eastAsia="cs-CZ"/>
        </w:rPr>
        <w:t>Jedná se o následující podmínky:</w:t>
      </w:r>
    </w:p>
    <w:p w14:paraId="18AD79FA" w14:textId="77777777" w:rsidR="009E10BF" w:rsidRDefault="009E10BF" w:rsidP="009E10BF">
      <w:pPr>
        <w:rPr>
          <w:szCs w:val="24"/>
        </w:rPr>
      </w:pPr>
    </w:p>
    <w:p w14:paraId="522D21D8" w14:textId="77777777" w:rsidR="009E10BF" w:rsidRPr="004E7782" w:rsidRDefault="009E10BF" w:rsidP="009E10BF">
      <w:pPr>
        <w:numPr>
          <w:ilvl w:val="0"/>
          <w:numId w:val="2"/>
        </w:numPr>
        <w:spacing w:after="120"/>
        <w:rPr>
          <w:rFonts w:eastAsia="Times New Roman"/>
          <w:szCs w:val="24"/>
          <w:lang w:eastAsia="cs-CZ"/>
        </w:rPr>
      </w:pPr>
      <w:r w:rsidRPr="004E7782">
        <w:rPr>
          <w:szCs w:val="24"/>
          <w:lang w:eastAsia="cs-CZ"/>
        </w:rPr>
        <w:t xml:space="preserve">Poskytování dotací se v průběhu přípravy a realizace akce řídí zákonem </w:t>
      </w:r>
      <w:r w:rsidR="00D5721F">
        <w:rPr>
          <w:rFonts w:eastAsia="Times New Roman"/>
          <w:szCs w:val="24"/>
          <w:lang w:eastAsia="cs-CZ"/>
        </w:rPr>
        <w:t>č. 218/2000 </w:t>
      </w:r>
      <w:r w:rsidRPr="004E7782">
        <w:rPr>
          <w:rFonts w:eastAsia="Times New Roman"/>
          <w:szCs w:val="24"/>
          <w:lang w:eastAsia="cs-CZ"/>
        </w:rPr>
        <w:t xml:space="preserve">Sb., o rozpočtových pravidlech a o změně některých souvisejících zákonů (rozpočtová pravidla), ve znění pozdějších předpisů (dále jen „zákon č. 218/2000 Sb.“), </w:t>
      </w:r>
      <w:r>
        <w:rPr>
          <w:szCs w:val="24"/>
          <w:lang w:eastAsia="cs-CZ"/>
        </w:rPr>
        <w:t xml:space="preserve">vyhláškou </w:t>
      </w:r>
      <w:r w:rsidRPr="004E7782">
        <w:rPr>
          <w:szCs w:val="24"/>
          <w:lang w:eastAsia="cs-CZ"/>
        </w:rPr>
        <w:t>č. 560/2006</w:t>
      </w:r>
      <w:r>
        <w:rPr>
          <w:szCs w:val="24"/>
          <w:lang w:eastAsia="cs-CZ"/>
        </w:rPr>
        <w:t xml:space="preserve"> Sb.,</w:t>
      </w:r>
      <w:r w:rsidRPr="004E7782">
        <w:rPr>
          <w:szCs w:val="24"/>
          <w:lang w:eastAsia="cs-CZ"/>
        </w:rPr>
        <w:t xml:space="preserve"> o účasti státního rozpočtu na financování programů reprodukce majetku, ve znění pozdějších předpisů,</w:t>
      </w:r>
      <w:r w:rsidRPr="004E7782">
        <w:t xml:space="preserve"> </w:t>
      </w:r>
      <w:r w:rsidRPr="004E7782">
        <w:rPr>
          <w:szCs w:val="24"/>
          <w:lang w:eastAsia="cs-CZ"/>
        </w:rPr>
        <w:t xml:space="preserve">pokynem č. R 1 </w:t>
      </w:r>
      <w:r>
        <w:rPr>
          <w:szCs w:val="24"/>
          <w:lang w:eastAsia="cs-CZ"/>
        </w:rPr>
        <w:t>–</w:t>
      </w:r>
      <w:r w:rsidRPr="004E7782">
        <w:rPr>
          <w:szCs w:val="24"/>
          <w:lang w:eastAsia="cs-CZ"/>
        </w:rPr>
        <w:t xml:space="preserve"> 2010</w:t>
      </w:r>
      <w:r>
        <w:rPr>
          <w:szCs w:val="24"/>
          <w:lang w:eastAsia="cs-CZ"/>
        </w:rPr>
        <w:t xml:space="preserve"> </w:t>
      </w:r>
      <w:r w:rsidRPr="004E7782">
        <w:rPr>
          <w:szCs w:val="24"/>
          <w:lang w:eastAsia="cs-CZ"/>
        </w:rPr>
        <w:t>k upřesnění postupu Ministerstva financí, správců programů a účastníků programu při př</w:t>
      </w:r>
      <w:r>
        <w:rPr>
          <w:szCs w:val="24"/>
          <w:lang w:eastAsia="cs-CZ"/>
        </w:rPr>
        <w:t xml:space="preserve">ípravě, realizaci, financování </w:t>
      </w:r>
      <w:r w:rsidRPr="004E7782">
        <w:rPr>
          <w:szCs w:val="24"/>
          <w:lang w:eastAsia="cs-CZ"/>
        </w:rPr>
        <w:t>a vyhodnocování programu nebo akce a k provozování informačního systému programového financování, písemnou formou,</w:t>
      </w:r>
      <w:r>
        <w:rPr>
          <w:szCs w:val="24"/>
          <w:lang w:eastAsia="cs-CZ"/>
        </w:rPr>
        <w:t xml:space="preserve"> </w:t>
      </w:r>
      <w:r w:rsidRPr="004E7782">
        <w:rPr>
          <w:szCs w:val="24"/>
          <w:lang w:eastAsia="cs-CZ"/>
        </w:rPr>
        <w:t>v soulad</w:t>
      </w:r>
      <w:r>
        <w:rPr>
          <w:szCs w:val="24"/>
          <w:lang w:eastAsia="cs-CZ"/>
        </w:rPr>
        <w:t>u s § 14 rozpočtových pravidel a zákonem č. 320/2001 Sb., o finanční kontrole ve </w:t>
      </w:r>
      <w:r w:rsidRPr="004E7782">
        <w:rPr>
          <w:szCs w:val="24"/>
          <w:lang w:eastAsia="cs-CZ"/>
        </w:rPr>
        <w:t>veřejné správě a o změně některých zákonů (zákon o finanční kontrole),</w:t>
      </w:r>
      <w:r w:rsidR="009767FF">
        <w:rPr>
          <w:szCs w:val="24"/>
          <w:lang w:eastAsia="cs-CZ"/>
        </w:rPr>
        <w:t xml:space="preserve"> ve znění pozdějších předpisů a </w:t>
      </w:r>
      <w:r w:rsidRPr="004E7782">
        <w:rPr>
          <w:szCs w:val="24"/>
          <w:lang w:eastAsia="cs-CZ"/>
        </w:rPr>
        <w:t>průběžným metodickým řízením Mi</w:t>
      </w:r>
      <w:r>
        <w:rPr>
          <w:szCs w:val="24"/>
          <w:lang w:eastAsia="cs-CZ"/>
        </w:rPr>
        <w:t>nisterstvem školství, mládeže a </w:t>
      </w:r>
      <w:r w:rsidRPr="004E7782">
        <w:rPr>
          <w:szCs w:val="24"/>
          <w:lang w:eastAsia="cs-CZ"/>
        </w:rPr>
        <w:t>tělových</w:t>
      </w:r>
      <w:r>
        <w:rPr>
          <w:szCs w:val="24"/>
          <w:lang w:eastAsia="cs-CZ"/>
        </w:rPr>
        <w:t xml:space="preserve">ovy, </w:t>
      </w:r>
      <w:r w:rsidRPr="004E7782">
        <w:rPr>
          <w:szCs w:val="24"/>
          <w:lang w:eastAsia="cs-CZ"/>
        </w:rPr>
        <w:t>odborem sportu.</w:t>
      </w:r>
    </w:p>
    <w:p w14:paraId="287833E3" w14:textId="77777777" w:rsidR="009E10BF" w:rsidRPr="004E7782" w:rsidRDefault="009E10BF" w:rsidP="009E10BF">
      <w:pPr>
        <w:numPr>
          <w:ilvl w:val="0"/>
          <w:numId w:val="2"/>
        </w:numPr>
        <w:spacing w:after="120"/>
        <w:rPr>
          <w:szCs w:val="24"/>
          <w:lang w:eastAsia="cs-CZ"/>
        </w:rPr>
      </w:pPr>
      <w:r>
        <w:rPr>
          <w:szCs w:val="24"/>
          <w:lang w:eastAsia="cs-CZ"/>
        </w:rPr>
        <w:t>Správcem podprogramu (</w:t>
      </w:r>
      <w:r w:rsidRPr="004E7782">
        <w:rPr>
          <w:szCs w:val="24"/>
          <w:lang w:eastAsia="cs-CZ"/>
        </w:rPr>
        <w:t>poskytovatel</w:t>
      </w:r>
      <w:r>
        <w:rPr>
          <w:szCs w:val="24"/>
          <w:lang w:eastAsia="cs-CZ"/>
        </w:rPr>
        <w:t>em</w:t>
      </w:r>
      <w:r w:rsidRPr="004E7782">
        <w:rPr>
          <w:szCs w:val="24"/>
          <w:lang w:eastAsia="cs-CZ"/>
        </w:rPr>
        <w:t xml:space="preserve"> dotace</w:t>
      </w:r>
      <w:r>
        <w:rPr>
          <w:szCs w:val="24"/>
          <w:lang w:eastAsia="cs-CZ"/>
        </w:rPr>
        <w:t>)</w:t>
      </w:r>
      <w:r w:rsidRPr="004E7782">
        <w:rPr>
          <w:szCs w:val="24"/>
          <w:lang w:eastAsia="cs-CZ"/>
        </w:rPr>
        <w:t xml:space="preserve"> je Ministerstvo ško</w:t>
      </w:r>
      <w:r>
        <w:rPr>
          <w:szCs w:val="24"/>
          <w:lang w:eastAsia="cs-CZ"/>
        </w:rPr>
        <w:t xml:space="preserve">lství, mládeže a tělovýchovy, </w:t>
      </w:r>
      <w:r w:rsidRPr="004E7782">
        <w:rPr>
          <w:szCs w:val="24"/>
          <w:lang w:eastAsia="cs-CZ"/>
        </w:rPr>
        <w:t>odbor sportu (dále jen „MŠMT“)</w:t>
      </w:r>
      <w:r>
        <w:rPr>
          <w:szCs w:val="24"/>
          <w:lang w:eastAsia="cs-CZ"/>
        </w:rPr>
        <w:t>.</w:t>
      </w:r>
    </w:p>
    <w:p w14:paraId="266B4BD5" w14:textId="77777777" w:rsidR="009E10BF" w:rsidRPr="004E7782" w:rsidRDefault="009E10BF" w:rsidP="009E10BF">
      <w:pPr>
        <w:numPr>
          <w:ilvl w:val="0"/>
          <w:numId w:val="2"/>
        </w:numPr>
        <w:spacing w:after="120"/>
        <w:rPr>
          <w:szCs w:val="24"/>
          <w:lang w:eastAsia="cs-CZ"/>
        </w:rPr>
      </w:pPr>
      <w:r w:rsidRPr="004E7782">
        <w:rPr>
          <w:szCs w:val="24"/>
          <w:lang w:eastAsia="cs-CZ"/>
        </w:rPr>
        <w:t xml:space="preserve">Účastník </w:t>
      </w:r>
      <w:r>
        <w:rPr>
          <w:szCs w:val="24"/>
          <w:lang w:eastAsia="cs-CZ"/>
        </w:rPr>
        <w:t>pod</w:t>
      </w:r>
      <w:r w:rsidRPr="004E7782">
        <w:rPr>
          <w:szCs w:val="24"/>
          <w:lang w:eastAsia="cs-CZ"/>
        </w:rPr>
        <w:t>programu (příjemce dotace) zabezpečuje další přípravu a realizaci akce v souladu s MŠMT schváleným investičním záměrem (dále jen „IZ"), popř. schválenými dodatky k IZ.</w:t>
      </w:r>
    </w:p>
    <w:p w14:paraId="7D48DEFA" w14:textId="77777777" w:rsidR="009E10BF" w:rsidRPr="004E7782" w:rsidRDefault="009E10BF" w:rsidP="009E10BF">
      <w:pPr>
        <w:numPr>
          <w:ilvl w:val="0"/>
          <w:numId w:val="2"/>
        </w:numPr>
        <w:spacing w:after="120"/>
        <w:rPr>
          <w:szCs w:val="24"/>
          <w:lang w:eastAsia="cs-CZ"/>
        </w:rPr>
      </w:pPr>
      <w:r>
        <w:rPr>
          <w:szCs w:val="24"/>
          <w:lang w:eastAsia="cs-CZ"/>
        </w:rPr>
        <w:t>I</w:t>
      </w:r>
      <w:r w:rsidRPr="004E7782">
        <w:rPr>
          <w:szCs w:val="24"/>
          <w:lang w:eastAsia="cs-CZ"/>
        </w:rPr>
        <w:t>dentifikační číslo Evidenčního dotač</w:t>
      </w:r>
      <w:r>
        <w:rPr>
          <w:szCs w:val="24"/>
          <w:lang w:eastAsia="cs-CZ"/>
        </w:rPr>
        <w:t>ního systému (dále jen „EDS</w:t>
      </w:r>
      <w:r w:rsidRPr="004E7782">
        <w:rPr>
          <w:szCs w:val="24"/>
          <w:lang w:eastAsia="cs-CZ"/>
        </w:rPr>
        <w:t>“)</w:t>
      </w:r>
      <w:r>
        <w:rPr>
          <w:szCs w:val="24"/>
          <w:lang w:eastAsia="cs-CZ"/>
        </w:rPr>
        <w:t xml:space="preserve"> a název akce stanovené řídící dokumentací </w:t>
      </w:r>
      <w:r w:rsidRPr="004E7782">
        <w:rPr>
          <w:szCs w:val="24"/>
          <w:lang w:eastAsia="cs-CZ"/>
        </w:rPr>
        <w:t xml:space="preserve">budou používány při všech úředních jednáních a ve všech souvisejících dokumentech po celou dobu </w:t>
      </w:r>
      <w:r>
        <w:rPr>
          <w:szCs w:val="24"/>
          <w:lang w:eastAsia="cs-CZ"/>
        </w:rPr>
        <w:t>přípravy a realizace akce.</w:t>
      </w:r>
    </w:p>
    <w:p w14:paraId="6F9F0A4A" w14:textId="77777777" w:rsidR="009E10BF" w:rsidRPr="00643E44" w:rsidRDefault="009E10BF" w:rsidP="009E10BF">
      <w:pPr>
        <w:numPr>
          <w:ilvl w:val="0"/>
          <w:numId w:val="2"/>
        </w:numPr>
        <w:spacing w:after="120"/>
        <w:rPr>
          <w:szCs w:val="24"/>
          <w:lang w:eastAsia="cs-CZ"/>
        </w:rPr>
      </w:pPr>
      <w:r w:rsidRPr="00643E44">
        <w:rPr>
          <w:szCs w:val="24"/>
          <w:lang w:eastAsia="cs-CZ"/>
        </w:rPr>
        <w:t xml:space="preserve">Údaje v řídícím dokumentu Registrace akce jsou závazné, dokud nejsou Rozhodnutím o poskytnutí dotace vydaným podle § 5 vyhlášky č. 560/2006 Sb., o účasti státního rozpočtu na financování programů reprodukce majetku, ve znění pozdějších předpisů, nahrazeny údaji novými.  </w:t>
      </w:r>
    </w:p>
    <w:p w14:paraId="435AA142" w14:textId="77777777" w:rsidR="009E10BF" w:rsidRDefault="009E10BF" w:rsidP="009E10BF">
      <w:pPr>
        <w:numPr>
          <w:ilvl w:val="0"/>
          <w:numId w:val="2"/>
        </w:numPr>
        <w:spacing w:after="120"/>
        <w:rPr>
          <w:szCs w:val="24"/>
          <w:lang w:eastAsia="cs-CZ"/>
        </w:rPr>
      </w:pPr>
      <w:r w:rsidRPr="004E7782">
        <w:rPr>
          <w:szCs w:val="24"/>
          <w:lang w:eastAsia="cs-CZ"/>
        </w:rPr>
        <w:t xml:space="preserve">Závaznými ukazateli jsou objem účasti státního rozpočtu (dále jen „SR“) na financování akce (v členění na investiční výdaje SR, neinvestiční výdaje SR), objem vlastních zdrojů účastníka </w:t>
      </w:r>
      <w:r>
        <w:rPr>
          <w:szCs w:val="24"/>
          <w:lang w:eastAsia="cs-CZ"/>
        </w:rPr>
        <w:t>pod</w:t>
      </w:r>
      <w:r w:rsidRPr="004E7782">
        <w:rPr>
          <w:szCs w:val="24"/>
          <w:lang w:eastAsia="cs-CZ"/>
        </w:rPr>
        <w:t xml:space="preserve">programu (součet všech finančních zdrojů </w:t>
      </w:r>
      <w:r>
        <w:rPr>
          <w:szCs w:val="24"/>
          <w:lang w:eastAsia="cs-CZ"/>
        </w:rPr>
        <w:t xml:space="preserve">účastníka podprogramu použitých na </w:t>
      </w:r>
      <w:r w:rsidRPr="004E7782">
        <w:rPr>
          <w:szCs w:val="24"/>
          <w:lang w:eastAsia="cs-CZ"/>
        </w:rPr>
        <w:t xml:space="preserve">spolufinancování akce), věcné a časové parametry (termíny ukončení realizace akce, financování akce a předložení dokumentace k závěrečnému vyhodnocení akce). </w:t>
      </w:r>
    </w:p>
    <w:p w14:paraId="06E93BDE" w14:textId="77777777" w:rsidR="009E10BF" w:rsidRPr="00F3667E" w:rsidRDefault="009E10BF" w:rsidP="009E10BF">
      <w:pPr>
        <w:numPr>
          <w:ilvl w:val="0"/>
          <w:numId w:val="2"/>
        </w:numPr>
        <w:spacing w:after="120"/>
        <w:rPr>
          <w:szCs w:val="24"/>
          <w:lang w:eastAsia="cs-CZ"/>
        </w:rPr>
      </w:pPr>
      <w:r>
        <w:rPr>
          <w:szCs w:val="24"/>
          <w:lang w:eastAsia="cs-CZ"/>
        </w:rPr>
        <w:lastRenderedPageBreak/>
        <w:t xml:space="preserve">O </w:t>
      </w:r>
      <w:r w:rsidRPr="00F3667E">
        <w:rPr>
          <w:szCs w:val="24"/>
          <w:lang w:eastAsia="cs-CZ"/>
        </w:rPr>
        <w:t>změnu kteréhokoliv údaje v</w:t>
      </w:r>
      <w:r>
        <w:rPr>
          <w:szCs w:val="24"/>
          <w:lang w:eastAsia="cs-CZ"/>
        </w:rPr>
        <w:t>e vydaných</w:t>
      </w:r>
      <w:r w:rsidRPr="00F3667E">
        <w:rPr>
          <w:szCs w:val="24"/>
          <w:lang w:eastAsia="cs-CZ"/>
        </w:rPr>
        <w:t xml:space="preserve"> řídících dokumentech </w:t>
      </w:r>
      <w:r w:rsidRPr="00C318E6">
        <w:rPr>
          <w:szCs w:val="24"/>
          <w:lang w:eastAsia="cs-CZ"/>
        </w:rPr>
        <w:t>Registrace akce</w:t>
      </w:r>
      <w:r>
        <w:rPr>
          <w:szCs w:val="24"/>
          <w:lang w:eastAsia="cs-CZ"/>
        </w:rPr>
        <w:t xml:space="preserve"> nebo Rozhodnutí </w:t>
      </w:r>
      <w:r w:rsidRPr="00F3667E">
        <w:rPr>
          <w:szCs w:val="24"/>
          <w:lang w:eastAsia="cs-CZ"/>
        </w:rPr>
        <w:t>o poskytnutí dotace musí příjemce dotace předem požádat MŠMT.</w:t>
      </w:r>
    </w:p>
    <w:p w14:paraId="3CAA73CA" w14:textId="77777777" w:rsidR="009E10BF" w:rsidRPr="004E7782" w:rsidRDefault="009E10BF" w:rsidP="009E10BF">
      <w:pPr>
        <w:numPr>
          <w:ilvl w:val="0"/>
          <w:numId w:val="2"/>
        </w:numPr>
        <w:spacing w:after="120"/>
        <w:rPr>
          <w:szCs w:val="24"/>
          <w:lang w:eastAsia="cs-CZ"/>
        </w:rPr>
      </w:pPr>
      <w:r w:rsidRPr="004E7782">
        <w:rPr>
          <w:szCs w:val="24"/>
          <w:lang w:eastAsia="cs-CZ"/>
        </w:rPr>
        <w:t xml:space="preserve">V řídících dokumentech </w:t>
      </w:r>
      <w:r w:rsidRPr="00C318E6">
        <w:rPr>
          <w:szCs w:val="24"/>
          <w:lang w:eastAsia="cs-CZ"/>
        </w:rPr>
        <w:t>Registrace akce a následně</w:t>
      </w:r>
      <w:r w:rsidRPr="004E7782">
        <w:rPr>
          <w:szCs w:val="24"/>
          <w:lang w:eastAsia="cs-CZ"/>
        </w:rPr>
        <w:t xml:space="preserve"> v Rozhodnutí o poskytnutí dotace není předmětem sankcí </w:t>
      </w:r>
      <w:r>
        <w:rPr>
          <w:szCs w:val="24"/>
          <w:lang w:eastAsia="cs-CZ"/>
        </w:rPr>
        <w:t xml:space="preserve">za porušení rozpočtové kázně </w:t>
      </w:r>
      <w:r w:rsidRPr="004E7782">
        <w:rPr>
          <w:szCs w:val="24"/>
          <w:lang w:eastAsia="cs-CZ"/>
        </w:rPr>
        <w:t>nedodržení struktury bilancí potřeb akce, při důsledném zachování investičních a neinvestičních objemů</w:t>
      </w:r>
      <w:r>
        <w:rPr>
          <w:szCs w:val="24"/>
          <w:lang w:eastAsia="cs-CZ"/>
        </w:rPr>
        <w:t xml:space="preserve">. Závaznosti finančních objemů </w:t>
      </w:r>
      <w:r w:rsidRPr="004E7782">
        <w:rPr>
          <w:szCs w:val="24"/>
          <w:lang w:eastAsia="cs-CZ"/>
        </w:rPr>
        <w:t>v</w:t>
      </w:r>
      <w:r>
        <w:t> </w:t>
      </w:r>
      <w:r w:rsidRPr="004E7782">
        <w:rPr>
          <w:szCs w:val="24"/>
          <w:lang w:eastAsia="cs-CZ"/>
        </w:rPr>
        <w:t xml:space="preserve">řídících dokumentech </w:t>
      </w:r>
      <w:r w:rsidRPr="00D24FC1">
        <w:rPr>
          <w:szCs w:val="24"/>
          <w:lang w:eastAsia="cs-CZ"/>
        </w:rPr>
        <w:t>Registrace akce a následně</w:t>
      </w:r>
      <w:r w:rsidR="009767FF">
        <w:rPr>
          <w:szCs w:val="24"/>
          <w:lang w:eastAsia="cs-CZ"/>
        </w:rPr>
        <w:t xml:space="preserve"> v Rozhodnutí o </w:t>
      </w:r>
      <w:r w:rsidRPr="004E7782">
        <w:rPr>
          <w:szCs w:val="24"/>
          <w:lang w:eastAsia="cs-CZ"/>
        </w:rPr>
        <w:t>poskytnutí dotace, jsou platné pro celkové objemy z</w:t>
      </w:r>
      <w:r w:rsidR="009767FF">
        <w:rPr>
          <w:szCs w:val="24"/>
          <w:lang w:eastAsia="cs-CZ"/>
        </w:rPr>
        <w:t>drojů po celou dobu realizace a </w:t>
      </w:r>
      <w:r w:rsidRPr="004E7782">
        <w:rPr>
          <w:szCs w:val="24"/>
          <w:lang w:eastAsia="cs-CZ"/>
        </w:rPr>
        <w:t>financování akce.</w:t>
      </w:r>
    </w:p>
    <w:p w14:paraId="7228D270" w14:textId="77777777" w:rsidR="009E10BF" w:rsidRPr="00F3667E" w:rsidRDefault="009E10BF" w:rsidP="009E10BF">
      <w:pPr>
        <w:numPr>
          <w:ilvl w:val="0"/>
          <w:numId w:val="2"/>
        </w:numPr>
        <w:spacing w:after="120"/>
      </w:pPr>
      <w:r>
        <w:t>Termínem ukončení realizace akce se pro účely tohoto podprogramu rozumí okamžik, ke kterému byl sepsán protokol o předání a převzetí stavby, a to bez vad a nedodělků bránících v užívání. V případě, že akce byla realizována na základě povolení či souhlasu příslušného orgánu (např. stavební povolení) rozumí se termínem ukončení realizace akce okamžik, ke kterému byl vydán akt orgánu, který realizaci buď povoloval, případně s ní souhlasil (např. vydání kolaudačního souhlasu)</w:t>
      </w:r>
      <w:r w:rsidRPr="00F3667E">
        <w:rPr>
          <w:szCs w:val="24"/>
          <w:lang w:eastAsia="cs-CZ"/>
        </w:rPr>
        <w:t xml:space="preserve">. Termínem ukončení financování akce, pokud je stanoven, se rozumí termín, po němž již nemůže účastník </w:t>
      </w:r>
      <w:r>
        <w:rPr>
          <w:szCs w:val="24"/>
          <w:lang w:eastAsia="cs-CZ"/>
        </w:rPr>
        <w:t>pod</w:t>
      </w:r>
      <w:r w:rsidRPr="00F3667E">
        <w:rPr>
          <w:szCs w:val="24"/>
          <w:lang w:eastAsia="cs-CZ"/>
        </w:rPr>
        <w:t>programu provádět žádné další úhrady; současně musí být ukončeno i financování z ostatních zdrojů.</w:t>
      </w:r>
    </w:p>
    <w:p w14:paraId="231E0C86" w14:textId="77777777" w:rsidR="009E10BF" w:rsidRPr="004E7782" w:rsidRDefault="009E10BF" w:rsidP="009E10BF">
      <w:pPr>
        <w:numPr>
          <w:ilvl w:val="0"/>
          <w:numId w:val="2"/>
        </w:numPr>
        <w:spacing w:after="120"/>
        <w:rPr>
          <w:szCs w:val="24"/>
          <w:lang w:eastAsia="cs-CZ"/>
        </w:rPr>
      </w:pPr>
      <w:r w:rsidRPr="004E7782">
        <w:rPr>
          <w:szCs w:val="24"/>
          <w:lang w:eastAsia="cs-CZ"/>
        </w:rPr>
        <w:t>Výběr zhotovitelů a dodavatelů stavebních prací, služeb a dodávek (dále jen „dodavatelé“) v rámci přípravy a realizace akce, musí být prováděn v souladu se zákonem č. 134/2016 Sb.,</w:t>
      </w:r>
      <w:r>
        <w:rPr>
          <w:szCs w:val="24"/>
          <w:lang w:eastAsia="cs-CZ"/>
        </w:rPr>
        <w:t xml:space="preserve"> </w:t>
      </w:r>
      <w:r w:rsidRPr="004E7782">
        <w:rPr>
          <w:szCs w:val="24"/>
          <w:lang w:eastAsia="cs-CZ"/>
        </w:rPr>
        <w:t>o zadávání veřejných zakázek, ve znění pozdějších předpisů.</w:t>
      </w:r>
      <w:r>
        <w:rPr>
          <w:szCs w:val="24"/>
          <w:lang w:eastAsia="cs-CZ"/>
        </w:rPr>
        <w:t xml:space="preserve"> </w:t>
      </w:r>
      <w:r w:rsidRPr="00EE5832">
        <w:rPr>
          <w:szCs w:val="24"/>
          <w:lang w:eastAsia="cs-CZ"/>
        </w:rPr>
        <w:t>MŠMT kontroluje veřejné zakázky akcí z hledisk</w:t>
      </w:r>
      <w:r w:rsidR="009767FF">
        <w:rPr>
          <w:szCs w:val="24"/>
          <w:lang w:eastAsia="cs-CZ"/>
        </w:rPr>
        <w:t>a jejich věcného, technického a </w:t>
      </w:r>
      <w:r w:rsidRPr="00EE5832">
        <w:rPr>
          <w:szCs w:val="24"/>
          <w:lang w:eastAsia="cs-CZ"/>
        </w:rPr>
        <w:t>ekonomického souladu s předloženým IZ a stanoven</w:t>
      </w:r>
      <w:r w:rsidR="009767FF">
        <w:rPr>
          <w:szCs w:val="24"/>
          <w:lang w:eastAsia="cs-CZ"/>
        </w:rPr>
        <w:t>ými závaznými ukazateli akce (v </w:t>
      </w:r>
      <w:r w:rsidRPr="00EE5832">
        <w:rPr>
          <w:szCs w:val="24"/>
          <w:lang w:eastAsia="cs-CZ"/>
        </w:rPr>
        <w:t>rámci dokladů předložených k Rozhodnutí o poskytnutí dotace). MŠMT se dále zaměřuje na skutečnosti, zda byla při realizaci zakázky splněna kritéria nediskriminace, rovného zacházení a transparentností, zda byla realizo</w:t>
      </w:r>
      <w:r w:rsidR="009767FF">
        <w:rPr>
          <w:szCs w:val="24"/>
          <w:lang w:eastAsia="cs-CZ"/>
        </w:rPr>
        <w:t>vána řádná hospodářská soutěž a </w:t>
      </w:r>
      <w:r w:rsidRPr="00EE5832">
        <w:rPr>
          <w:szCs w:val="24"/>
          <w:lang w:eastAsia="cs-CZ"/>
        </w:rPr>
        <w:t>zda byla důsledně ověřena cena v místě a čase obvyklá. MŠMT si bez výjimek vyhrazuje právo příjemci dotace nařídit zrušení realizované veřejné zakázky a její opětovné vyhlášení. MŠMT nepřísluší posouzení legislativní správnosti veřejné zakázky, která je zcela na zodpovědnosti zadavatele.</w:t>
      </w:r>
    </w:p>
    <w:p w14:paraId="52D331A4" w14:textId="77777777" w:rsidR="009E10BF" w:rsidRPr="004E7782" w:rsidRDefault="009E10BF" w:rsidP="009E10BF">
      <w:pPr>
        <w:numPr>
          <w:ilvl w:val="0"/>
          <w:numId w:val="2"/>
        </w:numPr>
        <w:spacing w:after="120"/>
        <w:rPr>
          <w:szCs w:val="24"/>
          <w:lang w:eastAsia="cs-CZ"/>
        </w:rPr>
      </w:pPr>
      <w:r w:rsidRPr="004E7782">
        <w:rPr>
          <w:szCs w:val="24"/>
          <w:lang w:eastAsia="cs-CZ"/>
        </w:rPr>
        <w:t xml:space="preserve">Účastník </w:t>
      </w:r>
      <w:r>
        <w:rPr>
          <w:szCs w:val="24"/>
          <w:lang w:eastAsia="cs-CZ"/>
        </w:rPr>
        <w:t>pod</w:t>
      </w:r>
      <w:r w:rsidRPr="004E7782">
        <w:rPr>
          <w:szCs w:val="24"/>
          <w:lang w:eastAsia="cs-CZ"/>
        </w:rPr>
        <w:t>programu je povinen smluvně vázat všechny účastníky přípravy, zadání a realizace akce k dodržení závazných údajů, které jsou uvedeny v</w:t>
      </w:r>
      <w:r w:rsidRPr="004E7782">
        <w:t xml:space="preserve"> </w:t>
      </w:r>
      <w:r w:rsidRPr="004E7782">
        <w:rPr>
          <w:szCs w:val="24"/>
          <w:lang w:eastAsia="cs-CZ"/>
        </w:rPr>
        <w:t>řídících dokum</w:t>
      </w:r>
      <w:r>
        <w:rPr>
          <w:szCs w:val="24"/>
          <w:lang w:eastAsia="cs-CZ"/>
        </w:rPr>
        <w:t xml:space="preserve">entech </w:t>
      </w:r>
      <w:r w:rsidRPr="00D24FC1">
        <w:rPr>
          <w:szCs w:val="24"/>
          <w:lang w:eastAsia="cs-CZ"/>
        </w:rPr>
        <w:t>Registrace akce a následně</w:t>
      </w:r>
      <w:r w:rsidRPr="004E7782">
        <w:rPr>
          <w:szCs w:val="24"/>
          <w:lang w:eastAsia="cs-CZ"/>
        </w:rPr>
        <w:t xml:space="preserve"> v Rozhodnutí o poskytnutí dotace.</w:t>
      </w:r>
    </w:p>
    <w:p w14:paraId="0B244CEE" w14:textId="77777777" w:rsidR="009E10BF" w:rsidRPr="004E7782" w:rsidRDefault="009E10BF" w:rsidP="009E10BF">
      <w:pPr>
        <w:numPr>
          <w:ilvl w:val="0"/>
          <w:numId w:val="2"/>
        </w:numPr>
        <w:spacing w:after="120"/>
        <w:rPr>
          <w:szCs w:val="24"/>
          <w:lang w:eastAsia="cs-CZ"/>
        </w:rPr>
      </w:pPr>
      <w:r w:rsidRPr="004E7782">
        <w:rPr>
          <w:szCs w:val="24"/>
          <w:lang w:eastAsia="cs-CZ"/>
        </w:rPr>
        <w:t xml:space="preserve">Dokumentace pro zadání stavby bude zpracována v podrobnostech dokumentace pro provedení stavby. Součástí podkladů předložených správci </w:t>
      </w:r>
      <w:r>
        <w:rPr>
          <w:szCs w:val="24"/>
          <w:lang w:eastAsia="cs-CZ"/>
        </w:rPr>
        <w:t>pod</w:t>
      </w:r>
      <w:r w:rsidRPr="004E7782">
        <w:rPr>
          <w:szCs w:val="24"/>
          <w:lang w:eastAsia="cs-CZ"/>
        </w:rPr>
        <w:t>programu bude položkový rozpočet. Pokud bude akce realizována na základě stavebního povolení, bude k dokumentaci pro zadání stavby doložena kopie platného stavebního povolení s</w:t>
      </w:r>
      <w:r>
        <w:rPr>
          <w:szCs w:val="24"/>
          <w:lang w:eastAsia="cs-CZ"/>
        </w:rPr>
        <w:t> vyznačením doložky o nabytí</w:t>
      </w:r>
      <w:r w:rsidRPr="004E7782">
        <w:rPr>
          <w:szCs w:val="24"/>
          <w:lang w:eastAsia="cs-CZ"/>
        </w:rPr>
        <w:t xml:space="preserve"> právní moci.</w:t>
      </w:r>
    </w:p>
    <w:p w14:paraId="0AA7EC9A" w14:textId="77777777" w:rsidR="009E10BF" w:rsidRPr="00EE5832" w:rsidRDefault="009E10BF" w:rsidP="009767FF">
      <w:pPr>
        <w:numPr>
          <w:ilvl w:val="0"/>
          <w:numId w:val="2"/>
        </w:numPr>
        <w:spacing w:after="120"/>
        <w:rPr>
          <w:szCs w:val="24"/>
          <w:lang w:eastAsia="cs-CZ"/>
        </w:rPr>
      </w:pPr>
      <w:r w:rsidRPr="008F7B71">
        <w:rPr>
          <w:szCs w:val="24"/>
          <w:lang w:eastAsia="cs-CZ"/>
        </w:rPr>
        <w:t xml:space="preserve">Žádost o vydání Rozhodnutí o poskytnutí dotace bude předkládána v písemné formě </w:t>
      </w:r>
      <w:r w:rsidRPr="008F7B71">
        <w:rPr>
          <w:szCs w:val="24"/>
          <w:lang w:eastAsia="cs-CZ"/>
        </w:rPr>
        <w:br/>
        <w:t xml:space="preserve">a bude obsahovat údaje v souladu s § 14 zákona </w:t>
      </w:r>
      <w:r w:rsidRPr="008F7B71">
        <w:rPr>
          <w:rFonts w:eastAsia="Times New Roman"/>
          <w:szCs w:val="24"/>
          <w:lang w:eastAsia="cs-CZ"/>
        </w:rPr>
        <w:t>č. 218/2000 Sb</w:t>
      </w:r>
      <w:r w:rsidRPr="008F7B71">
        <w:rPr>
          <w:szCs w:val="24"/>
          <w:lang w:eastAsia="cs-CZ"/>
        </w:rPr>
        <w:t>. Součástí podkladů k žádosti o vydání Rozhodnutí o poskytnutí dotace bude mimo jiné kopie výzvy k podávání nabídek, seznamu podaných nabídek, zprávy o posouzení a hodnocení nabídek, kopie rozhodnutí zadavatele o výběru nejvhodnější nabídky, kopie oboustranně podepsaného smluvního závazku s vítězem veřejné zakázky jak ze strany dodavatele, tak i ze strany zadavatele. Žádost</w:t>
      </w:r>
      <w:r w:rsidRPr="008F7B71">
        <w:t xml:space="preserve"> </w:t>
      </w:r>
      <w:r w:rsidRPr="008F7B71">
        <w:rPr>
          <w:szCs w:val="24"/>
          <w:lang w:eastAsia="cs-CZ"/>
        </w:rPr>
        <w:t>o vydání Rozhodnutí o poskytnutí dotace bude dále obsahovat další dokumenty, které MŠMT příjemci dotace dále závazně stanoví.</w:t>
      </w:r>
    </w:p>
    <w:p w14:paraId="672C94E1" w14:textId="77777777" w:rsidR="009E10BF" w:rsidRPr="00BD1261" w:rsidRDefault="009E10BF" w:rsidP="009E10BF">
      <w:pPr>
        <w:numPr>
          <w:ilvl w:val="0"/>
          <w:numId w:val="2"/>
        </w:numPr>
        <w:spacing w:after="120"/>
        <w:rPr>
          <w:szCs w:val="24"/>
          <w:lang w:eastAsia="cs-CZ"/>
        </w:rPr>
      </w:pPr>
      <w:r w:rsidRPr="008F7B71">
        <w:rPr>
          <w:szCs w:val="24"/>
          <w:lang w:eastAsia="cs-CZ"/>
        </w:rPr>
        <w:lastRenderedPageBreak/>
        <w:t>Účastník podprogramu je povinen spolupůsobit při výkonu finanční kontroly ve smyslu § 2 písm. e) a § 13 zákona č. 320/2001 Sb., o finanční</w:t>
      </w:r>
      <w:r w:rsidR="009767FF">
        <w:rPr>
          <w:szCs w:val="24"/>
          <w:lang w:eastAsia="cs-CZ"/>
        </w:rPr>
        <w:t xml:space="preserve"> kontrole ve veřejné správě a o </w:t>
      </w:r>
      <w:r w:rsidRPr="008F7B71">
        <w:rPr>
          <w:szCs w:val="24"/>
          <w:lang w:eastAsia="cs-CZ"/>
        </w:rPr>
        <w:t>změně některých zákonů (zákon o finanční kontrole), ve znění pozdějších předpisů</w:t>
      </w:r>
      <w:r w:rsidRPr="00BD1261">
        <w:rPr>
          <w:szCs w:val="24"/>
          <w:lang w:eastAsia="cs-CZ"/>
        </w:rPr>
        <w:t xml:space="preserve">, tj. poskytnout kontrolnímu orgánu doklady o dodávkách stavebních prací, zboží a služeb hrazených z veřejných výdajů nebo z veřejné finanční podpory, v rozsahu nezbytném pro ověření příslušné operace. </w:t>
      </w:r>
    </w:p>
    <w:p w14:paraId="345859C6" w14:textId="77777777" w:rsidR="009E10BF" w:rsidRPr="00BD1261" w:rsidRDefault="009E10BF" w:rsidP="009E10BF">
      <w:pPr>
        <w:numPr>
          <w:ilvl w:val="0"/>
          <w:numId w:val="2"/>
        </w:numPr>
        <w:spacing w:after="120"/>
        <w:rPr>
          <w:szCs w:val="24"/>
          <w:lang w:eastAsia="cs-CZ"/>
        </w:rPr>
      </w:pPr>
      <w:r w:rsidRPr="00BD1261">
        <w:rPr>
          <w:szCs w:val="24"/>
          <w:lang w:eastAsia="cs-CZ"/>
        </w:rPr>
        <w:t>Účastník podprogramu výslovně zakotví do smluvních podmínek se svými dodavateli jejich povinnost spolupůsobit při výkonu finanční kont</w:t>
      </w:r>
      <w:r w:rsidR="009767FF">
        <w:rPr>
          <w:szCs w:val="24"/>
          <w:lang w:eastAsia="cs-CZ"/>
        </w:rPr>
        <w:t>roly ve smyslu § 2 písm. e) a § </w:t>
      </w:r>
      <w:r w:rsidRPr="00BD1261">
        <w:rPr>
          <w:szCs w:val="24"/>
          <w:lang w:eastAsia="cs-CZ"/>
        </w:rPr>
        <w:t>13 zákona</w:t>
      </w:r>
      <w:r>
        <w:rPr>
          <w:szCs w:val="24"/>
          <w:lang w:eastAsia="cs-CZ"/>
        </w:rPr>
        <w:t xml:space="preserve"> </w:t>
      </w:r>
      <w:r w:rsidRPr="00BD1261">
        <w:rPr>
          <w:szCs w:val="24"/>
          <w:lang w:eastAsia="cs-CZ"/>
        </w:rPr>
        <w:t>č. 320/2001 Sb., o finanční kontrole ve veřejné správě a o změně některých zákonů (zákon</w:t>
      </w:r>
      <w:r>
        <w:rPr>
          <w:szCs w:val="24"/>
          <w:lang w:eastAsia="cs-CZ"/>
        </w:rPr>
        <w:t xml:space="preserve"> </w:t>
      </w:r>
      <w:r w:rsidRPr="00BD1261">
        <w:rPr>
          <w:szCs w:val="24"/>
          <w:lang w:eastAsia="cs-CZ"/>
        </w:rPr>
        <w:t>o finanční kontrole), tj. poskytnout kontrolnímu orgánu doklady o dodávkách stavebních prací, zboží a služeb hrazených z veřejných výdajů ne</w:t>
      </w:r>
      <w:r>
        <w:rPr>
          <w:szCs w:val="24"/>
          <w:lang w:eastAsia="cs-CZ"/>
        </w:rPr>
        <w:t>bo z veřejné finanční podpory v </w:t>
      </w:r>
      <w:r w:rsidRPr="00BD1261">
        <w:rPr>
          <w:szCs w:val="24"/>
          <w:lang w:eastAsia="cs-CZ"/>
        </w:rPr>
        <w:t xml:space="preserve">rozsahu nezbytném pro ověření příslušné operace. </w:t>
      </w:r>
    </w:p>
    <w:p w14:paraId="3C78D932" w14:textId="36582857" w:rsidR="009E10BF" w:rsidRPr="004E7782" w:rsidRDefault="009E10BF" w:rsidP="009E10BF">
      <w:pPr>
        <w:numPr>
          <w:ilvl w:val="0"/>
          <w:numId w:val="2"/>
        </w:numPr>
        <w:spacing w:after="120"/>
        <w:rPr>
          <w:szCs w:val="24"/>
          <w:lang w:eastAsia="cs-CZ"/>
        </w:rPr>
      </w:pPr>
      <w:r w:rsidRPr="004E7782">
        <w:rPr>
          <w:szCs w:val="24"/>
          <w:lang w:eastAsia="cs-CZ"/>
        </w:rPr>
        <w:t xml:space="preserve">V každém smluvním závazku bude specifikována celková cena díla s vyčíslením částky bez DPH, výší sazby a částky DPH a ceny celkové včetně DPH. V případě, že celková cena obsahuje i část neinvestiční, bude rovněž tato specifikace uvedena zvlášť pro část investiční a pro část neinvestiční. </w:t>
      </w:r>
      <w:r>
        <w:rPr>
          <w:szCs w:val="24"/>
          <w:lang w:eastAsia="cs-CZ"/>
        </w:rPr>
        <w:t>Pokud bude placení DPH přeneseno v režimu přenesené daňové povinnosti z dodavatele prací, služeb apod. na příjemce dotace, bude tato odvedena příslušnému finančnímu úřadu neprodleně po uhrazení příslušné faktury v daném měsíci.</w:t>
      </w:r>
    </w:p>
    <w:p w14:paraId="03312BF5" w14:textId="77777777" w:rsidR="009E10BF" w:rsidRDefault="009E10BF" w:rsidP="009E10BF">
      <w:pPr>
        <w:numPr>
          <w:ilvl w:val="0"/>
          <w:numId w:val="2"/>
        </w:numPr>
        <w:spacing w:after="120"/>
        <w:rPr>
          <w:szCs w:val="24"/>
          <w:lang w:eastAsia="cs-CZ"/>
        </w:rPr>
      </w:pPr>
      <w:r w:rsidRPr="004E7782">
        <w:rPr>
          <w:szCs w:val="24"/>
          <w:lang w:eastAsia="cs-CZ"/>
        </w:rPr>
        <w:t xml:space="preserve">Nedílnou součástí každého smluvního závazku bude </w:t>
      </w:r>
      <w:r>
        <w:rPr>
          <w:szCs w:val="24"/>
          <w:lang w:eastAsia="cs-CZ"/>
        </w:rPr>
        <w:t>harmonogram prací včetně finančního ohodnocení.</w:t>
      </w:r>
    </w:p>
    <w:p w14:paraId="107012D9" w14:textId="77777777" w:rsidR="009E10BF" w:rsidRPr="008A09C7" w:rsidRDefault="009E10BF" w:rsidP="009E10BF">
      <w:pPr>
        <w:numPr>
          <w:ilvl w:val="0"/>
          <w:numId w:val="2"/>
        </w:numPr>
        <w:spacing w:after="120"/>
        <w:rPr>
          <w:szCs w:val="24"/>
          <w:lang w:eastAsia="cs-CZ"/>
        </w:rPr>
      </w:pPr>
      <w:r w:rsidRPr="008A09C7">
        <w:rPr>
          <w:szCs w:val="24"/>
          <w:lang w:eastAsia="cs-CZ"/>
        </w:rPr>
        <w:t xml:space="preserve">V obchodních a platebních podmínkách nebude povoleno poskytování záloh. </w:t>
      </w:r>
      <w:r w:rsidRPr="008A09C7">
        <w:t>Příjemce dotace nesmí dodavatelům z poskytnuté dotace poskytovat zálohy.</w:t>
      </w:r>
    </w:p>
    <w:p w14:paraId="368FD531" w14:textId="77777777" w:rsidR="009E10BF" w:rsidRPr="004E7782" w:rsidRDefault="009E10BF" w:rsidP="009E10BF">
      <w:pPr>
        <w:numPr>
          <w:ilvl w:val="0"/>
          <w:numId w:val="2"/>
        </w:numPr>
        <w:spacing w:after="120"/>
        <w:rPr>
          <w:szCs w:val="24"/>
          <w:lang w:eastAsia="cs-CZ"/>
        </w:rPr>
      </w:pPr>
      <w:r w:rsidRPr="004E7782">
        <w:rPr>
          <w:szCs w:val="24"/>
          <w:lang w:eastAsia="cs-CZ"/>
        </w:rPr>
        <w:t>Faktury mohou být zhotovitelům a dodavatelům propláceny měsíčně, oproti předložení dokladu o provedení prací nebo dodávek. Požadovaná splatnost faktur činí 30 kalendářních dnů. Nastavení doby splatnosti faktur bude stanoveno v zadávacím řízení akce, v obchodních podmínkách nebo v příslu</w:t>
      </w:r>
      <w:r>
        <w:rPr>
          <w:szCs w:val="24"/>
          <w:lang w:eastAsia="cs-CZ"/>
        </w:rPr>
        <w:t xml:space="preserve">šném návrhu smluvního závazku. </w:t>
      </w:r>
      <w:r w:rsidRPr="004E7782">
        <w:rPr>
          <w:szCs w:val="24"/>
          <w:lang w:eastAsia="cs-CZ"/>
        </w:rPr>
        <w:t>V jedné faktuře nesmí být fakturovány sou</w:t>
      </w:r>
      <w:r>
        <w:rPr>
          <w:szCs w:val="24"/>
          <w:lang w:eastAsia="cs-CZ"/>
        </w:rPr>
        <w:t xml:space="preserve">časně práce a činnosti hrazené </w:t>
      </w:r>
      <w:r w:rsidRPr="004E7782">
        <w:rPr>
          <w:szCs w:val="24"/>
          <w:lang w:eastAsia="cs-CZ"/>
        </w:rPr>
        <w:t>z investičních i z neinvestičních prostředků.</w:t>
      </w:r>
    </w:p>
    <w:p w14:paraId="46F298C9" w14:textId="77777777" w:rsidR="009E10BF" w:rsidRPr="004E7782" w:rsidRDefault="009E10BF" w:rsidP="009E10BF">
      <w:pPr>
        <w:numPr>
          <w:ilvl w:val="0"/>
          <w:numId w:val="2"/>
        </w:numPr>
        <w:spacing w:after="120"/>
        <w:rPr>
          <w:szCs w:val="24"/>
          <w:lang w:eastAsia="cs-CZ"/>
        </w:rPr>
      </w:pPr>
      <w:r w:rsidRPr="004E7782">
        <w:rPr>
          <w:szCs w:val="24"/>
          <w:lang w:eastAsia="cs-CZ"/>
        </w:rPr>
        <w:t>Případné smluvní pokuty za nedodržení smluvních závazků</w:t>
      </w:r>
      <w:r>
        <w:rPr>
          <w:szCs w:val="24"/>
          <w:lang w:eastAsia="cs-CZ"/>
        </w:rPr>
        <w:t xml:space="preserve"> ze strany zhotovitele náleží v </w:t>
      </w:r>
      <w:r w:rsidRPr="004E7782">
        <w:rPr>
          <w:szCs w:val="24"/>
          <w:lang w:eastAsia="cs-CZ"/>
        </w:rPr>
        <w:t xml:space="preserve">plné výši účastníkovi </w:t>
      </w:r>
      <w:r>
        <w:rPr>
          <w:szCs w:val="24"/>
          <w:lang w:eastAsia="cs-CZ"/>
        </w:rPr>
        <w:t>pod</w:t>
      </w:r>
      <w:r w:rsidRPr="004E7782">
        <w:rPr>
          <w:szCs w:val="24"/>
          <w:lang w:eastAsia="cs-CZ"/>
        </w:rPr>
        <w:t>programu.</w:t>
      </w:r>
    </w:p>
    <w:p w14:paraId="63DC24A5" w14:textId="77777777" w:rsidR="009E10BF" w:rsidRPr="004E7782" w:rsidRDefault="009E10BF" w:rsidP="009E10BF">
      <w:pPr>
        <w:numPr>
          <w:ilvl w:val="0"/>
          <w:numId w:val="2"/>
        </w:numPr>
        <w:spacing w:after="120"/>
        <w:rPr>
          <w:szCs w:val="24"/>
          <w:lang w:eastAsia="cs-CZ"/>
        </w:rPr>
      </w:pPr>
      <w:r w:rsidRPr="004E7782">
        <w:rPr>
          <w:szCs w:val="24"/>
          <w:lang w:eastAsia="cs-CZ"/>
        </w:rPr>
        <w:t xml:space="preserve">Částka požadované dotace může být uvolněna maximálně do výše ročního objemu poskytnuté dotace stanoveného v platném Rozhodnutí o poskytnutí dotace dle odpovídajícího harmonogramu prací </w:t>
      </w:r>
      <w:r>
        <w:rPr>
          <w:szCs w:val="24"/>
          <w:lang w:eastAsia="cs-CZ"/>
        </w:rPr>
        <w:t>včetně finančního ohodnocení</w:t>
      </w:r>
      <w:r w:rsidRPr="004E7782">
        <w:rPr>
          <w:szCs w:val="24"/>
          <w:lang w:eastAsia="cs-CZ"/>
        </w:rPr>
        <w:t xml:space="preserve"> z odsouhlaseného smluvního závazku.</w:t>
      </w:r>
    </w:p>
    <w:p w14:paraId="0F76AEAD" w14:textId="4741FEAB" w:rsidR="009E10BF" w:rsidRPr="004E7782" w:rsidRDefault="009E10BF" w:rsidP="009E10BF">
      <w:pPr>
        <w:numPr>
          <w:ilvl w:val="0"/>
          <w:numId w:val="2"/>
        </w:numPr>
        <w:spacing w:after="120"/>
        <w:rPr>
          <w:szCs w:val="24"/>
          <w:lang w:eastAsia="cs-CZ"/>
        </w:rPr>
      </w:pPr>
      <w:r w:rsidRPr="004E7782">
        <w:rPr>
          <w:szCs w:val="24"/>
          <w:lang w:eastAsia="cs-CZ"/>
        </w:rPr>
        <w:t xml:space="preserve">Pokud účastník </w:t>
      </w:r>
      <w:r>
        <w:rPr>
          <w:szCs w:val="24"/>
          <w:lang w:eastAsia="cs-CZ"/>
        </w:rPr>
        <w:t>pod</w:t>
      </w:r>
      <w:r w:rsidRPr="004E7782">
        <w:rPr>
          <w:szCs w:val="24"/>
          <w:lang w:eastAsia="cs-CZ"/>
        </w:rPr>
        <w:t>programu v průběhu roku zjistí, že není schopen v daném roce poskytnuté prostředky SR, popřípadě jejich část, realizovat, je povinen neprodleně oznámit tuto skutečnost MŠMT</w:t>
      </w:r>
      <w:r w:rsidR="007773D0">
        <w:rPr>
          <w:szCs w:val="24"/>
          <w:lang w:eastAsia="cs-CZ"/>
        </w:rPr>
        <w:t>.</w:t>
      </w:r>
      <w:r w:rsidRPr="004E7782">
        <w:rPr>
          <w:szCs w:val="24"/>
          <w:lang w:eastAsia="cs-CZ"/>
        </w:rPr>
        <w:t xml:space="preserve"> </w:t>
      </w:r>
    </w:p>
    <w:p w14:paraId="4B62FED9" w14:textId="77777777" w:rsidR="009E10BF" w:rsidRPr="004E7782" w:rsidRDefault="009E10BF" w:rsidP="009E10BF">
      <w:pPr>
        <w:numPr>
          <w:ilvl w:val="0"/>
          <w:numId w:val="2"/>
        </w:numPr>
        <w:spacing w:after="120"/>
        <w:rPr>
          <w:szCs w:val="24"/>
          <w:lang w:eastAsia="cs-CZ"/>
        </w:rPr>
      </w:pPr>
      <w:r>
        <w:rPr>
          <w:szCs w:val="24"/>
          <w:lang w:eastAsia="cs-CZ"/>
        </w:rPr>
        <w:t>Účastník</w:t>
      </w:r>
      <w:r w:rsidRPr="004E7782">
        <w:rPr>
          <w:szCs w:val="24"/>
          <w:lang w:eastAsia="cs-CZ"/>
        </w:rPr>
        <w:t xml:space="preserve"> </w:t>
      </w:r>
      <w:r>
        <w:rPr>
          <w:szCs w:val="24"/>
          <w:lang w:eastAsia="cs-CZ"/>
        </w:rPr>
        <w:t>podprogramu</w:t>
      </w:r>
      <w:r w:rsidRPr="004E7782">
        <w:rPr>
          <w:szCs w:val="24"/>
          <w:lang w:eastAsia="cs-CZ"/>
        </w:rPr>
        <w:t xml:space="preserve"> provede finanční vypořádání poskytn</w:t>
      </w:r>
      <w:r w:rsidR="00A0333E">
        <w:rPr>
          <w:szCs w:val="24"/>
          <w:lang w:eastAsia="cs-CZ"/>
        </w:rPr>
        <w:t xml:space="preserve">utých prostředků SR </w:t>
      </w:r>
      <w:r w:rsidR="00A0333E" w:rsidRPr="00A0333E">
        <w:t>v</w:t>
      </w:r>
      <w:r w:rsidR="00A0333E">
        <w:t> </w:t>
      </w:r>
      <w:r w:rsidRPr="00A0333E">
        <w:t>souladu</w:t>
      </w:r>
      <w:r>
        <w:rPr>
          <w:szCs w:val="24"/>
          <w:lang w:eastAsia="cs-CZ"/>
        </w:rPr>
        <w:t xml:space="preserve"> s </w:t>
      </w:r>
      <w:r w:rsidRPr="004E7782">
        <w:rPr>
          <w:szCs w:val="24"/>
          <w:lang w:eastAsia="cs-CZ"/>
        </w:rPr>
        <w:t xml:space="preserve">vyhláškou č. 367/2015 Sb., </w:t>
      </w:r>
      <w:r>
        <w:rPr>
          <w:szCs w:val="24"/>
          <w:lang w:eastAsia="cs-CZ"/>
        </w:rPr>
        <w:t xml:space="preserve">o zásadách a lhůtách finančního vypořádání vztahů se státním rozpočtem, státními a finančními aktivy a Národním fondem (vyhláška o finančním vypořádání), </w:t>
      </w:r>
      <w:r w:rsidR="007773D0">
        <w:rPr>
          <w:szCs w:val="24"/>
          <w:lang w:eastAsia="cs-CZ"/>
        </w:rPr>
        <w:t xml:space="preserve">ve znění pozdějších předpisů, </w:t>
      </w:r>
      <w:r w:rsidRPr="004E7782">
        <w:rPr>
          <w:szCs w:val="24"/>
          <w:lang w:eastAsia="cs-CZ"/>
        </w:rPr>
        <w:t xml:space="preserve">a v souladu s pokyny příslušného krajského úřadu. </w:t>
      </w:r>
    </w:p>
    <w:p w14:paraId="281C348E" w14:textId="77777777" w:rsidR="009E10BF" w:rsidRPr="00C32019" w:rsidRDefault="009E10BF" w:rsidP="009E10BF">
      <w:pPr>
        <w:numPr>
          <w:ilvl w:val="0"/>
          <w:numId w:val="2"/>
        </w:numPr>
        <w:spacing w:after="120"/>
        <w:rPr>
          <w:szCs w:val="24"/>
          <w:lang w:eastAsia="cs-CZ"/>
        </w:rPr>
      </w:pPr>
      <w:r w:rsidRPr="00C32019">
        <w:rPr>
          <w:szCs w:val="24"/>
          <w:lang w:eastAsia="cs-CZ"/>
        </w:rPr>
        <w:t xml:space="preserve">Účastník </w:t>
      </w:r>
      <w:r>
        <w:rPr>
          <w:szCs w:val="24"/>
          <w:lang w:eastAsia="cs-CZ"/>
        </w:rPr>
        <w:t>pod</w:t>
      </w:r>
      <w:r w:rsidRPr="00C32019">
        <w:rPr>
          <w:szCs w:val="24"/>
          <w:lang w:eastAsia="cs-CZ"/>
        </w:rPr>
        <w:t xml:space="preserve">programu umožní MŠMT průběžnou i závěrečnou kontrolu dokladů a dodržení podmínek použití dotace. </w:t>
      </w:r>
    </w:p>
    <w:p w14:paraId="5D18F923" w14:textId="77777777" w:rsidR="009E10BF" w:rsidRDefault="009E10BF" w:rsidP="009E10BF">
      <w:pPr>
        <w:numPr>
          <w:ilvl w:val="0"/>
          <w:numId w:val="2"/>
        </w:numPr>
        <w:spacing w:after="120"/>
      </w:pPr>
      <w:r>
        <w:lastRenderedPageBreak/>
        <w:t xml:space="preserve">Majetek, který je předmětem dotace, bude po dobu minimálně 10 let od ukončení realizace akce využíván za účelem, pro který je dotace poskytována. Po dobu minimálně 10 let od ukončení realizace akce je účastník podprogramu povinen předmět dotace řádně provozovat (princip udržitelnosti akce). </w:t>
      </w:r>
    </w:p>
    <w:p w14:paraId="221A8D7B" w14:textId="77777777" w:rsidR="009E10BF" w:rsidRPr="004E7782" w:rsidRDefault="009E10BF" w:rsidP="009E10BF">
      <w:pPr>
        <w:numPr>
          <w:ilvl w:val="0"/>
          <w:numId w:val="2"/>
        </w:numPr>
        <w:spacing w:after="120"/>
        <w:rPr>
          <w:szCs w:val="24"/>
          <w:lang w:eastAsia="cs-CZ"/>
        </w:rPr>
      </w:pPr>
      <w:r>
        <w:rPr>
          <w:szCs w:val="24"/>
          <w:lang w:eastAsia="cs-CZ"/>
        </w:rPr>
        <w:t>Majetek, který je předmětem dotace,</w:t>
      </w:r>
      <w:r w:rsidRPr="004E7782">
        <w:rPr>
          <w:szCs w:val="24"/>
          <w:lang w:eastAsia="cs-CZ"/>
        </w:rPr>
        <w:t xml:space="preserve"> nebude po dobu 10 let od</w:t>
      </w:r>
      <w:r>
        <w:rPr>
          <w:szCs w:val="24"/>
          <w:lang w:eastAsia="cs-CZ"/>
        </w:rPr>
        <w:t xml:space="preserve"> ukončení realizace akce</w:t>
      </w:r>
      <w:r w:rsidRPr="004E7782">
        <w:rPr>
          <w:szCs w:val="24"/>
          <w:lang w:eastAsia="cs-CZ"/>
        </w:rPr>
        <w:t xml:space="preserve"> </w:t>
      </w:r>
      <w:r>
        <w:rPr>
          <w:szCs w:val="24"/>
          <w:lang w:eastAsia="cs-CZ"/>
        </w:rPr>
        <w:t>převeden na jinou osobu.</w:t>
      </w:r>
      <w:r w:rsidRPr="004E7782">
        <w:rPr>
          <w:szCs w:val="24"/>
          <w:lang w:eastAsia="cs-CZ"/>
        </w:rPr>
        <w:t xml:space="preserve"> </w:t>
      </w:r>
    </w:p>
    <w:p w14:paraId="6FB27262" w14:textId="77777777" w:rsidR="009E10BF" w:rsidRPr="004E7782" w:rsidRDefault="009E10BF" w:rsidP="009E10BF">
      <w:pPr>
        <w:numPr>
          <w:ilvl w:val="0"/>
          <w:numId w:val="2"/>
        </w:numPr>
        <w:spacing w:after="120"/>
        <w:rPr>
          <w:szCs w:val="24"/>
          <w:lang w:eastAsia="cs-CZ"/>
        </w:rPr>
      </w:pPr>
      <w:r w:rsidRPr="004E7782">
        <w:rPr>
          <w:szCs w:val="24"/>
          <w:lang w:eastAsia="cs-CZ"/>
        </w:rPr>
        <w:t xml:space="preserve">Účastník </w:t>
      </w:r>
      <w:r>
        <w:rPr>
          <w:szCs w:val="24"/>
          <w:lang w:eastAsia="cs-CZ"/>
        </w:rPr>
        <w:t>pod</w:t>
      </w:r>
      <w:r w:rsidRPr="004E7782">
        <w:rPr>
          <w:szCs w:val="24"/>
          <w:lang w:eastAsia="cs-CZ"/>
        </w:rPr>
        <w:t>programu je povinen po dobu nejméně 10 let od termínu ukončení závěrečného vyhodnocení akce uchovávat veškeré doklady a písemnosti potřebné k řádnému provedení kontroly použití prostředků SR.</w:t>
      </w:r>
    </w:p>
    <w:p w14:paraId="2BDB1D7A" w14:textId="10D01154" w:rsidR="009E10BF" w:rsidRPr="004E7782" w:rsidRDefault="009E10BF" w:rsidP="009E10BF">
      <w:pPr>
        <w:numPr>
          <w:ilvl w:val="0"/>
          <w:numId w:val="2"/>
        </w:numPr>
        <w:spacing w:after="120"/>
        <w:rPr>
          <w:szCs w:val="24"/>
          <w:lang w:eastAsia="cs-CZ"/>
        </w:rPr>
      </w:pPr>
      <w:r w:rsidRPr="004E7782">
        <w:rPr>
          <w:szCs w:val="24"/>
          <w:lang w:eastAsia="cs-CZ"/>
        </w:rPr>
        <w:t xml:space="preserve">Účastník </w:t>
      </w:r>
      <w:r>
        <w:rPr>
          <w:szCs w:val="24"/>
          <w:lang w:eastAsia="cs-CZ"/>
        </w:rPr>
        <w:t>pod</w:t>
      </w:r>
      <w:r w:rsidRPr="004E7782">
        <w:rPr>
          <w:szCs w:val="24"/>
          <w:lang w:eastAsia="cs-CZ"/>
        </w:rPr>
        <w:t>programu je povinen vést analytickou evidenci s vazbou na akci a dotaci účtovat v oddělené účetní evidenci.</w:t>
      </w:r>
    </w:p>
    <w:p w14:paraId="10069F2D" w14:textId="77777777" w:rsidR="009E10BF" w:rsidRPr="004E7782" w:rsidRDefault="009E10BF" w:rsidP="009E10BF">
      <w:pPr>
        <w:numPr>
          <w:ilvl w:val="0"/>
          <w:numId w:val="2"/>
        </w:numPr>
        <w:spacing w:after="120"/>
        <w:rPr>
          <w:szCs w:val="24"/>
          <w:lang w:eastAsia="cs-CZ"/>
        </w:rPr>
      </w:pPr>
      <w:r w:rsidRPr="004E7782">
        <w:rPr>
          <w:szCs w:val="24"/>
          <w:lang w:eastAsia="cs-CZ"/>
        </w:rPr>
        <w:t xml:space="preserve">Po ukončení realizace akce účastník </w:t>
      </w:r>
      <w:r>
        <w:rPr>
          <w:szCs w:val="24"/>
          <w:lang w:eastAsia="cs-CZ"/>
        </w:rPr>
        <w:t>pod</w:t>
      </w:r>
      <w:r w:rsidRPr="004E7782">
        <w:rPr>
          <w:szCs w:val="24"/>
          <w:lang w:eastAsia="cs-CZ"/>
        </w:rPr>
        <w:t>program</w:t>
      </w:r>
      <w:r w:rsidR="00A0333E">
        <w:rPr>
          <w:szCs w:val="24"/>
          <w:lang w:eastAsia="cs-CZ"/>
        </w:rPr>
        <w:t>u předloží MŠMT v souladu s § 6 </w:t>
      </w:r>
      <w:r w:rsidRPr="004E7782">
        <w:rPr>
          <w:szCs w:val="24"/>
          <w:lang w:eastAsia="cs-CZ"/>
        </w:rPr>
        <w:t>vyhlášky č. 560/2006 Sb., o účasti státního rozpočtu na financování programů reprodukce majetku, ve</w:t>
      </w:r>
      <w:r>
        <w:rPr>
          <w:szCs w:val="24"/>
          <w:lang w:eastAsia="cs-CZ"/>
        </w:rPr>
        <w:t> </w:t>
      </w:r>
      <w:r w:rsidRPr="004E7782">
        <w:rPr>
          <w:szCs w:val="24"/>
          <w:lang w:eastAsia="cs-CZ"/>
        </w:rPr>
        <w:t>znění pozdějších předpisů, ve stanoveném termínu dokumentaci závěrečného vyhodnocení akce. Tento termín je uveden v Rozhodnutí o poskytnutí dotace.</w:t>
      </w:r>
    </w:p>
    <w:p w14:paraId="69152A42" w14:textId="77777777" w:rsidR="009E10BF" w:rsidRPr="004E7782" w:rsidRDefault="009E10BF" w:rsidP="009E10BF">
      <w:pPr>
        <w:numPr>
          <w:ilvl w:val="0"/>
          <w:numId w:val="2"/>
        </w:numPr>
        <w:spacing w:after="120"/>
        <w:rPr>
          <w:szCs w:val="24"/>
          <w:lang w:eastAsia="cs-CZ"/>
        </w:rPr>
      </w:pPr>
      <w:r w:rsidRPr="004E7782">
        <w:rPr>
          <w:szCs w:val="24"/>
          <w:lang w:eastAsia="cs-CZ"/>
        </w:rPr>
        <w:t>V případě porušení rozpočtové kázně bude post</w:t>
      </w:r>
      <w:r>
        <w:rPr>
          <w:szCs w:val="24"/>
          <w:lang w:eastAsia="cs-CZ"/>
        </w:rPr>
        <w:t xml:space="preserve">upováno v souladu s příslušnými </w:t>
      </w:r>
      <w:r w:rsidRPr="004E7782">
        <w:rPr>
          <w:szCs w:val="24"/>
          <w:lang w:eastAsia="cs-CZ"/>
        </w:rPr>
        <w:t>ustanoveními zákona č. 218/2000 Sb.</w:t>
      </w:r>
    </w:p>
    <w:p w14:paraId="6C03068F" w14:textId="77777777" w:rsidR="009E10BF" w:rsidRPr="004E7782" w:rsidRDefault="009E10BF" w:rsidP="009E10BF">
      <w:pPr>
        <w:numPr>
          <w:ilvl w:val="0"/>
          <w:numId w:val="2"/>
        </w:numPr>
        <w:spacing w:after="120"/>
        <w:rPr>
          <w:szCs w:val="24"/>
          <w:lang w:eastAsia="cs-CZ"/>
        </w:rPr>
      </w:pPr>
      <w:r w:rsidRPr="004E7782">
        <w:rPr>
          <w:szCs w:val="24"/>
          <w:lang w:eastAsia="cs-CZ"/>
        </w:rPr>
        <w:t xml:space="preserve">Účastník </w:t>
      </w:r>
      <w:r>
        <w:rPr>
          <w:szCs w:val="24"/>
          <w:lang w:eastAsia="cs-CZ"/>
        </w:rPr>
        <w:t>pod</w:t>
      </w:r>
      <w:r w:rsidRPr="004E7782">
        <w:rPr>
          <w:szCs w:val="24"/>
          <w:lang w:eastAsia="cs-CZ"/>
        </w:rPr>
        <w:t>programu odpovídá za to, že veškeré doklady jsou úplné a pravdivé a že věcný obsah IZ</w:t>
      </w:r>
      <w:r w:rsidRPr="00E56357">
        <w:rPr>
          <w:color w:val="FF0000"/>
          <w:szCs w:val="24"/>
          <w:lang w:eastAsia="cs-CZ"/>
        </w:rPr>
        <w:t xml:space="preserve"> </w:t>
      </w:r>
      <w:r w:rsidRPr="00197AB8">
        <w:rPr>
          <w:szCs w:val="24"/>
          <w:lang w:eastAsia="cs-CZ"/>
        </w:rPr>
        <w:t>z pohledu budoucího uživatele je úplný a odpovídá jeho požadavkům.</w:t>
      </w:r>
    </w:p>
    <w:p w14:paraId="4B1F7AF5" w14:textId="77777777" w:rsidR="009E10BF" w:rsidRPr="004E7782" w:rsidRDefault="009E10BF" w:rsidP="009E10BF">
      <w:pPr>
        <w:numPr>
          <w:ilvl w:val="0"/>
          <w:numId w:val="2"/>
        </w:numPr>
        <w:spacing w:after="120"/>
        <w:rPr>
          <w:szCs w:val="24"/>
          <w:lang w:eastAsia="cs-CZ"/>
        </w:rPr>
      </w:pPr>
      <w:r w:rsidRPr="004E7782">
        <w:rPr>
          <w:szCs w:val="24"/>
          <w:lang w:eastAsia="cs-CZ"/>
        </w:rPr>
        <w:t>Pokud v průběhu realizace akce</w:t>
      </w:r>
      <w:r>
        <w:rPr>
          <w:szCs w:val="24"/>
          <w:lang w:eastAsia="cs-CZ"/>
        </w:rPr>
        <w:t xml:space="preserve"> příjemce dotace zjistí, že nelze dodržet předem stanovené parametry, termíny, indikátory nebo jiné závazné podmínky, případně dojde u příjemce dotace k jiným změnám, které mění již schválené řídící dokumenty Registrace akce a Rozhodnutí o poskytnutí dotace, musí příjemce dotace předem ihned informovat MŠMT a případně požádat MŠMT o změnu příslušného řídícího dokumentu. MŠMT o věci následně rozhodne.</w:t>
      </w:r>
    </w:p>
    <w:p w14:paraId="11BCEF22" w14:textId="77777777" w:rsidR="009E10BF" w:rsidRPr="00EE5832" w:rsidRDefault="009E10BF" w:rsidP="009E10BF">
      <w:pPr>
        <w:numPr>
          <w:ilvl w:val="0"/>
          <w:numId w:val="2"/>
        </w:numPr>
        <w:spacing w:after="120"/>
        <w:rPr>
          <w:szCs w:val="24"/>
          <w:lang w:eastAsia="cs-CZ"/>
        </w:rPr>
      </w:pPr>
      <w:r w:rsidRPr="004E7782">
        <w:rPr>
          <w:szCs w:val="24"/>
          <w:lang w:eastAsia="cs-CZ"/>
        </w:rPr>
        <w:t>Příjemce dotace se podílí na celkových nákladech na akci příslušnou finanční spoluúčastí, kterou mohou být vlastní zdroje pří</w:t>
      </w:r>
      <w:r w:rsidR="00A0333E">
        <w:rPr>
          <w:szCs w:val="24"/>
          <w:lang w:eastAsia="cs-CZ"/>
        </w:rPr>
        <w:t>jemce dotace, případně dotace z </w:t>
      </w:r>
      <w:r w:rsidRPr="004E7782">
        <w:rPr>
          <w:szCs w:val="24"/>
          <w:lang w:eastAsia="cs-CZ"/>
        </w:rPr>
        <w:t xml:space="preserve">veřejných nebo jiných zdrojů. </w:t>
      </w:r>
      <w:r w:rsidRPr="00197AB8">
        <w:rPr>
          <w:szCs w:val="24"/>
          <w:lang w:eastAsia="cs-CZ"/>
        </w:rPr>
        <w:t xml:space="preserve">Veřejnými zdroji se rozumí dotace z obce, kraje, svazku obcí apod. Za výše uvedenou dotaci z veřejných zdrojů se nepovažuje dotace z fondů EU nebo jiného ústředního orgánu státní správy (ministerstvo apod.). Na akci, na kterou je poskytována dotace z MŠMT, je </w:t>
      </w:r>
      <w:r w:rsidRPr="00EE5832">
        <w:rPr>
          <w:szCs w:val="24"/>
          <w:lang w:eastAsia="cs-CZ"/>
        </w:rPr>
        <w:t>zakázáno čerpat dotaci z jiného ústředního orgánu státní správy (ministerstvo apod.).</w:t>
      </w:r>
    </w:p>
    <w:p w14:paraId="182EB4EF" w14:textId="77777777" w:rsidR="009E10BF" w:rsidRPr="00EE5832" w:rsidRDefault="009E10BF" w:rsidP="009E10BF">
      <w:pPr>
        <w:numPr>
          <w:ilvl w:val="0"/>
          <w:numId w:val="2"/>
        </w:numPr>
        <w:spacing w:after="120"/>
        <w:rPr>
          <w:szCs w:val="24"/>
          <w:lang w:eastAsia="cs-CZ"/>
        </w:rPr>
      </w:pPr>
      <w:r w:rsidRPr="00EE5832">
        <w:rPr>
          <w:szCs w:val="24"/>
          <w:lang w:eastAsia="cs-CZ"/>
        </w:rPr>
        <w:t xml:space="preserve">Účastník </w:t>
      </w:r>
      <w:r>
        <w:rPr>
          <w:szCs w:val="24"/>
          <w:lang w:eastAsia="cs-CZ"/>
        </w:rPr>
        <w:t>pod</w:t>
      </w:r>
      <w:r w:rsidRPr="00EE5832">
        <w:rPr>
          <w:szCs w:val="24"/>
          <w:lang w:eastAsia="cs-CZ"/>
        </w:rPr>
        <w:t>programu</w:t>
      </w:r>
      <w:r w:rsidRPr="00EE5832">
        <w:rPr>
          <w:iCs/>
          <w:szCs w:val="24"/>
        </w:rPr>
        <w:t xml:space="preserve"> je povinen na svých informačních, propagačních či jiných materiálech, výročních zprávách či jakýchkoliv jiných dokumentech, včetně </w:t>
      </w:r>
      <w:r w:rsidRPr="00EE5832">
        <w:rPr>
          <w:szCs w:val="24"/>
          <w:lang w:eastAsia="cs-CZ"/>
        </w:rPr>
        <w:t>internetových</w:t>
      </w:r>
      <w:r w:rsidRPr="00EE5832">
        <w:rPr>
          <w:iCs/>
          <w:szCs w:val="24"/>
        </w:rPr>
        <w:t xml:space="preserve"> stránek, uvádět, že akce je podporována MŠMT.</w:t>
      </w:r>
    </w:p>
    <w:p w14:paraId="60D8618E" w14:textId="309E0E44" w:rsidR="00352B28" w:rsidRPr="00783DBA" w:rsidRDefault="009E10BF" w:rsidP="00783DBA">
      <w:pPr>
        <w:numPr>
          <w:ilvl w:val="0"/>
          <w:numId w:val="2"/>
        </w:numPr>
        <w:spacing w:after="120"/>
        <w:rPr>
          <w:szCs w:val="24"/>
        </w:rPr>
      </w:pPr>
      <w:r>
        <w:rPr>
          <w:szCs w:val="24"/>
        </w:rPr>
        <w:t xml:space="preserve">Poskytnutím dotace MŠMT je </w:t>
      </w:r>
      <w:r w:rsidRPr="006D6A83">
        <w:rPr>
          <w:szCs w:val="24"/>
        </w:rPr>
        <w:t>realizována veřejná podpora</w:t>
      </w:r>
      <w:r>
        <w:rPr>
          <w:szCs w:val="24"/>
        </w:rPr>
        <w:t xml:space="preserve"> </w:t>
      </w:r>
      <w:r w:rsidRPr="006D6A83">
        <w:rPr>
          <w:szCs w:val="24"/>
        </w:rPr>
        <w:t>ve smyslu čl. 107</w:t>
      </w:r>
      <w:r w:rsidR="00A0333E">
        <w:rPr>
          <w:szCs w:val="24"/>
        </w:rPr>
        <w:t xml:space="preserve"> a 108 </w:t>
      </w:r>
      <w:r>
        <w:rPr>
          <w:szCs w:val="24"/>
        </w:rPr>
        <w:t>Smlouvy o fungování Evropské unie (dále jen „</w:t>
      </w:r>
      <w:r w:rsidRPr="006D6A83">
        <w:rPr>
          <w:szCs w:val="24"/>
        </w:rPr>
        <w:t>SFEU</w:t>
      </w:r>
      <w:r>
        <w:rPr>
          <w:szCs w:val="24"/>
        </w:rPr>
        <w:t xml:space="preserve">“), která je však slučitelná s vnitřním trhem EU, a to </w:t>
      </w:r>
      <w:r w:rsidRPr="00D96E35">
        <w:rPr>
          <w:szCs w:val="24"/>
        </w:rPr>
        <w:t xml:space="preserve">z důvodu, že financovaná sportovní infrastruktura je využívaná amatérskými </w:t>
      </w:r>
      <w:r w:rsidRPr="006D6A83">
        <w:rPr>
          <w:szCs w:val="24"/>
        </w:rPr>
        <w:t xml:space="preserve">sportovními kluby působícími pouze na lokální úrovni nebo dochází k podpoře činnost </w:t>
      </w:r>
      <w:r>
        <w:rPr>
          <w:szCs w:val="24"/>
        </w:rPr>
        <w:t>dětí a mládeže v </w:t>
      </w:r>
      <w:r w:rsidRPr="006D6A83">
        <w:rPr>
          <w:szCs w:val="24"/>
        </w:rPr>
        <w:t>oblasti sportu. Dále je sportovní infrastruktura využívává širokou veřejností.</w:t>
      </w:r>
      <w:r w:rsidRPr="009143B7">
        <w:rPr>
          <w:rFonts w:ascii="Tahoma" w:eastAsia="Times New Roman" w:hAnsi="Tahoma" w:cs="Tahoma"/>
          <w:sz w:val="18"/>
          <w:szCs w:val="18"/>
          <w:lang w:eastAsia="cs-CZ"/>
        </w:rPr>
        <w:t xml:space="preserve"> </w:t>
      </w:r>
      <w:r>
        <w:rPr>
          <w:szCs w:val="24"/>
        </w:rPr>
        <w:t>P</w:t>
      </w:r>
      <w:r w:rsidRPr="009143B7">
        <w:rPr>
          <w:szCs w:val="24"/>
        </w:rPr>
        <w:t>rogramy státní podpory sp</w:t>
      </w:r>
      <w:r>
        <w:rPr>
          <w:szCs w:val="24"/>
        </w:rPr>
        <w:t>ortu v ČR, a to v </w:t>
      </w:r>
      <w:r w:rsidRPr="009143B7">
        <w:rPr>
          <w:szCs w:val="24"/>
        </w:rPr>
        <w:t>oblasti neinvestiční a investiční</w:t>
      </w:r>
      <w:r>
        <w:rPr>
          <w:szCs w:val="24"/>
        </w:rPr>
        <w:t>,</w:t>
      </w:r>
      <w:r w:rsidRPr="009143B7">
        <w:rPr>
          <w:szCs w:val="24"/>
        </w:rPr>
        <w:t xml:space="preserve"> byly Rozhodn</w:t>
      </w:r>
      <w:r w:rsidR="00A0333E">
        <w:rPr>
          <w:szCs w:val="24"/>
        </w:rPr>
        <w:t>utím Evropské komise ze dne 11. </w:t>
      </w:r>
      <w:r w:rsidRPr="009143B7">
        <w:rPr>
          <w:szCs w:val="24"/>
        </w:rPr>
        <w:t xml:space="preserve">června 2014 (SA.33575) prohlášeny na základě čl. 107 odst. </w:t>
      </w:r>
      <w:r>
        <w:rPr>
          <w:szCs w:val="24"/>
        </w:rPr>
        <w:t>3 písm. c) SFEU za slučitelné s </w:t>
      </w:r>
      <w:r w:rsidRPr="009143B7">
        <w:rPr>
          <w:szCs w:val="24"/>
        </w:rPr>
        <w:t>vnitřním trhem a argumentaci Evropské ko</w:t>
      </w:r>
      <w:r w:rsidR="00A0333E">
        <w:rPr>
          <w:szCs w:val="24"/>
        </w:rPr>
        <w:t>mise o slučitelnosti potvrdil i </w:t>
      </w:r>
      <w:r w:rsidRPr="009143B7">
        <w:rPr>
          <w:szCs w:val="24"/>
        </w:rPr>
        <w:t>Soudní dvůr EU svým rozsudkem ze dne 12. května 2016 (T-693/14).</w:t>
      </w:r>
    </w:p>
    <w:sectPr w:rsidR="00352B28" w:rsidRPr="00783DB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ADB03" w14:textId="77777777" w:rsidR="00267BC6" w:rsidRDefault="00267BC6" w:rsidP="009E10BF">
      <w:r>
        <w:separator/>
      </w:r>
    </w:p>
  </w:endnote>
  <w:endnote w:type="continuationSeparator" w:id="0">
    <w:p w14:paraId="3BAB6F7E" w14:textId="77777777" w:rsidR="00267BC6" w:rsidRDefault="00267BC6" w:rsidP="009E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AD718" w14:textId="77777777" w:rsidR="00267BC6" w:rsidRDefault="00267BC6" w:rsidP="009E10BF">
      <w:r>
        <w:separator/>
      </w:r>
    </w:p>
  </w:footnote>
  <w:footnote w:type="continuationSeparator" w:id="0">
    <w:p w14:paraId="53A30ABA" w14:textId="77777777" w:rsidR="00267BC6" w:rsidRDefault="00267BC6" w:rsidP="009E1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13CF0" w14:textId="4D8A63C3" w:rsidR="00F87627" w:rsidRPr="00131FE9" w:rsidRDefault="00B271D8" w:rsidP="00F87627">
    <w:pPr>
      <w:pStyle w:val="Zhlav"/>
      <w:jc w:val="right"/>
    </w:pPr>
    <w:r w:rsidRPr="00131FE9">
      <w:t xml:space="preserve">Příloha č. </w:t>
    </w:r>
    <w:r w:rsidR="00BF3D18">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773F2"/>
    <w:multiLevelType w:val="hybridMultilevel"/>
    <w:tmpl w:val="BC84A39C"/>
    <w:lvl w:ilvl="0" w:tplc="1534C256">
      <w:start w:val="1"/>
      <w:numFmt w:val="decimal"/>
      <w:lvlText w:val="%1."/>
      <w:lvlJc w:val="left"/>
      <w:pPr>
        <w:ind w:left="720" w:hanging="360"/>
      </w:pPr>
      <w:rPr>
        <w:color w:val="auto"/>
      </w:rPr>
    </w:lvl>
    <w:lvl w:ilvl="1" w:tplc="906E5B48">
      <w:numFmt w:val="bullet"/>
      <w:lvlText w:val=""/>
      <w:lvlJc w:val="left"/>
      <w:pPr>
        <w:ind w:left="1485" w:hanging="405"/>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8BA1645"/>
    <w:multiLevelType w:val="multilevel"/>
    <w:tmpl w:val="E31AED42"/>
    <w:lvl w:ilvl="0">
      <w:start w:val="1"/>
      <w:numFmt w:val="decimal"/>
      <w:pStyle w:val="Styl1"/>
      <w:lvlText w:val="%1."/>
      <w:lvlJc w:val="left"/>
      <w:pPr>
        <w:ind w:left="360" w:hanging="360"/>
      </w:pPr>
      <w:rPr>
        <w:b/>
      </w:rPr>
    </w:lvl>
    <w:lvl w:ilvl="1">
      <w:start w:val="1"/>
      <w:numFmt w:val="decimal"/>
      <w:pStyle w:val="Styl2"/>
      <w:lvlText w:val="%1.%2."/>
      <w:lvlJc w:val="left"/>
      <w:pPr>
        <w:ind w:left="792" w:hanging="432"/>
      </w:pPr>
      <w:rPr>
        <w:sz w:val="26"/>
        <w:szCs w:val="26"/>
      </w:rPr>
    </w:lvl>
    <w:lvl w:ilvl="2">
      <w:start w:val="1"/>
      <w:numFmt w:val="decimal"/>
      <w:pStyle w:val="Sty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BF"/>
    <w:rsid w:val="000F0FBC"/>
    <w:rsid w:val="0015798D"/>
    <w:rsid w:val="00267BC6"/>
    <w:rsid w:val="002B695D"/>
    <w:rsid w:val="00352B28"/>
    <w:rsid w:val="003C7FFA"/>
    <w:rsid w:val="004D5FAD"/>
    <w:rsid w:val="0054701E"/>
    <w:rsid w:val="00553A58"/>
    <w:rsid w:val="005C4F20"/>
    <w:rsid w:val="00637553"/>
    <w:rsid w:val="00694287"/>
    <w:rsid w:val="006B5415"/>
    <w:rsid w:val="007773D0"/>
    <w:rsid w:val="00783DBA"/>
    <w:rsid w:val="007E1056"/>
    <w:rsid w:val="008762C7"/>
    <w:rsid w:val="00960D91"/>
    <w:rsid w:val="0096621F"/>
    <w:rsid w:val="009767FF"/>
    <w:rsid w:val="009E10BF"/>
    <w:rsid w:val="00A0333E"/>
    <w:rsid w:val="00A26FA1"/>
    <w:rsid w:val="00B02E9F"/>
    <w:rsid w:val="00B23FD2"/>
    <w:rsid w:val="00B271D8"/>
    <w:rsid w:val="00B32EA4"/>
    <w:rsid w:val="00B54CB1"/>
    <w:rsid w:val="00BF3D18"/>
    <w:rsid w:val="00C30660"/>
    <w:rsid w:val="00D5721F"/>
    <w:rsid w:val="00E6609A"/>
    <w:rsid w:val="00EB1193"/>
    <w:rsid w:val="00EB4325"/>
    <w:rsid w:val="00EF3C71"/>
    <w:rsid w:val="00F74982"/>
    <w:rsid w:val="00FD48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546E6"/>
  <w15:chartTrackingRefBased/>
  <w15:docId w15:val="{A44D74A4-3840-4F1B-AC75-F0787F66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10BF"/>
    <w:pPr>
      <w:spacing w:after="0" w:line="240" w:lineRule="auto"/>
      <w:jc w:val="both"/>
    </w:pPr>
    <w:rPr>
      <w:rFonts w:ascii="Times New Roman" w:eastAsia="Calibri" w:hAnsi="Times New Roman" w:cs="Times New Roman"/>
      <w:sz w:val="24"/>
    </w:rPr>
  </w:style>
  <w:style w:type="paragraph" w:styleId="Nadpis6">
    <w:name w:val="heading 6"/>
    <w:basedOn w:val="Normln"/>
    <w:next w:val="Normln"/>
    <w:link w:val="Nadpis6Char"/>
    <w:uiPriority w:val="9"/>
    <w:semiHidden/>
    <w:unhideWhenUsed/>
    <w:qFormat/>
    <w:rsid w:val="009E10BF"/>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adpis6"/>
    <w:qFormat/>
    <w:rsid w:val="009E10BF"/>
    <w:pPr>
      <w:keepNext w:val="0"/>
      <w:keepLines w:val="0"/>
      <w:numPr>
        <w:numId w:val="1"/>
      </w:numPr>
      <w:tabs>
        <w:tab w:val="num" w:pos="0"/>
      </w:tabs>
      <w:spacing w:before="360" w:after="360"/>
      <w:ind w:left="709" w:hanging="709"/>
    </w:pPr>
    <w:rPr>
      <w:rFonts w:ascii="Times New Roman" w:eastAsia="Times New Roman" w:hAnsi="Times New Roman" w:cs="Times New Roman"/>
      <w:b/>
      <w:bCs/>
      <w:color w:val="auto"/>
      <w:sz w:val="28"/>
      <w:szCs w:val="28"/>
      <w:lang w:val="x-none"/>
    </w:rPr>
  </w:style>
  <w:style w:type="paragraph" w:customStyle="1" w:styleId="Styl2">
    <w:name w:val="Styl2"/>
    <w:basedOn w:val="Nadpis6"/>
    <w:link w:val="Styl2Char"/>
    <w:qFormat/>
    <w:rsid w:val="009E10BF"/>
    <w:pPr>
      <w:keepNext w:val="0"/>
      <w:keepLines w:val="0"/>
      <w:numPr>
        <w:ilvl w:val="1"/>
        <w:numId w:val="1"/>
      </w:numPr>
      <w:spacing w:before="360" w:after="360"/>
    </w:pPr>
    <w:rPr>
      <w:rFonts w:ascii="Times New Roman" w:eastAsia="Times New Roman" w:hAnsi="Times New Roman" w:cs="Times New Roman"/>
      <w:b/>
      <w:bCs/>
      <w:color w:val="auto"/>
      <w:sz w:val="26"/>
      <w:szCs w:val="28"/>
      <w:lang w:val="x-none"/>
    </w:rPr>
  </w:style>
  <w:style w:type="paragraph" w:customStyle="1" w:styleId="Styl3">
    <w:name w:val="Styl3"/>
    <w:basedOn w:val="Normln"/>
    <w:qFormat/>
    <w:rsid w:val="009E10BF"/>
    <w:pPr>
      <w:numPr>
        <w:ilvl w:val="2"/>
        <w:numId w:val="1"/>
      </w:numPr>
    </w:pPr>
    <w:rPr>
      <w:b/>
      <w:szCs w:val="24"/>
    </w:rPr>
  </w:style>
  <w:style w:type="character" w:customStyle="1" w:styleId="Styl2Char">
    <w:name w:val="Styl2 Char"/>
    <w:link w:val="Styl2"/>
    <w:rsid w:val="009E10BF"/>
    <w:rPr>
      <w:rFonts w:ascii="Times New Roman" w:eastAsia="Times New Roman" w:hAnsi="Times New Roman" w:cs="Times New Roman"/>
      <w:b/>
      <w:bCs/>
      <w:sz w:val="26"/>
      <w:szCs w:val="28"/>
      <w:lang w:val="x-none"/>
    </w:rPr>
  </w:style>
  <w:style w:type="paragraph" w:styleId="Zhlav">
    <w:name w:val="header"/>
    <w:basedOn w:val="Normln"/>
    <w:link w:val="ZhlavChar"/>
    <w:uiPriority w:val="99"/>
    <w:unhideWhenUsed/>
    <w:rsid w:val="009E10BF"/>
    <w:pPr>
      <w:tabs>
        <w:tab w:val="center" w:pos="4536"/>
        <w:tab w:val="right" w:pos="9072"/>
      </w:tabs>
    </w:pPr>
  </w:style>
  <w:style w:type="character" w:customStyle="1" w:styleId="ZhlavChar">
    <w:name w:val="Záhlaví Char"/>
    <w:basedOn w:val="Standardnpsmoodstavce"/>
    <w:link w:val="Zhlav"/>
    <w:uiPriority w:val="99"/>
    <w:rsid w:val="009E10BF"/>
    <w:rPr>
      <w:rFonts w:ascii="Times New Roman" w:eastAsia="Calibri" w:hAnsi="Times New Roman" w:cs="Times New Roman"/>
      <w:sz w:val="24"/>
    </w:rPr>
  </w:style>
  <w:style w:type="character" w:customStyle="1" w:styleId="Nadpis6Char">
    <w:name w:val="Nadpis 6 Char"/>
    <w:basedOn w:val="Standardnpsmoodstavce"/>
    <w:link w:val="Nadpis6"/>
    <w:uiPriority w:val="9"/>
    <w:semiHidden/>
    <w:rsid w:val="009E10BF"/>
    <w:rPr>
      <w:rFonts w:asciiTheme="majorHAnsi" w:eastAsiaTheme="majorEastAsia" w:hAnsiTheme="majorHAnsi" w:cstheme="majorBidi"/>
      <w:color w:val="1F4D78" w:themeColor="accent1" w:themeShade="7F"/>
      <w:sz w:val="24"/>
    </w:rPr>
  </w:style>
  <w:style w:type="paragraph" w:styleId="Zpat">
    <w:name w:val="footer"/>
    <w:basedOn w:val="Normln"/>
    <w:link w:val="ZpatChar"/>
    <w:uiPriority w:val="99"/>
    <w:unhideWhenUsed/>
    <w:rsid w:val="009E10BF"/>
    <w:pPr>
      <w:tabs>
        <w:tab w:val="center" w:pos="4536"/>
        <w:tab w:val="right" w:pos="9072"/>
      </w:tabs>
    </w:pPr>
  </w:style>
  <w:style w:type="character" w:customStyle="1" w:styleId="ZpatChar">
    <w:name w:val="Zápatí Char"/>
    <w:basedOn w:val="Standardnpsmoodstavce"/>
    <w:link w:val="Zpat"/>
    <w:uiPriority w:val="99"/>
    <w:rsid w:val="009E10BF"/>
    <w:rPr>
      <w:rFonts w:ascii="Times New Roman" w:eastAsia="Calibri" w:hAnsi="Times New Roman" w:cs="Times New Roman"/>
      <w:sz w:val="24"/>
    </w:rPr>
  </w:style>
  <w:style w:type="character" w:styleId="Odkaznakoment">
    <w:name w:val="annotation reference"/>
    <w:basedOn w:val="Standardnpsmoodstavce"/>
    <w:uiPriority w:val="99"/>
    <w:semiHidden/>
    <w:unhideWhenUsed/>
    <w:rsid w:val="007E1056"/>
    <w:rPr>
      <w:sz w:val="16"/>
      <w:szCs w:val="16"/>
    </w:rPr>
  </w:style>
  <w:style w:type="paragraph" w:styleId="Textkomente">
    <w:name w:val="annotation text"/>
    <w:basedOn w:val="Normln"/>
    <w:link w:val="TextkomenteChar"/>
    <w:uiPriority w:val="99"/>
    <w:semiHidden/>
    <w:unhideWhenUsed/>
    <w:rsid w:val="007E1056"/>
    <w:rPr>
      <w:sz w:val="20"/>
      <w:szCs w:val="20"/>
    </w:rPr>
  </w:style>
  <w:style w:type="character" w:customStyle="1" w:styleId="TextkomenteChar">
    <w:name w:val="Text komentáře Char"/>
    <w:basedOn w:val="Standardnpsmoodstavce"/>
    <w:link w:val="Textkomente"/>
    <w:uiPriority w:val="99"/>
    <w:semiHidden/>
    <w:rsid w:val="007E1056"/>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7E1056"/>
    <w:rPr>
      <w:b/>
      <w:bCs/>
    </w:rPr>
  </w:style>
  <w:style w:type="character" w:customStyle="1" w:styleId="PedmtkomenteChar">
    <w:name w:val="Předmět komentáře Char"/>
    <w:basedOn w:val="TextkomenteChar"/>
    <w:link w:val="Pedmtkomente"/>
    <w:uiPriority w:val="99"/>
    <w:semiHidden/>
    <w:rsid w:val="007E1056"/>
    <w:rPr>
      <w:rFonts w:ascii="Times New Roman" w:eastAsia="Calibri" w:hAnsi="Times New Roman" w:cs="Times New Roman"/>
      <w:b/>
      <w:bCs/>
      <w:sz w:val="20"/>
      <w:szCs w:val="20"/>
    </w:rPr>
  </w:style>
  <w:style w:type="paragraph" w:styleId="Textbubliny">
    <w:name w:val="Balloon Text"/>
    <w:basedOn w:val="Normln"/>
    <w:link w:val="TextbublinyChar"/>
    <w:uiPriority w:val="99"/>
    <w:semiHidden/>
    <w:unhideWhenUsed/>
    <w:rsid w:val="007E105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105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1856</Words>
  <Characters>10954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Kurfürstová Yveta</dc:creator>
  <cp:keywords/>
  <dc:description/>
  <cp:lastModifiedBy>Žemličková Helena</cp:lastModifiedBy>
  <cp:revision>14</cp:revision>
  <cp:lastPrinted>2018-02-22T09:33:00Z</cp:lastPrinted>
  <dcterms:created xsi:type="dcterms:W3CDTF">2018-01-23T11:35:00Z</dcterms:created>
  <dcterms:modified xsi:type="dcterms:W3CDTF">2018-02-27T09:44:00Z</dcterms:modified>
</cp:coreProperties>
</file>