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80" w:rsidRDefault="00DE6B80" w:rsidP="00DE6B80">
      <w:pPr>
        <w:pStyle w:val="Nadpis2"/>
        <w:jc w:val="both"/>
      </w:pPr>
      <w:r w:rsidRPr="00CD6F86">
        <w:t>Poskytování institucionální podpory na dlouhodobý koncepční rozvoj výzkumné organizace</w:t>
      </w:r>
    </w:p>
    <w:p w:rsidR="00DE6B80" w:rsidRDefault="00DE6B80" w:rsidP="00DE6B80">
      <w:pPr>
        <w:jc w:val="both"/>
      </w:pPr>
      <w:r>
        <w:t>MŠMT poskytovalo institucionální podporu na dlouhodobý koncepční rozvoj na základě zhodnocení jí dosažených výsledků tak, že stanovilo podíl výzkumné organizace na hodnotě výsledků všech výzkumných organizací podle hodnocení prováděného každoročně Radou pro výzkum, vývoj a inovace podle metodiky hodnocení výsledků výzkumných organizací schválené vládou ČR a finanční prostředky ve výši ukazatele v rozpočtové kapitole MŠMT schválené zákonem o státním rozpočtu na příslušný rok rozdělí v přímé úměře tomuto podílu. Žádné úpravy podle podrobnějšího hodnocení MŠMT neprovádělo.</w:t>
      </w:r>
    </w:p>
    <w:p w:rsidR="00DE6B80" w:rsidRDefault="00DE6B80" w:rsidP="00DE6B80">
      <w:pPr>
        <w:jc w:val="both"/>
      </w:pPr>
      <w:r w:rsidRPr="008E683B">
        <w:t>MŠMT zastává názor, že postupovalo plně v souladu se zákonem o podpoře výzkumu a vývoje. Nadto je přesvědčeno a dlouhodobě deklaruje, že stávající znění zákona neumožňuje zohledňování dalších atributů výzkumné organizace nad rámec dosažených výsledků pro účely poskytování institucionální podpory na dlouhodobý koncepční rozvoj výzkumné organizace.</w:t>
      </w:r>
      <w:bookmarkStart w:id="0" w:name="_GoBack"/>
      <w:bookmarkEnd w:id="0"/>
    </w:p>
    <w:p w:rsidR="00DE6B80" w:rsidRDefault="00DE6B80" w:rsidP="00DE6B80">
      <w:pPr>
        <w:jc w:val="both"/>
      </w:pPr>
      <w:r w:rsidRPr="001B0BAE">
        <w:t>MŠMT sledovalo vývoj bodového ohodnocení výsledků výzkumných organizací podporovaných MŠMT ve vztahu k vývoji bodového ohodnocení výsledků všech hodnocených výzkumných organizací. Tento vývoj dokládá růst bodového ohodnocení výsledků výzkumných organizací – příjemců podpory RVO v působnosti MŠMT, který je mírně rychlejší než celkový růst. Bodové ohodnocení výsledků příjemců MŠMT v roce 2017 narostlo oproti roku 2012 o 11,9 %, zatímco celkové bodové ohodnocení výsledků všech hodnocených výzkumných organizací narostlo o 10,6 %.</w:t>
      </w:r>
      <w:r>
        <w:t xml:space="preserve"> Navzdory negativním postojům k </w:t>
      </w:r>
      <w:r w:rsidRPr="001B0BAE">
        <w:t>tehdejší metodice hodnocení výsledků výzkumných organizací je třeba znovu zdůraznit, že se jednalo o metodiku schválenou vládou ČR a MŠMT jako orgán státní správy bylo povinno tuto metodiku respektovat.</w:t>
      </w:r>
    </w:p>
    <w:p w:rsidR="00DE6B80" w:rsidRDefault="00DE6B80" w:rsidP="00DE6B80">
      <w:pPr>
        <w:jc w:val="both"/>
      </w:pPr>
      <w:r>
        <w:t>MŠMT reagovalo na kritické hlasy výzkumné komunity k používané metodice hodnocení výzkumných organizací. V rámci Individuálního projektu národního podporovaného z Evropských strukturálních fondů zaměřeného na audit systému výzkumu a vývoje nechalo mimo jiné provést zhodnocení této metodiky a na výstup tohoto zhodnocení navázal další projekt návrhu komplexní metodiky hodnocení výzkumné organizace. Tento návrh byl již zohledněn v Metodice hodnocení výsledků výzkumných organizací a ukončených programů účelové podpory užívané v letech 2013-2016 a je i v současné Metodice hodnocení výzkumných organizací a hodnocení programů účelové podpory výzkumu, vývoje a inovací (tzv. Metodika17+).</w:t>
      </w:r>
    </w:p>
    <w:p w:rsidR="00DE6B80" w:rsidRDefault="00DE6B80" w:rsidP="00DE6B80">
      <w:pPr>
        <w:jc w:val="both"/>
      </w:pPr>
      <w:r>
        <w:t>MŠMT v souladu s harmonogramem Metodiky 17+ tuto metodiku implementuje v segmentu resortních výzkumných organizací a intenzivně spolupracuje na dopracování metodiky pro segment vysokých škol. K plné implementaci metodiky současně spolupracuje na přípravě nezbytné novely zákona č. 130/2002 Sb., jejímž cílem je změnit systém hodnocení z hodnocení výsledků výzkumné organizace na hodnocení výzkumné organizace ve všech kvalitativní i kvantitativních aspektech.</w:t>
      </w:r>
    </w:p>
    <w:p w:rsidR="00DE6B80" w:rsidRDefault="00DE6B80" w:rsidP="00DE6B80">
      <w:pPr>
        <w:jc w:val="both"/>
      </w:pPr>
    </w:p>
    <w:p w:rsidR="00DE6B80" w:rsidRPr="004A0441" w:rsidRDefault="00DE6B80" w:rsidP="00DE6B80">
      <w:pPr>
        <w:pStyle w:val="Nadpis2"/>
        <w:jc w:val="both"/>
      </w:pPr>
      <w:r w:rsidRPr="004A0441">
        <w:t>Stanovení podmínek použití institucionální podpory na dlouhodobý koncepční rozvoj výzkumné organizace</w:t>
      </w:r>
    </w:p>
    <w:p w:rsidR="00DE6B80" w:rsidRDefault="00DE6B80" w:rsidP="00DE6B80">
      <w:pPr>
        <w:jc w:val="both"/>
      </w:pPr>
      <w:r>
        <w:t>MŠMT prohlašuje, že poskytovalo institucionální podporu na dlouhodobý koncepční rozvoj výzkumné organizace transparentním způsobem a v souladu se zákonem stanovenými podmínkami, neboť</w:t>
      </w:r>
    </w:p>
    <w:p w:rsidR="00DE6B80" w:rsidRDefault="00DE6B80" w:rsidP="00DE6B80">
      <w:pPr>
        <w:pStyle w:val="Odstavecseseznamem"/>
        <w:numPr>
          <w:ilvl w:val="0"/>
          <w:numId w:val="1"/>
        </w:numPr>
        <w:jc w:val="both"/>
      </w:pPr>
      <w:r>
        <w:t xml:space="preserve">Příjemci byli se způsobem stanovení výše institucionální podpory předem seznámeni. </w:t>
      </w:r>
    </w:p>
    <w:p w:rsidR="00DE6B80" w:rsidRDefault="00DE6B80" w:rsidP="00DE6B80">
      <w:pPr>
        <w:pStyle w:val="Odstavecseseznamem"/>
        <w:numPr>
          <w:ilvl w:val="0"/>
          <w:numId w:val="1"/>
        </w:numPr>
        <w:jc w:val="both"/>
      </w:pPr>
      <w:r>
        <w:t xml:space="preserve">V rozhodnutí o poskytnutí podpory byl stanoven její účel, kterým je podpora dlouhodobého koncepčního rozvoje výzkumné organizace. Tím se v souladu se zákonem a hlavním cílem </w:t>
      </w:r>
      <w:r>
        <w:lastRenderedPageBreak/>
        <w:t>činnosti výzkumné organizace podle nařízení Komise (EU) č. 651/2014 rozumí nezávislé provádění základního výzkumu, aplikovaného výzkumu, veřejné šíření výsledků těchto činností na nevýlučném a nediskriminačním základě nebo transfer znalostí. Nezávislost výzkumu spočívá mimo jiné v samostatném stanovení cílů a metodologie výzkumu. Dokumentem vymezujícím dlouhodobý koncepční rozvoj vysoké školy je její strategický záměr vzdělávací a tvůrčí činnosti a každoroční plán realizace strategického záměru.</w:t>
      </w:r>
    </w:p>
    <w:p w:rsidR="00DE6B80" w:rsidRDefault="00DE6B80" w:rsidP="00DE6B80">
      <w:pPr>
        <w:pStyle w:val="Odstavecseseznamem"/>
        <w:numPr>
          <w:ilvl w:val="0"/>
          <w:numId w:val="1"/>
        </w:numPr>
        <w:jc w:val="both"/>
      </w:pPr>
      <w:r>
        <w:t>V rozhodnutí byly příjemcům stanoveny podmínky užití podpory, včetně tzv. způsobilých nákladů, tj. nákladů, k jejichž úhradě lze prostředky podpory použít</w:t>
      </w:r>
      <w:r>
        <w:rPr>
          <w:color w:val="1F497D"/>
        </w:rPr>
        <w:t xml:space="preserve">, </w:t>
      </w:r>
      <w:r w:rsidRPr="00B40F76">
        <w:t>a včetně podmínky odděleného účtování o poskytnuté podpoře</w:t>
      </w:r>
      <w:r>
        <w:t>.</w:t>
      </w:r>
    </w:p>
    <w:p w:rsidR="00DE6B80" w:rsidRDefault="00DE6B80" w:rsidP="00DE6B80">
      <w:pPr>
        <w:pStyle w:val="Odstavecseseznamem"/>
        <w:numPr>
          <w:ilvl w:val="0"/>
          <w:numId w:val="1"/>
        </w:numPr>
        <w:jc w:val="both"/>
      </w:pPr>
      <w:r>
        <w:t>Příjemci byli seznámeni s tím, jakým způsobem bude využití podpory vyhodnocováno (formou hodnocení dosažených výsledků podle vládou schválené metodiky).</w:t>
      </w:r>
    </w:p>
    <w:p w:rsidR="00DE6B80" w:rsidRDefault="00DE6B80" w:rsidP="00DE6B80">
      <w:pPr>
        <w:jc w:val="both"/>
      </w:pPr>
      <w:r w:rsidRPr="008E683B">
        <w:t>Kontrolou institucionální podpory na dlouhodobý koncepční rozvoj výzkumné organizace u vybraných příjemců, jak sám ve zprávě uvádí, NKÚ nezjistil závažné nedostatky, není tedy zřejmé, o jaká zjištění tedy opírá své tvrzení, že „pravidla nastavená MŠMT umožňují netransparentní čerpání institucionální podpory“.</w:t>
      </w:r>
    </w:p>
    <w:p w:rsidR="00DE6B80" w:rsidRDefault="00DE6B80" w:rsidP="00DE6B80">
      <w:pPr>
        <w:jc w:val="both"/>
      </w:pPr>
      <w:r>
        <w:t xml:space="preserve">Různorodost čerpání prostředků institucionální podpory na veřejných vysokých školách vyplývá z různorodosti těchto škol a fakult. Pokud by zákonodárce hodlal užití podpory svázat nějakými jednotnými podmínkami, nebo by jeho záměrem bylo, aby takové podmínky nastavil poskytovatel, nepochybně by takovou povinnost do zákonné úpravy zahrnul. </w:t>
      </w:r>
    </w:p>
    <w:p w:rsidR="00DE6B80" w:rsidRDefault="00DE6B80" w:rsidP="00DE6B80">
      <w:pPr>
        <w:jc w:val="both"/>
      </w:pPr>
      <w:r>
        <w:t>MŠMT nepožadovalo od jednotlivých výzkumných organizací koncepci použití institucionální podpory na dlouhodobý koncepční rozvoj výzkumné organizace, neboť MŠMT tuto podporu poskytuje především veřejným vysokým školám, které jsou podle zákona o vysokých školách „vrcholnými centry vzdělanosti, nezávislého poznání a tvůrčí činnosti“. Do samosprávné působnosti veřejné vysoké školy patří zaměření a organizace vědecké a výzkumné, vývojové a inovační, umělecké nebo další tvůrčí činnosti. A jak již bylo výše uvedeno, veřejná vysoká škola zpracovává strategický záměr. Skutečnost, že strategické záměry nejsou zpracovány jednotným způsobem, MŠMT nepovažuje za nedostatek, ale naopak za nezbytnost, která poskytuje veřejné vysoké škole prostor pro zohlednění individuálních potřeb. Předpokládáme, že součástí připravované metodiky pro segment vysokých škol bude i hodnocení koncepce rozvoje její výzkumné činnosti.</w:t>
      </w:r>
    </w:p>
    <w:p w:rsidR="00DE6B80" w:rsidRDefault="00DE6B80" w:rsidP="00DE6B80">
      <w:pPr>
        <w:pStyle w:val="Nadpis2"/>
      </w:pPr>
      <w:r w:rsidRPr="00E27294">
        <w:t xml:space="preserve">Odpovědnost a pravomoci MŠMT v klíčových oblastech </w:t>
      </w:r>
      <w:r>
        <w:t>výzkumu a vývoje</w:t>
      </w:r>
    </w:p>
    <w:p w:rsidR="00DE6B80" w:rsidRDefault="00DE6B80" w:rsidP="00DE6B80">
      <w:pPr>
        <w:jc w:val="both"/>
      </w:pPr>
      <w:r>
        <w:t xml:space="preserve">MŠMT se neztotožňuje s tvrzením, že nemá v klíčových oblastech výzkumu a vývoje odpovědnost a pravomoci. </w:t>
      </w:r>
      <w:r w:rsidRPr="008610CB">
        <w:t>MŠMT je v souladu s § 7 odst. 1 zákona č. 2/1969 Sb., o zřízení ministerstev a jiných ústředních orgánů státní správy ČR, ve znění pozdějších předpisů, ústředním orgánem státní správy ČR pro vědní politiku, výzkum a vývoj, včetně mezinárodní spolupráce v této oblasti, a pro vědecké hodnosti. Současně § 33 odst. 2 zákona č. 130/2002 Sb., o podpoře výzkumu, experimentálního vývoje a inovací z veřejných prostředků a o změně některých souvisejících zákonů (zákon o podpoře výzkumu, experimentálního vývoje a inovací), ve znění pozdějších předpisů, stanovuje, že MŠMT je odpovědné za mezinárodní spolupráci ČR ve výzkumu a vývoji, a to včetně jedn</w:t>
      </w:r>
      <w:r>
        <w:t>ání s orgány a institucemi EU a </w:t>
      </w:r>
      <w:r w:rsidRPr="008610CB">
        <w:t>jednotlivých států EU s působností pro výzkum a vývoj a včetně užití prostředků na</w:t>
      </w:r>
      <w:r>
        <w:t xml:space="preserve"> výzkum a vývoj z fondů EU.</w:t>
      </w:r>
    </w:p>
    <w:p w:rsidR="00DE6B80" w:rsidRDefault="00DE6B80" w:rsidP="00DE6B80">
      <w:pPr>
        <w:jc w:val="both"/>
      </w:pPr>
      <w:r w:rsidRPr="008610CB">
        <w:t>MŠMT je</w:t>
      </w:r>
      <w:r>
        <w:t xml:space="preserve"> na základě téhož zákonného ustanovení</w:t>
      </w:r>
      <w:r w:rsidRPr="008610CB">
        <w:t xml:space="preserve"> dále i orgánem odpovědným za koncepci podpory velké výzkumné infrastruktury, specifický vysokoškolský výzkum a vedení seznamu výzkumných organizací a také institucí pověřenou výkonem správní funkce ústředního správního úřadu pro výzkum a vývoj podl</w:t>
      </w:r>
      <w:r>
        <w:t>e zvláštních právních předpisů.</w:t>
      </w:r>
    </w:p>
    <w:p w:rsidR="00DE6B80" w:rsidRDefault="00DE6B80" w:rsidP="00DE6B80">
      <w:pPr>
        <w:jc w:val="both"/>
      </w:pPr>
      <w:r>
        <w:t>Na základě</w:t>
      </w:r>
      <w:r w:rsidRPr="008610CB">
        <w:t xml:space="preserve"> § 35 odst. 2 písm. a) je MŠMT v neposlední řadě společně s RVVI odpovědné za přípravu Národní politiky výzkumu, vývoje a inovací ČR. MŠMT tedy disponuje odpovědností k vykonávání </w:t>
      </w:r>
      <w:r w:rsidRPr="008610CB">
        <w:lastRenderedPageBreak/>
        <w:t xml:space="preserve">pravomocí v klíčových oblastech výzkumu a vývoje v ČR. Skutečnost </w:t>
      </w:r>
      <w:r>
        <w:t>někdejší</w:t>
      </w:r>
      <w:r w:rsidRPr="008610CB">
        <w:t xml:space="preserve"> nedostatečné koordinace aktérů v systému řízení výzkumu, vývoje a inovací ČR, která se promítla mj. i do přípravy Národní politiky výzkumu, vývoje a inovací ČR pro léta 2016 až 2020, k níž nebylo MŠMT přizváno, je přitom </w:t>
      </w:r>
      <w:r>
        <w:t xml:space="preserve">v současnosti </w:t>
      </w:r>
      <w:r w:rsidRPr="008610CB">
        <w:t xml:space="preserve">reflektována mj. i v programovém prohlášení vlády ČR a MŠMT je připraveno na posílení </w:t>
      </w:r>
      <w:r>
        <w:t xml:space="preserve">své role a hodlá se na </w:t>
      </w:r>
      <w:r w:rsidRPr="008610CB">
        <w:t xml:space="preserve">koordinačních </w:t>
      </w:r>
      <w:r>
        <w:t>mechanismech intenzivně podílet.</w:t>
      </w:r>
    </w:p>
    <w:p w:rsidR="00DE6B80" w:rsidRPr="00030D0F" w:rsidRDefault="00DE6B80" w:rsidP="00DE6B80">
      <w:pPr>
        <w:pStyle w:val="Nadpis2"/>
      </w:pPr>
      <w:r w:rsidRPr="00030D0F">
        <w:t>Nastavování programů účelové podpory a jejich vyhodnocování</w:t>
      </w:r>
    </w:p>
    <w:p w:rsidR="00DE6B80" w:rsidRDefault="00DE6B80" w:rsidP="00DE6B80">
      <w:pPr>
        <w:pStyle w:val="Default"/>
        <w:jc w:val="both"/>
        <w:rPr>
          <w:sz w:val="22"/>
          <w:szCs w:val="22"/>
        </w:rPr>
      </w:pPr>
      <w:r>
        <w:rPr>
          <w:sz w:val="22"/>
          <w:szCs w:val="22"/>
        </w:rPr>
        <w:t xml:space="preserve">Všechny programy účelové podpory MŠMT, které byly realizovány od poloviny 90. let minulého století, byly připraveny ve shodě s příslušnou legislativou, projednány s Radou pro výzkum, vývoj a inovace a schváleny vládou. Programy byly postoupeny Evropské komisi k notifikaci. Programy mezinárodní spolupráce zacilují svoji podporu ve shodě s mezinárodním programem, jehož je ČR členem. Stejně tak podpora bilaterální spolupráce v rámci programu KONTAKT II vyjadřuje shodu partnerů na očekávaných výsledcích a cílech. </w:t>
      </w:r>
    </w:p>
    <w:p w:rsidR="00DE6B80" w:rsidRDefault="00DE6B80" w:rsidP="00DE6B80">
      <w:pPr>
        <w:pStyle w:val="Default"/>
        <w:jc w:val="both"/>
        <w:rPr>
          <w:sz w:val="22"/>
          <w:szCs w:val="22"/>
        </w:rPr>
      </w:pPr>
      <w:r>
        <w:rPr>
          <w:sz w:val="22"/>
          <w:szCs w:val="22"/>
        </w:rPr>
        <w:t xml:space="preserve">MŠMT v rámci realizace programu účelové podpory plní povinnost kontroly stanovené v § 13 zákona o podpoře výzkumu, experimentálního vývoje a inovací, kde je povinnost kontroly stanovena na úrovni projektů. </w:t>
      </w:r>
    </w:p>
    <w:p w:rsidR="00DE6B80" w:rsidRPr="00030D0F" w:rsidRDefault="00DE6B80" w:rsidP="00DE6B80">
      <w:pPr>
        <w:jc w:val="both"/>
        <w:rPr>
          <w:bCs/>
        </w:rPr>
      </w:pPr>
      <w:r w:rsidRPr="00030D0F">
        <w:rPr>
          <w:bCs/>
        </w:rPr>
        <w:t>V hodnocení programů je NKÚ uplatněn retrospektivní pohled na programy účelové podpory MŠMT ze současných požadavků stanovených v Základních principech přípravy a hodnocení programů</w:t>
      </w:r>
      <w:r>
        <w:rPr>
          <w:bCs/>
        </w:rPr>
        <w:t xml:space="preserve"> a </w:t>
      </w:r>
      <w:r w:rsidRPr="00030D0F">
        <w:rPr>
          <w:bCs/>
        </w:rPr>
        <w:t>skupin grantových projektů výzkumu, vývoje a inovací schválenými usnesením vlády Č</w:t>
      </w:r>
      <w:r>
        <w:rPr>
          <w:bCs/>
        </w:rPr>
        <w:t>R ze dne 13. </w:t>
      </w:r>
      <w:r w:rsidRPr="00030D0F">
        <w:rPr>
          <w:bCs/>
        </w:rPr>
        <w:t>května 2015 č. 351. Tyto principy však nelze uplatňovat na ukončené programy zpětně.</w:t>
      </w:r>
    </w:p>
    <w:p w:rsidR="00DE6B80" w:rsidRDefault="00DE6B80" w:rsidP="00DE6B80">
      <w:pPr>
        <w:pStyle w:val="Nadpis2"/>
        <w:jc w:val="both"/>
      </w:pPr>
      <w:r w:rsidRPr="00560D58">
        <w:t xml:space="preserve">Zohledňování výše nepřímé podpory v poskytované výši institucionální podpory </w:t>
      </w:r>
      <w:r>
        <w:t>na dlouhodobý koncepční rozvoj výzkumné organizace</w:t>
      </w:r>
    </w:p>
    <w:p w:rsidR="00DE6B80" w:rsidRDefault="00DE6B80" w:rsidP="00DE6B80">
      <w:pPr>
        <w:jc w:val="both"/>
      </w:pPr>
      <w:r>
        <w:t xml:space="preserve">Zákonné ustanovení o zohlednění výše nepřímé podpory v institucionální podpoře na rozvoj výzkumné organizace je neurčité a reálně neaplikovatelné. Neurčité je jak časové období, za které by měly být daňové úlevy zohledněny, tak způsob, jakým by měla být nepřímá podpora zohledněna. Není zřejmé, zda by institucionální podpora měla být o nepřímou podporu, celou, nebo její část, snížena, nebo naopak jako bonifikace za </w:t>
      </w:r>
      <w:r w:rsidRPr="00BE3D85">
        <w:t xml:space="preserve">financování výzkumu z neveřejných zdrojů </w:t>
      </w:r>
      <w:r>
        <w:t>zvýšena. Oba přístupy jsou argumentačně obhajitelné. Záměr zákonodárce není zřejmý ani z důvodové zprávy k příslušnému ustanovení zákona, kde je toto ustanovení pominuto.</w:t>
      </w:r>
    </w:p>
    <w:p w:rsidR="00DE6B80" w:rsidRDefault="00DE6B80" w:rsidP="00DE6B80">
      <w:pPr>
        <w:jc w:val="both"/>
        <w:rPr>
          <w:b/>
          <w:bCs/>
        </w:rPr>
      </w:pPr>
    </w:p>
    <w:p w:rsidR="00DE6B80" w:rsidRPr="00E42422" w:rsidRDefault="00DE6B80" w:rsidP="00DE6B80">
      <w:pPr>
        <w:jc w:val="both"/>
        <w:rPr>
          <w:b/>
        </w:rPr>
      </w:pPr>
      <w:r w:rsidRPr="008E683B">
        <w:rPr>
          <w:b/>
          <w:bCs/>
        </w:rPr>
        <w:t xml:space="preserve">Závěrem: MŠMT s potěšením konstatuje, že navzdory některým nepříznivým závěrům </w:t>
      </w:r>
      <w:r w:rsidRPr="008E683B">
        <w:rPr>
          <w:b/>
          <w:bCs/>
        </w:rPr>
        <w:br/>
        <w:t>a konstatováním NKÚ ve zprávě neuvádí, že by v oblasti výzkumu a vývoje došlo k porušení zákonů České republiky nebo zneužití veřejných prostředků.</w:t>
      </w:r>
    </w:p>
    <w:p w:rsidR="008C48A5" w:rsidRDefault="008C48A5"/>
    <w:sectPr w:rsidR="008C4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962D3"/>
    <w:multiLevelType w:val="hybridMultilevel"/>
    <w:tmpl w:val="192C05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BF"/>
    <w:rsid w:val="008C48A5"/>
    <w:rsid w:val="008E683B"/>
    <w:rsid w:val="00C82268"/>
    <w:rsid w:val="00D716BF"/>
    <w:rsid w:val="00DE6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5EC17-0BEB-406F-80B0-9EBD8995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B80"/>
    <w:pPr>
      <w:spacing w:after="160" w:line="259" w:lineRule="auto"/>
    </w:pPr>
    <w:rPr>
      <w:sz w:val="22"/>
      <w:szCs w:val="22"/>
      <w:lang w:eastAsia="en-US"/>
    </w:rPr>
  </w:style>
  <w:style w:type="paragraph" w:styleId="Nadpis1">
    <w:name w:val="heading 1"/>
    <w:basedOn w:val="Normln"/>
    <w:next w:val="Normln"/>
    <w:link w:val="Nadpis1Char"/>
    <w:uiPriority w:val="9"/>
    <w:qFormat/>
    <w:rsid w:val="00DE6B80"/>
    <w:pPr>
      <w:keepNext/>
      <w:keepLines/>
      <w:spacing w:before="240" w:after="0"/>
      <w:outlineLvl w:val="0"/>
    </w:pPr>
    <w:rPr>
      <w:rFonts w:ascii="Calibri Light" w:eastAsia="Times New Roman" w:hAnsi="Calibri Light"/>
      <w:color w:val="2E74B5"/>
      <w:sz w:val="32"/>
      <w:szCs w:val="32"/>
    </w:rPr>
  </w:style>
  <w:style w:type="paragraph" w:styleId="Nadpis2">
    <w:name w:val="heading 2"/>
    <w:basedOn w:val="Normln"/>
    <w:next w:val="Normln"/>
    <w:link w:val="Nadpis2Char"/>
    <w:uiPriority w:val="9"/>
    <w:unhideWhenUsed/>
    <w:qFormat/>
    <w:rsid w:val="00DE6B80"/>
    <w:pPr>
      <w:keepNext/>
      <w:keepLines/>
      <w:spacing w:before="40" w:after="0"/>
      <w:outlineLvl w:val="1"/>
    </w:pPr>
    <w:rPr>
      <w:rFonts w:ascii="Calibri Light" w:eastAsia="Times New Roman"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E6B80"/>
    <w:rPr>
      <w:rFonts w:ascii="Calibri Light" w:eastAsia="Times New Roman" w:hAnsi="Calibri Light" w:cs="Times New Roman"/>
      <w:color w:val="2E74B5"/>
      <w:sz w:val="32"/>
      <w:szCs w:val="32"/>
    </w:rPr>
  </w:style>
  <w:style w:type="character" w:customStyle="1" w:styleId="Nadpis2Char">
    <w:name w:val="Nadpis 2 Char"/>
    <w:link w:val="Nadpis2"/>
    <w:uiPriority w:val="9"/>
    <w:rsid w:val="00DE6B80"/>
    <w:rPr>
      <w:rFonts w:ascii="Calibri Light" w:eastAsia="Times New Roman" w:hAnsi="Calibri Light" w:cs="Times New Roman"/>
      <w:color w:val="2E74B5"/>
      <w:sz w:val="26"/>
      <w:szCs w:val="26"/>
    </w:rPr>
  </w:style>
  <w:style w:type="paragraph" w:styleId="Odstavecseseznamem">
    <w:name w:val="List Paragraph"/>
    <w:basedOn w:val="Normln"/>
    <w:uiPriority w:val="34"/>
    <w:qFormat/>
    <w:rsid w:val="00DE6B80"/>
    <w:pPr>
      <w:spacing w:after="0" w:line="240" w:lineRule="auto"/>
      <w:ind w:left="720"/>
    </w:pPr>
  </w:style>
  <w:style w:type="paragraph" w:customStyle="1" w:styleId="Default">
    <w:name w:val="Default"/>
    <w:rsid w:val="00DE6B80"/>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lecekp\Desktop\reakce%20M&#352;MT_NK&#218;%2017-1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reakce MŠMT_NKÚ 17-15</Template>
  <TotalTime>1</TotalTime>
  <Pages>3</Pages>
  <Words>1446</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Doleček Pavel</dc:creator>
  <cp:keywords/>
  <dc:description/>
  <cp:lastModifiedBy>Klimešová Adéla</cp:lastModifiedBy>
  <cp:revision>2</cp:revision>
  <dcterms:created xsi:type="dcterms:W3CDTF">2018-08-06T05:43:00Z</dcterms:created>
  <dcterms:modified xsi:type="dcterms:W3CDTF">2018-08-06T05:43:00Z</dcterms:modified>
</cp:coreProperties>
</file>