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561/2004 Sb.</w:t>
      </w:r>
      <w:bookmarkStart w:id="0" w:name="_GoBack"/>
      <w:bookmarkEnd w:id="0"/>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605A7"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w:t>
      </w:r>
      <w:r w:rsidRPr="00C605A7">
        <w:rPr>
          <w:rFonts w:eastAsia="Times New Roman" w:cs="Times New Roman"/>
          <w:strike/>
          <w:szCs w:val="24"/>
          <w:lang w:eastAsia="cs-CZ"/>
        </w:rPr>
        <w:t>a</w:t>
      </w:r>
      <w:r w:rsidRPr="00A65D71">
        <w:rPr>
          <w:rFonts w:eastAsia="Times New Roman" w:cs="Times New Roman"/>
          <w:szCs w:val="24"/>
          <w:lang w:eastAsia="cs-CZ"/>
        </w:rPr>
        <w:t xml:space="preserve"> zákona č. 222/2017 Sb.</w:t>
      </w:r>
      <w:r w:rsidR="00C605A7">
        <w:rPr>
          <w:rFonts w:eastAsia="Times New Roman" w:cs="Times New Roman"/>
          <w:szCs w:val="24"/>
          <w:lang w:eastAsia="cs-CZ"/>
        </w:rPr>
        <w:t xml:space="preserve"> </w:t>
      </w:r>
      <w:r w:rsidR="00C605A7">
        <w:rPr>
          <w:rFonts w:eastAsia="Times New Roman" w:cs="Times New Roman"/>
          <w:b/>
          <w:szCs w:val="24"/>
          <w:lang w:eastAsia="cs-CZ"/>
        </w:rPr>
        <w:t>a zákona č. 167/2018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w:t>
      </w:r>
      <w:r w:rsidRPr="00CC593D">
        <w:rPr>
          <w:rFonts w:eastAsia="Times New Roman" w:cs="Times New Roman"/>
          <w:szCs w:val="24"/>
          <w:lang w:eastAsia="cs-CZ"/>
        </w:rPr>
        <w:lastRenderedPageBreak/>
        <w:t>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rsidR="004B3D56" w:rsidRPr="00AC459D" w:rsidRDefault="004B3D56" w:rsidP="00CC593D">
      <w:pPr>
        <w:spacing w:before="100" w:beforeAutospacing="1" w:after="100" w:afterAutospacing="1"/>
        <w:rPr>
          <w:rFonts w:eastAsia="Times New Roman" w:cs="Times New Roman"/>
          <w:strike/>
          <w:szCs w:val="24"/>
          <w:lang w:eastAsia="cs-CZ"/>
        </w:rPr>
      </w:pPr>
      <w:r w:rsidRPr="00AC459D">
        <w:rPr>
          <w:rFonts w:eastAsia="Times New Roman" w:cs="Times New Roman"/>
          <w:iCs/>
          <w:strike/>
          <w:szCs w:val="24"/>
          <w:lang w:eastAsia="cs-CZ"/>
        </w:rPr>
        <w:t>(11)</w:t>
      </w:r>
      <w:r w:rsidRPr="00AC459D">
        <w:rPr>
          <w:rFonts w:eastAsia="Times New Roman" w:cs="Times New Roman"/>
          <w:strike/>
          <w:szCs w:val="24"/>
          <w:lang w:eastAsia="cs-CZ"/>
        </w:rPr>
        <w:t xml:space="preserve">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w:t>
      </w:r>
      <w:r w:rsidRPr="00CC593D">
        <w:rPr>
          <w:rFonts w:eastAsia="Times New Roman" w:cs="Times New Roman"/>
          <w:szCs w:val="24"/>
          <w:lang w:eastAsia="cs-CZ"/>
        </w:rPr>
        <w:lastRenderedPageBreak/>
        <w:t>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w:t>
      </w:r>
      <w:r w:rsidRPr="00CC593D">
        <w:rPr>
          <w:rFonts w:eastAsia="Times New Roman" w:cs="Times New Roman"/>
          <w:szCs w:val="24"/>
          <w:lang w:eastAsia="cs-CZ"/>
        </w:rPr>
        <w:lastRenderedPageBreak/>
        <w:t>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w:t>
      </w:r>
      <w:r w:rsidRPr="00CC593D">
        <w:rPr>
          <w:rFonts w:eastAsia="Times New Roman" w:cs="Times New Roman"/>
          <w:szCs w:val="24"/>
          <w:lang w:eastAsia="cs-CZ"/>
        </w:rPr>
        <w:lastRenderedPageBreak/>
        <w:t>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59D">
        <w:rPr>
          <w:rFonts w:eastAsia="Times New Roman" w:cs="Times New Roman"/>
          <w:b/>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 xml:space="preserve">V případě zvláště závažného zaviněného porušení povinností stanovených tímto zákonem ředitel vyloučí žáka nebo studenta ze školy nebo školského zařízení. To neplatí pro zařízení pro </w:t>
      </w:r>
      <w:r w:rsidR="005A73A0" w:rsidRPr="005A73A0">
        <w:rPr>
          <w:rFonts w:eastAsia="Times New Roman" w:cs="Times New Roman"/>
          <w:szCs w:val="24"/>
          <w:lang w:eastAsia="cs-CZ"/>
        </w:rPr>
        <w:lastRenderedPageBreak/>
        <w:t>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w:t>
      </w:r>
      <w:r w:rsidRPr="00CC593D">
        <w:rPr>
          <w:rFonts w:eastAsia="Times New Roman" w:cs="Times New Roman"/>
          <w:szCs w:val="24"/>
          <w:lang w:eastAsia="cs-CZ"/>
        </w:rPr>
        <w:lastRenderedPageBreak/>
        <w:t>„předkladatel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03A9E">
        <w:rPr>
          <w:rFonts w:eastAsia="Times New Roman" w:cs="Times New Roman"/>
          <w:strike/>
          <w:szCs w:val="24"/>
          <w:lang w:eastAsia="cs-CZ"/>
        </w:rPr>
        <w:t>Předškolní vzdělávání se organizuje pro děti ve věku zpravidla od 3 do 6 let, nejdříve však pro děti od 2 let.</w:t>
      </w:r>
      <w:r w:rsidRPr="00CC593D">
        <w:rPr>
          <w:rFonts w:eastAsia="Times New Roman" w:cs="Times New Roman"/>
          <w:szCs w:val="24"/>
          <w:lang w:eastAsia="cs-CZ"/>
        </w:rPr>
        <w:t xml:space="preserve"> </w:t>
      </w:r>
      <w:r w:rsidR="00603A9E" w:rsidRPr="00603A9E">
        <w:rPr>
          <w:rFonts w:eastAsia="Times New Roman" w:cs="Times New Roman"/>
          <w:b/>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3C51B1" w:rsidRPr="00AC459D">
        <w:rPr>
          <w:rFonts w:eastAsia="Times New Roman" w:cs="Times New Roman"/>
          <w:strike/>
          <w:szCs w:val="24"/>
          <w:lang w:eastAsia="cs-CZ"/>
        </w:rPr>
        <w:t>čtvrtého</w:t>
      </w:r>
      <w:r w:rsidR="003C51B1" w:rsidRPr="003C51B1">
        <w:rPr>
          <w:rFonts w:eastAsia="Times New Roman" w:cs="Times New Roman"/>
          <w:szCs w:val="24"/>
          <w:lang w:eastAsia="cs-CZ"/>
        </w:rPr>
        <w:t xml:space="preserve"> </w:t>
      </w:r>
      <w:r w:rsidR="00AC459D">
        <w:rPr>
          <w:rFonts w:eastAsia="Times New Roman" w:cs="Times New Roman"/>
          <w:b/>
          <w:szCs w:val="24"/>
          <w:lang w:eastAsia="cs-CZ"/>
        </w:rPr>
        <w:t xml:space="preserve">třetího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w:t>
      </w:r>
      <w:r w:rsidRPr="00CC593D">
        <w:rPr>
          <w:rFonts w:eastAsia="Times New Roman" w:cs="Times New Roman"/>
          <w:szCs w:val="24"/>
          <w:lang w:eastAsia="cs-CZ"/>
        </w:rPr>
        <w:lastRenderedPageBreak/>
        <w:t>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svazek obcí, kraj a registrovaná církev a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Pr>
          <w:rFonts w:eastAsia="Times New Roman" w:cs="Times New Roman"/>
          <w:szCs w:val="24"/>
          <w:lang w:eastAsia="cs-CZ"/>
        </w:rPr>
        <w:t xml:space="preserve"> a</w:t>
      </w:r>
      <w:r w:rsidRPr="00CC593D">
        <w:rPr>
          <w:rFonts w:eastAsia="Times New Roman" w:cs="Times New Roman"/>
          <w:szCs w:val="24"/>
          <w:lang w:eastAsia="cs-CZ"/>
        </w:rPr>
        <w:t xml:space="preserve">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w:t>
      </w:r>
      <w:r w:rsidRPr="00CC593D">
        <w:rPr>
          <w:rFonts w:eastAsia="Times New Roman" w:cs="Times New Roman"/>
          <w:szCs w:val="24"/>
          <w:lang w:eastAsia="cs-CZ"/>
        </w:rPr>
        <w:lastRenderedPageBreak/>
        <w:t>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w:t>
      </w:r>
      <w:r w:rsidRPr="00CC593D">
        <w:rPr>
          <w:rFonts w:eastAsia="Times New Roman" w:cs="Times New Roman"/>
          <w:szCs w:val="24"/>
          <w:lang w:eastAsia="cs-CZ"/>
        </w:rPr>
        <w:lastRenderedPageBreak/>
        <w:t>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w:t>
      </w:r>
      <w:r w:rsidRPr="00CC593D">
        <w:rPr>
          <w:rFonts w:eastAsia="Times New Roman" w:cs="Times New Roman"/>
          <w:szCs w:val="24"/>
          <w:lang w:eastAsia="cs-CZ"/>
        </w:rPr>
        <w:lastRenderedPageBreak/>
        <w:t>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w:lastRenderedPageBreak/>
        <mc:AlternateContent>
          <mc:Choice Requires="wps">
            <w:drawing>
              <wp:anchor distT="45720" distB="45720" distL="114300" distR="114300" simplePos="0" relativeHeight="251658240" behindDoc="0" locked="0" layoutInCell="1" allowOverlap="1" wp14:anchorId="36269F1C" wp14:editId="02B2C799">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05309E" w:rsidRDefault="0005309E"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05309E" w:rsidRDefault="00053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69F1C"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05309E" w:rsidRDefault="0005309E"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05309E" w:rsidRPr="00564522" w:rsidRDefault="0005309E"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05309E" w:rsidRDefault="0005309E"/>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w:t>
      </w:r>
      <w:r w:rsidRPr="00CC593D">
        <w:rPr>
          <w:rFonts w:eastAsia="Times New Roman" w:cs="Times New Roman"/>
          <w:szCs w:val="24"/>
          <w:lang w:eastAsia="cs-CZ"/>
        </w:rPr>
        <w:lastRenderedPageBreak/>
        <w:t>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w:t>
      </w:r>
      <w:r w:rsidRPr="00CC593D">
        <w:rPr>
          <w:rFonts w:eastAsia="Times New Roman" w:cs="Times New Roman"/>
          <w:szCs w:val="24"/>
          <w:lang w:eastAsia="cs-CZ"/>
        </w:rPr>
        <w:lastRenderedPageBreak/>
        <w:t>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w:t>
      </w:r>
      <w:r w:rsidRPr="00CC593D">
        <w:rPr>
          <w:rFonts w:eastAsia="Times New Roman" w:cs="Times New Roman"/>
          <w:szCs w:val="24"/>
          <w:lang w:eastAsia="cs-CZ"/>
        </w:rPr>
        <w:lastRenderedPageBreak/>
        <w:t>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w:t>
      </w:r>
      <w:r w:rsidRPr="00CC593D">
        <w:rPr>
          <w:rFonts w:eastAsia="Times New Roman" w:cs="Times New Roman"/>
          <w:szCs w:val="24"/>
          <w:lang w:eastAsia="cs-CZ"/>
        </w:rPr>
        <w:lastRenderedPageBreak/>
        <w:t>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w:t>
      </w:r>
      <w:r w:rsidRPr="00CC593D">
        <w:rPr>
          <w:rFonts w:eastAsia="Times New Roman" w:cs="Times New Roman"/>
          <w:szCs w:val="24"/>
          <w:lang w:eastAsia="cs-CZ"/>
        </w:rPr>
        <w:lastRenderedPageBreak/>
        <w:t>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w:t>
      </w:r>
      <w:r w:rsidRPr="00CC593D">
        <w:rPr>
          <w:rFonts w:eastAsia="Times New Roman" w:cs="Times New Roman"/>
          <w:szCs w:val="24"/>
          <w:lang w:eastAsia="cs-CZ"/>
        </w:rPr>
        <w:lastRenderedPageBreak/>
        <w:t>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w:t>
      </w:r>
      <w:r w:rsidRPr="00CC593D">
        <w:rPr>
          <w:rFonts w:eastAsia="Times New Roman" w:cs="Times New Roman"/>
          <w:szCs w:val="24"/>
          <w:lang w:eastAsia="cs-CZ"/>
        </w:rPr>
        <w:lastRenderedPageBreak/>
        <w:t xml:space="preserve">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xml:space="preserve">)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w:t>
      </w:r>
      <w:r w:rsidRPr="00CC593D">
        <w:rPr>
          <w:rFonts w:eastAsia="Times New Roman" w:cs="Times New Roman"/>
          <w:szCs w:val="24"/>
          <w:lang w:eastAsia="cs-CZ"/>
        </w:rPr>
        <w:lastRenderedPageBreak/>
        <w:t>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(1) Vzdělávací hodina v zájmovém vzdělávání trvá 60 minut.</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(2) Školní družina se organizačně člení na oddělení; členění ostatních školských zařízení pro zájmové vzdělávání stanoví ředitel.</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(3) Ministerstvo stanoví prováděcím právním předpisem nejnižší a nejvyšší počty dětí a žáků v oddělení školní družiny.</w:t>
      </w:r>
    </w:p>
    <w:p w:rsidR="00AC459D" w:rsidRPr="00EE26D5" w:rsidRDefault="00AC459D" w:rsidP="00AC459D">
      <w:pPr>
        <w:spacing w:before="100" w:beforeAutospacing="1" w:after="100" w:afterAutospacing="1"/>
        <w:rPr>
          <w:rFonts w:eastAsia="Times New Roman" w:cs="Times New Roman"/>
          <w:b/>
          <w:szCs w:val="24"/>
          <w:lang w:eastAsia="cs-CZ"/>
        </w:rPr>
      </w:pPr>
      <w:r w:rsidRPr="00EE26D5">
        <w:rPr>
          <w:rFonts w:eastAsia="Times New Roman" w:cs="Times New Roman"/>
          <w:b/>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w:t>
      </w:r>
      <w:r w:rsidRPr="00CC593D">
        <w:rPr>
          <w:rFonts w:eastAsia="Times New Roman" w:cs="Times New Roman"/>
          <w:szCs w:val="24"/>
          <w:lang w:eastAsia="cs-CZ"/>
        </w:rPr>
        <w:lastRenderedPageBreak/>
        <w:t>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xml:space="preserve">)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w:t>
      </w:r>
      <w:r w:rsidRPr="00CC593D">
        <w:rPr>
          <w:rFonts w:eastAsia="Times New Roman" w:cs="Times New Roman"/>
          <w:szCs w:val="24"/>
          <w:lang w:eastAsia="cs-CZ"/>
        </w:rPr>
        <w:lastRenderedPageBreak/>
        <w:t>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w:t>
      </w:r>
      <w:r w:rsidRPr="00CC593D">
        <w:rPr>
          <w:rFonts w:eastAsia="Times New Roman" w:cs="Times New Roman"/>
          <w:szCs w:val="24"/>
          <w:lang w:eastAsia="cs-CZ"/>
        </w:rPr>
        <w:lastRenderedPageBreak/>
        <w:t>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w:t>
      </w:r>
      <w:r w:rsidRPr="00CC593D">
        <w:rPr>
          <w:rFonts w:eastAsia="Times New Roman" w:cs="Times New Roman"/>
          <w:szCs w:val="24"/>
          <w:lang w:eastAsia="cs-CZ"/>
        </w:rPr>
        <w:lastRenderedPageBreak/>
        <w:t xml:space="preserve">náklady vyplývající ze základních pracovněprávních vztahů, na výdaje podle § 184 odst. 1 a 2, výdaje na nezbytné zvýšení nákladů spojených s výukou dětí, žáků a studentů </w:t>
      </w:r>
      <w:r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EE26D5">
        <w:rPr>
          <w:rFonts w:eastAsia="Times New Roman" w:cs="Times New Roman"/>
          <w:strike/>
          <w:szCs w:val="24"/>
          <w:lang w:eastAsia="cs-CZ"/>
        </w:rPr>
        <w:t>uvedených v § 16 odst. 9</w:t>
      </w:r>
      <w:r w:rsidR="00EE26D5">
        <w:rPr>
          <w:rFonts w:eastAsia="Times New Roman" w:cs="Times New Roman"/>
          <w:szCs w:val="24"/>
          <w:lang w:eastAsia="cs-CZ"/>
        </w:rPr>
        <w:t xml:space="preserve"> </w:t>
      </w:r>
      <w:r w:rsidR="00EE26D5">
        <w:rPr>
          <w:rFonts w:eastAsia="Times New Roman" w:cs="Times New Roman"/>
          <w:b/>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Pr="00EE26D5">
        <w:rPr>
          <w:rFonts w:eastAsia="Times New Roman" w:cs="Times New Roman"/>
          <w:strike/>
          <w:szCs w:val="24"/>
          <w:lang w:eastAsia="cs-CZ"/>
        </w:rPr>
        <w:t>.</w:t>
      </w:r>
      <w:r w:rsidR="00EE26D5" w:rsidRPr="00EE26D5">
        <w:rPr>
          <w:rFonts w:eastAsia="Times New Roman" w:cs="Times New Roman"/>
          <w:b/>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180B34">
        <w:rPr>
          <w:rFonts w:eastAsia="Times New Roman" w:cs="Times New Roman"/>
          <w:b/>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 xml:space="preserve">Finanční prostředky nad rozsah finančních prostředků státního rozpočtu poskytovaných podle odstavců 1 a 2 hradí právnické osoby, které vykonávají činnost škol a školských zařízení, </w:t>
      </w:r>
      <w:r w:rsidRPr="00180B34">
        <w:rPr>
          <w:rFonts w:eastAsia="Times New Roman" w:cs="Times New Roman"/>
          <w:szCs w:val="24"/>
          <w:lang w:eastAsia="cs-CZ"/>
        </w:rPr>
        <w:lastRenderedPageBreak/>
        <w:t>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w:t>
      </w:r>
      <w:r w:rsidRPr="00180B34">
        <w:rPr>
          <w:rFonts w:eastAsia="Times New Roman" w:cs="Times New Roman"/>
          <w:strike/>
          <w:szCs w:val="24"/>
          <w:lang w:eastAsia="cs-CZ"/>
        </w:rPr>
        <w:lastRenderedPageBreak/>
        <w:t>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xml:space="preserve">) dotaci v rozsahu a za podmínek stanovených zvláštním právním </w:t>
      </w:r>
      <w:r w:rsidRPr="00180B34">
        <w:rPr>
          <w:rFonts w:eastAsia="Times New Roman" w:cs="Times New Roman"/>
          <w:strike/>
          <w:szCs w:val="24"/>
          <w:lang w:eastAsia="cs-CZ"/>
        </w:rPr>
        <w:lastRenderedPageBreak/>
        <w:t>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lastRenderedPageBreak/>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lastRenderedPageBreak/>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w:t>
      </w:r>
      <w:r w:rsidRPr="00180B34">
        <w:rPr>
          <w:rFonts w:eastAsia="Times New Roman" w:cs="Times New Roman"/>
          <w:b/>
          <w:szCs w:val="24"/>
          <w:lang w:eastAsia="cs-CZ"/>
        </w:rPr>
        <w:lastRenderedPageBreak/>
        <w:t>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w:t>
      </w:r>
      <w:r w:rsidRPr="00180B34">
        <w:rPr>
          <w:rFonts w:eastAsia="Times New Roman" w:cs="Times New Roman"/>
          <w:b/>
          <w:szCs w:val="24"/>
          <w:lang w:eastAsia="cs-CZ"/>
        </w:rPr>
        <w:lastRenderedPageBreak/>
        <w:t>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D7337B" w:rsidRDefault="00EE26D5" w:rsidP="00D7337B">
      <w:pPr>
        <w:spacing w:before="100" w:beforeAutospacing="1" w:after="100" w:afterAutospacing="1"/>
        <w:rPr>
          <w:rFonts w:eastAsia="Times New Roman" w:cs="Times New Roman"/>
          <w:b/>
          <w:szCs w:val="24"/>
          <w:lang w:eastAsia="cs-CZ"/>
        </w:rPr>
      </w:pPr>
      <w:r w:rsidRPr="00D7337B">
        <w:rPr>
          <w:rFonts w:eastAsia="Times New Roman" w:cs="Times New Roman"/>
          <w:b/>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w:t>
      </w:r>
      <w:r w:rsidRPr="00CC593D">
        <w:rPr>
          <w:rFonts w:eastAsia="Times New Roman" w:cs="Times New Roman"/>
          <w:szCs w:val="24"/>
          <w:lang w:eastAsia="cs-CZ"/>
        </w:rPr>
        <w:lastRenderedPageBreak/>
        <w:t>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lastRenderedPageBreak/>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nebo zaměstnanec, který je státním občanem České republiky. Ředitelem střední školy požární ochrany, vyšší odborné </w:t>
      </w:r>
      <w:r w:rsidRPr="00CC593D">
        <w:rPr>
          <w:rFonts w:eastAsia="Times New Roman" w:cs="Times New Roman"/>
          <w:szCs w:val="24"/>
          <w:lang w:eastAsia="cs-CZ"/>
        </w:rPr>
        <w:lastRenderedPageBreak/>
        <w:t>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lastRenderedPageBreak/>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CC593D">
      <w:pPr>
        <w:rPr>
          <w:rFonts w:eastAsia="Times New Roman" w:cs="Times New Roman"/>
          <w:szCs w:val="24"/>
          <w:lang w:eastAsia="cs-CZ"/>
        </w:rPr>
      </w:pP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w:t>
      </w:r>
      <w:r w:rsidRPr="00CC593D">
        <w:rPr>
          <w:rFonts w:eastAsia="Times New Roman" w:cs="Times New Roman"/>
          <w:szCs w:val="24"/>
          <w:lang w:eastAsia="cs-CZ"/>
        </w:rPr>
        <w:lastRenderedPageBreak/>
        <w:t>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w:t>
      </w:r>
      <w:r w:rsidRPr="00CC593D">
        <w:rPr>
          <w:rFonts w:eastAsia="Times New Roman" w:cs="Times New Roman"/>
          <w:szCs w:val="24"/>
          <w:lang w:eastAsia="cs-CZ"/>
        </w:rPr>
        <w:lastRenderedPageBreak/>
        <w:t>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w:t>
      </w:r>
      <w:r w:rsidRPr="00CC593D">
        <w:rPr>
          <w:rFonts w:eastAsia="Times New Roman" w:cs="Times New Roman"/>
          <w:szCs w:val="24"/>
          <w:lang w:eastAsia="cs-CZ"/>
        </w:rPr>
        <w:lastRenderedPageBreak/>
        <w:t>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7E3EDF"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Pr="002938B6">
        <w:rPr>
          <w:rFonts w:eastAsia="Times New Roman" w:cs="Times New Roman"/>
          <w:strike/>
          <w:szCs w:val="24"/>
          <w:lang w:eastAsia="cs-CZ"/>
        </w:rPr>
        <w:t>201</w:t>
      </w:r>
      <w:r w:rsidR="002938B6" w:rsidRPr="002938B6">
        <w:rPr>
          <w:rFonts w:eastAsia="Times New Roman" w:cs="Times New Roman"/>
          <w:strike/>
          <w:szCs w:val="24"/>
          <w:lang w:eastAsia="cs-CZ"/>
        </w:rPr>
        <w:t>8</w:t>
      </w:r>
      <w:r w:rsidR="002938B6">
        <w:rPr>
          <w:rFonts w:eastAsia="Times New Roman" w:cs="Times New Roman"/>
          <w:szCs w:val="24"/>
          <w:lang w:eastAsia="cs-CZ"/>
        </w:rPr>
        <w:t xml:space="preserve"> </w:t>
      </w:r>
      <w:r w:rsidR="002938B6" w:rsidRPr="002938B6">
        <w:rPr>
          <w:rFonts w:eastAsia="Times New Roman" w:cs="Times New Roman"/>
          <w:b/>
          <w:szCs w:val="24"/>
          <w:lang w:eastAsia="cs-CZ"/>
        </w:rPr>
        <w:t>201</w:t>
      </w:r>
      <w:r w:rsidRPr="002938B6">
        <w:rPr>
          <w:rFonts w:eastAsia="Times New Roman" w:cs="Times New Roman"/>
          <w:b/>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lastRenderedPageBreak/>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DF" w:rsidRDefault="007E3EDF" w:rsidP="00564522">
      <w:r>
        <w:separator/>
      </w:r>
    </w:p>
  </w:endnote>
  <w:endnote w:type="continuationSeparator" w:id="0">
    <w:p w:rsidR="007E3EDF" w:rsidRDefault="007E3EDF"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DF" w:rsidRDefault="007E3EDF" w:rsidP="00564522">
      <w:r>
        <w:separator/>
      </w:r>
    </w:p>
  </w:footnote>
  <w:footnote w:type="continuationSeparator" w:id="0">
    <w:p w:rsidR="007E3EDF" w:rsidRDefault="007E3EDF"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9E" w:rsidRPr="009E7ED8" w:rsidRDefault="0005309E" w:rsidP="00564522">
    <w:pPr>
      <w:pStyle w:val="Zhlav"/>
      <w:jc w:val="center"/>
      <w:rPr>
        <w:b/>
        <w:color w:val="FF0000"/>
        <w:sz w:val="22"/>
      </w:rPr>
    </w:pPr>
    <w:r w:rsidRPr="009E7ED8">
      <w:rPr>
        <w:b/>
        <w:color w:val="FF0000"/>
        <w:sz w:val="22"/>
      </w:rPr>
      <w:t>Úplné znění ke dni 1. 9. 2018 je zpracováno Ministerstvem školství, mládeže a tělovýchovy pouze jako informativní materiál. Právně závazné znění vyplývá výhradně ze Sbírky zákonů.</w:t>
    </w:r>
  </w:p>
  <w:p w:rsidR="0005309E" w:rsidRDefault="0005309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5309E"/>
    <w:rsid w:val="00066791"/>
    <w:rsid w:val="00074E6E"/>
    <w:rsid w:val="000A3A4D"/>
    <w:rsid w:val="000E3F9A"/>
    <w:rsid w:val="000F395A"/>
    <w:rsid w:val="00180B34"/>
    <w:rsid w:val="001913CE"/>
    <w:rsid w:val="0019179B"/>
    <w:rsid w:val="001A2A8E"/>
    <w:rsid w:val="0021593F"/>
    <w:rsid w:val="002938B6"/>
    <w:rsid w:val="00293B8C"/>
    <w:rsid w:val="00326B8D"/>
    <w:rsid w:val="003336F4"/>
    <w:rsid w:val="003C5087"/>
    <w:rsid w:val="003C51B1"/>
    <w:rsid w:val="003D3FA5"/>
    <w:rsid w:val="004B3D56"/>
    <w:rsid w:val="004F1AC3"/>
    <w:rsid w:val="004F4465"/>
    <w:rsid w:val="00564522"/>
    <w:rsid w:val="00584FD4"/>
    <w:rsid w:val="005A43D8"/>
    <w:rsid w:val="005A73A0"/>
    <w:rsid w:val="005E243E"/>
    <w:rsid w:val="00603A9E"/>
    <w:rsid w:val="00735FD1"/>
    <w:rsid w:val="00750762"/>
    <w:rsid w:val="007C2B47"/>
    <w:rsid w:val="007E3EDF"/>
    <w:rsid w:val="007F64DB"/>
    <w:rsid w:val="0084360D"/>
    <w:rsid w:val="00857847"/>
    <w:rsid w:val="00872724"/>
    <w:rsid w:val="008A0E43"/>
    <w:rsid w:val="009338A4"/>
    <w:rsid w:val="00956588"/>
    <w:rsid w:val="009A1D46"/>
    <w:rsid w:val="009E7ED8"/>
    <w:rsid w:val="00A376D3"/>
    <w:rsid w:val="00A65D71"/>
    <w:rsid w:val="00AC459D"/>
    <w:rsid w:val="00BB15EA"/>
    <w:rsid w:val="00C605A7"/>
    <w:rsid w:val="00CC593D"/>
    <w:rsid w:val="00CC5A0D"/>
    <w:rsid w:val="00CD5348"/>
    <w:rsid w:val="00CD7005"/>
    <w:rsid w:val="00D619FB"/>
    <w:rsid w:val="00D7337B"/>
    <w:rsid w:val="00DE7568"/>
    <w:rsid w:val="00E715D2"/>
    <w:rsid w:val="00EE26D5"/>
    <w:rsid w:val="00EF6488"/>
    <w:rsid w:val="00F62A7E"/>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160</Pages>
  <Words>59472</Words>
  <Characters>350885</Characters>
  <Application>Microsoft Office Word</Application>
  <DocSecurity>0</DocSecurity>
  <Lines>5752</Lines>
  <Paragraphs>2597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6</cp:revision>
  <dcterms:created xsi:type="dcterms:W3CDTF">2018-08-16T13:54:00Z</dcterms:created>
  <dcterms:modified xsi:type="dcterms:W3CDTF">2018-08-17T08:14:00Z</dcterms:modified>
</cp:coreProperties>
</file>