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18" w:rsidRDefault="00D62C18"/>
    <w:p w:rsidR="0049495A" w:rsidRDefault="00646F7F" w:rsidP="00605D1D">
      <w:pPr>
        <w:pStyle w:val="Nadpis2"/>
        <w:spacing w:before="360"/>
        <w:jc w:val="center"/>
      </w:pPr>
      <w:r>
        <w:t>Avízo</w:t>
      </w:r>
    </w:p>
    <w:p w:rsidR="00070D4A" w:rsidRPr="00070D4A" w:rsidRDefault="00070D4A" w:rsidP="00070D4A">
      <w:pPr>
        <w:pStyle w:val="Nadpis2"/>
        <w:spacing w:after="360"/>
        <w:jc w:val="center"/>
      </w:pPr>
      <w:r w:rsidRPr="00070D4A">
        <w:t>Výzva k podání žádosti o poskytnutí dotace pro digitalizaci veřejného vysokého školství</w:t>
      </w:r>
    </w:p>
    <w:p w:rsidR="00646F7F" w:rsidRDefault="00646F7F" w:rsidP="00646F7F">
      <w:pPr>
        <w:spacing w:line="240" w:lineRule="auto"/>
      </w:pPr>
      <w:r w:rsidRPr="00646F7F">
        <w:rPr>
          <w:b/>
        </w:rPr>
        <w:t>Období řešení:</w:t>
      </w:r>
      <w:r>
        <w:t xml:space="preserve"> 1.1. - 31. 12. 2019</w:t>
      </w:r>
    </w:p>
    <w:p w:rsidR="00646F7F" w:rsidRDefault="00646F7F" w:rsidP="00646F7F">
      <w:pPr>
        <w:spacing w:line="240" w:lineRule="auto"/>
      </w:pPr>
      <w:r w:rsidRPr="00646F7F">
        <w:rPr>
          <w:b/>
        </w:rPr>
        <w:t>Celková alokace:</w:t>
      </w:r>
      <w:r>
        <w:t xml:space="preserve"> </w:t>
      </w:r>
      <w:r w:rsidR="005A7617">
        <w:t>50</w:t>
      </w:r>
      <w:r>
        <w:t xml:space="preserve"> mil. Kč</w:t>
      </w:r>
    </w:p>
    <w:p w:rsidR="00646F7F" w:rsidRDefault="00646F7F" w:rsidP="00646F7F">
      <w:pPr>
        <w:spacing w:line="240" w:lineRule="auto"/>
      </w:pPr>
      <w:r w:rsidRPr="00646F7F">
        <w:rPr>
          <w:b/>
        </w:rPr>
        <w:t>Očekávané vyhlášení:</w:t>
      </w:r>
      <w:r w:rsidR="002517E2">
        <w:t xml:space="preserve"> začátek</w:t>
      </w:r>
      <w:r>
        <w:t xml:space="preserve"> října 2018</w:t>
      </w:r>
    </w:p>
    <w:p w:rsidR="00646F7F" w:rsidRDefault="00646F7F" w:rsidP="00646F7F">
      <w:pPr>
        <w:spacing w:line="240" w:lineRule="auto"/>
      </w:pPr>
      <w:r w:rsidRPr="00646F7F">
        <w:rPr>
          <w:b/>
        </w:rPr>
        <w:t>Lhůta pro podávání žádostí:</w:t>
      </w:r>
      <w:r>
        <w:t xml:space="preserve"> 30 kalendářních dnů</w:t>
      </w:r>
    </w:p>
    <w:p w:rsidR="00646F7F" w:rsidRDefault="00646F7F" w:rsidP="00D12EA0">
      <w:pPr>
        <w:spacing w:line="240" w:lineRule="auto"/>
        <w:jc w:val="both"/>
      </w:pPr>
      <w:r w:rsidRPr="00646F7F">
        <w:rPr>
          <w:b/>
        </w:rPr>
        <w:t>Forma předložení:</w:t>
      </w:r>
      <w:r>
        <w:t xml:space="preserve"> pouze žádost obsahující </w:t>
      </w:r>
      <w:r w:rsidRPr="00646F7F">
        <w:t xml:space="preserve">stručnou charakteristiku </w:t>
      </w:r>
      <w:r>
        <w:t xml:space="preserve">plánovaných aktivit </w:t>
      </w:r>
      <w:r w:rsidRPr="00646F7F">
        <w:t>včetně případné spolupráce s jinými vysokými školami</w:t>
      </w:r>
      <w:r>
        <w:t xml:space="preserve">, popis jednotlivých cílů, rozpočet a další formální náležitosti. </w:t>
      </w:r>
    </w:p>
    <w:p w:rsidR="00605D1D" w:rsidRDefault="00605D1D" w:rsidP="00646F7F">
      <w:pPr>
        <w:spacing w:line="240" w:lineRule="auto"/>
      </w:pPr>
      <w:r w:rsidRPr="00605D1D">
        <w:t>Žádost podá</w:t>
      </w:r>
      <w:r>
        <w:t xml:space="preserve">vá vysoká škola </w:t>
      </w:r>
      <w:r w:rsidRPr="00605D1D">
        <w:rPr>
          <w:b/>
        </w:rPr>
        <w:t>datovou zprávou</w:t>
      </w:r>
      <w:r>
        <w:t xml:space="preserve"> odboru vysokých škol MŠMT.</w:t>
      </w:r>
    </w:p>
    <w:p w:rsidR="00646F7F" w:rsidRDefault="00646F7F" w:rsidP="00646F7F">
      <w:pPr>
        <w:spacing w:line="240" w:lineRule="auto"/>
        <w:jc w:val="both"/>
      </w:pPr>
      <w:r w:rsidRPr="00646F7F">
        <w:rPr>
          <w:b/>
        </w:rPr>
        <w:t>Maximální výše dotace pro vysokou školu</w:t>
      </w:r>
      <w:r>
        <w:t xml:space="preserve"> určena jako </w:t>
      </w:r>
      <w:r w:rsidR="005A7617">
        <w:t xml:space="preserve">součet </w:t>
      </w:r>
      <w:r>
        <w:t>základn</w:t>
      </w:r>
      <w:r w:rsidR="005A7617">
        <w:t>í částky</w:t>
      </w:r>
      <w:r>
        <w:t xml:space="preserve"> (</w:t>
      </w:r>
      <w:r w:rsidR="005A7617">
        <w:t>1</w:t>
      </w:r>
      <w:r>
        <w:t xml:space="preserve"> mil. Kč) </w:t>
      </w:r>
      <w:r w:rsidR="005A7617">
        <w:t>a</w:t>
      </w:r>
      <w:r>
        <w:t> </w:t>
      </w:r>
      <w:r w:rsidR="005A7617">
        <w:t>částky vypočtené</w:t>
      </w:r>
      <w:r w:rsidRPr="00646F7F">
        <w:t xml:space="preserve"> dle počtu studentů </w:t>
      </w:r>
      <w:r w:rsidR="005A7617">
        <w:t xml:space="preserve">vysoké školy </w:t>
      </w:r>
      <w:r w:rsidRPr="00646F7F">
        <w:t>s upravenou vahou</w:t>
      </w:r>
      <w:r>
        <w:t xml:space="preserve"> podle regulačních prahů (do 10 tis. studentů, do 20. tis. studentů, nad 20 tis. studentů).</w:t>
      </w:r>
    </w:p>
    <w:p w:rsidR="00646F7F" w:rsidRDefault="00482818" w:rsidP="00646F7F">
      <w:pPr>
        <w:spacing w:after="120" w:line="240" w:lineRule="auto"/>
        <w:jc w:val="both"/>
      </w:pPr>
      <w:r>
        <w:rPr>
          <w:b/>
        </w:rPr>
        <w:t>Cílem Výzvy</w:t>
      </w:r>
      <w:r w:rsidR="00646F7F">
        <w:t xml:space="preserve"> je podpořit digitalizaci administrativních činností veřejných vysokých škol v České rep</w:t>
      </w:r>
      <w:r w:rsidR="00FC5158">
        <w:t>ublice</w:t>
      </w:r>
      <w:bookmarkStart w:id="0" w:name="_GoBack"/>
      <w:bookmarkEnd w:id="0"/>
      <w:r w:rsidR="00646F7F">
        <w:t>.</w:t>
      </w:r>
    </w:p>
    <w:p w:rsidR="00646F7F" w:rsidRDefault="00482818" w:rsidP="00646F7F">
      <w:pPr>
        <w:spacing w:after="120" w:line="240" w:lineRule="auto"/>
        <w:jc w:val="both"/>
      </w:pPr>
      <w:r>
        <w:t>Výzva</w:t>
      </w:r>
      <w:r w:rsidR="00646F7F">
        <w:t xml:space="preserve"> reaguje na vzrůstající digitalizaci společnosti. Sektor vzdělávání za tímto celospolečenským trendem podle některých zdrojů zaostává. V reakci na tento stav doporučuje řada dokumentů rozvoj digitalizace sektoru vzdělávání a navrhuje konkrétní opatření; na evropské úrovni se jedná o Akční plán digitálního vzdělávání, Obnovený programu EU v oblasti vysokoškolského vzdělávání a Pařížské komuniké ministrů Evropského prostoru vysokoškolského vzdělávání, na národní úrovni pak Strategii digitálního vzdělávání do roku 2020 nebo Dlouhodobý záměr vzdělávací a vědecké, výzkumné, vývojové a inovační, umělecké a další tvůrčí činnosti pro oblast vysokých škol na období 2016–2020 a jeho plány realizace na rok 2018 a 2019.</w:t>
      </w:r>
    </w:p>
    <w:p w:rsidR="00646F7F" w:rsidRDefault="00646F7F" w:rsidP="00646F7F">
      <w:pPr>
        <w:spacing w:after="120" w:line="240" w:lineRule="auto"/>
        <w:jc w:val="both"/>
      </w:pPr>
      <w:r>
        <w:t>Úsilí o digitalizaci společnosti se odráží i v přijaté a připravované nadnárodní a národní legislativě, konkrétně v:</w:t>
      </w:r>
    </w:p>
    <w:p w:rsidR="00646F7F" w:rsidRDefault="00646F7F" w:rsidP="00D12EA0">
      <w:pPr>
        <w:pStyle w:val="Odstavecseseznamem"/>
        <w:numPr>
          <w:ilvl w:val="0"/>
          <w:numId w:val="1"/>
        </w:numPr>
        <w:spacing w:after="120" w:line="240" w:lineRule="auto"/>
        <w:ind w:left="1060" w:hanging="493"/>
        <w:contextualSpacing w:val="0"/>
        <w:jc w:val="both"/>
      </w:pPr>
      <w:r>
        <w:t>nařízení Evropského parlamentu a Rady (EU) č. 910/2014 ze dne 23. července 2014 o elektronické identifikaci a službách vytvářejících důvěru pro elektronické transakce na vnitřním trhu a o zrušení směrnice 1999/93/ES;</w:t>
      </w:r>
    </w:p>
    <w:p w:rsidR="00646F7F" w:rsidRDefault="00646F7F" w:rsidP="00D12EA0">
      <w:pPr>
        <w:pStyle w:val="Odstavecseseznamem"/>
        <w:numPr>
          <w:ilvl w:val="0"/>
          <w:numId w:val="1"/>
        </w:numPr>
        <w:spacing w:after="120" w:line="240" w:lineRule="auto"/>
        <w:ind w:left="1060" w:hanging="493"/>
        <w:contextualSpacing w:val="0"/>
        <w:jc w:val="both"/>
      </w:pPr>
      <w:r>
        <w:t>návrhu nařízení Evropského parlamentu a Rady, kterým se zřizuje jednotná digitální brána pro poskytování informací, postupů, asistenčních služeb a služeb pro řešení problémů a kterým se mění nařízení (EU) č. 1024/2012;</w:t>
      </w:r>
    </w:p>
    <w:p w:rsidR="00646F7F" w:rsidRDefault="00646F7F" w:rsidP="00D12EA0">
      <w:pPr>
        <w:pStyle w:val="Odstavecseseznamem"/>
        <w:numPr>
          <w:ilvl w:val="0"/>
          <w:numId w:val="1"/>
        </w:numPr>
        <w:spacing w:after="120" w:line="240" w:lineRule="auto"/>
        <w:ind w:left="1060" w:hanging="493"/>
        <w:contextualSpacing w:val="0"/>
        <w:jc w:val="both"/>
      </w:pPr>
      <w:r>
        <w:t>návrhu zákona o přístupnosti internetových stránek a mobilních aplikací a o změně zákona č. 365/2000 Sb., o informačních systémech veřejné správy a o změně některých dalších zákonů, ve znění pozdějších předpisů (sněmovní tisk č. 170).</w:t>
      </w:r>
    </w:p>
    <w:p w:rsidR="00482818" w:rsidRDefault="00482818" w:rsidP="005A7617">
      <w:pPr>
        <w:keepNext/>
        <w:spacing w:line="240" w:lineRule="auto"/>
        <w:jc w:val="both"/>
        <w:rPr>
          <w:b/>
        </w:rPr>
      </w:pPr>
    </w:p>
    <w:p w:rsidR="00482818" w:rsidRDefault="00482818" w:rsidP="005A7617">
      <w:pPr>
        <w:keepNext/>
        <w:spacing w:line="240" w:lineRule="auto"/>
        <w:jc w:val="both"/>
        <w:rPr>
          <w:b/>
        </w:rPr>
      </w:pPr>
    </w:p>
    <w:p w:rsidR="00646F7F" w:rsidRPr="00646F7F" w:rsidRDefault="00482818" w:rsidP="005A7617">
      <w:pPr>
        <w:keepNext/>
        <w:spacing w:line="240" w:lineRule="auto"/>
        <w:jc w:val="both"/>
        <w:rPr>
          <w:b/>
        </w:rPr>
      </w:pPr>
      <w:r>
        <w:rPr>
          <w:b/>
        </w:rPr>
        <w:t>Výzva</w:t>
      </w:r>
      <w:r w:rsidR="00646F7F" w:rsidRPr="00646F7F">
        <w:rPr>
          <w:b/>
        </w:rPr>
        <w:t xml:space="preserve"> bud</w:t>
      </w:r>
      <w:r w:rsidR="005A7617">
        <w:rPr>
          <w:b/>
        </w:rPr>
        <w:t>e</w:t>
      </w:r>
      <w:r w:rsidR="00646F7F" w:rsidRPr="00646F7F">
        <w:rPr>
          <w:b/>
        </w:rPr>
        <w:t xml:space="preserve"> podporov</w:t>
      </w:r>
      <w:r w:rsidR="005A7617">
        <w:rPr>
          <w:b/>
        </w:rPr>
        <w:t>at</w:t>
      </w:r>
      <w:r w:rsidR="00646F7F" w:rsidRPr="00646F7F">
        <w:rPr>
          <w:b/>
        </w:rPr>
        <w:t xml:space="preserve"> níže uvedené aktivity:</w:t>
      </w:r>
    </w:p>
    <w:p w:rsidR="00646F7F" w:rsidRDefault="00646F7F" w:rsidP="00646F7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</w:pPr>
      <w:r>
        <w:t>z</w:t>
      </w:r>
      <w:r w:rsidRPr="003B4EE9">
        <w:t>jednodušení mobility studentů prostřednictvím nástrojů elektronické výměny informací o</w:t>
      </w:r>
      <w:r>
        <w:t> </w:t>
      </w:r>
      <w:r w:rsidRPr="003B4EE9">
        <w:t>studiu, elektronické identifikace a elektronizace uznávání získaných kreditů, například s</w:t>
      </w:r>
      <w:r>
        <w:t> </w:t>
      </w:r>
      <w:r w:rsidRPr="003B4EE9">
        <w:t xml:space="preserve">využitím Erasmus+ projektů Erasmus Without Papers , EMREX  a European Student </w:t>
      </w:r>
      <w:r>
        <w:t>Card;</w:t>
      </w:r>
    </w:p>
    <w:p w:rsidR="00646F7F" w:rsidRDefault="00646F7F" w:rsidP="00646F7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</w:pPr>
      <w:r>
        <w:t>p</w:t>
      </w:r>
      <w:r w:rsidRPr="003B4EE9">
        <w:t>říprava na plnění povinností vyplývajících z návrhu zákona o přístupnosti internetových stránek</w:t>
      </w:r>
      <w:r>
        <w:t xml:space="preserve"> </w:t>
      </w:r>
      <w:r w:rsidRPr="003B4EE9">
        <w:t>a mobilních aplikací a o změně zákona č. 365/2000 Sb., o informačních systémech veřejné</w:t>
      </w:r>
      <w:r>
        <w:t xml:space="preserve"> </w:t>
      </w:r>
      <w:r w:rsidRPr="003B4EE9">
        <w:t>správy</w:t>
      </w:r>
      <w:r>
        <w:t xml:space="preserve"> </w:t>
      </w:r>
      <w:r w:rsidRPr="003B4EE9">
        <w:t>a o změně některých dalších zákonů, ve znění pozdějších předpisů</w:t>
      </w:r>
      <w:r>
        <w:t xml:space="preserve"> (sněmovní tisk č. 170);</w:t>
      </w:r>
    </w:p>
    <w:p w:rsidR="00646F7F" w:rsidRDefault="00646F7F" w:rsidP="00646F7F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</w:pPr>
      <w:r>
        <w:t>p</w:t>
      </w:r>
      <w:r w:rsidRPr="003B4EE9">
        <w:t>říprava na plnění povinností vyplývajících z návrhu n</w:t>
      </w:r>
      <w:r w:rsidR="005A7617">
        <w:t>ařízení Evropského parlamentu a </w:t>
      </w:r>
      <w:r w:rsidRPr="003B4EE9">
        <w:t xml:space="preserve">Rady, kterým se zřizuje jednotná digitální brána pro poskytování informací, postupů, asistenčních služeb a služeb pro řešení problémů a </w:t>
      </w:r>
      <w:r w:rsidR="005A7617">
        <w:t>kterým se mění nařízení (EU) č. </w:t>
      </w:r>
      <w:r w:rsidRPr="003B4EE9">
        <w:t>1024/2012.</w:t>
      </w:r>
    </w:p>
    <w:p w:rsidR="00646F7F" w:rsidRDefault="00646F7F" w:rsidP="00646F7F">
      <w:pPr>
        <w:spacing w:after="120" w:line="240" w:lineRule="auto"/>
        <w:jc w:val="both"/>
      </w:pPr>
      <w:r>
        <w:t>Vysoké školy mohou při realizaci aktivit spolupracovat, žádosti o dotaci však podávají samostatně a aktivity řeší v rámci vlastního rozpočtu. Případnou spolupráci popíše vysoká škola v žádos</w:t>
      </w:r>
      <w:r w:rsidR="005A7617">
        <w:t>ti o </w:t>
      </w:r>
      <w:r>
        <w:t>dotaci.</w:t>
      </w:r>
    </w:p>
    <w:p w:rsidR="00605D1D" w:rsidRDefault="00605D1D" w:rsidP="00646F7F">
      <w:pPr>
        <w:spacing w:after="120" w:line="240" w:lineRule="auto"/>
        <w:jc w:val="both"/>
      </w:pPr>
      <w:r w:rsidRPr="00605D1D">
        <w:rPr>
          <w:b/>
        </w:rPr>
        <w:t>Hodnocení žádostí</w:t>
      </w:r>
      <w:r>
        <w:t xml:space="preserve"> bude provádět Rada programů na základě těchto </w:t>
      </w:r>
      <w:r w:rsidRPr="00605D1D">
        <w:rPr>
          <w:b/>
        </w:rPr>
        <w:t>kritérií</w:t>
      </w:r>
      <w:r>
        <w:t>:</w:t>
      </w:r>
    </w:p>
    <w:p w:rsidR="00605D1D" w:rsidRDefault="00605D1D" w:rsidP="00605D1D">
      <w:pPr>
        <w:pStyle w:val="Odstavecseseznamem"/>
        <w:numPr>
          <w:ilvl w:val="0"/>
          <w:numId w:val="3"/>
        </w:numPr>
        <w:spacing w:after="120" w:line="240" w:lineRule="auto"/>
        <w:jc w:val="both"/>
      </w:pPr>
      <w:r>
        <w:t>Relevance navrhovaných aktivit pro naplňování stanovených cílů uvedených v žádosti.</w:t>
      </w:r>
    </w:p>
    <w:p w:rsidR="00605D1D" w:rsidRDefault="00605D1D" w:rsidP="00605D1D">
      <w:pPr>
        <w:pStyle w:val="Odstavecseseznamem"/>
        <w:numPr>
          <w:ilvl w:val="0"/>
          <w:numId w:val="3"/>
        </w:numPr>
        <w:spacing w:after="120" w:line="240" w:lineRule="auto"/>
        <w:jc w:val="both"/>
      </w:pPr>
      <w:r>
        <w:t>Předpokládaný dopad navrhovaných aktivi</w:t>
      </w:r>
      <w:r w:rsidR="005C0859">
        <w:t>t na naplňování priorit Výzvy</w:t>
      </w:r>
      <w:r>
        <w:t>.</w:t>
      </w:r>
    </w:p>
    <w:p w:rsidR="00605D1D" w:rsidRDefault="00605D1D" w:rsidP="00605D1D">
      <w:pPr>
        <w:pStyle w:val="Odstavecseseznamem"/>
        <w:numPr>
          <w:ilvl w:val="0"/>
          <w:numId w:val="3"/>
        </w:numPr>
        <w:spacing w:after="120" w:line="240" w:lineRule="auto"/>
        <w:jc w:val="both"/>
      </w:pPr>
      <w:r>
        <w:t>Hospodárnost, efektivnost a účelnost navrhovaných nákladů na řešení navrhovaných aktivit.</w:t>
      </w:r>
    </w:p>
    <w:p w:rsidR="00605D1D" w:rsidRPr="00605D1D" w:rsidRDefault="00605D1D" w:rsidP="00605D1D">
      <w:pPr>
        <w:spacing w:after="120" w:line="240" w:lineRule="auto"/>
        <w:jc w:val="both"/>
        <w:rPr>
          <w:b/>
        </w:rPr>
      </w:pPr>
      <w:r>
        <w:rPr>
          <w:b/>
        </w:rPr>
        <w:t xml:space="preserve">Dotace může být poskytnuta </w:t>
      </w:r>
      <w:r w:rsidRPr="00605D1D">
        <w:t>formou běžných</w:t>
      </w:r>
      <w:r>
        <w:t xml:space="preserve"> i kapitálových finančních prostředků</w:t>
      </w:r>
      <w:r w:rsidRPr="00D74646">
        <w:t xml:space="preserve"> na základ</w:t>
      </w:r>
      <w:r>
        <w:t xml:space="preserve">ě rozhodnutí o poskytnutí dotace v jedné splátce v plné výši. </w:t>
      </w:r>
    </w:p>
    <w:p w:rsidR="00605D1D" w:rsidRDefault="00605D1D" w:rsidP="00605D1D">
      <w:pPr>
        <w:spacing w:after="120" w:line="240" w:lineRule="auto"/>
        <w:jc w:val="both"/>
      </w:pPr>
    </w:p>
    <w:p w:rsidR="00646F7F" w:rsidRDefault="00646F7F" w:rsidP="00646F7F">
      <w:pPr>
        <w:spacing w:line="240" w:lineRule="auto"/>
      </w:pPr>
    </w:p>
    <w:p w:rsidR="00646F7F" w:rsidRPr="00646F7F" w:rsidRDefault="00646F7F" w:rsidP="00646F7F"/>
    <w:p w:rsidR="00BC48FE" w:rsidRPr="00BC48FE" w:rsidRDefault="00BC48FE" w:rsidP="0049495A">
      <w:pPr>
        <w:jc w:val="both"/>
      </w:pPr>
    </w:p>
    <w:sectPr w:rsidR="00BC48FE" w:rsidRPr="00BC48FE" w:rsidSect="001630AD">
      <w:headerReference w:type="default" r:id="rId8"/>
      <w:footerReference w:type="default" r:id="rId9"/>
      <w:pgSz w:w="11906" w:h="16838"/>
      <w:pgMar w:top="1418" w:right="1418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6F" w:rsidRDefault="00D00F6F" w:rsidP="001630AD">
      <w:pPr>
        <w:spacing w:after="0" w:line="240" w:lineRule="auto"/>
      </w:pPr>
      <w:r>
        <w:separator/>
      </w:r>
    </w:p>
  </w:endnote>
  <w:endnote w:type="continuationSeparator" w:id="0">
    <w:p w:rsidR="00D00F6F" w:rsidRDefault="00D00F6F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1630AD" w:rsidP="001630AD">
    <w:pPr>
      <w:pStyle w:val="Zpat"/>
      <w:rPr>
        <w:rFonts w:ascii="Calibri" w:hAnsi="Calibri"/>
        <w:sz w:val="20"/>
      </w:rPr>
    </w:pPr>
  </w:p>
  <w:p w:rsidR="001630AD" w:rsidRPr="001630AD" w:rsidRDefault="001630AD" w:rsidP="001630AD">
    <w:pPr>
      <w:pStyle w:val="Zpa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6F" w:rsidRDefault="00D00F6F" w:rsidP="001630AD">
      <w:pPr>
        <w:spacing w:after="0" w:line="240" w:lineRule="auto"/>
      </w:pPr>
      <w:r>
        <w:separator/>
      </w:r>
    </w:p>
  </w:footnote>
  <w:footnote w:type="continuationSeparator" w:id="0">
    <w:p w:rsidR="00D00F6F" w:rsidRDefault="00D00F6F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1630AD">
    <w:pPr>
      <w:pStyle w:val="Zhlav"/>
    </w:pPr>
  </w:p>
  <w:p w:rsidR="004369AF" w:rsidRDefault="004369AF">
    <w:pPr>
      <w:pStyle w:val="Zhlav"/>
    </w:pPr>
  </w:p>
  <w:p w:rsidR="001630AD" w:rsidRDefault="001630AD" w:rsidP="0002047D">
    <w:pPr>
      <w:pStyle w:val="Zhlav"/>
      <w:ind w:left="-426"/>
    </w:pPr>
    <w:r>
      <w:rPr>
        <w:noProof/>
        <w:lang w:eastAsia="cs-CZ"/>
      </w:rPr>
      <w:drawing>
        <wp:inline distT="0" distB="0" distL="0" distR="0" wp14:anchorId="1C5429C8" wp14:editId="63D39E05">
          <wp:extent cx="1368000" cy="684000"/>
          <wp:effectExtent l="0" t="0" r="3810" b="1905"/>
          <wp:docPr id="2" name="Obrázek 2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0AD" w:rsidRDefault="0010287C">
    <w:pPr>
      <w:pStyle w:val="Zhlav"/>
    </w:pPr>
    <w:r w:rsidRPr="0010287C">
      <w:rPr>
        <w:rFonts w:ascii="Calibri" w:hAnsi="Calibri"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E15AF" wp14:editId="33A293BF">
              <wp:simplePos x="0" y="0"/>
              <wp:positionH relativeFrom="column">
                <wp:posOffset>-166634</wp:posOffset>
              </wp:positionH>
              <wp:positionV relativeFrom="paragraph">
                <wp:posOffset>593090</wp:posOffset>
              </wp:positionV>
              <wp:extent cx="8255" cy="6271260"/>
              <wp:effectExtent l="0" t="0" r="29845" b="152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627126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8F2770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46.7pt" to="-12.45pt,5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Yp7QEAABAEAAAOAAAAZHJzL2Uyb0RvYy54bWysU0uOEzEQ3SNxB8t70p9hMqGVziwmGjYI&#10;IgYO4LjLiZF/sk06OQpLDsApRtyLsrvTM2JGSCA27i676tV7z+Xl9VErcgAfpDUtrWYlJWC47aTZ&#10;tfTzp9tXC0pCZKZjyhpo6QkCvV69fLHsXQO13VvVgScIYkLTu5buY3RNUQS+B83CzDoweCis1yxi&#10;6HdF51mP6FoVdVnOi976znnLIQTcXQ+HdJXxhQAePwgRIBLVUuQW8+rzuk1rsVqyZueZ20s+0mD/&#10;wEIzabDpBLVmkZGvXj6B0pJ7G6yIM251YYWQHLIGVFOVv6m52zMHWQuaE9xkU/h/sPz9YeOJ7Fp6&#10;QYlhGq9o8/Pb/Q99/50EZ78Y5Ecukk29Cw1m35iNH6PgNj5pPgqv0xfVkGO29jRZC8dIOG4u6stL&#10;SjgezOurqp5n54uHWudDfAtWk/TTUiVNEs4adngXIvbD1HNK2laG9Dhu9VVZ5rRglexupVLpMPjd&#10;9kZ5cmB46a/rxfrNPAlAiEdpGCmDm0nWICT/xZOCocFHEOgLUq+GDmkiYYJlnIOJ1YirDGanMoEU&#10;psKR2p8Kx/xUCnla/6Z4qsidrYlTsZbG+udox+OZshjyzw4MupMFW9ud8hVna3DssnPjE0lz/TjO&#10;5Q8PefULAAD//wMAUEsDBBQABgAIAAAAIQA8Ccov3wAAAAsBAAAPAAAAZHJzL2Rvd25yZXYueG1s&#10;TI/BTsMwEETvSPyDtUhcUGrXrao2xKkQApErBcTViZckEK8j22kDX485leNqnmbeFvvZDuyIPvSO&#10;FCwXAhhS40xPrYLXl8dsCyxETUYPjlDBNwbYl5cXhc6NO9EzHg+xZamEQq4VdDGOOeeh6dDqsHAj&#10;Uso+nLc6ptO33Hh9SuV24FKIDbe6p7TQ6RHvO2y+DpNVIKub6qeupfn00+r9SVcPZN+EUtdX890t&#10;sIhzPMPwp5/UoUxOtZvIBDYoyORGJlTBbrUGloBMrnfA6kSK7VIALwv+/4fyFwAA//8DAFBLAQIt&#10;ABQABgAIAAAAIQC2gziS/gAAAOEBAAATAAAAAAAAAAAAAAAAAAAAAABbQ29udGVudF9UeXBlc10u&#10;eG1sUEsBAi0AFAAGAAgAAAAhADj9If/WAAAAlAEAAAsAAAAAAAAAAAAAAAAALwEAAF9yZWxzLy5y&#10;ZWxzUEsBAi0AFAAGAAgAAAAhAOPVtintAQAAEAQAAA4AAAAAAAAAAAAAAAAALgIAAGRycy9lMm9E&#10;b2MueG1sUEsBAi0AFAAGAAgAAAAhADwJyi/fAAAACwEAAA8AAAAAAAAAAAAAAAAARwQAAGRycy9k&#10;b3ducmV2LnhtbFBLBQYAAAAABAAEAPMAAABTBQAAAAA=&#10;" strokecolor="#428d9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A9"/>
    <w:multiLevelType w:val="hybridMultilevel"/>
    <w:tmpl w:val="FBF6A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4F8F"/>
    <w:multiLevelType w:val="hybridMultilevel"/>
    <w:tmpl w:val="C34E0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A492D"/>
    <w:multiLevelType w:val="hybridMultilevel"/>
    <w:tmpl w:val="826E4450"/>
    <w:lvl w:ilvl="0" w:tplc="10D6409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AD"/>
    <w:rsid w:val="0002047D"/>
    <w:rsid w:val="00020840"/>
    <w:rsid w:val="00070D4A"/>
    <w:rsid w:val="00083E23"/>
    <w:rsid w:val="0010287C"/>
    <w:rsid w:val="001630AD"/>
    <w:rsid w:val="00217619"/>
    <w:rsid w:val="002517E2"/>
    <w:rsid w:val="00261C07"/>
    <w:rsid w:val="002B396C"/>
    <w:rsid w:val="00421C34"/>
    <w:rsid w:val="004369AF"/>
    <w:rsid w:val="00482818"/>
    <w:rsid w:val="0049495A"/>
    <w:rsid w:val="005A7617"/>
    <w:rsid w:val="005C0859"/>
    <w:rsid w:val="00605D1D"/>
    <w:rsid w:val="00646F7F"/>
    <w:rsid w:val="00696399"/>
    <w:rsid w:val="0072560E"/>
    <w:rsid w:val="007803C6"/>
    <w:rsid w:val="007D6501"/>
    <w:rsid w:val="008C3DA5"/>
    <w:rsid w:val="00931B62"/>
    <w:rsid w:val="009E103E"/>
    <w:rsid w:val="00A56ACB"/>
    <w:rsid w:val="00A71B5B"/>
    <w:rsid w:val="00B84909"/>
    <w:rsid w:val="00BC48FE"/>
    <w:rsid w:val="00D00F6F"/>
    <w:rsid w:val="00D12EA0"/>
    <w:rsid w:val="00D62C18"/>
    <w:rsid w:val="00E072ED"/>
    <w:rsid w:val="00E54750"/>
    <w:rsid w:val="00F35C4C"/>
    <w:rsid w:val="00FC5158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72E39-9115-4CAB-9467-0969F44E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95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95A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495A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46F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6F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6F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C631-4186-4CEF-AD97-6D9004E9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Johánek</cp:lastModifiedBy>
  <cp:revision>15</cp:revision>
  <cp:lastPrinted>2013-09-11T12:03:00Z</cp:lastPrinted>
  <dcterms:created xsi:type="dcterms:W3CDTF">2018-08-24T14:48:00Z</dcterms:created>
  <dcterms:modified xsi:type="dcterms:W3CDTF">2018-09-18T13:04:00Z</dcterms:modified>
</cp:coreProperties>
</file>