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w:t>
      </w:r>
      <w:r w:rsidR="00D50B8B">
        <w:rPr>
          <w:rFonts w:asciiTheme="minorHAnsi" w:hAnsiTheme="minorHAnsi" w:cstheme="minorHAnsi"/>
          <w:b/>
          <w:bCs/>
          <w:kern w:val="1"/>
          <w:sz w:val="22"/>
          <w:szCs w:val="22"/>
        </w:rPr>
        <w:fldChar w:fldCharType="begin"/>
      </w:r>
      <w:r w:rsidR="00D50B8B">
        <w:rPr>
          <w:rFonts w:asciiTheme="minorHAnsi" w:hAnsiTheme="minorHAnsi" w:cstheme="minorHAnsi"/>
          <w:b/>
          <w:bCs/>
          <w:kern w:val="1"/>
          <w:sz w:val="22"/>
          <w:szCs w:val="22"/>
        </w:rPr>
        <w:instrText xml:space="preserve"> MERGEFIELD číslo_jednací </w:instrText>
      </w:r>
      <w:r w:rsidR="00D50B8B">
        <w:rPr>
          <w:rFonts w:asciiTheme="minorHAnsi" w:hAnsiTheme="minorHAnsi" w:cstheme="minorHAnsi"/>
          <w:b/>
          <w:bCs/>
          <w:kern w:val="1"/>
          <w:sz w:val="22"/>
          <w:szCs w:val="22"/>
        </w:rPr>
        <w:fldChar w:fldCharType="separate"/>
      </w:r>
      <w:r w:rsidR="0047549E">
        <w:rPr>
          <w:rFonts w:asciiTheme="minorHAnsi" w:hAnsiTheme="minorHAnsi" w:cstheme="minorHAnsi"/>
          <w:b/>
          <w:bCs/>
          <w:noProof/>
          <w:kern w:val="1"/>
          <w:sz w:val="22"/>
          <w:szCs w:val="22"/>
        </w:rPr>
        <w:t>«číslo_jednací»</w:t>
      </w:r>
      <w:r w:rsidR="00D50B8B">
        <w:rPr>
          <w:rFonts w:asciiTheme="minorHAnsi" w:hAnsiTheme="minorHAnsi" w:cstheme="minorHAnsi"/>
          <w:b/>
          <w:bCs/>
          <w:kern w:val="1"/>
          <w:sz w:val="22"/>
          <w:szCs w:val="22"/>
        </w:rPr>
        <w:fldChar w:fldCharType="end"/>
      </w:r>
      <w:r w:rsidRPr="00656426">
        <w:rPr>
          <w:rFonts w:asciiTheme="minorHAnsi" w:hAnsiTheme="minorHAnsi" w:cstheme="minorHAnsi"/>
          <w:b/>
          <w:bCs/>
          <w:kern w:val="1"/>
          <w:sz w:val="22"/>
          <w:szCs w:val="22"/>
        </w:rPr>
        <w:t xml:space="preserve">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83012D">
        <w:rPr>
          <w:rFonts w:asciiTheme="minorHAnsi" w:hAnsiTheme="minorHAnsi" w:cstheme="minorHAnsi"/>
          <w:b/>
          <w:bCs/>
          <w:kern w:val="1"/>
          <w:sz w:val="22"/>
          <w:szCs w:val="22"/>
        </w:rPr>
        <w:t>COST</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9F727B">
        <w:rPr>
          <w:rFonts w:asciiTheme="minorHAnsi" w:hAnsiTheme="minorHAnsi" w:cstheme="minorHAnsi"/>
          <w:sz w:val="22"/>
          <w:szCs w:val="22"/>
        </w:rPr>
        <w:t xml:space="preserve"> </w:t>
      </w:r>
      <w:r w:rsidR="0013711E">
        <w:rPr>
          <w:rFonts w:asciiTheme="minorHAnsi" w:hAnsiTheme="minorHAnsi" w:cstheme="minorHAnsi"/>
          <w:sz w:val="22"/>
          <w:szCs w:val="22"/>
        </w:rPr>
        <w:t>PhDr. Pavlem Dolečkem, pověřeným zastupováním náměstka pro řízení sekce vysokého školství, vědy a výzkumu</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D50B8B" w:rsidRDefault="00D50B8B" w:rsidP="00FE40B2">
      <w:pPr>
        <w:rPr>
          <w:rFonts w:asciiTheme="minorHAnsi" w:hAnsiTheme="minorHAnsi" w:cs="Arial"/>
          <w:b/>
          <w:bCs/>
          <w:sz w:val="22"/>
          <w:szCs w:val="22"/>
        </w:rPr>
      </w:pPr>
      <w:r w:rsidRPr="00D50B8B">
        <w:rPr>
          <w:rFonts w:asciiTheme="minorHAnsi" w:hAnsiTheme="minorHAnsi" w:cs="Arial"/>
          <w:b/>
          <w:bCs/>
          <w:sz w:val="22"/>
          <w:szCs w:val="22"/>
        </w:rPr>
        <w:fldChar w:fldCharType="begin"/>
      </w:r>
      <w:r w:rsidRPr="00D50B8B">
        <w:rPr>
          <w:rFonts w:asciiTheme="minorHAnsi" w:hAnsiTheme="minorHAnsi" w:cs="Arial"/>
          <w:b/>
          <w:bCs/>
          <w:sz w:val="22"/>
          <w:szCs w:val="22"/>
        </w:rPr>
        <w:instrText xml:space="preserve"> MERGEFIELD Příjemce </w:instrText>
      </w:r>
      <w:r w:rsidRPr="00D50B8B">
        <w:rPr>
          <w:rFonts w:asciiTheme="minorHAnsi" w:hAnsiTheme="minorHAnsi" w:cs="Arial"/>
          <w:b/>
          <w:bCs/>
          <w:sz w:val="22"/>
          <w:szCs w:val="22"/>
        </w:rPr>
        <w:fldChar w:fldCharType="separate"/>
      </w:r>
      <w:r w:rsidR="0047549E">
        <w:rPr>
          <w:rFonts w:asciiTheme="minorHAnsi" w:hAnsiTheme="minorHAnsi" w:cs="Arial"/>
          <w:b/>
          <w:bCs/>
          <w:noProof/>
          <w:sz w:val="22"/>
          <w:szCs w:val="22"/>
        </w:rPr>
        <w:t>«Příjemce»</w:t>
      </w:r>
      <w:r w:rsidRPr="00D50B8B">
        <w:rPr>
          <w:rFonts w:asciiTheme="minorHAnsi" w:hAnsiTheme="minorHAnsi" w:cs="Arial"/>
          <w:b/>
          <w:bCs/>
          <w:sz w:val="22"/>
          <w:szCs w:val="22"/>
        </w:rPr>
        <w:fldChar w:fldCharType="end"/>
      </w: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r w:rsidR="00D50B8B">
        <w:rPr>
          <w:rFonts w:asciiTheme="minorHAnsi" w:hAnsiTheme="minorHAnsi" w:cstheme="minorHAnsi"/>
          <w:sz w:val="22"/>
          <w:szCs w:val="22"/>
        </w:rPr>
        <w:fldChar w:fldCharType="begin"/>
      </w:r>
      <w:r w:rsidR="00D50B8B">
        <w:rPr>
          <w:rFonts w:asciiTheme="minorHAnsi" w:hAnsiTheme="minorHAnsi" w:cstheme="minorHAnsi"/>
          <w:sz w:val="22"/>
          <w:szCs w:val="22"/>
        </w:rPr>
        <w:instrText xml:space="preserve"> MERGEFIELD IČO </w:instrText>
      </w:r>
      <w:r w:rsidR="00D50B8B">
        <w:rPr>
          <w:rFonts w:asciiTheme="minorHAnsi" w:hAnsiTheme="minorHAnsi" w:cstheme="minorHAnsi"/>
          <w:sz w:val="22"/>
          <w:szCs w:val="22"/>
        </w:rPr>
        <w:fldChar w:fldCharType="separate"/>
      </w:r>
      <w:r w:rsidR="0047549E">
        <w:rPr>
          <w:rFonts w:asciiTheme="minorHAnsi" w:hAnsiTheme="minorHAnsi" w:cstheme="minorHAnsi"/>
          <w:noProof/>
          <w:sz w:val="22"/>
          <w:szCs w:val="22"/>
        </w:rPr>
        <w:t>«IČO»</w:t>
      </w:r>
      <w:r w:rsidR="00D50B8B">
        <w:rPr>
          <w:rFonts w:asciiTheme="minorHAnsi" w:hAnsiTheme="minorHAnsi" w:cstheme="minorHAnsi"/>
          <w:sz w:val="22"/>
          <w:szCs w:val="22"/>
        </w:rPr>
        <w:fldChar w:fldCharType="end"/>
      </w:r>
    </w:p>
    <w:p w:rsidR="00A01747" w:rsidRPr="002F22EA" w:rsidRDefault="00A01747" w:rsidP="006D6EDC">
      <w:r w:rsidRPr="002F22EA">
        <w:rPr>
          <w:rFonts w:asciiTheme="minorHAnsi" w:hAnsiTheme="minorHAnsi" w:cstheme="minorHAnsi"/>
          <w:sz w:val="22"/>
          <w:szCs w:val="22"/>
        </w:rPr>
        <w:t xml:space="preserve">právní forma: </w:t>
      </w:r>
      <w:r w:rsidR="00D50B8B">
        <w:rPr>
          <w:rFonts w:asciiTheme="minorHAnsi" w:hAnsiTheme="minorHAnsi" w:cstheme="minorHAnsi"/>
          <w:sz w:val="22"/>
          <w:szCs w:val="22"/>
        </w:rPr>
        <w:fldChar w:fldCharType="begin"/>
      </w:r>
      <w:r w:rsidR="00D50B8B">
        <w:rPr>
          <w:rFonts w:asciiTheme="minorHAnsi" w:hAnsiTheme="minorHAnsi" w:cstheme="minorHAnsi"/>
          <w:sz w:val="22"/>
          <w:szCs w:val="22"/>
        </w:rPr>
        <w:instrText xml:space="preserve"> MERGEFIELD právní_forma </w:instrText>
      </w:r>
      <w:r w:rsidR="00D50B8B">
        <w:rPr>
          <w:rFonts w:asciiTheme="minorHAnsi" w:hAnsiTheme="minorHAnsi" w:cstheme="minorHAnsi"/>
          <w:sz w:val="22"/>
          <w:szCs w:val="22"/>
        </w:rPr>
        <w:fldChar w:fldCharType="separate"/>
      </w:r>
      <w:r w:rsidR="0047549E">
        <w:rPr>
          <w:rFonts w:asciiTheme="minorHAnsi" w:hAnsiTheme="minorHAnsi" w:cstheme="minorHAnsi"/>
          <w:noProof/>
          <w:sz w:val="22"/>
          <w:szCs w:val="22"/>
        </w:rPr>
        <w:t>«právní_forma»</w:t>
      </w:r>
      <w:r w:rsidR="00D50B8B">
        <w:rPr>
          <w:rFonts w:asciiTheme="minorHAnsi" w:hAnsiTheme="minorHAnsi" w:cstheme="minorHAnsi"/>
          <w:sz w:val="22"/>
          <w:szCs w:val="22"/>
        </w:rPr>
        <w:fldChar w:fldCharType="end"/>
      </w:r>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r w:rsidR="00D50B8B">
        <w:rPr>
          <w:rFonts w:asciiTheme="minorHAnsi" w:hAnsiTheme="minorHAnsi" w:cstheme="minorHAnsi"/>
          <w:sz w:val="22"/>
          <w:szCs w:val="22"/>
        </w:rPr>
        <w:fldChar w:fldCharType="begin"/>
      </w:r>
      <w:r w:rsidR="00D50B8B">
        <w:rPr>
          <w:rFonts w:asciiTheme="minorHAnsi" w:hAnsiTheme="minorHAnsi" w:cstheme="minorHAnsi"/>
          <w:sz w:val="22"/>
          <w:szCs w:val="22"/>
        </w:rPr>
        <w:instrText xml:space="preserve"> MERGEFIELD se_sídlem </w:instrText>
      </w:r>
      <w:r w:rsidR="00D50B8B">
        <w:rPr>
          <w:rFonts w:asciiTheme="minorHAnsi" w:hAnsiTheme="minorHAnsi" w:cstheme="minorHAnsi"/>
          <w:sz w:val="22"/>
          <w:szCs w:val="22"/>
        </w:rPr>
        <w:fldChar w:fldCharType="separate"/>
      </w:r>
      <w:r w:rsidR="0047549E">
        <w:rPr>
          <w:rFonts w:asciiTheme="minorHAnsi" w:hAnsiTheme="minorHAnsi" w:cstheme="minorHAnsi"/>
          <w:noProof/>
          <w:sz w:val="22"/>
          <w:szCs w:val="22"/>
        </w:rPr>
        <w:t>«se_sídlem»</w:t>
      </w:r>
      <w:r w:rsidR="00D50B8B">
        <w:rPr>
          <w:rFonts w:asciiTheme="minorHAnsi" w:hAnsiTheme="minorHAnsi" w:cstheme="minorHAnsi"/>
          <w:sz w:val="22"/>
          <w:szCs w:val="22"/>
        </w:rPr>
        <w:fldChar w:fldCharType="end"/>
      </w:r>
    </w:p>
    <w:p w:rsidR="006D6EDC" w:rsidRPr="002F22EA" w:rsidRDefault="006D6EDC" w:rsidP="006D6EDC">
      <w:r w:rsidRPr="002F22EA">
        <w:rPr>
          <w:rFonts w:asciiTheme="minorHAnsi" w:hAnsiTheme="minorHAnsi" w:cstheme="minorHAnsi"/>
          <w:sz w:val="22"/>
          <w:szCs w:val="22"/>
        </w:rPr>
        <w:t xml:space="preserve">číslo účtu: </w:t>
      </w:r>
      <w:r w:rsidR="00D50B8B">
        <w:rPr>
          <w:rFonts w:asciiTheme="minorHAnsi" w:hAnsiTheme="minorHAnsi" w:cstheme="minorHAnsi"/>
          <w:sz w:val="22"/>
          <w:szCs w:val="22"/>
        </w:rPr>
        <w:fldChar w:fldCharType="begin"/>
      </w:r>
      <w:r w:rsidR="00D50B8B">
        <w:rPr>
          <w:rFonts w:asciiTheme="minorHAnsi" w:hAnsiTheme="minorHAnsi" w:cstheme="minorHAnsi"/>
          <w:sz w:val="22"/>
          <w:szCs w:val="22"/>
        </w:rPr>
        <w:instrText xml:space="preserve"> MERGEFIELD číslo_účtu </w:instrText>
      </w:r>
      <w:r w:rsidR="00D50B8B">
        <w:rPr>
          <w:rFonts w:asciiTheme="minorHAnsi" w:hAnsiTheme="minorHAnsi" w:cstheme="minorHAnsi"/>
          <w:sz w:val="22"/>
          <w:szCs w:val="22"/>
        </w:rPr>
        <w:fldChar w:fldCharType="separate"/>
      </w:r>
      <w:r w:rsidR="0047549E">
        <w:rPr>
          <w:rFonts w:asciiTheme="minorHAnsi" w:hAnsiTheme="minorHAnsi" w:cstheme="minorHAnsi"/>
          <w:noProof/>
          <w:sz w:val="22"/>
          <w:szCs w:val="22"/>
        </w:rPr>
        <w:t>«číslo_účtu»</w:t>
      </w:r>
      <w:r w:rsidR="00D50B8B">
        <w:rPr>
          <w:rFonts w:asciiTheme="minorHAnsi" w:hAnsiTheme="minorHAnsi" w:cstheme="minorHAnsi"/>
          <w:sz w:val="22"/>
          <w:szCs w:val="22"/>
        </w:rPr>
        <w:fldChar w:fldCharType="end"/>
      </w:r>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r w:rsidR="00D50B8B">
        <w:rPr>
          <w:rFonts w:asciiTheme="minorHAnsi" w:hAnsiTheme="minorHAnsi" w:cstheme="minorHAnsi"/>
          <w:bCs/>
          <w:sz w:val="22"/>
          <w:szCs w:val="22"/>
        </w:rPr>
        <w:fldChar w:fldCharType="begin"/>
      </w:r>
      <w:r w:rsidR="00D50B8B">
        <w:rPr>
          <w:rFonts w:asciiTheme="minorHAnsi" w:hAnsiTheme="minorHAnsi" w:cstheme="minorHAnsi"/>
          <w:bCs/>
          <w:sz w:val="22"/>
          <w:szCs w:val="22"/>
        </w:rPr>
        <w:instrText xml:space="preserve"> MERGEFIELD zastoupená </w:instrText>
      </w:r>
      <w:r w:rsidR="00D50B8B">
        <w:rPr>
          <w:rFonts w:asciiTheme="minorHAnsi" w:hAnsiTheme="minorHAnsi" w:cstheme="minorHAnsi"/>
          <w:bCs/>
          <w:sz w:val="22"/>
          <w:szCs w:val="22"/>
        </w:rPr>
        <w:fldChar w:fldCharType="separate"/>
      </w:r>
      <w:r w:rsidR="0047549E">
        <w:rPr>
          <w:rFonts w:asciiTheme="minorHAnsi" w:hAnsiTheme="minorHAnsi" w:cstheme="minorHAnsi"/>
          <w:bCs/>
          <w:noProof/>
          <w:sz w:val="22"/>
          <w:szCs w:val="22"/>
        </w:rPr>
        <w:t>«zastoupená»</w:t>
      </w:r>
      <w:r w:rsidR="00D50B8B">
        <w:rPr>
          <w:rFonts w:asciiTheme="minorHAnsi" w:hAnsiTheme="minorHAnsi" w:cstheme="minorHAnsi"/>
          <w:bCs/>
          <w:sz w:val="22"/>
          <w:szCs w:val="22"/>
        </w:rPr>
        <w:fldChar w:fldCharType="end"/>
      </w:r>
    </w:p>
    <w:p w:rsidR="00915076" w:rsidRDefault="006D6EDC" w:rsidP="00915076">
      <w:pPr>
        <w:rPr>
          <w:rFonts w:asciiTheme="minorHAnsi" w:hAnsiTheme="minorHAnsi" w:cstheme="minorHAnsi"/>
          <w:sz w:val="22"/>
          <w:szCs w:val="22"/>
        </w:rPr>
      </w:pPr>
      <w:r w:rsidRPr="00656426" w:rsidDel="006D6EDC">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D50B8B" w:rsidRPr="00D50B8B">
        <w:rPr>
          <w:rFonts w:asciiTheme="minorHAnsi" w:hAnsiTheme="minorHAnsi" w:cstheme="minorHAnsi"/>
          <w:b/>
          <w:sz w:val="22"/>
          <w:szCs w:val="22"/>
        </w:rPr>
        <w:fldChar w:fldCharType="begin"/>
      </w:r>
      <w:r w:rsidR="00D50B8B" w:rsidRPr="00D50B8B">
        <w:rPr>
          <w:rFonts w:asciiTheme="minorHAnsi" w:hAnsiTheme="minorHAnsi" w:cstheme="minorHAnsi"/>
          <w:b/>
          <w:sz w:val="22"/>
          <w:szCs w:val="22"/>
        </w:rPr>
        <w:instrText xml:space="preserve"> MERGEFIELD kód_projektu </w:instrText>
      </w:r>
      <w:r w:rsidR="00D50B8B" w:rsidRPr="00D50B8B">
        <w:rPr>
          <w:rFonts w:asciiTheme="minorHAnsi" w:hAnsiTheme="minorHAnsi" w:cstheme="minorHAnsi"/>
          <w:b/>
          <w:sz w:val="22"/>
          <w:szCs w:val="22"/>
        </w:rPr>
        <w:fldChar w:fldCharType="separate"/>
      </w:r>
      <w:r w:rsidR="0047549E">
        <w:rPr>
          <w:rFonts w:asciiTheme="minorHAnsi" w:hAnsiTheme="minorHAnsi" w:cstheme="minorHAnsi"/>
          <w:b/>
          <w:noProof/>
          <w:sz w:val="22"/>
          <w:szCs w:val="22"/>
        </w:rPr>
        <w:t>«kód_projektu»</w:t>
      </w:r>
      <w:r w:rsidR="00D50B8B" w:rsidRPr="00D50B8B">
        <w:rPr>
          <w:rFonts w:asciiTheme="minorHAnsi" w:hAnsiTheme="minorHAnsi" w:cstheme="minorHAnsi"/>
          <w:b/>
          <w:sz w:val="22"/>
          <w:szCs w:val="22"/>
        </w:rPr>
        <w:fldChar w:fldCharType="end"/>
      </w:r>
      <w:r w:rsidR="00622119" w:rsidRPr="00656426">
        <w:rPr>
          <w:rFonts w:asciiTheme="minorHAnsi" w:hAnsiTheme="minorHAnsi" w:cstheme="minorHAnsi"/>
          <w:sz w:val="22"/>
          <w:szCs w:val="22"/>
        </w:rPr>
        <w:t xml:space="preserve"> a s</w:t>
      </w:r>
      <w:r w:rsidR="00D50B8B">
        <w:rPr>
          <w:rFonts w:asciiTheme="minorHAnsi" w:hAnsiTheme="minorHAnsi" w:cstheme="minorHAnsi"/>
          <w:sz w:val="22"/>
          <w:szCs w:val="22"/>
        </w:rPr>
        <w:t> </w:t>
      </w:r>
      <w:r w:rsidR="00622119" w:rsidRPr="00656426">
        <w:rPr>
          <w:rFonts w:asciiTheme="minorHAnsi" w:hAnsiTheme="minorHAnsi" w:cstheme="minorHAnsi"/>
          <w:sz w:val="22"/>
          <w:szCs w:val="22"/>
        </w:rPr>
        <w:t>názvem</w:t>
      </w:r>
      <w:r w:rsidR="00D50B8B">
        <w:rPr>
          <w:rFonts w:asciiTheme="minorHAnsi" w:hAnsiTheme="minorHAnsi" w:cstheme="minorHAnsi"/>
          <w:sz w:val="22"/>
          <w:szCs w:val="22"/>
        </w:rPr>
        <w:t xml:space="preserve"> </w:t>
      </w:r>
      <w:r w:rsidR="00D50B8B" w:rsidRPr="00D50B8B">
        <w:rPr>
          <w:rFonts w:asciiTheme="minorHAnsi" w:hAnsiTheme="minorHAnsi" w:cstheme="minorHAnsi"/>
          <w:b/>
          <w:sz w:val="22"/>
          <w:szCs w:val="22"/>
        </w:rPr>
        <w:fldChar w:fldCharType="begin"/>
      </w:r>
      <w:r w:rsidR="00D50B8B" w:rsidRPr="00D50B8B">
        <w:rPr>
          <w:rFonts w:asciiTheme="minorHAnsi" w:hAnsiTheme="minorHAnsi" w:cstheme="minorHAnsi"/>
          <w:b/>
          <w:sz w:val="22"/>
          <w:szCs w:val="22"/>
        </w:rPr>
        <w:instrText xml:space="preserve"> MERGEFIELD NÁZEV_PROJEKTU </w:instrText>
      </w:r>
      <w:r w:rsidR="00D50B8B" w:rsidRPr="00D50B8B">
        <w:rPr>
          <w:rFonts w:asciiTheme="minorHAnsi" w:hAnsiTheme="minorHAnsi" w:cstheme="minorHAnsi"/>
          <w:b/>
          <w:sz w:val="22"/>
          <w:szCs w:val="22"/>
        </w:rPr>
        <w:fldChar w:fldCharType="separate"/>
      </w:r>
      <w:r w:rsidR="0047549E">
        <w:rPr>
          <w:rFonts w:asciiTheme="minorHAnsi" w:hAnsiTheme="minorHAnsi" w:cstheme="minorHAnsi"/>
          <w:b/>
          <w:noProof/>
          <w:sz w:val="22"/>
          <w:szCs w:val="22"/>
        </w:rPr>
        <w:t>«NÁZEV_PROJEKTU»</w:t>
      </w:r>
      <w:r w:rsidR="00D50B8B" w:rsidRPr="00D50B8B">
        <w:rPr>
          <w:rFonts w:asciiTheme="minorHAnsi" w:hAnsiTheme="minorHAnsi" w:cstheme="minorHAnsi"/>
          <w:b/>
          <w:sz w:val="22"/>
          <w:szCs w:val="22"/>
        </w:rPr>
        <w:fldChar w:fldCharType="end"/>
      </w:r>
      <w:r w:rsidR="006D6EDC" w:rsidRPr="00DA3BA0"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CF08F3">
        <w:rPr>
          <w:rFonts w:asciiTheme="minorHAnsi" w:hAnsiTheme="minorHAnsi" w:cstheme="minorHAnsi"/>
          <w:sz w:val="22"/>
          <w:szCs w:val="22"/>
        </w:rPr>
        <w:t>COST</w:t>
      </w:r>
      <w:r w:rsidR="00A937B1">
        <w:rPr>
          <w:rFonts w:asciiTheme="minorHAnsi" w:hAnsiTheme="minorHAnsi" w:cstheme="minorHAnsi"/>
          <w:sz w:val="22"/>
          <w:szCs w:val="22"/>
        </w:rPr>
        <w:t xml:space="preserve"> (LT</w:t>
      </w:r>
      <w:r w:rsidR="00CF08F3">
        <w:rPr>
          <w:rFonts w:asciiTheme="minorHAnsi" w:hAnsiTheme="minorHAnsi" w:cstheme="minorHAnsi"/>
          <w:sz w:val="22"/>
          <w:szCs w:val="22"/>
        </w:rPr>
        <w:t>C</w:t>
      </w:r>
      <w:r w:rsidR="004F5E47">
        <w:rPr>
          <w:rFonts w:asciiTheme="minorHAnsi" w:hAnsiTheme="minorHAnsi" w:cstheme="minorHAnsi"/>
          <w:sz w:val="22"/>
          <w:szCs w:val="22"/>
        </w:rPr>
        <w:t>1</w:t>
      </w:r>
      <w:r w:rsidR="0047549E">
        <w:rPr>
          <w:rFonts w:asciiTheme="minorHAnsi" w:hAnsiTheme="minorHAnsi" w:cstheme="minorHAnsi"/>
          <w:sz w:val="22"/>
          <w:szCs w:val="22"/>
        </w:rPr>
        <w:t>9</w:t>
      </w:r>
      <w:bookmarkStart w:id="0" w:name="_GoBack"/>
      <w:bookmarkEnd w:id="0"/>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F9509E" w:rsidRPr="008B29CF">
        <w:rPr>
          <w:rFonts w:asciiTheme="minorHAnsi" w:hAnsiTheme="minorHAnsi" w:cstheme="minorHAnsi"/>
          <w:sz w:val="22"/>
          <w:szCs w:val="22"/>
          <w:shd w:val="clear" w:color="auto" w:fill="FFFFFF" w:themeFill="background1"/>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A22946">
        <w:rPr>
          <w:rFonts w:asciiTheme="minorHAnsi" w:hAnsiTheme="minorHAnsi" w:cstheme="minorHAnsi"/>
          <w:b/>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w:t>
      </w:r>
      <w:r w:rsidR="00961314" w:rsidRPr="007A265D">
        <w:rPr>
          <w:rFonts w:asciiTheme="minorHAnsi" w:hAnsiTheme="minorHAnsi" w:cstheme="minorHAnsi"/>
          <w:sz w:val="22"/>
          <w:szCs w:val="22"/>
        </w:rPr>
        <w:lastRenderedPageBreak/>
        <w:t>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A265D">
        <w:rPr>
          <w:rFonts w:asciiTheme="minorHAnsi" w:hAnsiTheme="minorHAnsi" w:cstheme="minorHAnsi"/>
          <w:sz w:val="22"/>
          <w:szCs w:val="22"/>
          <w:u w:val="single"/>
        </w:rPr>
        <w:t>Příloh</w:t>
      </w:r>
      <w:r w:rsidR="00476A67">
        <w:rPr>
          <w:rFonts w:asciiTheme="minorHAnsi" w:hAnsiTheme="minorHAnsi" w:cstheme="minorHAnsi"/>
          <w:sz w:val="22"/>
          <w:szCs w:val="22"/>
          <w:u w:val="single"/>
        </w:rPr>
        <w:t>a</w:t>
      </w:r>
      <w:r w:rsidR="00961314" w:rsidRPr="007A265D">
        <w:rPr>
          <w:rFonts w:asciiTheme="minorHAnsi" w:hAnsiTheme="minorHAnsi" w:cstheme="minorHAnsi"/>
          <w:sz w:val="22"/>
          <w:szCs w:val="22"/>
          <w:u w:val="single"/>
        </w:rPr>
        <w:t xml:space="preserve"> </w:t>
      </w:r>
      <w:r w:rsidR="00C0575D">
        <w:rPr>
          <w:rFonts w:asciiTheme="minorHAnsi" w:hAnsiTheme="minorHAnsi" w:cstheme="minorHAnsi"/>
          <w:sz w:val="22"/>
          <w:szCs w:val="22"/>
          <w:u w:val="single"/>
        </w:rPr>
        <w:t>I</w:t>
      </w:r>
      <w:r w:rsidR="00961314" w:rsidRPr="007A265D">
        <w:rPr>
          <w:rFonts w:asciiTheme="minorHAnsi" w:hAnsiTheme="minorHAnsi" w:cstheme="minorHAnsi"/>
          <w:sz w:val="22"/>
          <w:szCs w:val="22"/>
          <w:u w:val="single"/>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sidR="00993904">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sidR="00A51C6C">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6D6EDC" w:rsidRDefault="00915076" w:rsidP="00826AD5">
      <w:pPr>
        <w:numPr>
          <w:ilvl w:val="0"/>
          <w:numId w:val="2"/>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Pr="001F0228">
        <w:rPr>
          <w:rFonts w:asciiTheme="minorHAnsi" w:hAnsiTheme="minorHAnsi" w:cstheme="minorHAnsi"/>
          <w:noProof/>
          <w:sz w:val="22"/>
          <w:szCs w:val="22"/>
        </w:rPr>
        <w:t xml:space="preserve"> </w:t>
      </w:r>
      <w:r w:rsidR="00D50B8B" w:rsidRPr="00D50B8B">
        <w:rPr>
          <w:rFonts w:asciiTheme="minorHAnsi" w:hAnsiTheme="minorHAnsi" w:cstheme="minorHAnsi"/>
          <w:b/>
          <w:noProof/>
          <w:sz w:val="22"/>
          <w:szCs w:val="22"/>
        </w:rPr>
        <w:fldChar w:fldCharType="begin"/>
      </w:r>
      <w:r w:rsidR="00D50B8B" w:rsidRPr="00D50B8B">
        <w:rPr>
          <w:rFonts w:asciiTheme="minorHAnsi" w:hAnsiTheme="minorHAnsi" w:cstheme="minorHAnsi"/>
          <w:b/>
          <w:noProof/>
          <w:sz w:val="22"/>
          <w:szCs w:val="22"/>
        </w:rPr>
        <w:instrText xml:space="preserve"> MERGEFIELD řešitel </w:instrText>
      </w:r>
      <w:r w:rsidR="00D50B8B" w:rsidRPr="00D50B8B">
        <w:rPr>
          <w:rFonts w:asciiTheme="minorHAnsi" w:hAnsiTheme="minorHAnsi" w:cstheme="minorHAnsi"/>
          <w:b/>
          <w:noProof/>
          <w:sz w:val="22"/>
          <w:szCs w:val="22"/>
        </w:rPr>
        <w:fldChar w:fldCharType="separate"/>
      </w:r>
      <w:r w:rsidR="0047549E">
        <w:rPr>
          <w:rFonts w:asciiTheme="minorHAnsi" w:hAnsiTheme="minorHAnsi" w:cstheme="minorHAnsi"/>
          <w:b/>
          <w:noProof/>
          <w:sz w:val="22"/>
          <w:szCs w:val="22"/>
        </w:rPr>
        <w:t>«řešitel»</w:t>
      </w:r>
      <w:r w:rsidR="00D50B8B" w:rsidRPr="00D50B8B">
        <w:rPr>
          <w:rFonts w:asciiTheme="minorHAnsi" w:hAnsiTheme="minorHAnsi" w:cstheme="minorHAnsi"/>
          <w:b/>
          <w:noProof/>
          <w:sz w:val="22"/>
          <w:szCs w:val="22"/>
        </w:rPr>
        <w:fldChar w:fldCharType="end"/>
      </w:r>
      <w:r w:rsidR="006D6EDC" w:rsidRPr="006D6EDC">
        <w:rPr>
          <w:rFonts w:asciiTheme="minorHAnsi" w:hAnsiTheme="minorHAnsi" w:cstheme="minorHAnsi"/>
          <w:color w:val="FF0000"/>
          <w:sz w:val="22"/>
          <w:szCs w:val="22"/>
        </w:rPr>
        <w:t>.</w:t>
      </w:r>
      <w:r w:rsidR="006D6EDC" w:rsidRPr="006D6EDC">
        <w:rPr>
          <w:rFonts w:asciiTheme="minorHAnsi" w:hAnsiTheme="minorHAnsi" w:cstheme="minorHAnsi"/>
          <w:noProof/>
          <w:color w:val="FF0000"/>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B9486C" w:rsidP="00B9486C">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005F1683"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A937B1" w:rsidRPr="00E25F72" w:rsidRDefault="00A937B1" w:rsidP="00826AD5">
      <w:pPr>
        <w:pStyle w:val="Standard"/>
        <w:numPr>
          <w:ilvl w:val="1"/>
          <w:numId w:val="16"/>
        </w:numPr>
        <w:autoSpaceDE w:val="0"/>
        <w:ind w:left="1434" w:hanging="357"/>
        <w:jc w:val="both"/>
        <w:rPr>
          <w:rFonts w:ascii="Calibri" w:hAnsi="Calibri" w:cstheme="minorHAnsi"/>
          <w:color w:val="000000"/>
          <w:sz w:val="22"/>
          <w:szCs w:val="22"/>
        </w:rPr>
      </w:pPr>
      <w:r>
        <w:rPr>
          <w:rFonts w:ascii="Calibri" w:hAnsi="Calibri"/>
          <w:sz w:val="22"/>
          <w:szCs w:val="22"/>
        </w:rPr>
        <w:t>členský poplatek</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Pr="00D50B8B" w:rsidRDefault="00AC198F" w:rsidP="000906CB">
      <w:pPr>
        <w:numPr>
          <w:ilvl w:val="0"/>
          <w:numId w:val="16"/>
        </w:numPr>
        <w:tabs>
          <w:tab w:val="left" w:pos="567"/>
        </w:tabs>
        <w:spacing w:before="240" w:after="120"/>
        <w:ind w:left="567" w:hanging="567"/>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smlouvy na</w:t>
      </w:r>
      <w:r w:rsidR="00D50B8B">
        <w:rPr>
          <w:rFonts w:asciiTheme="minorHAnsi" w:hAnsiTheme="minorHAnsi" w:cstheme="minorHAnsi"/>
          <w:color w:val="000000"/>
          <w:sz w:val="22"/>
          <w:szCs w:val="22"/>
        </w:rPr>
        <w:t xml:space="preserve"> </w:t>
      </w:r>
      <w:r w:rsidR="00D50B8B" w:rsidRPr="00D50B8B">
        <w:rPr>
          <w:rFonts w:asciiTheme="minorHAnsi" w:hAnsiTheme="minorHAnsi" w:cstheme="minorHAnsi"/>
          <w:b/>
          <w:color w:val="000000" w:themeColor="text1"/>
          <w:sz w:val="22"/>
          <w:szCs w:val="22"/>
        </w:rPr>
        <w:fldChar w:fldCharType="begin"/>
      </w:r>
      <w:r w:rsidR="00D50B8B" w:rsidRPr="00D50B8B">
        <w:rPr>
          <w:rFonts w:asciiTheme="minorHAnsi" w:hAnsiTheme="minorHAnsi" w:cstheme="minorHAnsi"/>
          <w:b/>
          <w:color w:val="000000" w:themeColor="text1"/>
          <w:sz w:val="22"/>
          <w:szCs w:val="22"/>
        </w:rPr>
        <w:instrText xml:space="preserve"> MERGEFIELD Celkové_uznané_náklady_projektu_Kč </w:instrText>
      </w:r>
      <w:r w:rsidR="00D50B8B" w:rsidRPr="00D50B8B">
        <w:rPr>
          <w:rFonts w:asciiTheme="minorHAnsi" w:hAnsiTheme="minorHAnsi" w:cstheme="minorHAnsi"/>
          <w:b/>
          <w:color w:val="000000" w:themeColor="text1"/>
          <w:sz w:val="22"/>
          <w:szCs w:val="22"/>
        </w:rPr>
        <w:fldChar w:fldCharType="separate"/>
      </w:r>
      <w:r w:rsidR="0047549E">
        <w:rPr>
          <w:rFonts w:asciiTheme="minorHAnsi" w:hAnsiTheme="minorHAnsi" w:cstheme="minorHAnsi"/>
          <w:b/>
          <w:noProof/>
          <w:color w:val="000000" w:themeColor="text1"/>
          <w:sz w:val="22"/>
          <w:szCs w:val="22"/>
        </w:rPr>
        <w:t>«Celkové_uznané_náklady_projektu_Kč»</w:t>
      </w:r>
      <w:r w:rsidR="00D50B8B" w:rsidRPr="00D50B8B">
        <w:rPr>
          <w:rFonts w:asciiTheme="minorHAnsi" w:hAnsiTheme="minorHAnsi" w:cstheme="minorHAnsi"/>
          <w:b/>
          <w:color w:val="000000" w:themeColor="text1"/>
          <w:sz w:val="22"/>
          <w:szCs w:val="22"/>
        </w:rPr>
        <w:fldChar w:fldCharType="end"/>
      </w:r>
      <w:r w:rsidR="002E42E6" w:rsidRPr="00D50B8B">
        <w:rPr>
          <w:rFonts w:asciiTheme="minorHAnsi" w:hAnsiTheme="minorHAnsi" w:cstheme="minorHAnsi"/>
          <w:b/>
          <w:color w:val="000000" w:themeColor="text1"/>
          <w:sz w:val="22"/>
          <w:szCs w:val="22"/>
        </w:rPr>
        <w:t xml:space="preserve">,- </w:t>
      </w:r>
      <w:r w:rsidRPr="00D50B8B">
        <w:rPr>
          <w:rFonts w:asciiTheme="minorHAnsi" w:hAnsiTheme="minorHAnsi" w:cstheme="minorHAnsi"/>
          <w:b/>
          <w:color w:val="000000" w:themeColor="text1"/>
          <w:sz w:val="22"/>
          <w:szCs w:val="22"/>
        </w:rPr>
        <w:t>Kč</w:t>
      </w:r>
      <w:r>
        <w:rPr>
          <w:rFonts w:asciiTheme="minorHAnsi" w:hAnsiTheme="minorHAnsi" w:cstheme="minorHAnsi"/>
          <w:color w:val="000000"/>
          <w:sz w:val="22"/>
          <w:szCs w:val="22"/>
        </w:rPr>
        <w:t xml:space="preserve"> </w:t>
      </w:r>
      <w:r w:rsidR="002E42E6">
        <w:rPr>
          <w:rFonts w:asciiTheme="minorHAnsi" w:hAnsiTheme="minorHAnsi" w:cstheme="minorHAnsi"/>
          <w:color w:val="000000"/>
          <w:sz w:val="22"/>
          <w:szCs w:val="22"/>
        </w:rPr>
        <w:t>(</w:t>
      </w:r>
      <w:r w:rsidR="00E25F72" w:rsidRPr="00D50B8B">
        <w:rPr>
          <w:rFonts w:asciiTheme="minorHAnsi" w:hAnsiTheme="minorHAnsi" w:cstheme="minorHAnsi"/>
          <w:color w:val="000000" w:themeColor="text1"/>
          <w:sz w:val="22"/>
          <w:szCs w:val="22"/>
        </w:rPr>
        <w:t>slovy</w:t>
      </w:r>
      <w:r w:rsidR="00D50B8B" w:rsidRPr="00D50B8B">
        <w:rPr>
          <w:rFonts w:asciiTheme="minorHAnsi" w:hAnsiTheme="minorHAnsi" w:cstheme="minorHAnsi"/>
          <w:color w:val="000000" w:themeColor="text1"/>
          <w:sz w:val="22"/>
          <w:szCs w:val="22"/>
        </w:rPr>
        <w:t xml:space="preserve"> </w:t>
      </w:r>
      <w:r w:rsidR="00D50B8B" w:rsidRPr="00D50B8B">
        <w:rPr>
          <w:rFonts w:asciiTheme="minorHAnsi" w:hAnsiTheme="minorHAnsi" w:cstheme="minorHAnsi"/>
          <w:color w:val="000000" w:themeColor="text1"/>
          <w:sz w:val="22"/>
          <w:szCs w:val="22"/>
        </w:rPr>
        <w:fldChar w:fldCharType="begin"/>
      </w:r>
      <w:r w:rsidR="00D50B8B" w:rsidRPr="00D50B8B">
        <w:rPr>
          <w:rFonts w:asciiTheme="minorHAnsi" w:hAnsiTheme="minorHAnsi" w:cstheme="minorHAnsi"/>
          <w:color w:val="000000" w:themeColor="text1"/>
          <w:sz w:val="22"/>
          <w:szCs w:val="22"/>
        </w:rPr>
        <w:instrText xml:space="preserve"> MERGEFIELD celkové_uznané_náklady_projektiu_SLOVY </w:instrText>
      </w:r>
      <w:r w:rsidR="00D50B8B" w:rsidRPr="00D50B8B">
        <w:rPr>
          <w:rFonts w:asciiTheme="minorHAnsi" w:hAnsiTheme="minorHAnsi" w:cstheme="minorHAnsi"/>
          <w:color w:val="000000" w:themeColor="text1"/>
          <w:sz w:val="22"/>
          <w:szCs w:val="22"/>
        </w:rPr>
        <w:fldChar w:fldCharType="separate"/>
      </w:r>
      <w:r w:rsidR="0047549E">
        <w:rPr>
          <w:rFonts w:asciiTheme="minorHAnsi" w:hAnsiTheme="minorHAnsi" w:cstheme="minorHAnsi"/>
          <w:noProof/>
          <w:color w:val="000000" w:themeColor="text1"/>
          <w:sz w:val="22"/>
          <w:szCs w:val="22"/>
        </w:rPr>
        <w:t>«celkové_uznané_náklady_projektiu_SLOVY»</w:t>
      </w:r>
      <w:r w:rsidR="00D50B8B" w:rsidRPr="00D50B8B">
        <w:rPr>
          <w:rFonts w:asciiTheme="minorHAnsi" w:hAnsiTheme="minorHAnsi" w:cstheme="minorHAnsi"/>
          <w:color w:val="000000" w:themeColor="text1"/>
          <w:sz w:val="22"/>
          <w:szCs w:val="22"/>
        </w:rPr>
        <w:fldChar w:fldCharType="end"/>
      </w:r>
      <w:r w:rsidR="006D6EDC" w:rsidRPr="00D50B8B">
        <w:rPr>
          <w:rFonts w:asciiTheme="minorHAnsi" w:hAnsiTheme="minorHAnsi" w:cstheme="minorHAnsi"/>
          <w:color w:val="000000" w:themeColor="text1"/>
          <w:sz w:val="22"/>
          <w:szCs w:val="22"/>
        </w:rPr>
        <w:t xml:space="preserve"> korun českých</w:t>
      </w:r>
      <w:r w:rsidRPr="00D50B8B">
        <w:rPr>
          <w:rFonts w:asciiTheme="minorHAnsi" w:hAnsiTheme="minorHAnsi" w:cstheme="minorHAnsi"/>
          <w:color w:val="000000" w:themeColor="text1"/>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0E6398" w:rsidRPr="007A265D" w:rsidRDefault="000E6398" w:rsidP="00826AD5">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zahájit řešení Projektu v souladu s Přílohou I, </w:t>
      </w:r>
      <w:r w:rsidRPr="007A265D">
        <w:rPr>
          <w:rFonts w:asciiTheme="minorHAnsi" w:hAnsiTheme="minorHAnsi" w:cstheme="minorHAnsi"/>
          <w:sz w:val="22"/>
          <w:szCs w:val="22"/>
          <w:shd w:val="clear" w:color="auto" w:fill="FFFFFF" w:themeFill="background1"/>
        </w:rPr>
        <w:t xml:space="preserve">nejdříve však </w:t>
      </w:r>
      <w:r w:rsidR="00D50B8B">
        <w:rPr>
          <w:rFonts w:asciiTheme="minorHAnsi" w:hAnsiTheme="minorHAnsi" w:cstheme="minorHAnsi"/>
          <w:sz w:val="22"/>
          <w:szCs w:val="22"/>
          <w:shd w:val="clear" w:color="auto" w:fill="FFFFFF" w:themeFill="background1"/>
        </w:rPr>
        <w:fldChar w:fldCharType="begin"/>
      </w:r>
      <w:r w:rsidR="00D50B8B">
        <w:rPr>
          <w:rFonts w:asciiTheme="minorHAnsi" w:hAnsiTheme="minorHAnsi" w:cstheme="minorHAnsi"/>
          <w:sz w:val="22"/>
          <w:szCs w:val="22"/>
          <w:shd w:val="clear" w:color="auto" w:fill="FFFFFF" w:themeFill="background1"/>
        </w:rPr>
        <w:instrText xml:space="preserve"> MERGEFIELD nejdříve </w:instrText>
      </w:r>
      <w:r w:rsidR="00D50B8B">
        <w:rPr>
          <w:rFonts w:asciiTheme="minorHAnsi" w:hAnsiTheme="minorHAnsi" w:cstheme="minorHAnsi"/>
          <w:sz w:val="22"/>
          <w:szCs w:val="22"/>
          <w:shd w:val="clear" w:color="auto" w:fill="FFFFFF" w:themeFill="background1"/>
        </w:rPr>
        <w:fldChar w:fldCharType="separate"/>
      </w:r>
      <w:r w:rsidR="0047549E">
        <w:rPr>
          <w:rFonts w:asciiTheme="minorHAnsi" w:hAnsiTheme="minorHAnsi" w:cstheme="minorHAnsi"/>
          <w:noProof/>
          <w:sz w:val="22"/>
          <w:szCs w:val="22"/>
          <w:shd w:val="clear" w:color="auto" w:fill="FFFFFF" w:themeFill="background1"/>
        </w:rPr>
        <w:t>«nejdříve»</w:t>
      </w:r>
      <w:r w:rsidR="00D50B8B">
        <w:rPr>
          <w:rFonts w:asciiTheme="minorHAnsi" w:hAnsiTheme="minorHAnsi" w:cstheme="minorHAnsi"/>
          <w:sz w:val="22"/>
          <w:szCs w:val="22"/>
          <w:shd w:val="clear" w:color="auto" w:fill="FFFFFF" w:themeFill="background1"/>
        </w:rPr>
        <w:fldChar w:fldCharType="end"/>
      </w:r>
      <w:r w:rsidRPr="007A265D">
        <w:rPr>
          <w:rFonts w:asciiTheme="minorHAnsi" w:hAnsiTheme="minorHAnsi" w:cstheme="minorHAnsi"/>
          <w:sz w:val="22"/>
          <w:szCs w:val="22"/>
          <w:shd w:val="clear" w:color="auto" w:fill="FFFFFF" w:themeFill="background1"/>
        </w:rPr>
        <w:t xml:space="preserve"> </w:t>
      </w:r>
      <w:r w:rsidRPr="007A265D">
        <w:rPr>
          <w:rFonts w:asciiTheme="minorHAnsi" w:hAnsiTheme="minorHAnsi" w:cstheme="minorHAnsi"/>
          <w:sz w:val="22"/>
          <w:szCs w:val="22"/>
        </w:rPr>
        <w:t xml:space="preserve">a nejdéle 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r w:rsidR="00D50B8B">
        <w:rPr>
          <w:rFonts w:asciiTheme="minorHAnsi" w:hAnsiTheme="minorHAnsi" w:cstheme="minorHAnsi"/>
          <w:sz w:val="22"/>
          <w:szCs w:val="22"/>
        </w:rPr>
        <w:fldChar w:fldCharType="begin"/>
      </w:r>
      <w:r w:rsidR="00D50B8B">
        <w:rPr>
          <w:rFonts w:asciiTheme="minorHAnsi" w:hAnsiTheme="minorHAnsi" w:cstheme="minorHAnsi"/>
          <w:sz w:val="22"/>
          <w:szCs w:val="22"/>
        </w:rPr>
        <w:instrText xml:space="preserve"> MERGEFIELD konec_projektu </w:instrText>
      </w:r>
      <w:r w:rsidR="00D50B8B">
        <w:rPr>
          <w:rFonts w:asciiTheme="minorHAnsi" w:hAnsiTheme="minorHAnsi" w:cstheme="minorHAnsi"/>
          <w:sz w:val="22"/>
          <w:szCs w:val="22"/>
        </w:rPr>
        <w:fldChar w:fldCharType="separate"/>
      </w:r>
      <w:r w:rsidR="0047549E">
        <w:rPr>
          <w:rFonts w:asciiTheme="minorHAnsi" w:hAnsiTheme="minorHAnsi" w:cstheme="minorHAnsi"/>
          <w:noProof/>
          <w:sz w:val="22"/>
          <w:szCs w:val="22"/>
        </w:rPr>
        <w:t>«konec_projektu»</w:t>
      </w:r>
      <w:r w:rsidR="00D50B8B">
        <w:rPr>
          <w:rFonts w:asciiTheme="minorHAnsi" w:hAnsiTheme="minorHAnsi" w:cstheme="minorHAnsi"/>
          <w:sz w:val="22"/>
          <w:szCs w:val="22"/>
        </w:rPr>
        <w:fldChar w:fldCharType="end"/>
      </w:r>
      <w:r w:rsidRPr="007A265D">
        <w:rPr>
          <w:rFonts w:asciiTheme="minorHAnsi" w:hAnsiTheme="minorHAnsi" w:cstheme="minorHAnsi"/>
          <w:sz w:val="22"/>
          <w:szCs w:val="22"/>
        </w:rPr>
        <w:t>.</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D50B8B"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r w:rsidR="00D50B8B" w:rsidRPr="00D50B8B">
        <w:rPr>
          <w:rFonts w:asciiTheme="minorHAnsi" w:hAnsiTheme="minorHAnsi" w:cstheme="minorHAnsi"/>
          <w:b/>
          <w:sz w:val="22"/>
          <w:szCs w:val="22"/>
        </w:rPr>
        <w:fldChar w:fldCharType="begin"/>
      </w:r>
      <w:r w:rsidR="00D50B8B" w:rsidRPr="00D50B8B">
        <w:rPr>
          <w:rFonts w:asciiTheme="minorHAnsi" w:hAnsiTheme="minorHAnsi" w:cstheme="minorHAnsi"/>
          <w:b/>
          <w:sz w:val="22"/>
          <w:szCs w:val="22"/>
        </w:rPr>
        <w:instrText xml:space="preserve"> MERGEFIELD Celková_podpora__MŠMT_Kč </w:instrText>
      </w:r>
      <w:r w:rsidR="00D50B8B" w:rsidRPr="00D50B8B">
        <w:rPr>
          <w:rFonts w:asciiTheme="minorHAnsi" w:hAnsiTheme="minorHAnsi" w:cstheme="minorHAnsi"/>
          <w:b/>
          <w:sz w:val="22"/>
          <w:szCs w:val="22"/>
        </w:rPr>
        <w:fldChar w:fldCharType="separate"/>
      </w:r>
      <w:r w:rsidR="0047549E">
        <w:rPr>
          <w:rFonts w:asciiTheme="minorHAnsi" w:hAnsiTheme="minorHAnsi" w:cstheme="minorHAnsi"/>
          <w:b/>
          <w:noProof/>
          <w:sz w:val="22"/>
          <w:szCs w:val="22"/>
        </w:rPr>
        <w:t>«Celková_podpora__MŠMT_Kč»</w:t>
      </w:r>
      <w:r w:rsidR="00D50B8B" w:rsidRPr="00D50B8B">
        <w:rPr>
          <w:rFonts w:asciiTheme="minorHAnsi" w:hAnsiTheme="minorHAnsi" w:cstheme="minorHAnsi"/>
          <w:b/>
          <w:sz w:val="22"/>
          <w:szCs w:val="22"/>
        </w:rPr>
        <w:fldChar w:fldCharType="end"/>
      </w:r>
      <w:r w:rsidR="00E46051" w:rsidRPr="00D50B8B">
        <w:rPr>
          <w:rFonts w:asciiTheme="minorHAnsi" w:hAnsiTheme="minorHAnsi" w:cstheme="minorHAnsi"/>
          <w:b/>
          <w:sz w:val="22"/>
          <w:szCs w:val="22"/>
        </w:rPr>
        <w:t>,</w:t>
      </w:r>
      <w:r w:rsidR="00D50B8B">
        <w:rPr>
          <w:rFonts w:asciiTheme="minorHAnsi" w:hAnsiTheme="minorHAnsi" w:cstheme="minorHAnsi"/>
          <w:b/>
          <w:sz w:val="22"/>
          <w:szCs w:val="22"/>
        </w:rPr>
        <w:t>-</w:t>
      </w:r>
      <w:r w:rsidR="00BC4783" w:rsidRPr="00D50B8B">
        <w:rPr>
          <w:rFonts w:asciiTheme="minorHAnsi" w:hAnsiTheme="minorHAnsi" w:cstheme="minorHAnsi"/>
          <w:b/>
          <w:sz w:val="22"/>
          <w:szCs w:val="22"/>
        </w:rPr>
        <w:t xml:space="preserve"> </w:t>
      </w:r>
      <w:r w:rsidR="00F543F9" w:rsidRPr="00D50B8B">
        <w:rPr>
          <w:rFonts w:asciiTheme="minorHAnsi" w:hAnsiTheme="minorHAnsi" w:cstheme="minorHAnsi"/>
          <w:b/>
          <w:color w:val="000000" w:themeColor="text1"/>
          <w:sz w:val="22"/>
          <w:szCs w:val="22"/>
        </w:rPr>
        <w:t>K</w:t>
      </w:r>
      <w:r w:rsidR="00E46051" w:rsidRPr="00D50B8B">
        <w:rPr>
          <w:rFonts w:asciiTheme="minorHAnsi" w:hAnsiTheme="minorHAnsi" w:cstheme="minorHAnsi"/>
          <w:b/>
          <w:color w:val="000000" w:themeColor="text1"/>
          <w:sz w:val="22"/>
          <w:szCs w:val="22"/>
        </w:rPr>
        <w:t>č</w:t>
      </w:r>
      <w:r w:rsidR="00E46051" w:rsidRPr="00D50B8B">
        <w:rPr>
          <w:rFonts w:asciiTheme="minorHAnsi" w:hAnsiTheme="minorHAnsi" w:cstheme="minorHAnsi"/>
          <w:color w:val="000000" w:themeColor="text1"/>
          <w:sz w:val="22"/>
          <w:szCs w:val="22"/>
        </w:rPr>
        <w:t xml:space="preserve"> (</w:t>
      </w:r>
      <w:r w:rsidR="002E023A" w:rsidRPr="00D50B8B">
        <w:rPr>
          <w:rFonts w:asciiTheme="minorHAnsi" w:hAnsiTheme="minorHAnsi" w:cstheme="minorHAnsi"/>
          <w:color w:val="000000" w:themeColor="text1"/>
          <w:sz w:val="22"/>
          <w:szCs w:val="22"/>
        </w:rPr>
        <w:t>slovy</w:t>
      </w:r>
      <w:r w:rsidR="002E42E6" w:rsidRPr="00D50B8B">
        <w:rPr>
          <w:rFonts w:asciiTheme="minorHAnsi" w:hAnsiTheme="minorHAnsi" w:cstheme="minorHAnsi"/>
          <w:color w:val="000000" w:themeColor="text1"/>
          <w:sz w:val="22"/>
          <w:szCs w:val="22"/>
        </w:rPr>
        <w:t xml:space="preserve"> </w:t>
      </w:r>
      <w:r w:rsidR="00D50B8B" w:rsidRPr="00D50B8B">
        <w:rPr>
          <w:rFonts w:asciiTheme="minorHAnsi" w:hAnsiTheme="minorHAnsi" w:cstheme="minorHAnsi"/>
          <w:color w:val="000000" w:themeColor="text1"/>
          <w:sz w:val="22"/>
          <w:szCs w:val="22"/>
        </w:rPr>
        <w:fldChar w:fldCharType="begin"/>
      </w:r>
      <w:r w:rsidR="00D50B8B" w:rsidRPr="00D50B8B">
        <w:rPr>
          <w:rFonts w:asciiTheme="minorHAnsi" w:hAnsiTheme="minorHAnsi" w:cstheme="minorHAnsi"/>
          <w:color w:val="000000" w:themeColor="text1"/>
          <w:sz w:val="22"/>
          <w:szCs w:val="22"/>
        </w:rPr>
        <w:instrText xml:space="preserve"> MERGEFIELD CELKOVá_popodra_MŠMT_SLOVY </w:instrText>
      </w:r>
      <w:r w:rsidR="00D50B8B" w:rsidRPr="00D50B8B">
        <w:rPr>
          <w:rFonts w:asciiTheme="minorHAnsi" w:hAnsiTheme="minorHAnsi" w:cstheme="minorHAnsi"/>
          <w:color w:val="000000" w:themeColor="text1"/>
          <w:sz w:val="22"/>
          <w:szCs w:val="22"/>
        </w:rPr>
        <w:fldChar w:fldCharType="separate"/>
      </w:r>
      <w:r w:rsidR="0047549E">
        <w:rPr>
          <w:rFonts w:asciiTheme="minorHAnsi" w:hAnsiTheme="minorHAnsi" w:cstheme="minorHAnsi"/>
          <w:noProof/>
          <w:color w:val="000000" w:themeColor="text1"/>
          <w:sz w:val="22"/>
          <w:szCs w:val="22"/>
        </w:rPr>
        <w:t>«CELKOVá_popodra_MŠMT_SLOVY»</w:t>
      </w:r>
      <w:r w:rsidR="00D50B8B" w:rsidRPr="00D50B8B">
        <w:rPr>
          <w:rFonts w:asciiTheme="minorHAnsi" w:hAnsiTheme="minorHAnsi" w:cstheme="minorHAnsi"/>
          <w:color w:val="000000" w:themeColor="text1"/>
          <w:sz w:val="22"/>
          <w:szCs w:val="22"/>
        </w:rPr>
        <w:fldChar w:fldCharType="end"/>
      </w:r>
      <w:r w:rsidR="00D50B8B" w:rsidRPr="00D50B8B">
        <w:rPr>
          <w:rFonts w:asciiTheme="minorHAnsi" w:hAnsiTheme="minorHAnsi" w:cstheme="minorHAnsi"/>
          <w:color w:val="000000" w:themeColor="text1"/>
          <w:sz w:val="22"/>
          <w:szCs w:val="22"/>
        </w:rPr>
        <w:t xml:space="preserve"> </w:t>
      </w:r>
      <w:r w:rsidR="002E42E6" w:rsidRPr="00D50B8B">
        <w:rPr>
          <w:rFonts w:asciiTheme="minorHAnsi" w:hAnsiTheme="minorHAnsi" w:cstheme="minorHAnsi"/>
          <w:color w:val="000000" w:themeColor="text1"/>
          <w:sz w:val="22"/>
          <w:szCs w:val="22"/>
        </w:rPr>
        <w:t>korun českých</w:t>
      </w:r>
      <w:r w:rsidR="00E46051" w:rsidRPr="00D50B8B">
        <w:rPr>
          <w:rFonts w:asciiTheme="minorHAnsi" w:hAnsiTheme="minorHAnsi" w:cstheme="minorHAnsi"/>
          <w:color w:val="000000" w:themeColor="text1"/>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476A67" w:rsidRDefault="000E6398" w:rsidP="00476A67">
      <w:pPr>
        <w:spacing w:before="240" w:after="120"/>
        <w:ind w:left="1080"/>
        <w:jc w:val="both"/>
        <w:rPr>
          <w:rFonts w:asciiTheme="minorHAnsi" w:hAnsiTheme="minorHAnsi" w:cstheme="minorHAnsi"/>
          <w:sz w:val="22"/>
          <w:szCs w:val="22"/>
        </w:rPr>
      </w:pPr>
    </w:p>
    <w:p w:rsidR="000E6398" w:rsidRPr="007A265D" w:rsidRDefault="000E6398" w:rsidP="00826AD5">
      <w:pPr>
        <w:pStyle w:val="Odstavec-1"/>
        <w:numPr>
          <w:ilvl w:val="0"/>
          <w:numId w:val="7"/>
        </w:numPr>
        <w:spacing w:before="240"/>
        <w:rPr>
          <w:rFonts w:asciiTheme="minorHAnsi" w:hAnsiTheme="minorHAnsi" w:cstheme="minorHAnsi"/>
          <w:sz w:val="22"/>
          <w:szCs w:val="22"/>
        </w:rPr>
      </w:pPr>
      <w:r w:rsidRPr="007A265D">
        <w:rPr>
          <w:rFonts w:asciiTheme="minorHAnsi" w:hAnsiTheme="minorHAnsi" w:cstheme="minorHAnsi"/>
          <w:sz w:val="22"/>
          <w:szCs w:val="22"/>
        </w:rPr>
        <w:t>Příjemce je povinen použít podporu výlučně na úhradu uznaných nákladů Projektu vymezených Přílohou II</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0E6398" w:rsidRPr="00476A67" w:rsidRDefault="000E6398" w:rsidP="00476A67">
      <w:pPr>
        <w:tabs>
          <w:tab w:val="left" w:pos="567"/>
        </w:tabs>
        <w:spacing w:before="240" w:after="120"/>
        <w:ind w:left="-1"/>
        <w:jc w:val="both"/>
        <w:rPr>
          <w:rFonts w:asciiTheme="minorHAnsi" w:hAnsiTheme="minorHAnsi" w:cstheme="minorHAnsi"/>
          <w:sz w:val="22"/>
          <w:szCs w:val="22"/>
        </w:rPr>
      </w:pP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lastRenderedPageBreak/>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r w:rsidR="005C2C30">
        <w:rPr>
          <w:rFonts w:cstheme="minorHAnsi"/>
        </w:rPr>
        <w:t>VaVaI</w:t>
      </w:r>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rsidR="00AD23EF" w:rsidRPr="007A265D" w:rsidRDefault="00AD23EF" w:rsidP="00AD23EF">
      <w:pPr>
        <w:pStyle w:val="Odstavec-1"/>
        <w:spacing w:before="240"/>
        <w:ind w:left="851" w:firstLine="0"/>
        <w:rPr>
          <w:rFonts w:asciiTheme="minorHAnsi" w:hAnsiTheme="minorHAnsi" w:cstheme="minorHAnsi"/>
          <w:sz w:val="22"/>
          <w:szCs w:val="22"/>
        </w:rPr>
      </w:pP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AD23EF" w:rsidRPr="007A265D" w:rsidRDefault="00AD23EF" w:rsidP="00AD23EF">
      <w:pPr>
        <w:pStyle w:val="Bezmezer"/>
        <w:jc w:val="center"/>
        <w:rPr>
          <w:rFonts w:cstheme="minorHAnsi"/>
          <w:b/>
        </w:rPr>
      </w:pPr>
    </w:p>
    <w:p w:rsidR="00AD23EF" w:rsidRPr="007A265D" w:rsidRDefault="00AD23EF" w:rsidP="00AD23EF">
      <w:pPr>
        <w:pStyle w:val="Bezmezer"/>
        <w:jc w:val="center"/>
        <w:rPr>
          <w:rFonts w:cstheme="minorHAnsi"/>
          <w:b/>
        </w:rPr>
      </w:pPr>
      <w:r w:rsidRPr="007A265D">
        <w:rPr>
          <w:rFonts w:cstheme="minorHAnsi"/>
          <w:b/>
        </w:rPr>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w:t>
      </w:r>
      <w:r w:rsidRPr="005B5176">
        <w:rPr>
          <w:rFonts w:asciiTheme="minorHAnsi" w:hAnsiTheme="minorHAnsi" w:cstheme="minorHAnsi"/>
          <w:sz w:val="22"/>
          <w:szCs w:val="22"/>
        </w:rPr>
        <w:lastRenderedPageBreak/>
        <w:t>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Jsou-li do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EF108A" w:rsidP="00EF108A">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00AD23EF" w:rsidRPr="007A265D">
        <w:rPr>
          <w:rFonts w:asciiTheme="minorHAnsi" w:hAnsiTheme="minorHAnsi" w:cstheme="minorHAnsi"/>
          <w:b/>
          <w:sz w:val="22"/>
          <w:szCs w:val="22"/>
        </w:rPr>
        <w:t>Článek 12</w:t>
      </w:r>
    </w:p>
    <w:p w:rsidR="00AD23EF" w:rsidRPr="007A265D" w:rsidRDefault="00AD23EF" w:rsidP="00AD23E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334559" w:rsidRPr="007A265D" w:rsidRDefault="00334559" w:rsidP="00AD23EF">
      <w:pPr>
        <w:pStyle w:val="Odstavec-1"/>
        <w:keepNext/>
        <w:spacing w:after="0"/>
        <w:ind w:left="709" w:hanging="709"/>
        <w:jc w:val="center"/>
        <w:rPr>
          <w:rFonts w:asciiTheme="minorHAnsi" w:hAnsiTheme="minorHAnsi" w:cstheme="minorHAnsi"/>
          <w:b/>
          <w:bCs/>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3</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Všechna vlastnická, užívací práva a práva duševního vlastnictví k výsledkům Projektu patří příjemci a jsou upravena zvláštními právními předpisy</w:t>
      </w:r>
      <w:r w:rsidRPr="007A265D">
        <w:rPr>
          <w:rStyle w:val="Znakapoznpodarou"/>
          <w:rFonts w:asciiTheme="minorHAnsi" w:hAnsiTheme="minorHAnsi"/>
          <w:sz w:val="22"/>
          <w:szCs w:val="22"/>
        </w:rPr>
        <w:footnoteReference w:id="4"/>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transferem 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w:t>
      </w:r>
      <w:r w:rsidR="00BA6672">
        <w:rPr>
          <w:rFonts w:asciiTheme="minorHAnsi" w:hAnsiTheme="minorHAnsi" w:cstheme="minorHAnsi"/>
          <w:sz w:val="22"/>
          <w:szCs w:val="22"/>
        </w:rPr>
        <w:t>,</w:t>
      </w:r>
      <w:r w:rsidRPr="007A265D">
        <w:rPr>
          <w:rFonts w:asciiTheme="minorHAnsi" w:hAnsiTheme="minorHAnsi" w:cstheme="minorHAnsi"/>
          <w:sz w:val="22"/>
          <w:szCs w:val="22"/>
        </w:rPr>
        <w:t xml:space="preserve"> kte</w:t>
      </w:r>
      <w:r w:rsidR="00334559">
        <w:rPr>
          <w:rFonts w:asciiTheme="minorHAnsi" w:hAnsiTheme="minorHAnsi" w:cstheme="minorHAnsi"/>
          <w:sz w:val="22"/>
          <w:szCs w:val="22"/>
        </w:rPr>
        <w:t>rý</w:t>
      </w:r>
      <w:r w:rsidRPr="007A265D">
        <w:rPr>
          <w:rFonts w:asciiTheme="minorHAnsi" w:hAnsiTheme="minorHAnsi" w:cstheme="minorHAnsi"/>
          <w:sz w:val="22"/>
          <w:szCs w:val="22"/>
        </w:rPr>
        <w:t xml:space="preserve"> uplatňuj</w:t>
      </w:r>
      <w:r w:rsidR="00334559">
        <w:rPr>
          <w:rFonts w:asciiTheme="minorHAnsi" w:hAnsiTheme="minorHAnsi" w:cstheme="minorHAnsi"/>
          <w:sz w:val="22"/>
          <w:szCs w:val="22"/>
        </w:rPr>
        <w:t>e</w:t>
      </w:r>
      <w:r w:rsidRPr="007A265D">
        <w:rPr>
          <w:rFonts w:asciiTheme="minorHAnsi" w:hAnsiTheme="minorHAnsi" w:cstheme="minorHAnsi"/>
          <w:sz w:val="22"/>
          <w:szCs w:val="22"/>
        </w:rPr>
        <w:t xml:space="preserve"> práva k výsledkům Projektu, j</w:t>
      </w:r>
      <w:r w:rsidR="00334559">
        <w:rPr>
          <w:rFonts w:asciiTheme="minorHAnsi" w:hAnsiTheme="minorHAnsi" w:cstheme="minorHAnsi"/>
          <w:sz w:val="22"/>
          <w:szCs w:val="22"/>
        </w:rPr>
        <w:t>e</w:t>
      </w:r>
      <w:r w:rsidRPr="007A265D">
        <w:rPr>
          <w:rFonts w:asciiTheme="minorHAnsi" w:hAnsiTheme="minorHAnsi" w:cstheme="minorHAnsi"/>
          <w:sz w:val="22"/>
          <w:szCs w:val="22"/>
        </w:rPr>
        <w:t xml:space="preserve"> povin</w:t>
      </w:r>
      <w:r w:rsidR="00334559">
        <w:rPr>
          <w:rFonts w:asciiTheme="minorHAnsi" w:hAnsiTheme="minorHAnsi" w:cstheme="minorHAnsi"/>
          <w:sz w:val="22"/>
          <w:szCs w:val="22"/>
        </w:rPr>
        <w:t>en</w:t>
      </w:r>
      <w:r w:rsidRPr="007A265D">
        <w:rPr>
          <w:rFonts w:asciiTheme="minorHAnsi" w:hAnsiTheme="minorHAnsi" w:cstheme="minorHAnsi"/>
          <w:sz w:val="22"/>
          <w:szCs w:val="22"/>
        </w:rPr>
        <w:t xml:space="preserve"> zajistit, aby výsledky, k nimž m</w:t>
      </w:r>
      <w:r w:rsidR="00334559">
        <w:rPr>
          <w:rFonts w:asciiTheme="minorHAnsi" w:hAnsiTheme="minorHAnsi" w:cstheme="minorHAnsi"/>
          <w:sz w:val="22"/>
          <w:szCs w:val="22"/>
        </w:rPr>
        <w:t>á</w:t>
      </w:r>
      <w:r w:rsidRPr="007A265D">
        <w:rPr>
          <w:rFonts w:asciiTheme="minorHAnsi" w:hAnsiTheme="minorHAnsi" w:cstheme="minorHAnsi"/>
          <w:sz w:val="22"/>
          <w:szCs w:val="22"/>
        </w:rPr>
        <w:t xml:space="preserve">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Výsledky, které nelze chránit podle zvláštních právních předpisů</w:t>
      </w:r>
      <w:r w:rsidR="00BA6672">
        <w:rPr>
          <w:rFonts w:asciiTheme="minorHAnsi" w:hAnsiTheme="minorHAnsi" w:cstheme="minorHAnsi"/>
          <w:sz w:val="22"/>
          <w:szCs w:val="22"/>
        </w:rPr>
        <w:t xml:space="preserve"> </w:t>
      </w:r>
      <w:r w:rsidRPr="007A265D">
        <w:rPr>
          <w:rFonts w:asciiTheme="minorHAnsi" w:hAnsiTheme="minorHAnsi" w:cstheme="minorHAnsi"/>
          <w:sz w:val="22"/>
          <w:szCs w:val="22"/>
        </w:rPr>
        <w:t xml:space="preserve">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w:t>
      </w:r>
      <w:r w:rsidR="00683C1E">
        <w:rPr>
          <w:rFonts w:asciiTheme="minorHAnsi" w:hAnsiTheme="minorHAnsi" w:cstheme="minorHAnsi"/>
          <w:sz w:val="22"/>
          <w:szCs w:val="22"/>
        </w:rPr>
        <w:t xml:space="preserve"> Příjemce, </w:t>
      </w:r>
      <w:r w:rsidRPr="007A265D">
        <w:rPr>
          <w:rFonts w:asciiTheme="minorHAnsi" w:hAnsiTheme="minorHAnsi" w:cstheme="minorHAnsi"/>
          <w:sz w:val="22"/>
          <w:szCs w:val="22"/>
        </w:rPr>
        <w:t>kte</w:t>
      </w:r>
      <w:r w:rsidR="00334559">
        <w:rPr>
          <w:rFonts w:asciiTheme="minorHAnsi" w:hAnsiTheme="minorHAnsi" w:cstheme="minorHAnsi"/>
          <w:sz w:val="22"/>
          <w:szCs w:val="22"/>
        </w:rPr>
        <w:t>rý</w:t>
      </w:r>
      <w:r w:rsidRPr="007A265D">
        <w:rPr>
          <w:rFonts w:asciiTheme="minorHAnsi" w:hAnsiTheme="minorHAnsi" w:cstheme="minorHAnsi"/>
          <w:sz w:val="22"/>
          <w:szCs w:val="22"/>
        </w:rPr>
        <w:t xml:space="preserve"> </w:t>
      </w:r>
      <w:r w:rsidR="00334559" w:rsidRPr="007A265D">
        <w:rPr>
          <w:rFonts w:asciiTheme="minorHAnsi" w:hAnsiTheme="minorHAnsi" w:cstheme="minorHAnsi"/>
          <w:sz w:val="22"/>
          <w:szCs w:val="22"/>
        </w:rPr>
        <w:t>j</w:t>
      </w:r>
      <w:r w:rsidR="00334559">
        <w:rPr>
          <w:rFonts w:asciiTheme="minorHAnsi" w:hAnsiTheme="minorHAnsi" w:cstheme="minorHAnsi"/>
          <w:sz w:val="22"/>
          <w:szCs w:val="22"/>
        </w:rPr>
        <w:t>e</w:t>
      </w:r>
      <w:r w:rsidR="00334559" w:rsidRPr="007A265D">
        <w:rPr>
          <w:rFonts w:asciiTheme="minorHAnsi" w:hAnsiTheme="minorHAnsi" w:cstheme="minorHAnsi"/>
          <w:sz w:val="22"/>
          <w:szCs w:val="22"/>
        </w:rPr>
        <w:t xml:space="preserve"> </w:t>
      </w:r>
      <w:r w:rsidRPr="007A265D">
        <w:rPr>
          <w:rFonts w:asciiTheme="minorHAnsi" w:hAnsiTheme="minorHAnsi" w:cstheme="minorHAnsi"/>
          <w:sz w:val="22"/>
          <w:szCs w:val="22"/>
        </w:rPr>
        <w:t>vlastník</w:t>
      </w:r>
      <w:r w:rsidR="00334559">
        <w:rPr>
          <w:rFonts w:asciiTheme="minorHAnsi" w:hAnsiTheme="minorHAnsi" w:cstheme="minorHAnsi"/>
          <w:sz w:val="22"/>
          <w:szCs w:val="22"/>
        </w:rPr>
        <w:t>em</w:t>
      </w:r>
      <w:r w:rsidRPr="007A265D">
        <w:rPr>
          <w:rFonts w:asciiTheme="minorHAnsi" w:hAnsiTheme="minorHAnsi" w:cstheme="minorHAnsi"/>
          <w:sz w:val="22"/>
          <w:szCs w:val="22"/>
        </w:rPr>
        <w:t xml:space="preserve"> tohoto majetku</w:t>
      </w:r>
      <w:r w:rsidR="00334559">
        <w:rPr>
          <w:rFonts w:asciiTheme="minorHAnsi" w:hAnsiTheme="minorHAnsi" w:cstheme="minorHAnsi"/>
          <w:sz w:val="22"/>
          <w:szCs w:val="22"/>
        </w:rPr>
        <w:t xml:space="preserve"> a není</w:t>
      </w:r>
      <w:r w:rsidRPr="007A265D">
        <w:rPr>
          <w:rFonts w:asciiTheme="minorHAnsi" w:hAnsiTheme="minorHAnsi" w:cstheme="minorHAnsi"/>
          <w:sz w:val="22"/>
          <w:szCs w:val="22"/>
        </w:rPr>
        <w:t xml:space="preserve"> oprávněn bez souhlasu poskytovatele s tímto majetkem disponovat</w:t>
      </w:r>
      <w:r w:rsidRPr="007A265D">
        <w:rPr>
          <w:rStyle w:val="Znakapoznpodarou"/>
          <w:rFonts w:asciiTheme="minorHAnsi" w:hAnsiTheme="minorHAnsi" w:cstheme="minorHAnsi"/>
          <w:sz w:val="22"/>
          <w:szCs w:val="22"/>
        </w:rPr>
        <w:footnoteReference w:id="5"/>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lastRenderedPageBreak/>
        <w:t>Článek 1</w:t>
      </w:r>
      <w:r w:rsidR="00683C1E">
        <w:rPr>
          <w:rFonts w:asciiTheme="minorHAnsi" w:hAnsiTheme="minorHAnsi" w:cstheme="minorHAnsi"/>
          <w:b/>
          <w:sz w:val="22"/>
          <w:szCs w:val="22"/>
        </w:rPr>
        <w:t>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w:t>
      </w:r>
      <w:r w:rsidR="00683C1E">
        <w:rPr>
          <w:rFonts w:asciiTheme="minorHAnsi" w:hAnsiTheme="minorHAnsi" w:cstheme="minorHAnsi"/>
          <w:color w:val="auto"/>
          <w:sz w:val="22"/>
          <w:szCs w:val="22"/>
        </w:rPr>
        <w:t>6</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683C1E">
        <w:rPr>
          <w:rFonts w:asciiTheme="minorHAnsi" w:hAnsiTheme="minorHAnsi" w:cstheme="minorHAnsi"/>
          <w:b/>
          <w:bCs/>
          <w:sz w:val="22"/>
          <w:szCs w:val="22"/>
        </w:rPr>
        <w:t>7</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lastRenderedPageBreak/>
        <w:t>Příjemce souhlasí s uveřejněním celého obsahu smlouvy vyjma in</w:t>
      </w:r>
      <w:r w:rsidR="00BA6672">
        <w:rPr>
          <w:rFonts w:asciiTheme="minorHAnsi" w:hAnsiTheme="minorHAnsi" w:cstheme="minorHAnsi"/>
          <w:sz w:val="22"/>
          <w:szCs w:val="22"/>
        </w:rPr>
        <w:t xml:space="preserve">formací, které nelze poskytnout </w:t>
      </w:r>
      <w:r w:rsidRPr="005B5176">
        <w:rPr>
          <w:rFonts w:asciiTheme="minorHAnsi" w:hAnsiTheme="minorHAnsi" w:cstheme="minorHAnsi"/>
          <w:sz w:val="22"/>
          <w:szCs w:val="22"/>
        </w:rPr>
        <w:t>při postupu podle předpisů upravujících svobodný přístup k informacím.</w:t>
      </w:r>
    </w:p>
    <w:p w:rsidR="0031023A" w:rsidRPr="007A265D"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31023A" w:rsidRDefault="0031023A" w:rsidP="0031023A">
      <w:pPr>
        <w:pStyle w:val="Zkladntext"/>
        <w:ind w:firstLine="567"/>
        <w:rPr>
          <w:rFonts w:ascii="Calibri" w:hAnsi="Calibri" w:cs="Calibri"/>
          <w:b/>
          <w:sz w:val="22"/>
          <w:szCs w:val="22"/>
        </w:rPr>
      </w:pPr>
    </w:p>
    <w:p w:rsidR="0031023A" w:rsidRDefault="0031023A" w:rsidP="0031023A">
      <w:pPr>
        <w:pStyle w:val="Zkladntext"/>
        <w:ind w:firstLine="567"/>
        <w:rPr>
          <w:rFonts w:ascii="Calibri" w:hAnsi="Calibri" w:cs="Calibri"/>
          <w:b/>
          <w:sz w:val="22"/>
          <w:szCs w:val="22"/>
        </w:rPr>
      </w:pPr>
    </w:p>
    <w:p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Pr="007A265D" w:rsidRDefault="0031023A" w:rsidP="0031023A">
      <w:pPr>
        <w:pStyle w:val="Zkladntext"/>
        <w:ind w:firstLine="567"/>
        <w:rPr>
          <w:rFonts w:ascii="Calibri" w:hAnsi="Calibri" w:cs="Calibri"/>
          <w:sz w:val="22"/>
          <w:szCs w:val="22"/>
        </w:rPr>
      </w:pP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V Praze dne: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 xml:space="preserve">V ………………………….  dne: ………………... </w:t>
      </w: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31023A" w:rsidRDefault="00683C1E" w:rsidP="0031023A">
      <w:pPr>
        <w:pStyle w:val="Zkladntext"/>
        <w:ind w:firstLine="567"/>
        <w:rPr>
          <w:rFonts w:ascii="Calibri" w:hAnsi="Calibri" w:cs="Calibri"/>
          <w:sz w:val="22"/>
          <w:szCs w:val="22"/>
        </w:rPr>
      </w:pPr>
      <w:r>
        <w:rPr>
          <w:rFonts w:ascii="Calibri" w:hAnsi="Calibri" w:cs="Calibri"/>
          <w:sz w:val="22"/>
          <w:szCs w:val="22"/>
        </w:rPr>
        <w:t>PhDr. Pavel Doleček</w:t>
      </w:r>
      <w:r w:rsidR="00D50B8B">
        <w:rPr>
          <w:rFonts w:ascii="Calibri" w:hAnsi="Calibri" w:cs="Calibri"/>
          <w:sz w:val="22"/>
          <w:szCs w:val="22"/>
        </w:rPr>
        <w:t xml:space="preserve">                                                     </w:t>
      </w:r>
      <w:r w:rsidR="00D50B8B">
        <w:rPr>
          <w:rFonts w:ascii="Calibri" w:hAnsi="Calibri" w:cs="Calibri"/>
          <w:sz w:val="22"/>
          <w:szCs w:val="22"/>
        </w:rPr>
        <w:fldChar w:fldCharType="begin"/>
      </w:r>
      <w:r w:rsidR="00D50B8B">
        <w:rPr>
          <w:rFonts w:ascii="Calibri" w:hAnsi="Calibri" w:cs="Calibri"/>
          <w:sz w:val="22"/>
          <w:szCs w:val="22"/>
        </w:rPr>
        <w:instrText xml:space="preserve"> MERGEFIELD stat_orgán_ </w:instrText>
      </w:r>
      <w:r w:rsidR="00D50B8B">
        <w:rPr>
          <w:rFonts w:ascii="Calibri" w:hAnsi="Calibri" w:cs="Calibri"/>
          <w:sz w:val="22"/>
          <w:szCs w:val="22"/>
        </w:rPr>
        <w:fldChar w:fldCharType="separate"/>
      </w:r>
      <w:r w:rsidR="0047549E">
        <w:rPr>
          <w:rFonts w:ascii="Calibri" w:hAnsi="Calibri" w:cs="Calibri"/>
          <w:noProof/>
          <w:sz w:val="22"/>
          <w:szCs w:val="22"/>
        </w:rPr>
        <w:t>«stat_orgán_»</w:t>
      </w:r>
      <w:r w:rsidR="00D50B8B">
        <w:rPr>
          <w:rFonts w:ascii="Calibri" w:hAnsi="Calibri" w:cs="Calibri"/>
          <w:sz w:val="22"/>
          <w:szCs w:val="22"/>
        </w:rPr>
        <w:fldChar w:fldCharType="end"/>
      </w:r>
    </w:p>
    <w:p w:rsidR="00683C1E" w:rsidRDefault="00683C1E" w:rsidP="0031023A">
      <w:pPr>
        <w:pStyle w:val="Zkladntext"/>
        <w:ind w:firstLine="567"/>
        <w:rPr>
          <w:rFonts w:ascii="Calibri" w:hAnsi="Calibri" w:cs="Calibri"/>
          <w:sz w:val="22"/>
          <w:szCs w:val="22"/>
        </w:rPr>
      </w:pPr>
      <w:r>
        <w:rPr>
          <w:rFonts w:ascii="Calibri" w:hAnsi="Calibri" w:cs="Calibri"/>
          <w:sz w:val="22"/>
          <w:szCs w:val="22"/>
        </w:rPr>
        <w:t xml:space="preserve">pověřený zastupováním náměstka </w:t>
      </w:r>
      <w:r w:rsidR="00D50B8B">
        <w:rPr>
          <w:rFonts w:ascii="Calibri" w:hAnsi="Calibri" w:cs="Calibri"/>
          <w:sz w:val="22"/>
          <w:szCs w:val="22"/>
        </w:rPr>
        <w:t xml:space="preserve">                           </w:t>
      </w:r>
      <w:r w:rsidR="00D50B8B">
        <w:rPr>
          <w:rFonts w:ascii="Calibri" w:hAnsi="Calibri" w:cs="Calibri"/>
          <w:sz w:val="22"/>
          <w:szCs w:val="22"/>
        </w:rPr>
        <w:fldChar w:fldCharType="begin"/>
      </w:r>
      <w:r w:rsidR="00D50B8B">
        <w:rPr>
          <w:rFonts w:ascii="Calibri" w:hAnsi="Calibri" w:cs="Calibri"/>
          <w:sz w:val="22"/>
          <w:szCs w:val="22"/>
        </w:rPr>
        <w:instrText xml:space="preserve"> MERGEFIELD funkce </w:instrText>
      </w:r>
      <w:r w:rsidR="00D50B8B">
        <w:rPr>
          <w:rFonts w:ascii="Calibri" w:hAnsi="Calibri" w:cs="Calibri"/>
          <w:sz w:val="22"/>
          <w:szCs w:val="22"/>
        </w:rPr>
        <w:fldChar w:fldCharType="separate"/>
      </w:r>
      <w:r w:rsidR="0047549E">
        <w:rPr>
          <w:rFonts w:ascii="Calibri" w:hAnsi="Calibri" w:cs="Calibri"/>
          <w:noProof/>
          <w:sz w:val="22"/>
          <w:szCs w:val="22"/>
        </w:rPr>
        <w:t>«funkce»</w:t>
      </w:r>
      <w:r w:rsidR="00D50B8B">
        <w:rPr>
          <w:rFonts w:ascii="Calibri" w:hAnsi="Calibri" w:cs="Calibri"/>
          <w:sz w:val="22"/>
          <w:szCs w:val="22"/>
        </w:rPr>
        <w:fldChar w:fldCharType="end"/>
      </w:r>
    </w:p>
    <w:p w:rsidR="00EB2235" w:rsidRDefault="00683C1E" w:rsidP="0031023A">
      <w:pPr>
        <w:pStyle w:val="Zkladntext"/>
        <w:ind w:firstLine="567"/>
        <w:rPr>
          <w:rFonts w:ascii="Calibri" w:hAnsi="Calibri" w:cs="Calibri"/>
          <w:sz w:val="22"/>
          <w:szCs w:val="22"/>
        </w:rPr>
      </w:pPr>
      <w:r>
        <w:rPr>
          <w:rFonts w:ascii="Calibri" w:hAnsi="Calibri" w:cs="Calibri"/>
          <w:sz w:val="22"/>
          <w:szCs w:val="22"/>
        </w:rPr>
        <w:t>pro řízení sekce vysok</w:t>
      </w:r>
      <w:r w:rsidR="00EB2235">
        <w:rPr>
          <w:rFonts w:ascii="Calibri" w:hAnsi="Calibri" w:cs="Calibri"/>
          <w:sz w:val="22"/>
          <w:szCs w:val="22"/>
        </w:rPr>
        <w:t>ého školství</w:t>
      </w:r>
      <w:r>
        <w:rPr>
          <w:rFonts w:ascii="Calibri" w:hAnsi="Calibri" w:cs="Calibri"/>
          <w:sz w:val="22"/>
          <w:szCs w:val="22"/>
        </w:rPr>
        <w:t xml:space="preserve">, </w:t>
      </w:r>
    </w:p>
    <w:p w:rsidR="00683C1E" w:rsidRDefault="00683C1E" w:rsidP="00EB2235">
      <w:pPr>
        <w:pStyle w:val="Zkladntext"/>
        <w:ind w:firstLine="567"/>
        <w:rPr>
          <w:rFonts w:ascii="Calibri" w:hAnsi="Calibri" w:cs="Calibri"/>
          <w:sz w:val="22"/>
          <w:szCs w:val="22"/>
        </w:rPr>
      </w:pPr>
      <w:r>
        <w:rPr>
          <w:rFonts w:ascii="Calibri" w:hAnsi="Calibri" w:cs="Calibri"/>
          <w:sz w:val="22"/>
          <w:szCs w:val="22"/>
        </w:rPr>
        <w:t>vědy a výzkumu</w:t>
      </w:r>
    </w:p>
    <w:p w:rsidR="0031023A" w:rsidRDefault="0031023A" w:rsidP="0031023A">
      <w:pPr>
        <w:pStyle w:val="Zkladntext"/>
        <w:ind w:firstLine="567"/>
        <w:rPr>
          <w:rFonts w:ascii="Calibri" w:hAnsi="Calibri" w:cs="Calibri"/>
          <w:sz w:val="22"/>
          <w:szCs w:val="22"/>
        </w:rPr>
      </w:pPr>
    </w:p>
    <w:p w:rsidR="00D12FAB" w:rsidRPr="00822D33" w:rsidRDefault="0031023A" w:rsidP="008C5DDF">
      <w:pPr>
        <w:pStyle w:val="Zkladntext"/>
        <w:spacing w:before="240" w:after="120"/>
        <w:ind w:firstLine="567"/>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sectPr w:rsidR="00D12FAB" w:rsidRPr="00822D33"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03" w:rsidRDefault="00DF4303" w:rsidP="00DB1A59">
      <w:r>
        <w:separator/>
      </w:r>
    </w:p>
  </w:endnote>
  <w:endnote w:type="continuationSeparator" w:id="0">
    <w:p w:rsidR="00DF4303" w:rsidRDefault="00DF4303"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DF4303" w:rsidRDefault="00DF4303">
        <w:pPr>
          <w:pStyle w:val="Zpat"/>
          <w:jc w:val="center"/>
        </w:pPr>
        <w:r>
          <w:fldChar w:fldCharType="begin"/>
        </w:r>
        <w:r>
          <w:instrText>PAGE   \* MERGEFORMAT</w:instrText>
        </w:r>
        <w:r>
          <w:fldChar w:fldCharType="separate"/>
        </w:r>
        <w:r w:rsidR="0047549E">
          <w:rPr>
            <w:noProof/>
          </w:rPr>
          <w:t>2</w:t>
        </w:r>
        <w:r>
          <w:fldChar w:fldCharType="end"/>
        </w:r>
      </w:p>
    </w:sdtContent>
  </w:sdt>
  <w:p w:rsidR="00DF4303" w:rsidRDefault="00DF4303"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03" w:rsidRDefault="00DF4303"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sidR="004A66C9">
      <w:rPr>
        <w:rStyle w:val="slostrnky"/>
        <w:rFonts w:ascii="Verdana" w:hAnsi="Verdana" w:cs="Verdana"/>
        <w:noProof/>
      </w:rPr>
      <w:t>1</w:t>
    </w:r>
    <w:r w:rsidRPr="006211B6">
      <w:rPr>
        <w:rStyle w:val="slostrnky"/>
        <w:rFonts w:ascii="Verdana" w:hAnsi="Verdana" w:cs="Verdana"/>
      </w:rPr>
      <w:fldChar w:fldCharType="end"/>
    </w:r>
  </w:p>
  <w:p w:rsidR="00DF4303" w:rsidRPr="006211B6" w:rsidRDefault="00DF4303"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03" w:rsidRDefault="00DF4303" w:rsidP="00DB1A59">
      <w:r>
        <w:separator/>
      </w:r>
    </w:p>
  </w:footnote>
  <w:footnote w:type="continuationSeparator" w:id="0">
    <w:p w:rsidR="00DF4303" w:rsidRDefault="00DF4303" w:rsidP="00DB1A59">
      <w:r>
        <w:continuationSeparator/>
      </w:r>
    </w:p>
  </w:footnote>
  <w:footnote w:id="1">
    <w:p w:rsidR="00DF4303" w:rsidRPr="00EC642D" w:rsidRDefault="00DF4303"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DF4303" w:rsidRPr="004A0FBD" w:rsidRDefault="00DF4303"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DF4303" w:rsidRPr="00C15937" w:rsidRDefault="00DF4303"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DF4303" w:rsidRDefault="00DF4303"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DF4303" w:rsidRDefault="00DF4303" w:rsidP="00AD23EF">
      <w:pPr>
        <w:pStyle w:val="Textpoznpodarou"/>
        <w:ind w:left="567" w:hanging="567"/>
      </w:pPr>
    </w:p>
  </w:footnote>
  <w:footnote w:id="5">
    <w:p w:rsidR="00DF4303" w:rsidRPr="00454CB3" w:rsidRDefault="00DF4303"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03" w:rsidRPr="00670F69" w:rsidRDefault="00DF4303"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DF4303" w:rsidRDefault="00DF4303"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Č. j.:</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sz w:val="22"/>
        <w:szCs w:val="22"/>
      </w:rPr>
      <w:t>LTC1</w:t>
    </w:r>
    <w:r w:rsidR="0047549E">
      <w:rPr>
        <w:rFonts w:asciiTheme="minorHAnsi" w:hAnsiTheme="minorHAnsi" w:cstheme="minorHAnsi"/>
        <w:i/>
        <w:sz w:val="22"/>
        <w:szCs w:val="22"/>
      </w:rPr>
      <w:t>9xxx</w:t>
    </w:r>
  </w:p>
  <w:p w:rsidR="00DF4303" w:rsidRDefault="00DF4303" w:rsidP="00DB10F7">
    <w:pPr>
      <w:pStyle w:val="Zhlav"/>
      <w:rPr>
        <w:rFonts w:asciiTheme="minorHAnsi" w:hAnsiTheme="minorHAnsi" w:cstheme="minorHAnsi"/>
        <w:i/>
        <w:sz w:val="22"/>
        <w:szCs w:val="22"/>
      </w:rPr>
    </w:pPr>
  </w:p>
  <w:p w:rsidR="00DF4303" w:rsidRPr="00670F69" w:rsidRDefault="00DF4303"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03" w:rsidRPr="00670F69" w:rsidRDefault="00DF430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DF4303" w:rsidRPr="00670F69" w:rsidRDefault="00DF4303">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ataSource r:id="rId2"/>
    <w:destination w:val="email"/>
    <w:addressFieldName w:val="email"/>
    <w:mailSubject w:val="VES18 INTER COST"/>
    <w:mailAsAttachment/>
    <w:activeRecord w:val="23"/>
    <w:odso>
      <w:udl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snova$"/>
      <w:src r:id="rId3"/>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5C16"/>
    <w:rsid w:val="000B748D"/>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B54"/>
    <w:rsid w:val="000F5ED2"/>
    <w:rsid w:val="000F65D5"/>
    <w:rsid w:val="000F7181"/>
    <w:rsid w:val="000F7751"/>
    <w:rsid w:val="0010018B"/>
    <w:rsid w:val="001006EA"/>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6B56"/>
    <w:rsid w:val="0018716D"/>
    <w:rsid w:val="001908A0"/>
    <w:rsid w:val="001932BD"/>
    <w:rsid w:val="00194F94"/>
    <w:rsid w:val="00195716"/>
    <w:rsid w:val="001960C3"/>
    <w:rsid w:val="001A0EDB"/>
    <w:rsid w:val="001A31D2"/>
    <w:rsid w:val="001A4A62"/>
    <w:rsid w:val="001A4E41"/>
    <w:rsid w:val="001A4FE9"/>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67B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280D"/>
    <w:rsid w:val="00582AF6"/>
    <w:rsid w:val="00582D5A"/>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B51DB"/>
    <w:rsid w:val="005C0B46"/>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36959"/>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41F7"/>
    <w:rsid w:val="00904570"/>
    <w:rsid w:val="009048B0"/>
    <w:rsid w:val="00904B5B"/>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7FB5"/>
    <w:rsid w:val="009612AA"/>
    <w:rsid w:val="00961314"/>
    <w:rsid w:val="00962BCE"/>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AA8"/>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65F8"/>
    <w:rsid w:val="00A96A7F"/>
    <w:rsid w:val="00A97189"/>
    <w:rsid w:val="00AA0F10"/>
    <w:rsid w:val="00AA247C"/>
    <w:rsid w:val="00AA39A8"/>
    <w:rsid w:val="00AA4540"/>
    <w:rsid w:val="00AA4A50"/>
    <w:rsid w:val="00AA5FAC"/>
    <w:rsid w:val="00AA6430"/>
    <w:rsid w:val="00AA6959"/>
    <w:rsid w:val="00AB032F"/>
    <w:rsid w:val="00AB0544"/>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71D9"/>
    <w:rsid w:val="00AE788B"/>
    <w:rsid w:val="00AE7B42"/>
    <w:rsid w:val="00AE7E12"/>
    <w:rsid w:val="00AF1095"/>
    <w:rsid w:val="00AF1DD9"/>
    <w:rsid w:val="00AF21B4"/>
    <w:rsid w:val="00AF2C6A"/>
    <w:rsid w:val="00AF386E"/>
    <w:rsid w:val="00AF4DF7"/>
    <w:rsid w:val="00AF6D1E"/>
    <w:rsid w:val="00B00AB0"/>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2546"/>
    <w:rsid w:val="00BE30B2"/>
    <w:rsid w:val="00BE3491"/>
    <w:rsid w:val="00BE5A68"/>
    <w:rsid w:val="00BE5B8A"/>
    <w:rsid w:val="00BE6E92"/>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C4F"/>
    <w:rsid w:val="00D84FAB"/>
    <w:rsid w:val="00D85775"/>
    <w:rsid w:val="00D9272F"/>
    <w:rsid w:val="00D94119"/>
    <w:rsid w:val="00D94918"/>
    <w:rsid w:val="00D952E4"/>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539F"/>
    <w:rsid w:val="00EE593F"/>
    <w:rsid w:val="00EE7953"/>
    <w:rsid w:val="00EF108A"/>
    <w:rsid w:val="00EF16FD"/>
    <w:rsid w:val="00EF4985"/>
    <w:rsid w:val="00EF59F9"/>
    <w:rsid w:val="00EF6376"/>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mailMergeSource" Target="file:///C:\Users\JandaJ\Documents\INTEREXCELLENCE_2016\INTER_C\VES18\Smlouva%20slu&#269;ov&#225;n&#237;\SLU&#268;OV&#193;N&#205;%20jeden%20p&#345;&#237;jemce.xlsx" TargetMode="External"/><Relationship Id="rId2" Type="http://schemas.openxmlformats.org/officeDocument/2006/relationships/mailMergeSource" Target="file:///C:\Users\JandaJ\Documents\INTEREXCELLENCE_2016\INTER_C\VES18\Smlouva%20slu&#269;ov&#225;n&#237;\SLU&#268;OV&#193;N&#205;%20jeden%20p&#345;&#237;jemce.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57C3-6FDF-4E0F-954F-CA5E271A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827</TotalTime>
  <Pages>12</Pages>
  <Words>4228</Words>
  <Characters>24947</Characters>
  <Application>Microsoft Office Word</Application>
  <DocSecurity>0</DocSecurity>
  <Lines>207</Lines>
  <Paragraphs>58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Janda Josef</cp:lastModifiedBy>
  <cp:revision>2</cp:revision>
  <cp:lastPrinted>2018-06-29T07:13:00Z</cp:lastPrinted>
  <dcterms:created xsi:type="dcterms:W3CDTF">2018-06-29T08:33:00Z</dcterms:created>
  <dcterms:modified xsi:type="dcterms:W3CDTF">2018-10-31T14:05:00Z</dcterms:modified>
</cp:coreProperties>
</file>