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561/2004 Sb.</w:t>
      </w:r>
      <w:bookmarkStart w:id="0" w:name="_GoBack"/>
      <w:bookmarkEnd w:id="0"/>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AC468D"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952A19">
        <w:rPr>
          <w:rFonts w:eastAsia="Times New Roman" w:cs="Times New Roman"/>
          <w:b/>
          <w:szCs w:val="24"/>
          <w:lang w:eastAsia="cs-CZ"/>
        </w:rPr>
        <w:t>,</w:t>
      </w:r>
      <w:r w:rsidR="00C605A7">
        <w:rPr>
          <w:rFonts w:eastAsia="Times New Roman" w:cs="Times New Roman"/>
          <w:szCs w:val="24"/>
          <w:lang w:eastAsia="cs-CZ"/>
        </w:rPr>
        <w:t xml:space="preserve"> </w:t>
      </w:r>
      <w:r w:rsidR="00C605A7" w:rsidRPr="00AC468D">
        <w:rPr>
          <w:rFonts w:eastAsia="Times New Roman" w:cs="Times New Roman"/>
          <w:strike/>
          <w:szCs w:val="24"/>
          <w:lang w:eastAsia="cs-CZ"/>
        </w:rPr>
        <w:t>a</w:t>
      </w:r>
      <w:r w:rsidR="00C605A7">
        <w:rPr>
          <w:rFonts w:eastAsia="Times New Roman" w:cs="Times New Roman"/>
          <w:b/>
          <w:szCs w:val="24"/>
          <w:lang w:eastAsia="cs-CZ"/>
        </w:rPr>
        <w:t xml:space="preserve"> </w:t>
      </w:r>
      <w:r w:rsidR="00C605A7" w:rsidRPr="00AC468D">
        <w:rPr>
          <w:rFonts w:eastAsia="Times New Roman" w:cs="Times New Roman"/>
          <w:szCs w:val="24"/>
          <w:lang w:eastAsia="cs-CZ"/>
        </w:rPr>
        <w:t>zákona č. 167/2018 Sb.</w:t>
      </w:r>
      <w:r w:rsidR="00AC468D">
        <w:rPr>
          <w:rFonts w:eastAsia="Times New Roman" w:cs="Times New Roman"/>
          <w:szCs w:val="24"/>
          <w:lang w:eastAsia="cs-CZ"/>
        </w:rPr>
        <w:t xml:space="preserve"> </w:t>
      </w:r>
      <w:r w:rsidR="00AC468D">
        <w:rPr>
          <w:rFonts w:eastAsia="Times New Roman" w:cs="Times New Roman"/>
          <w:b/>
          <w:szCs w:val="24"/>
          <w:lang w:eastAsia="cs-CZ"/>
        </w:rPr>
        <w:t>a zákona č. 46/2019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w:t>
      </w:r>
      <w:r w:rsidRPr="00CC593D">
        <w:rPr>
          <w:rFonts w:eastAsia="Times New Roman" w:cs="Times New Roman"/>
          <w:szCs w:val="24"/>
          <w:lang w:eastAsia="cs-CZ"/>
        </w:rPr>
        <w:lastRenderedPageBreak/>
        <w:t>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w:t>
      </w:r>
      <w:r w:rsidRPr="00CC593D">
        <w:rPr>
          <w:rFonts w:eastAsia="Times New Roman" w:cs="Times New Roman"/>
          <w:szCs w:val="24"/>
          <w:lang w:eastAsia="cs-CZ"/>
        </w:rPr>
        <w:lastRenderedPageBreak/>
        <w:t>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w:t>
      </w:r>
      <w:r w:rsidRPr="00CC593D">
        <w:rPr>
          <w:rFonts w:eastAsia="Times New Roman" w:cs="Times New Roman"/>
          <w:szCs w:val="24"/>
          <w:lang w:eastAsia="cs-CZ"/>
        </w:rPr>
        <w:lastRenderedPageBreak/>
        <w:t>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w:t>
      </w:r>
      <w:r w:rsidRPr="00CC593D">
        <w:rPr>
          <w:rFonts w:eastAsia="Times New Roman" w:cs="Times New Roman"/>
          <w:szCs w:val="24"/>
          <w:lang w:eastAsia="cs-CZ"/>
        </w:rPr>
        <w:lastRenderedPageBreak/>
        <w:t>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w:t>
      </w:r>
      <w:r w:rsidRPr="00CC593D">
        <w:rPr>
          <w:rFonts w:eastAsia="Times New Roman" w:cs="Times New Roman"/>
          <w:szCs w:val="24"/>
          <w:lang w:eastAsia="cs-CZ"/>
        </w:rPr>
        <w:lastRenderedPageBreak/>
        <w:t>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w:t>
      </w:r>
      <w:r w:rsidRPr="00CC593D">
        <w:rPr>
          <w:rFonts w:eastAsia="Times New Roman" w:cs="Times New Roman"/>
          <w:szCs w:val="24"/>
          <w:lang w:eastAsia="cs-CZ"/>
        </w:rPr>
        <w:lastRenderedPageBreak/>
        <w:t>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w:t>
      </w:r>
      <w:r w:rsidRPr="00CC593D">
        <w:rPr>
          <w:rFonts w:eastAsia="Times New Roman" w:cs="Times New Roman"/>
          <w:szCs w:val="24"/>
          <w:lang w:eastAsia="cs-CZ"/>
        </w:rPr>
        <w:lastRenderedPageBreak/>
        <w:t>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w:t>
      </w:r>
      <w:r w:rsidRPr="00CC593D">
        <w:rPr>
          <w:rFonts w:eastAsia="Times New Roman" w:cs="Times New Roman"/>
          <w:szCs w:val="24"/>
          <w:lang w:eastAsia="cs-CZ"/>
        </w:rPr>
        <w:lastRenderedPageBreak/>
        <w:t>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AC468D">
        <w:rPr>
          <w:rFonts w:eastAsia="Times New Roman" w:cs="Times New Roman"/>
          <w:strike/>
          <w:szCs w:val="24"/>
          <w:lang w:eastAsia="cs-CZ"/>
        </w:rPr>
        <w:t>Obec, svazek obcí, kraj a registrovaná církev a náboženská společnost, které bylo přiznáno oprávnění k výkonu zvláštního práva zřizovat církevní školy</w:t>
      </w:r>
      <w:r w:rsidRPr="00AC468D">
        <w:rPr>
          <w:rFonts w:eastAsia="Times New Roman" w:cs="Times New Roman"/>
          <w:strike/>
          <w:szCs w:val="24"/>
          <w:vertAlign w:val="superscript"/>
          <w:lang w:eastAsia="cs-CZ"/>
        </w:rPr>
        <w:t>6</w:t>
      </w:r>
      <w:r w:rsidRPr="00AC468D">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sidRPr="00AC468D">
        <w:rPr>
          <w:rFonts w:eastAsia="Times New Roman" w:cs="Times New Roman"/>
          <w:strike/>
          <w:szCs w:val="24"/>
          <w:lang w:eastAsia="cs-CZ"/>
        </w:rPr>
        <w:t xml:space="preserve"> a</w:t>
      </w:r>
      <w:r w:rsidRPr="00AC468D">
        <w:rPr>
          <w:rFonts w:eastAsia="Times New Roman" w:cs="Times New Roman"/>
          <w:strike/>
          <w:szCs w:val="24"/>
          <w:lang w:eastAsia="cs-CZ"/>
        </w:rPr>
        <w:t xml:space="preserve"> kterým byl povolen odklad povinné školní docházky.</w:t>
      </w:r>
      <w:r w:rsidRPr="00CC593D">
        <w:rPr>
          <w:rFonts w:eastAsia="Times New Roman" w:cs="Times New Roman"/>
          <w:szCs w:val="24"/>
          <w:lang w:eastAsia="cs-CZ"/>
        </w:rPr>
        <w:t xml:space="preserve"> </w:t>
      </w:r>
      <w:r w:rsidR="00AC468D" w:rsidRPr="00AC468D">
        <w:rPr>
          <w:rFonts w:eastAsia="Times New Roman" w:cs="Times New Roman"/>
          <w:b/>
          <w:szCs w:val="24"/>
          <w:lang w:eastAsia="cs-CZ"/>
        </w:rPr>
        <w:t>Obec, svazek obcí, kraj a registrovaná církev a náboženská společnost, které bylo přiznáno oprávnění k výkonu zvláštního práva zřizovat církevní školy</w:t>
      </w:r>
      <w:r w:rsidR="00AC468D" w:rsidRPr="00AC468D">
        <w:rPr>
          <w:rFonts w:eastAsia="Times New Roman" w:cs="Times New Roman"/>
          <w:b/>
          <w:szCs w:val="24"/>
          <w:vertAlign w:val="superscript"/>
          <w:lang w:eastAsia="cs-CZ"/>
        </w:rPr>
        <w:t>6</w:t>
      </w:r>
      <w:r w:rsidR="00AC468D" w:rsidRPr="00AC468D">
        <w:rPr>
          <w:rFonts w:eastAsia="Times New Roman" w:cs="Times New Roman"/>
          <w:b/>
          <w:szCs w:val="24"/>
          <w:lang w:eastAsia="cs-CZ"/>
        </w:rPr>
        <w:t>), mohou zřizovat přípravné třídy základní školy pro děti v posledním roce před zahájením povinné školní docházky, u kterých je předpoklad, že zařazení do přípravné třídy vyrovná jejich vývoj</w:t>
      </w:r>
      <w:r w:rsidR="00AC468D">
        <w:rPr>
          <w:rFonts w:eastAsia="Times New Roman" w:cs="Times New Roman"/>
          <w:b/>
          <w:szCs w:val="24"/>
          <w:lang w:eastAsia="cs-CZ"/>
        </w:rPr>
        <w:t>, přednostně děti,</w:t>
      </w:r>
      <w:r w:rsidR="00AC468D" w:rsidRPr="00AC468D">
        <w:rPr>
          <w:rFonts w:eastAsia="Times New Roman" w:cs="Times New Roman"/>
          <w:b/>
          <w:szCs w:val="24"/>
          <w:lang w:eastAsia="cs-CZ"/>
        </w:rPr>
        <w:t xml:space="preserve"> kterým byl povolen odklad povinné školní docházky.</w:t>
      </w:r>
      <w:r w:rsidR="00AC468D">
        <w:rPr>
          <w:rFonts w:eastAsia="Times New Roman" w:cs="Times New Roman"/>
          <w:szCs w:val="24"/>
          <w:lang w:eastAsia="cs-CZ"/>
        </w:rPr>
        <w:t xml:space="preserve"> </w:t>
      </w:r>
      <w:r w:rsidRPr="00CC593D">
        <w:rPr>
          <w:rFonts w:eastAsia="Times New Roman" w:cs="Times New Roman"/>
          <w:szCs w:val="24"/>
          <w:lang w:eastAsia="cs-CZ"/>
        </w:rPr>
        <w:t>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w:t>
      </w:r>
      <w:r w:rsidRPr="00CC593D">
        <w:rPr>
          <w:rFonts w:eastAsia="Times New Roman" w:cs="Times New Roman"/>
          <w:szCs w:val="24"/>
          <w:lang w:eastAsia="cs-CZ"/>
        </w:rPr>
        <w:lastRenderedPageBreak/>
        <w:t>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w:t>
      </w:r>
      <w:r w:rsidRPr="00CC593D">
        <w:rPr>
          <w:rFonts w:eastAsia="Times New Roman" w:cs="Times New Roman"/>
          <w:szCs w:val="24"/>
          <w:lang w:eastAsia="cs-CZ"/>
        </w:rPr>
        <w:lastRenderedPageBreak/>
        <w:t>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w:t>
      </w:r>
      <w:r w:rsidRPr="00CC593D">
        <w:rPr>
          <w:rFonts w:eastAsia="Times New Roman" w:cs="Times New Roman"/>
          <w:szCs w:val="24"/>
          <w:lang w:eastAsia="cs-CZ"/>
        </w:rPr>
        <w:lastRenderedPageBreak/>
        <w:t>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w:lastRenderedPageBreak/>
        <mc:AlternateContent>
          <mc:Choice Requires="wps">
            <w:drawing>
              <wp:anchor distT="45720" distB="45720" distL="114300" distR="114300" simplePos="0" relativeHeight="251658240" behindDoc="0" locked="0" layoutInCell="1" allowOverlap="1" wp14:anchorId="53F94EF3" wp14:editId="1E56A642">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94EF3"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w:t>
      </w:r>
      <w:r w:rsidRPr="00CC593D">
        <w:rPr>
          <w:rFonts w:eastAsia="Times New Roman" w:cs="Times New Roman"/>
          <w:szCs w:val="24"/>
          <w:lang w:eastAsia="cs-CZ"/>
        </w:rPr>
        <w:lastRenderedPageBreak/>
        <w:t>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w:t>
      </w:r>
      <w:r w:rsidRPr="00CC593D">
        <w:rPr>
          <w:rFonts w:eastAsia="Times New Roman" w:cs="Times New Roman"/>
          <w:szCs w:val="24"/>
          <w:lang w:eastAsia="cs-CZ"/>
        </w:rPr>
        <w:lastRenderedPageBreak/>
        <w:t>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w:t>
      </w:r>
      <w:r w:rsidRPr="00CC593D">
        <w:rPr>
          <w:rFonts w:eastAsia="Times New Roman" w:cs="Times New Roman"/>
          <w:szCs w:val="24"/>
          <w:lang w:eastAsia="cs-CZ"/>
        </w:rPr>
        <w:lastRenderedPageBreak/>
        <w:t>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w:t>
      </w:r>
      <w:r w:rsidRPr="00CC593D">
        <w:rPr>
          <w:rFonts w:eastAsia="Times New Roman" w:cs="Times New Roman"/>
          <w:szCs w:val="24"/>
          <w:lang w:eastAsia="cs-CZ"/>
        </w:rPr>
        <w:lastRenderedPageBreak/>
        <w:t>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w:t>
      </w:r>
      <w:r w:rsidRPr="00CC593D">
        <w:rPr>
          <w:rFonts w:eastAsia="Times New Roman" w:cs="Times New Roman"/>
          <w:szCs w:val="24"/>
          <w:lang w:eastAsia="cs-CZ"/>
        </w:rPr>
        <w:lastRenderedPageBreak/>
        <w:t>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w:t>
      </w:r>
      <w:r w:rsidRPr="00CC593D">
        <w:rPr>
          <w:rFonts w:eastAsia="Times New Roman" w:cs="Times New Roman"/>
          <w:szCs w:val="24"/>
          <w:lang w:eastAsia="cs-CZ"/>
        </w:rPr>
        <w:lastRenderedPageBreak/>
        <w:t>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w:t>
      </w:r>
      <w:r w:rsidRPr="00CC593D">
        <w:rPr>
          <w:rFonts w:eastAsia="Times New Roman" w:cs="Times New Roman"/>
          <w:szCs w:val="24"/>
          <w:lang w:eastAsia="cs-CZ"/>
        </w:rPr>
        <w:lastRenderedPageBreak/>
        <w:t xml:space="preserve">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xml:space="preserve">)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w:t>
      </w:r>
      <w:r w:rsidRPr="00CC593D">
        <w:rPr>
          <w:rFonts w:eastAsia="Times New Roman" w:cs="Times New Roman"/>
          <w:szCs w:val="24"/>
          <w:lang w:eastAsia="cs-CZ"/>
        </w:rPr>
        <w:lastRenderedPageBreak/>
        <w:t>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w:t>
      </w:r>
      <w:r w:rsidRPr="00CC593D">
        <w:rPr>
          <w:rFonts w:eastAsia="Times New Roman" w:cs="Times New Roman"/>
          <w:szCs w:val="24"/>
          <w:lang w:eastAsia="cs-CZ"/>
        </w:rPr>
        <w:lastRenderedPageBreak/>
        <w:t>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xml:space="preserve">)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w:t>
      </w:r>
      <w:r w:rsidRPr="00CC593D">
        <w:rPr>
          <w:rFonts w:eastAsia="Times New Roman" w:cs="Times New Roman"/>
          <w:szCs w:val="24"/>
          <w:lang w:eastAsia="cs-CZ"/>
        </w:rPr>
        <w:lastRenderedPageBreak/>
        <w:t>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w:t>
      </w:r>
      <w:r w:rsidRPr="00CC593D">
        <w:rPr>
          <w:rFonts w:eastAsia="Times New Roman" w:cs="Times New Roman"/>
          <w:szCs w:val="24"/>
          <w:lang w:eastAsia="cs-CZ"/>
        </w:rPr>
        <w:lastRenderedPageBreak/>
        <w:t>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w:t>
      </w:r>
      <w:r w:rsidRPr="00CC593D">
        <w:rPr>
          <w:rFonts w:eastAsia="Times New Roman" w:cs="Times New Roman"/>
          <w:szCs w:val="24"/>
          <w:lang w:eastAsia="cs-CZ"/>
        </w:rPr>
        <w:lastRenderedPageBreak/>
        <w:t xml:space="preserve">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 xml:space="preserve">Finanční prostředky nad rozsah finančních prostředků státního rozpočtu poskytovaných podle odstavců 1 a 2 hradí právnické osoby, které vykonávají činnost škol a školských zařízení, </w:t>
      </w:r>
      <w:r w:rsidRPr="00180B34">
        <w:rPr>
          <w:rFonts w:eastAsia="Times New Roman" w:cs="Times New Roman"/>
          <w:szCs w:val="24"/>
          <w:lang w:eastAsia="cs-CZ"/>
        </w:rPr>
        <w:lastRenderedPageBreak/>
        <w:t>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w:t>
      </w:r>
      <w:r w:rsidRPr="00180B34">
        <w:rPr>
          <w:rFonts w:eastAsia="Times New Roman" w:cs="Times New Roman"/>
          <w:strike/>
          <w:szCs w:val="24"/>
          <w:lang w:eastAsia="cs-CZ"/>
        </w:rPr>
        <w:lastRenderedPageBreak/>
        <w:t>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xml:space="preserve">) dotaci v rozsahu a za podmínek stanovených zvláštním právním </w:t>
      </w:r>
      <w:r w:rsidRPr="00180B34">
        <w:rPr>
          <w:rFonts w:eastAsia="Times New Roman" w:cs="Times New Roman"/>
          <w:strike/>
          <w:szCs w:val="24"/>
          <w:lang w:eastAsia="cs-CZ"/>
        </w:rPr>
        <w:lastRenderedPageBreak/>
        <w:t>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lastRenderedPageBreak/>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w:t>
      </w:r>
      <w:r w:rsidRPr="00180B34">
        <w:rPr>
          <w:rFonts w:eastAsia="Times New Roman" w:cs="Times New Roman"/>
          <w:b/>
          <w:szCs w:val="24"/>
          <w:lang w:eastAsia="cs-CZ"/>
        </w:rPr>
        <w:lastRenderedPageBreak/>
        <w:t>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w:t>
      </w:r>
      <w:r w:rsidRPr="00180B34">
        <w:rPr>
          <w:rFonts w:eastAsia="Times New Roman" w:cs="Times New Roman"/>
          <w:b/>
          <w:szCs w:val="24"/>
          <w:lang w:eastAsia="cs-CZ"/>
        </w:rPr>
        <w:lastRenderedPageBreak/>
        <w:t>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w:t>
      </w:r>
      <w:r w:rsidRPr="00CC593D">
        <w:rPr>
          <w:rFonts w:eastAsia="Times New Roman" w:cs="Times New Roman"/>
          <w:szCs w:val="24"/>
          <w:lang w:eastAsia="cs-CZ"/>
        </w:rPr>
        <w:lastRenderedPageBreak/>
        <w:t>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lastRenderedPageBreak/>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nebo zaměstnanec, který je státním občanem České republiky. Ředitelem střední školy požární ochrany, vyšší odborné </w:t>
      </w:r>
      <w:r w:rsidRPr="00CC593D">
        <w:rPr>
          <w:rFonts w:eastAsia="Times New Roman" w:cs="Times New Roman"/>
          <w:szCs w:val="24"/>
          <w:lang w:eastAsia="cs-CZ"/>
        </w:rPr>
        <w:lastRenderedPageBreak/>
        <w:t>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lastRenderedPageBreak/>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w:t>
      </w:r>
      <w:r w:rsidRPr="00CC593D">
        <w:rPr>
          <w:rFonts w:eastAsia="Times New Roman" w:cs="Times New Roman"/>
          <w:szCs w:val="24"/>
          <w:lang w:eastAsia="cs-CZ"/>
        </w:rPr>
        <w:lastRenderedPageBreak/>
        <w:t>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w:t>
      </w:r>
      <w:r w:rsidRPr="00CC593D">
        <w:rPr>
          <w:rFonts w:eastAsia="Times New Roman" w:cs="Times New Roman"/>
          <w:szCs w:val="24"/>
          <w:lang w:eastAsia="cs-CZ"/>
        </w:rPr>
        <w:lastRenderedPageBreak/>
        <w:t>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w:t>
      </w:r>
      <w:r w:rsidRPr="00CC593D">
        <w:rPr>
          <w:rFonts w:eastAsia="Times New Roman" w:cs="Times New Roman"/>
          <w:szCs w:val="24"/>
          <w:lang w:eastAsia="cs-CZ"/>
        </w:rPr>
        <w:lastRenderedPageBreak/>
        <w:t>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w:t>
      </w:r>
      <w:r w:rsidRPr="00CC593D">
        <w:rPr>
          <w:rFonts w:eastAsia="Times New Roman" w:cs="Times New Roman"/>
          <w:szCs w:val="24"/>
          <w:lang w:eastAsia="cs-CZ"/>
        </w:rPr>
        <w:lastRenderedPageBreak/>
        <w:t>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w:t>
      </w:r>
      <w:r w:rsidRPr="00CC593D">
        <w:rPr>
          <w:rFonts w:eastAsia="Times New Roman" w:cs="Times New Roman"/>
          <w:szCs w:val="24"/>
          <w:lang w:eastAsia="cs-CZ"/>
        </w:rPr>
        <w:lastRenderedPageBreak/>
        <w:t>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76358A"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w:t>
      </w:r>
      <w:r w:rsidRPr="00EE26D5">
        <w:rPr>
          <w:rFonts w:eastAsia="Times New Roman" w:cs="Times New Roman"/>
          <w:szCs w:val="24"/>
          <w:lang w:eastAsia="cs-CZ"/>
        </w:rPr>
        <w:lastRenderedPageBreak/>
        <w:t>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w:t>
      </w:r>
      <w:r w:rsidRPr="00CC593D">
        <w:rPr>
          <w:rFonts w:eastAsia="Times New Roman" w:cs="Times New Roman"/>
          <w:szCs w:val="24"/>
          <w:lang w:eastAsia="cs-CZ"/>
        </w:rPr>
        <w:lastRenderedPageBreak/>
        <w:t>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8A" w:rsidRDefault="0076358A" w:rsidP="00564522">
      <w:r>
        <w:separator/>
      </w:r>
    </w:p>
  </w:endnote>
  <w:endnote w:type="continuationSeparator" w:id="0">
    <w:p w:rsidR="0076358A" w:rsidRDefault="0076358A"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8A" w:rsidRDefault="0076358A" w:rsidP="00564522">
      <w:r>
        <w:separator/>
      </w:r>
    </w:p>
  </w:footnote>
  <w:footnote w:type="continuationSeparator" w:id="0">
    <w:p w:rsidR="0076358A" w:rsidRDefault="0076358A"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8D" w:rsidRPr="009E7ED8" w:rsidRDefault="00AC468D" w:rsidP="00564522">
    <w:pPr>
      <w:pStyle w:val="Zhlav"/>
      <w:jc w:val="center"/>
      <w:rPr>
        <w:b/>
        <w:color w:val="FF0000"/>
        <w:sz w:val="22"/>
      </w:rPr>
    </w:pPr>
    <w:r w:rsidRPr="009E7ED8">
      <w:rPr>
        <w:b/>
        <w:color w:val="FF0000"/>
        <w:sz w:val="22"/>
      </w:rPr>
      <w:t>Úplné znění ke dni 1</w:t>
    </w:r>
    <w:r>
      <w:rPr>
        <w:b/>
        <w:color w:val="FF0000"/>
        <w:sz w:val="22"/>
      </w:rPr>
      <w:t>5</w:t>
    </w:r>
    <w:r w:rsidRPr="009E7ED8">
      <w:rPr>
        <w:b/>
        <w:color w:val="FF0000"/>
        <w:sz w:val="22"/>
      </w:rPr>
      <w:t xml:space="preserve">. </w:t>
    </w:r>
    <w:r>
      <w:rPr>
        <w:b/>
        <w:color w:val="FF0000"/>
        <w:sz w:val="22"/>
      </w:rPr>
      <w:t>2</w:t>
    </w:r>
    <w:r w:rsidRPr="009E7ED8">
      <w:rPr>
        <w:b/>
        <w:color w:val="FF0000"/>
        <w:sz w:val="22"/>
      </w:rPr>
      <w:t>. 201</w:t>
    </w:r>
    <w:r w:rsidR="00445A20">
      <w:rPr>
        <w:b/>
        <w:color w:val="FF0000"/>
        <w:sz w:val="22"/>
      </w:rPr>
      <w:t>9</w:t>
    </w:r>
    <w:r w:rsidRPr="009E7ED8">
      <w:rPr>
        <w:b/>
        <w:color w:val="FF0000"/>
        <w:sz w:val="22"/>
      </w:rPr>
      <w:t xml:space="preserve"> je zpracováno Ministerstvem školství, mládeže a tělovýchovy pouze jako informativní materiál. Právně závazné znění vyplývá výhradně ze Sbírky zákonů.</w:t>
    </w:r>
  </w:p>
  <w:p w:rsidR="00AC468D" w:rsidRDefault="00AC46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5309E"/>
    <w:rsid w:val="00066791"/>
    <w:rsid w:val="00074E6E"/>
    <w:rsid w:val="000A3A4D"/>
    <w:rsid w:val="000E3F9A"/>
    <w:rsid w:val="000F395A"/>
    <w:rsid w:val="00180B34"/>
    <w:rsid w:val="001913CE"/>
    <w:rsid w:val="0019179B"/>
    <w:rsid w:val="001937F0"/>
    <w:rsid w:val="001A2A8E"/>
    <w:rsid w:val="0021593F"/>
    <w:rsid w:val="002938B6"/>
    <w:rsid w:val="00293B8C"/>
    <w:rsid w:val="00326B8D"/>
    <w:rsid w:val="003336F4"/>
    <w:rsid w:val="003C5087"/>
    <w:rsid w:val="003C51B1"/>
    <w:rsid w:val="003D3FA5"/>
    <w:rsid w:val="00445A20"/>
    <w:rsid w:val="004B3D56"/>
    <w:rsid w:val="004F1AC3"/>
    <w:rsid w:val="004F4465"/>
    <w:rsid w:val="00564522"/>
    <w:rsid w:val="00584FD4"/>
    <w:rsid w:val="005A43D8"/>
    <w:rsid w:val="005A73A0"/>
    <w:rsid w:val="005E243E"/>
    <w:rsid w:val="00603A9E"/>
    <w:rsid w:val="00735FD1"/>
    <w:rsid w:val="00750762"/>
    <w:rsid w:val="0076358A"/>
    <w:rsid w:val="007C2B47"/>
    <w:rsid w:val="007E3EDF"/>
    <w:rsid w:val="007F64DB"/>
    <w:rsid w:val="0084360D"/>
    <w:rsid w:val="00857847"/>
    <w:rsid w:val="00872724"/>
    <w:rsid w:val="008A0E43"/>
    <w:rsid w:val="009338A4"/>
    <w:rsid w:val="00952A19"/>
    <w:rsid w:val="00956588"/>
    <w:rsid w:val="009A1D46"/>
    <w:rsid w:val="009E7ED8"/>
    <w:rsid w:val="00A376D3"/>
    <w:rsid w:val="00A65D71"/>
    <w:rsid w:val="00AC459D"/>
    <w:rsid w:val="00AC468D"/>
    <w:rsid w:val="00BB15EA"/>
    <w:rsid w:val="00C605A7"/>
    <w:rsid w:val="00CA7771"/>
    <w:rsid w:val="00CC593D"/>
    <w:rsid w:val="00CC5A0D"/>
    <w:rsid w:val="00CD5348"/>
    <w:rsid w:val="00CD7005"/>
    <w:rsid w:val="00D619FB"/>
    <w:rsid w:val="00D7337B"/>
    <w:rsid w:val="00DE7568"/>
    <w:rsid w:val="00E22AD0"/>
    <w:rsid w:val="00E715D2"/>
    <w:rsid w:val="00EE26D5"/>
    <w:rsid w:val="00EF6488"/>
    <w:rsid w:val="00F62A7E"/>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160</Pages>
  <Words>59438</Words>
  <Characters>350688</Characters>
  <Application>Microsoft Office Word</Application>
  <DocSecurity>0</DocSecurity>
  <Lines>2922</Lines>
  <Paragraphs>818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9</cp:revision>
  <dcterms:created xsi:type="dcterms:W3CDTF">2018-08-16T13:54:00Z</dcterms:created>
  <dcterms:modified xsi:type="dcterms:W3CDTF">2019-02-18T08:30:00Z</dcterms:modified>
</cp:coreProperties>
</file>